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781" w:rsidRPr="009D3291" w:rsidRDefault="00914781" w:rsidP="002301EE">
      <w:pPr>
        <w:spacing w:after="0" w:line="240" w:lineRule="auto"/>
        <w:jc w:val="center"/>
        <w:rPr>
          <w:rFonts w:ascii="Times New Roman" w:hAnsi="Times New Roman"/>
          <w:b/>
          <w:caps/>
          <w:color w:val="000000" w:themeColor="text1"/>
          <w:spacing w:val="30"/>
          <w:sz w:val="24"/>
          <w:szCs w:val="24"/>
        </w:rPr>
      </w:pPr>
      <w:r w:rsidRPr="009D3291">
        <w:rPr>
          <w:rFonts w:ascii="Times New Roman" w:hAnsi="Times New Roman"/>
          <w:b/>
          <w:caps/>
          <w:color w:val="000000" w:themeColor="text1"/>
          <w:spacing w:val="30"/>
          <w:sz w:val="24"/>
          <w:szCs w:val="24"/>
        </w:rPr>
        <w:t>Dôvodová správa</w:t>
      </w:r>
    </w:p>
    <w:p w:rsidR="00914781" w:rsidRPr="00726F8D" w:rsidRDefault="00914781" w:rsidP="00726F8D">
      <w:pPr>
        <w:spacing w:after="0" w:line="240" w:lineRule="auto"/>
        <w:jc w:val="both"/>
        <w:rPr>
          <w:rFonts w:ascii="Times New Roman" w:hAnsi="Times New Roman"/>
          <w:color w:val="000000" w:themeColor="text1"/>
          <w:sz w:val="24"/>
          <w:szCs w:val="24"/>
        </w:rPr>
      </w:pPr>
    </w:p>
    <w:p w:rsidR="00914781" w:rsidRPr="00726F8D" w:rsidRDefault="00914781" w:rsidP="00726F8D">
      <w:pPr>
        <w:pStyle w:val="Odsekzoznamu1"/>
        <w:numPr>
          <w:ilvl w:val="0"/>
          <w:numId w:val="1"/>
        </w:numPr>
        <w:spacing w:after="0" w:line="240" w:lineRule="auto"/>
        <w:ind w:left="426" w:hanging="426"/>
        <w:jc w:val="both"/>
        <w:rPr>
          <w:rFonts w:ascii="Times New Roman" w:hAnsi="Times New Roman"/>
          <w:b/>
          <w:color w:val="000000" w:themeColor="text1"/>
          <w:sz w:val="24"/>
          <w:szCs w:val="24"/>
        </w:rPr>
      </w:pPr>
      <w:r w:rsidRPr="00726F8D">
        <w:rPr>
          <w:rFonts w:ascii="Times New Roman" w:hAnsi="Times New Roman"/>
          <w:b/>
          <w:color w:val="000000" w:themeColor="text1"/>
          <w:sz w:val="24"/>
          <w:szCs w:val="24"/>
        </w:rPr>
        <w:t xml:space="preserve">Všeobecná časť </w:t>
      </w:r>
    </w:p>
    <w:p w:rsidR="00914781" w:rsidRPr="00726F8D" w:rsidRDefault="00914781" w:rsidP="00726F8D">
      <w:pPr>
        <w:spacing w:after="0" w:line="240" w:lineRule="auto"/>
        <w:jc w:val="both"/>
        <w:rPr>
          <w:rFonts w:ascii="Times New Roman" w:hAnsi="Times New Roman"/>
          <w:color w:val="000000" w:themeColor="text1"/>
          <w:sz w:val="24"/>
          <w:szCs w:val="24"/>
        </w:rPr>
      </w:pPr>
    </w:p>
    <w:p w:rsidR="00726F8D" w:rsidRPr="00726F8D" w:rsidRDefault="00726F8D" w:rsidP="00726F8D">
      <w:pPr>
        <w:spacing w:after="0" w:line="240" w:lineRule="auto"/>
        <w:ind w:firstLine="708"/>
        <w:jc w:val="both"/>
        <w:rPr>
          <w:rFonts w:ascii="Times New Roman" w:hAnsi="Times New Roman"/>
          <w:sz w:val="24"/>
          <w:szCs w:val="24"/>
        </w:rPr>
      </w:pPr>
      <w:r w:rsidRPr="00726F8D">
        <w:rPr>
          <w:rFonts w:ascii="Times New Roman" w:hAnsi="Times New Roman"/>
          <w:sz w:val="24"/>
          <w:szCs w:val="24"/>
        </w:rPr>
        <w:t xml:space="preserve">Na rokovanie sa predkladá návrh zákona, ktorým sa mení a dopĺňa zákon </w:t>
      </w:r>
      <w:r w:rsidRPr="00726F8D">
        <w:rPr>
          <w:rFonts w:ascii="Times New Roman" w:hAnsi="Times New Roman"/>
          <w:sz w:val="24"/>
          <w:szCs w:val="24"/>
        </w:rPr>
        <w:br/>
        <w:t xml:space="preserve">č. 575/2001 Z. z. o organizácii činnosti vlády a organizácii ústrednej štátnej správy v znení neskorších predpisov a ktorým sa menia a dopĺňajú niektoré zákony, ako iniciatívny návrh </w:t>
      </w:r>
      <w:r w:rsidRPr="00726F8D">
        <w:rPr>
          <w:rStyle w:val="Zstupntext"/>
          <w:color w:val="auto"/>
          <w:sz w:val="24"/>
          <w:szCs w:val="24"/>
        </w:rPr>
        <w:t>na základe Programového vyhlásenie vlády Slovenskej republiky na obdobie rokov 2020 – 2024.</w:t>
      </w:r>
    </w:p>
    <w:p w:rsidR="00726F8D" w:rsidRPr="00726F8D" w:rsidRDefault="00726F8D" w:rsidP="00726F8D">
      <w:pPr>
        <w:pStyle w:val="Normlnywebov"/>
        <w:spacing w:before="0" w:beforeAutospacing="0" w:after="0" w:afterAutospacing="0"/>
        <w:jc w:val="both"/>
      </w:pPr>
    </w:p>
    <w:p w:rsidR="00726F8D" w:rsidRPr="00726F8D" w:rsidRDefault="00726F8D" w:rsidP="00726F8D">
      <w:pPr>
        <w:spacing w:after="0" w:line="240" w:lineRule="auto"/>
        <w:ind w:firstLine="708"/>
        <w:jc w:val="both"/>
        <w:rPr>
          <w:rFonts w:ascii="Times New Roman" w:hAnsi="Times New Roman"/>
          <w:sz w:val="24"/>
          <w:szCs w:val="24"/>
          <w:lang w:eastAsia="sk-SK"/>
        </w:rPr>
      </w:pPr>
      <w:r w:rsidRPr="00726F8D">
        <w:rPr>
          <w:rStyle w:val="Zstupntext"/>
          <w:color w:val="auto"/>
          <w:sz w:val="24"/>
          <w:szCs w:val="24"/>
        </w:rPr>
        <w:t>Cieľom predkladaného návrhu zá</w:t>
      </w:r>
      <w:r w:rsidR="000F2071">
        <w:rPr>
          <w:rStyle w:val="Zstupntext"/>
          <w:color w:val="auto"/>
          <w:sz w:val="24"/>
          <w:szCs w:val="24"/>
        </w:rPr>
        <w:t>kona je, v súlade s Programovým</w:t>
      </w:r>
      <w:r w:rsidRPr="00726F8D">
        <w:rPr>
          <w:rStyle w:val="Zstupntext"/>
          <w:color w:val="auto"/>
          <w:sz w:val="24"/>
          <w:szCs w:val="24"/>
        </w:rPr>
        <w:t xml:space="preserve"> vyhlásením vlády Slovenskej republiky na obdobie rokov 2020 až 2024, transformovať Úrad podpredsedu vlády Slovenskej republiky pre investície a informatizáciu na Ministerstvo investícií</w:t>
      </w:r>
      <w:r w:rsidR="000F2071">
        <w:rPr>
          <w:rStyle w:val="Zstupntext"/>
          <w:color w:val="auto"/>
          <w:sz w:val="24"/>
          <w:szCs w:val="24"/>
        </w:rPr>
        <w:t>,</w:t>
      </w:r>
      <w:r w:rsidRPr="00726F8D">
        <w:rPr>
          <w:rStyle w:val="Zstupntext"/>
          <w:color w:val="auto"/>
          <w:sz w:val="24"/>
          <w:szCs w:val="24"/>
        </w:rPr>
        <w:t xml:space="preserve"> </w:t>
      </w:r>
      <w:r w:rsidRPr="00726F8D">
        <w:rPr>
          <w:rFonts w:ascii="Times New Roman" w:hAnsi="Times New Roman"/>
          <w:sz w:val="24"/>
          <w:szCs w:val="24"/>
        </w:rPr>
        <w:t>regionálneho rozvoja a informatizácie Slovenskej republiky, ktoré prevezme pôsobnosť Úradu podpredsedu vlády Slovenskej republiky pre investície a informatizáciu a do pôsobnosti ktorého sa presunie z Ministerstva pôdohospodárstva a rozvoja vidieka Slovenskej republiky pôsobnosť v oblasti regionálneho rozvoja. Cieľom týchto zmien je centralizácia a koncentrácia agendy regionálneho rozvoja a eurofondov na jedno ministerstvo s cieľom zlepšenia koordinácie regionálneho rozvoja, optimalizácie implementačnej štruktúry riadenia eurofondov, posilnenia princípov transparentnosti, efektívnosti, hospodárnosti, účelnosti a výsledkovej orientácie, na ktoré kladie dôraz aj Európska komisia.</w:t>
      </w:r>
    </w:p>
    <w:p w:rsidR="00726F8D" w:rsidRPr="00726F8D" w:rsidRDefault="00726F8D" w:rsidP="00726F8D">
      <w:pPr>
        <w:spacing w:after="0" w:line="240" w:lineRule="auto"/>
        <w:ind w:firstLine="708"/>
        <w:jc w:val="both"/>
        <w:rPr>
          <w:rStyle w:val="Zstupntext"/>
          <w:color w:val="auto"/>
          <w:sz w:val="24"/>
          <w:szCs w:val="24"/>
        </w:rPr>
      </w:pPr>
    </w:p>
    <w:p w:rsidR="00726F8D" w:rsidRPr="00726F8D" w:rsidRDefault="00726F8D" w:rsidP="00726F8D">
      <w:pPr>
        <w:spacing w:after="0" w:line="240" w:lineRule="auto"/>
        <w:ind w:firstLine="708"/>
        <w:jc w:val="both"/>
        <w:rPr>
          <w:rStyle w:val="Zstupntext"/>
          <w:color w:val="auto"/>
          <w:sz w:val="24"/>
          <w:szCs w:val="24"/>
        </w:rPr>
      </w:pPr>
      <w:r w:rsidRPr="00726F8D">
        <w:rPr>
          <w:rStyle w:val="Zstupntext"/>
          <w:color w:val="auto"/>
          <w:sz w:val="24"/>
          <w:szCs w:val="24"/>
        </w:rPr>
        <w:t xml:space="preserve">Ďalším cieľom návrhu zákona je, v súlade s Programovými vyhlásením vlády Slovenskej republiky na obdobie rokov 2020 až 2024 časť „Legislatívny proces na vládnej úrovni“ a časť „Tvorba strategickej vízie“ </w:t>
      </w:r>
    </w:p>
    <w:p w:rsidR="00726F8D" w:rsidRPr="00726F8D" w:rsidRDefault="00726F8D" w:rsidP="00726F8D">
      <w:pPr>
        <w:pStyle w:val="Odsekzoznamu"/>
        <w:widowControl w:val="0"/>
        <w:numPr>
          <w:ilvl w:val="0"/>
          <w:numId w:val="19"/>
        </w:numPr>
        <w:adjustRightInd w:val="0"/>
        <w:spacing w:after="0" w:line="240" w:lineRule="auto"/>
        <w:ind w:left="360"/>
        <w:contextualSpacing w:val="0"/>
        <w:jc w:val="both"/>
        <w:rPr>
          <w:rStyle w:val="Zstupntext"/>
          <w:color w:val="auto"/>
          <w:sz w:val="24"/>
          <w:szCs w:val="24"/>
        </w:rPr>
      </w:pPr>
      <w:r w:rsidRPr="00726F8D">
        <w:rPr>
          <w:rStyle w:val="Zstupntext"/>
          <w:color w:val="auto"/>
          <w:sz w:val="24"/>
          <w:szCs w:val="24"/>
        </w:rPr>
        <w:t>vytvo</w:t>
      </w:r>
      <w:r w:rsidR="000F2071">
        <w:rPr>
          <w:rStyle w:val="Zstupntext"/>
          <w:color w:val="auto"/>
          <w:sz w:val="24"/>
          <w:szCs w:val="24"/>
        </w:rPr>
        <w:t>riť pre podpredsedu vlády Slove</w:t>
      </w:r>
      <w:r w:rsidRPr="00726F8D">
        <w:rPr>
          <w:rStyle w:val="Zstupntext"/>
          <w:color w:val="auto"/>
          <w:sz w:val="24"/>
          <w:szCs w:val="24"/>
        </w:rPr>
        <w:t>n</w:t>
      </w:r>
      <w:r w:rsidR="000F2071">
        <w:rPr>
          <w:rStyle w:val="Zstupntext"/>
          <w:color w:val="auto"/>
          <w:sz w:val="24"/>
          <w:szCs w:val="24"/>
        </w:rPr>
        <w:t>sk</w:t>
      </w:r>
      <w:r w:rsidRPr="00726F8D">
        <w:rPr>
          <w:rStyle w:val="Zstupntext"/>
          <w:color w:val="auto"/>
          <w:sz w:val="24"/>
          <w:szCs w:val="24"/>
        </w:rPr>
        <w:t>ej republiky právny rámec a inštitucionálne zázemie tak, aby mohol</w:t>
      </w:r>
    </w:p>
    <w:p w:rsidR="00726F8D" w:rsidRPr="00726F8D" w:rsidRDefault="00726F8D" w:rsidP="00726F8D">
      <w:pPr>
        <w:pStyle w:val="Odsekzoznamu"/>
        <w:widowControl w:val="0"/>
        <w:numPr>
          <w:ilvl w:val="0"/>
          <w:numId w:val="20"/>
        </w:numPr>
        <w:adjustRightInd w:val="0"/>
        <w:spacing w:after="0" w:line="240" w:lineRule="auto"/>
        <w:contextualSpacing w:val="0"/>
        <w:jc w:val="both"/>
        <w:rPr>
          <w:rFonts w:ascii="Times New Roman" w:hAnsi="Times New Roman"/>
          <w:sz w:val="24"/>
          <w:szCs w:val="24"/>
        </w:rPr>
      </w:pPr>
      <w:r w:rsidRPr="00726F8D">
        <w:rPr>
          <w:rStyle w:val="Zstupntext"/>
          <w:color w:val="auto"/>
          <w:sz w:val="24"/>
          <w:szCs w:val="24"/>
        </w:rPr>
        <w:t>v oblasti legislatívy najmä plniť úlohy súvisiace s</w:t>
      </w:r>
      <w:r w:rsidRPr="00726F8D">
        <w:rPr>
          <w:rFonts w:ascii="Times New Roman" w:hAnsi="Times New Roman"/>
          <w:sz w:val="24"/>
          <w:szCs w:val="24"/>
        </w:rPr>
        <w:t xml:space="preserve"> usmerňovaním a koordinovaním plnenia úloh v tejto oblasti, zabezpečovania koordinácie ústredných orgánov štátnej správy pri tvorbe legislatívy, vrátane koordinácie pripomienkového konania a zabezpečovania určených legislatívnych činností,</w:t>
      </w:r>
    </w:p>
    <w:p w:rsidR="00726F8D" w:rsidRPr="00726F8D" w:rsidRDefault="00726F8D" w:rsidP="00726F8D">
      <w:pPr>
        <w:pStyle w:val="Odsekzoznamu"/>
        <w:widowControl w:val="0"/>
        <w:numPr>
          <w:ilvl w:val="0"/>
          <w:numId w:val="20"/>
        </w:numPr>
        <w:adjustRightInd w:val="0"/>
        <w:spacing w:after="0" w:line="240" w:lineRule="auto"/>
        <w:contextualSpacing w:val="0"/>
        <w:jc w:val="both"/>
        <w:rPr>
          <w:rFonts w:ascii="Times New Roman" w:hAnsi="Times New Roman"/>
          <w:sz w:val="24"/>
          <w:szCs w:val="24"/>
        </w:rPr>
      </w:pPr>
      <w:r w:rsidRPr="00726F8D">
        <w:rPr>
          <w:rFonts w:ascii="Times New Roman" w:hAnsi="Times New Roman"/>
          <w:sz w:val="24"/>
          <w:szCs w:val="24"/>
        </w:rPr>
        <w:t xml:space="preserve">vykonávať posúdenia interných a externých konzultačných služieb ekonomického, finančného, právneho a iného obdobného charakteru, vykonávaných alebo obstarávaných ministerstvami, ostatnými ústrednými orgánmi štátnej správy, subjektmi v pôsobnosti ministerstiev alebo ostatných ústredných orgánov štátnej správy, štátnymi orgánmi podriadenými vláde a ich právnickými osobami </w:t>
      </w:r>
      <w:r w:rsidRPr="00726F8D" w:rsidDel="000D0843">
        <w:rPr>
          <w:rFonts w:ascii="Times New Roman" w:hAnsi="Times New Roman"/>
          <w:sz w:val="24"/>
          <w:szCs w:val="24"/>
        </w:rPr>
        <w:t xml:space="preserve"> </w:t>
      </w:r>
      <w:r w:rsidRPr="00726F8D">
        <w:rPr>
          <w:rFonts w:ascii="Times New Roman" w:hAnsi="Times New Roman"/>
          <w:sz w:val="24"/>
          <w:szCs w:val="24"/>
        </w:rPr>
        <w:t>a  právnickými osobami zriadenými zákonom, ktoré nie sú orgánom verejnej moci z hľadiska ich efektívnosti, hospodárnosti a účelnosti vynakladania verejných prostriedkov a</w:t>
      </w:r>
    </w:p>
    <w:p w:rsidR="00726F8D" w:rsidRPr="00726F8D" w:rsidRDefault="00726F8D" w:rsidP="00726F8D">
      <w:pPr>
        <w:pStyle w:val="Odsekzoznamu"/>
        <w:widowControl w:val="0"/>
        <w:numPr>
          <w:ilvl w:val="0"/>
          <w:numId w:val="20"/>
        </w:numPr>
        <w:adjustRightInd w:val="0"/>
        <w:spacing w:after="0" w:line="240" w:lineRule="auto"/>
        <w:contextualSpacing w:val="0"/>
        <w:jc w:val="both"/>
        <w:rPr>
          <w:rFonts w:ascii="Times New Roman" w:hAnsi="Times New Roman"/>
          <w:sz w:val="24"/>
          <w:szCs w:val="24"/>
        </w:rPr>
      </w:pPr>
      <w:r w:rsidRPr="00726F8D">
        <w:rPr>
          <w:rFonts w:ascii="Times New Roman" w:hAnsi="Times New Roman"/>
          <w:sz w:val="24"/>
          <w:szCs w:val="24"/>
        </w:rPr>
        <w:t>vykonávať posúdenia interných a externých právnych služieb a právneho zastúpenia, vykonávaných alebo obstarávaných ministerstvami, ostatnými ústrednými orgánmi štátnej správy, subjektmi v pôsobnosti ministerstiev alebo ostatných ústredných orgánov štátnej správy, štátnymi orgánmi podriadenými vláde a ich právnickými osobami a  právnickými osobami zriadenými zákonom, ktoré nie sú orgánom verejnej moci z hľadiska ich efektívnosti, hospodárnosti a účelnosti vynakladania verejných prostriedkov</w:t>
      </w:r>
      <w:r w:rsidR="000F2071">
        <w:rPr>
          <w:rFonts w:ascii="Times New Roman" w:hAnsi="Times New Roman"/>
          <w:sz w:val="24"/>
          <w:szCs w:val="24"/>
        </w:rPr>
        <w:t>,</w:t>
      </w:r>
    </w:p>
    <w:p w:rsidR="00726F8D" w:rsidRPr="00726F8D" w:rsidRDefault="00726F8D" w:rsidP="00726F8D">
      <w:pPr>
        <w:pStyle w:val="Odsekzoznamu"/>
        <w:widowControl w:val="0"/>
        <w:numPr>
          <w:ilvl w:val="0"/>
          <w:numId w:val="19"/>
        </w:numPr>
        <w:adjustRightInd w:val="0"/>
        <w:spacing w:after="0" w:line="240" w:lineRule="auto"/>
        <w:ind w:left="360"/>
        <w:contextualSpacing w:val="0"/>
        <w:jc w:val="both"/>
        <w:rPr>
          <w:rFonts w:ascii="Times New Roman" w:hAnsi="Times New Roman"/>
          <w:sz w:val="24"/>
          <w:szCs w:val="24"/>
        </w:rPr>
      </w:pPr>
      <w:r w:rsidRPr="00726F8D">
        <w:rPr>
          <w:rFonts w:ascii="Times New Roman" w:hAnsi="Times New Roman"/>
          <w:sz w:val="24"/>
          <w:szCs w:val="24"/>
        </w:rPr>
        <w:t>zveriť do pôsobnosti Úradu vlády Slovenskej republiky zabezpečovanie plánovania v oblasti investícií a strategického plánovania a strategické projektové riadenie vrátane vypracovania národného strategického investičného rámca</w:t>
      </w:r>
      <w:r w:rsidRPr="00726F8D">
        <w:rPr>
          <w:rFonts w:ascii="Times New Roman" w:hAnsi="Times New Roman"/>
          <w:noProof/>
          <w:sz w:val="24"/>
          <w:szCs w:val="24"/>
        </w:rPr>
        <w:t xml:space="preserve"> a kontroly jeho implementácie, </w:t>
      </w:r>
      <w:r w:rsidRPr="00726F8D">
        <w:rPr>
          <w:rFonts w:ascii="Times New Roman" w:hAnsi="Times New Roman"/>
          <w:sz w:val="24"/>
          <w:szCs w:val="24"/>
        </w:rPr>
        <w:t>ako aj koordináciu investičných projektov určených vládou Slovenskej republiky s výnimkou činností zverených Ministerstvu investícií, regionálneho rozvoja a informatizácie Slovenskej republiky.</w:t>
      </w:r>
    </w:p>
    <w:p w:rsidR="00726F8D" w:rsidRPr="00726F8D" w:rsidRDefault="00726F8D" w:rsidP="00726F8D">
      <w:pPr>
        <w:spacing w:after="0" w:line="240" w:lineRule="auto"/>
        <w:ind w:firstLine="708"/>
        <w:jc w:val="both"/>
        <w:rPr>
          <w:rFonts w:ascii="Times New Roman" w:hAnsi="Times New Roman"/>
          <w:sz w:val="24"/>
          <w:szCs w:val="24"/>
        </w:rPr>
      </w:pPr>
      <w:r w:rsidRPr="00726F8D">
        <w:rPr>
          <w:rFonts w:ascii="Times New Roman" w:hAnsi="Times New Roman"/>
          <w:sz w:val="24"/>
          <w:szCs w:val="24"/>
        </w:rPr>
        <w:lastRenderedPageBreak/>
        <w:t>V nadväznosti na uvedené zmeny je potrebné v súvisiacich zákonoch vykonať nevyhnutné legislatívne zmeny.</w:t>
      </w:r>
    </w:p>
    <w:p w:rsidR="00726F8D" w:rsidRPr="00726F8D" w:rsidRDefault="00726F8D" w:rsidP="00726F8D">
      <w:pPr>
        <w:spacing w:after="0" w:line="240" w:lineRule="auto"/>
        <w:ind w:firstLine="708"/>
        <w:jc w:val="both"/>
        <w:rPr>
          <w:rFonts w:ascii="Times New Roman" w:hAnsi="Times New Roman"/>
          <w:color w:val="000000"/>
          <w:sz w:val="24"/>
          <w:szCs w:val="24"/>
        </w:rPr>
      </w:pPr>
    </w:p>
    <w:p w:rsidR="00726F8D" w:rsidRPr="00726F8D" w:rsidRDefault="00726F8D" w:rsidP="00726F8D">
      <w:pPr>
        <w:spacing w:after="0" w:line="240" w:lineRule="auto"/>
        <w:ind w:firstLine="708"/>
        <w:jc w:val="both"/>
        <w:rPr>
          <w:rFonts w:ascii="Times New Roman" w:hAnsi="Times New Roman"/>
          <w:color w:val="000000"/>
          <w:sz w:val="24"/>
          <w:szCs w:val="24"/>
        </w:rPr>
      </w:pPr>
      <w:r w:rsidRPr="00726F8D">
        <w:rPr>
          <w:rFonts w:ascii="Times New Roman" w:hAnsi="Times New Roman"/>
          <w:color w:val="000000"/>
          <w:sz w:val="24"/>
          <w:szCs w:val="24"/>
        </w:rPr>
        <w:t>Návrh zákona je v súlade s Ústavou Slovenskej republiky, ústavnými zákonmi, nálezmi Ústavného súdu Slovenskej republiky, medzinárodnými zmluvami, ktorými je Slovenská republika viazaná a zákonmi a súčasne je v súlade s právom Európskej únie.</w:t>
      </w:r>
    </w:p>
    <w:p w:rsidR="00726F8D" w:rsidRPr="00726F8D" w:rsidRDefault="00726F8D" w:rsidP="00726F8D">
      <w:pPr>
        <w:pStyle w:val="Zkladntext"/>
        <w:ind w:firstLine="360"/>
        <w:rPr>
          <w:rFonts w:ascii="Times New Roman" w:hAnsi="Times New Roman" w:cs="Times New Roman"/>
          <w:color w:val="000000"/>
        </w:rPr>
      </w:pPr>
    </w:p>
    <w:p w:rsidR="00726F8D" w:rsidRPr="00726F8D" w:rsidRDefault="00726F8D" w:rsidP="00726F8D">
      <w:pPr>
        <w:pStyle w:val="Odsekzoznamu"/>
        <w:spacing w:after="0" w:line="240" w:lineRule="auto"/>
        <w:ind w:left="0" w:firstLine="708"/>
        <w:jc w:val="both"/>
        <w:rPr>
          <w:rStyle w:val="Zstupntext"/>
          <w:color w:val="auto"/>
          <w:sz w:val="24"/>
          <w:szCs w:val="24"/>
        </w:rPr>
      </w:pPr>
      <w:r w:rsidRPr="00726F8D">
        <w:rPr>
          <w:rStyle w:val="Zstupntext"/>
          <w:color w:val="000000"/>
          <w:sz w:val="24"/>
          <w:szCs w:val="24"/>
        </w:rPr>
        <w:t xml:space="preserve">Prijatie navrhovaného zákona nebude </w:t>
      </w:r>
      <w:r w:rsidRPr="00726F8D">
        <w:rPr>
          <w:rFonts w:ascii="Times New Roman" w:hAnsi="Times New Roman"/>
          <w:sz w:val="24"/>
          <w:szCs w:val="24"/>
        </w:rPr>
        <w:t>mať vplyvy na rozpočet verejnej správy, sociálne vplyvy, vplyvy na podnikateľské prostredie, vplyvy na životné prostredie, vplyvy na informatizáciu spoločnosti, vplyvy na služby verejnej správy pre občana a vplyvy na manželstvo, rodičovstvo a rodinu</w:t>
      </w:r>
      <w:r w:rsidRPr="00726F8D">
        <w:rPr>
          <w:rStyle w:val="Zstupntext"/>
          <w:color w:val="000000"/>
          <w:sz w:val="24"/>
          <w:szCs w:val="24"/>
        </w:rPr>
        <w:t>.</w:t>
      </w:r>
    </w:p>
    <w:p w:rsidR="00726F8D" w:rsidRPr="00726F8D" w:rsidRDefault="00726F8D" w:rsidP="00726F8D">
      <w:pPr>
        <w:spacing w:after="0" w:line="240" w:lineRule="auto"/>
        <w:rPr>
          <w:rFonts w:ascii="Times New Roman" w:hAnsi="Times New Roman"/>
          <w:sz w:val="24"/>
          <w:szCs w:val="24"/>
        </w:rPr>
      </w:pPr>
    </w:p>
    <w:p w:rsidR="00726F8D" w:rsidRPr="00726F8D" w:rsidRDefault="00726F8D" w:rsidP="00726F8D">
      <w:pPr>
        <w:spacing w:after="0" w:line="240" w:lineRule="auto"/>
        <w:ind w:firstLine="708"/>
        <w:jc w:val="both"/>
        <w:rPr>
          <w:rFonts w:ascii="Times New Roman" w:hAnsi="Times New Roman"/>
          <w:sz w:val="24"/>
          <w:szCs w:val="24"/>
        </w:rPr>
      </w:pPr>
      <w:r w:rsidRPr="00726F8D">
        <w:rPr>
          <w:rFonts w:ascii="Times New Roman" w:hAnsi="Times New Roman"/>
          <w:sz w:val="24"/>
          <w:szCs w:val="24"/>
        </w:rPr>
        <w:t xml:space="preserve">Navrhuje sa delená účinnosť, tak aby tie novelizačné články a novelizačne body, ktoré sa týkajú vytvorenia právneho rámca a zabezpečenia inštitucionálneho zázemia pre podpredsedu vlády Slovenskej republiky nadobudli účinnosť dňom vyhlásenie. </w:t>
      </w:r>
    </w:p>
    <w:p w:rsidR="00726F8D" w:rsidRPr="00726F8D" w:rsidRDefault="00726F8D" w:rsidP="00726F8D">
      <w:pPr>
        <w:spacing w:after="0" w:line="240" w:lineRule="auto"/>
        <w:ind w:firstLine="708"/>
        <w:jc w:val="both"/>
        <w:rPr>
          <w:rFonts w:ascii="Times New Roman" w:hAnsi="Times New Roman"/>
          <w:sz w:val="24"/>
          <w:szCs w:val="24"/>
        </w:rPr>
      </w:pPr>
      <w:r w:rsidRPr="00726F8D">
        <w:rPr>
          <w:rFonts w:ascii="Times New Roman" w:hAnsi="Times New Roman"/>
          <w:sz w:val="24"/>
          <w:szCs w:val="24"/>
        </w:rPr>
        <w:t>Navrhovaná účinnosť 1. júla 2020 sa navrhuje pre prechod pôsobnosti zanikajúceho Úradu podpredsedu vlády Slovenskej republiky pre investície a informatizáciu na vznikajúce Ministerstvo investícií, regionálneho rozvoja a informatizácie Slovenskej republiky ako právneho nástupcu uvedeného úradu a pre prechod vydávania Zbierky zákonov Slovenskej republiky a správy a prevádzky Slov-</w:t>
      </w:r>
      <w:proofErr w:type="spellStart"/>
      <w:r w:rsidRPr="00726F8D">
        <w:rPr>
          <w:rFonts w:ascii="Times New Roman" w:hAnsi="Times New Roman"/>
          <w:sz w:val="24"/>
          <w:szCs w:val="24"/>
        </w:rPr>
        <w:t>Lexu</w:t>
      </w:r>
      <w:proofErr w:type="spellEnd"/>
      <w:r w:rsidRPr="00726F8D">
        <w:rPr>
          <w:rFonts w:ascii="Times New Roman" w:hAnsi="Times New Roman"/>
          <w:sz w:val="24"/>
          <w:szCs w:val="24"/>
        </w:rPr>
        <w:t xml:space="preserve"> z Ministerstva spravodlivosti Slovenskej republiky na Úrad vlády Slovenskej republiky a prechod zabezpečovania legislatívnych činností ostatných ústredných orgánov štátnej úpravy na Úrad vlády Slovenskej republiky vzhľadom na potrebu zabezpečiť dostatočný čas na uskutočnenie súvisiacich administratívnych procesov.</w:t>
      </w:r>
    </w:p>
    <w:p w:rsidR="00726F8D" w:rsidRPr="00726F8D" w:rsidRDefault="00726F8D" w:rsidP="00726F8D">
      <w:pPr>
        <w:spacing w:after="0" w:line="240" w:lineRule="auto"/>
        <w:ind w:firstLine="708"/>
        <w:jc w:val="both"/>
        <w:rPr>
          <w:rFonts w:ascii="Times New Roman" w:hAnsi="Times New Roman"/>
          <w:sz w:val="24"/>
          <w:szCs w:val="24"/>
        </w:rPr>
      </w:pPr>
      <w:r w:rsidRPr="00726F8D">
        <w:rPr>
          <w:rFonts w:ascii="Times New Roman" w:hAnsi="Times New Roman"/>
          <w:sz w:val="24"/>
          <w:szCs w:val="24"/>
        </w:rPr>
        <w:t>Navrhovaná účinnosť 1. októbra 2020 sa navrhuje pre prechod pôsobnosti v oblasti regionálneho rozvoja z Ministerstva pôdohospodárstva a rozvoja vidieka Slovenskej republiky na vznikajúce Ministerstvo investícií, regionálneho rozvoja a informatizácie Slovenskej republiky vzhľadom na potrebu zabezpečiť dostatočný čas na uskutočnenie administratívnych procesov súvisiacich s výkonom tejto kompetencie.</w:t>
      </w:r>
    </w:p>
    <w:p w:rsidR="00726F8D" w:rsidRPr="00726F8D" w:rsidRDefault="00726F8D" w:rsidP="00726F8D">
      <w:pPr>
        <w:spacing w:after="0" w:line="240" w:lineRule="auto"/>
        <w:jc w:val="both"/>
        <w:rPr>
          <w:rFonts w:ascii="Times New Roman" w:hAnsi="Times New Roman"/>
          <w:sz w:val="24"/>
          <w:szCs w:val="24"/>
        </w:rPr>
      </w:pPr>
    </w:p>
    <w:p w:rsidR="00726F8D" w:rsidRPr="00726F8D" w:rsidRDefault="00726F8D" w:rsidP="00726F8D">
      <w:pPr>
        <w:spacing w:after="0" w:line="240" w:lineRule="auto"/>
        <w:ind w:firstLine="708"/>
        <w:jc w:val="both"/>
        <w:rPr>
          <w:rFonts w:ascii="Times New Roman" w:hAnsi="Times New Roman"/>
          <w:color w:val="000000"/>
          <w:sz w:val="24"/>
          <w:szCs w:val="24"/>
        </w:rPr>
      </w:pPr>
      <w:r w:rsidRPr="00726F8D">
        <w:rPr>
          <w:rFonts w:ascii="Times New Roman" w:hAnsi="Times New Roman"/>
          <w:sz w:val="24"/>
          <w:szCs w:val="24"/>
        </w:rPr>
        <w:t>Návrh zákona sa predkladá podľa § 27 zákona č. 400/2015 Z. z. o tvorbe právnych predpisov a o Zbierke zákonov Slovenskej republiky a o zmene a doplnení niektorých zákonov. Z uvedeného dôvodu nebol návrh zákona predmetom medzirezortného pripomienkového konania.</w:t>
      </w:r>
    </w:p>
    <w:p w:rsidR="00AF2BA2" w:rsidRPr="00726F8D" w:rsidRDefault="00AF2BA2" w:rsidP="00726F8D">
      <w:pPr>
        <w:spacing w:after="0" w:line="240" w:lineRule="auto"/>
        <w:rPr>
          <w:rFonts w:ascii="Times New Roman" w:hAnsi="Times New Roman"/>
          <w:sz w:val="24"/>
          <w:szCs w:val="24"/>
        </w:rPr>
      </w:pPr>
    </w:p>
    <w:p w:rsidR="00C573B8" w:rsidRPr="00726F8D" w:rsidRDefault="00C573B8" w:rsidP="00726F8D">
      <w:pPr>
        <w:spacing w:after="0" w:line="240" w:lineRule="auto"/>
        <w:rPr>
          <w:rFonts w:ascii="Times New Roman" w:hAnsi="Times New Roman"/>
          <w:sz w:val="24"/>
          <w:szCs w:val="24"/>
        </w:rPr>
      </w:pPr>
    </w:p>
    <w:p w:rsidR="008E305A" w:rsidRPr="00726F8D" w:rsidRDefault="008E305A" w:rsidP="00726F8D">
      <w:pPr>
        <w:spacing w:after="0" w:line="240" w:lineRule="auto"/>
        <w:rPr>
          <w:rFonts w:ascii="Times New Roman" w:hAnsi="Times New Roman"/>
          <w:sz w:val="24"/>
          <w:szCs w:val="24"/>
        </w:rPr>
      </w:pPr>
    </w:p>
    <w:p w:rsidR="008E305A" w:rsidRPr="00726F8D" w:rsidRDefault="008E305A" w:rsidP="00726F8D">
      <w:pPr>
        <w:spacing w:after="0" w:line="240" w:lineRule="auto"/>
        <w:rPr>
          <w:rFonts w:ascii="Times New Roman" w:hAnsi="Times New Roman"/>
          <w:color w:val="000000" w:themeColor="text1"/>
          <w:sz w:val="24"/>
          <w:szCs w:val="24"/>
        </w:rPr>
      </w:pPr>
    </w:p>
    <w:p w:rsidR="008E305A" w:rsidRPr="00726F8D" w:rsidRDefault="008E305A" w:rsidP="00726F8D">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0F2071" w:rsidRDefault="000F2071"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8E305A" w:rsidRDefault="008E305A" w:rsidP="008E305A">
      <w:pPr>
        <w:spacing w:after="0" w:line="240" w:lineRule="auto"/>
        <w:rPr>
          <w:rFonts w:ascii="Times New Roman" w:hAnsi="Times New Roman"/>
          <w:color w:val="000000" w:themeColor="text1"/>
          <w:sz w:val="24"/>
          <w:szCs w:val="24"/>
        </w:rPr>
      </w:pPr>
    </w:p>
    <w:p w:rsidR="00726F8D" w:rsidRPr="00726F8D" w:rsidRDefault="00726F8D" w:rsidP="00726F8D">
      <w:pPr>
        <w:widowControl w:val="0"/>
        <w:spacing w:after="0" w:line="240" w:lineRule="auto"/>
        <w:jc w:val="center"/>
        <w:rPr>
          <w:rFonts w:ascii="Times New Roman" w:hAnsi="Times New Roman"/>
          <w:b/>
          <w:bCs/>
          <w:sz w:val="24"/>
          <w:szCs w:val="24"/>
        </w:rPr>
      </w:pPr>
      <w:r w:rsidRPr="00726F8D">
        <w:rPr>
          <w:rFonts w:ascii="Times New Roman" w:hAnsi="Times New Roman"/>
          <w:b/>
          <w:sz w:val="24"/>
          <w:szCs w:val="24"/>
        </w:rPr>
        <w:lastRenderedPageBreak/>
        <w:t>DOLOŽKA ZLUČITEĽNOSTI</w:t>
      </w:r>
    </w:p>
    <w:p w:rsidR="00726F8D" w:rsidRPr="00726F8D" w:rsidRDefault="00726F8D" w:rsidP="00726F8D">
      <w:pPr>
        <w:widowControl w:val="0"/>
        <w:spacing w:after="0" w:line="240" w:lineRule="auto"/>
        <w:jc w:val="center"/>
        <w:rPr>
          <w:rFonts w:ascii="Times New Roman" w:hAnsi="Times New Roman"/>
          <w:sz w:val="24"/>
          <w:szCs w:val="24"/>
        </w:rPr>
      </w:pPr>
      <w:r w:rsidRPr="00726F8D">
        <w:rPr>
          <w:rFonts w:ascii="Times New Roman" w:hAnsi="Times New Roman"/>
          <w:b/>
          <w:bCs/>
          <w:sz w:val="24"/>
          <w:szCs w:val="24"/>
        </w:rPr>
        <w:t>návrhu zákona s právom Európskej únie</w:t>
      </w:r>
    </w:p>
    <w:p w:rsidR="00726F8D" w:rsidRPr="00726F8D" w:rsidRDefault="00726F8D" w:rsidP="00726F8D">
      <w:pPr>
        <w:widowControl w:val="0"/>
        <w:spacing w:before="120" w:after="0" w:line="240" w:lineRule="auto"/>
        <w:rPr>
          <w:rFonts w:ascii="Times New Roman" w:hAnsi="Times New Roman"/>
          <w:sz w:val="24"/>
          <w:szCs w:val="24"/>
        </w:rPr>
      </w:pPr>
    </w:p>
    <w:p w:rsidR="00726F8D" w:rsidRPr="00726F8D" w:rsidRDefault="00726F8D" w:rsidP="00726F8D">
      <w:pPr>
        <w:widowControl w:val="0"/>
        <w:spacing w:after="0" w:line="240" w:lineRule="auto"/>
        <w:ind w:left="340" w:hanging="340"/>
        <w:jc w:val="both"/>
        <w:rPr>
          <w:rFonts w:ascii="Times New Roman" w:hAnsi="Times New Roman"/>
          <w:sz w:val="24"/>
          <w:szCs w:val="24"/>
        </w:rPr>
      </w:pPr>
      <w:r w:rsidRPr="00726F8D">
        <w:rPr>
          <w:rFonts w:ascii="Times New Roman" w:hAnsi="Times New Roman"/>
          <w:sz w:val="24"/>
          <w:szCs w:val="24"/>
        </w:rPr>
        <w:t>1.</w:t>
      </w:r>
      <w:r w:rsidRPr="00726F8D">
        <w:rPr>
          <w:rFonts w:ascii="Times New Roman" w:hAnsi="Times New Roman"/>
          <w:sz w:val="24"/>
          <w:szCs w:val="24"/>
        </w:rPr>
        <w:tab/>
      </w:r>
      <w:r w:rsidRPr="00726F8D">
        <w:rPr>
          <w:rFonts w:ascii="Times New Roman" w:hAnsi="Times New Roman"/>
          <w:b/>
          <w:sz w:val="24"/>
          <w:szCs w:val="24"/>
        </w:rPr>
        <w:t>Navrhovateľ zákona:</w:t>
      </w:r>
      <w:r w:rsidRPr="00726F8D">
        <w:rPr>
          <w:rFonts w:ascii="Times New Roman" w:hAnsi="Times New Roman"/>
          <w:sz w:val="24"/>
          <w:szCs w:val="24"/>
        </w:rPr>
        <w:t xml:space="preserve"> podpredseda vlády Slovenskej republiky.</w:t>
      </w:r>
    </w:p>
    <w:p w:rsidR="00726F8D" w:rsidRPr="00726F8D" w:rsidRDefault="00726F8D" w:rsidP="00726F8D">
      <w:pPr>
        <w:widowControl w:val="0"/>
        <w:spacing w:after="0" w:line="240" w:lineRule="auto"/>
        <w:jc w:val="both"/>
        <w:rPr>
          <w:rFonts w:ascii="Times New Roman" w:hAnsi="Times New Roman"/>
          <w:sz w:val="24"/>
          <w:szCs w:val="24"/>
        </w:rPr>
      </w:pPr>
    </w:p>
    <w:p w:rsidR="00726F8D" w:rsidRPr="00726F8D" w:rsidRDefault="00726F8D" w:rsidP="00726F8D">
      <w:pPr>
        <w:widowControl w:val="0"/>
        <w:spacing w:after="0" w:line="240" w:lineRule="auto"/>
        <w:ind w:left="340" w:hanging="340"/>
        <w:jc w:val="both"/>
        <w:rPr>
          <w:rFonts w:ascii="Times New Roman" w:hAnsi="Times New Roman"/>
          <w:sz w:val="24"/>
          <w:szCs w:val="24"/>
        </w:rPr>
      </w:pPr>
      <w:r w:rsidRPr="00726F8D">
        <w:rPr>
          <w:rFonts w:ascii="Times New Roman" w:hAnsi="Times New Roman"/>
          <w:sz w:val="24"/>
          <w:szCs w:val="24"/>
        </w:rPr>
        <w:t>2.</w:t>
      </w:r>
      <w:r w:rsidRPr="00726F8D">
        <w:rPr>
          <w:rFonts w:ascii="Times New Roman" w:hAnsi="Times New Roman"/>
          <w:sz w:val="24"/>
          <w:szCs w:val="24"/>
        </w:rPr>
        <w:tab/>
      </w:r>
      <w:r w:rsidRPr="00726F8D">
        <w:rPr>
          <w:rFonts w:ascii="Times New Roman" w:hAnsi="Times New Roman"/>
          <w:b/>
          <w:sz w:val="24"/>
          <w:szCs w:val="24"/>
        </w:rPr>
        <w:t xml:space="preserve">Názov návrhu zákona: </w:t>
      </w:r>
      <w:r w:rsidRPr="00726F8D">
        <w:rPr>
          <w:rFonts w:ascii="Times New Roman" w:hAnsi="Times New Roman"/>
          <w:sz w:val="24"/>
          <w:szCs w:val="24"/>
        </w:rPr>
        <w:t>zákon, ktorým sa mení a dopĺňa zákon č. 575/2001 Z. z. o organizácii činnosti vlády a organizácii ústrednej štátnej správy v znení neskorších predpisov a ktorým sa menia a dopĺňajú niektoré zákony.</w:t>
      </w:r>
    </w:p>
    <w:p w:rsidR="00726F8D" w:rsidRPr="00726F8D" w:rsidRDefault="00726F8D" w:rsidP="00726F8D">
      <w:pPr>
        <w:widowControl w:val="0"/>
        <w:spacing w:after="0" w:line="240" w:lineRule="auto"/>
        <w:ind w:left="340" w:hanging="340"/>
        <w:jc w:val="both"/>
        <w:rPr>
          <w:rFonts w:ascii="Times New Roman" w:hAnsi="Times New Roman"/>
          <w:sz w:val="24"/>
          <w:szCs w:val="24"/>
        </w:rPr>
      </w:pPr>
    </w:p>
    <w:p w:rsidR="00726F8D" w:rsidRPr="00726F8D" w:rsidRDefault="00726F8D" w:rsidP="00726F8D">
      <w:pPr>
        <w:widowControl w:val="0"/>
        <w:spacing w:after="0" w:line="240" w:lineRule="auto"/>
        <w:ind w:left="340" w:hanging="340"/>
        <w:jc w:val="both"/>
        <w:rPr>
          <w:rFonts w:ascii="Times New Roman" w:hAnsi="Times New Roman"/>
          <w:sz w:val="24"/>
          <w:szCs w:val="24"/>
        </w:rPr>
      </w:pPr>
      <w:r w:rsidRPr="00726F8D">
        <w:rPr>
          <w:rFonts w:ascii="Times New Roman" w:hAnsi="Times New Roman"/>
          <w:sz w:val="24"/>
          <w:szCs w:val="24"/>
        </w:rPr>
        <w:t>3.</w:t>
      </w:r>
      <w:r w:rsidRPr="00726F8D">
        <w:rPr>
          <w:rFonts w:ascii="Times New Roman" w:hAnsi="Times New Roman"/>
          <w:sz w:val="24"/>
          <w:szCs w:val="24"/>
        </w:rPr>
        <w:tab/>
      </w:r>
      <w:r w:rsidRPr="00726F8D">
        <w:rPr>
          <w:rFonts w:ascii="Times New Roman" w:hAnsi="Times New Roman"/>
          <w:b/>
          <w:sz w:val="24"/>
          <w:szCs w:val="24"/>
        </w:rPr>
        <w:t>Predmet návrhu zákona:</w:t>
      </w:r>
    </w:p>
    <w:p w:rsidR="00726F8D" w:rsidRPr="00726F8D" w:rsidRDefault="00726F8D" w:rsidP="00726F8D">
      <w:pPr>
        <w:spacing w:after="0" w:line="240" w:lineRule="auto"/>
        <w:rPr>
          <w:rFonts w:ascii="Times New Roman" w:hAnsi="Times New Roman"/>
          <w:b/>
          <w:sz w:val="24"/>
          <w:szCs w:val="24"/>
        </w:rPr>
      </w:pPr>
    </w:p>
    <w:p w:rsidR="00726F8D" w:rsidRPr="00726F8D" w:rsidRDefault="00726F8D" w:rsidP="00726F8D">
      <w:pPr>
        <w:spacing w:after="0" w:line="240" w:lineRule="auto"/>
        <w:ind w:left="709" w:hanging="349"/>
        <w:rPr>
          <w:rFonts w:ascii="Times New Roman" w:hAnsi="Times New Roman"/>
          <w:sz w:val="24"/>
          <w:szCs w:val="24"/>
        </w:rPr>
      </w:pPr>
      <w:r w:rsidRPr="00726F8D">
        <w:rPr>
          <w:rFonts w:ascii="Times New Roman" w:hAnsi="Times New Roman"/>
          <w:sz w:val="24"/>
          <w:szCs w:val="24"/>
        </w:rPr>
        <w:t>a)</w:t>
      </w:r>
      <w:r w:rsidRPr="00726F8D">
        <w:rPr>
          <w:rFonts w:ascii="Times New Roman" w:hAnsi="Times New Roman"/>
          <w:sz w:val="24"/>
          <w:szCs w:val="24"/>
        </w:rPr>
        <w:tab/>
        <w:t>je upravená v práve Európskej únie</w:t>
      </w:r>
    </w:p>
    <w:p w:rsidR="00726F8D" w:rsidRPr="00726F8D" w:rsidRDefault="00726F8D" w:rsidP="00726F8D">
      <w:pPr>
        <w:tabs>
          <w:tab w:val="left" w:pos="1068"/>
        </w:tabs>
        <w:spacing w:after="0" w:line="240" w:lineRule="auto"/>
        <w:ind w:left="879" w:hanging="171"/>
        <w:rPr>
          <w:rFonts w:ascii="Times New Roman" w:hAnsi="Times New Roman"/>
          <w:i/>
          <w:sz w:val="24"/>
          <w:szCs w:val="24"/>
        </w:rPr>
      </w:pPr>
      <w:r w:rsidRPr="00726F8D">
        <w:rPr>
          <w:rFonts w:ascii="Times New Roman" w:hAnsi="Times New Roman"/>
          <w:sz w:val="24"/>
          <w:szCs w:val="24"/>
        </w:rPr>
        <w:t>-</w:t>
      </w:r>
      <w:r w:rsidRPr="00726F8D">
        <w:rPr>
          <w:rFonts w:ascii="Times New Roman" w:hAnsi="Times New Roman"/>
          <w:sz w:val="24"/>
          <w:szCs w:val="24"/>
        </w:rPr>
        <w:tab/>
      </w:r>
      <w:r w:rsidRPr="00726F8D">
        <w:rPr>
          <w:rFonts w:ascii="Times New Roman" w:hAnsi="Times New Roman"/>
          <w:i/>
          <w:sz w:val="24"/>
          <w:szCs w:val="24"/>
        </w:rPr>
        <w:t>primárnom</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Zmluva o fungovaní Európskej únie, najmä články 38 až 44, 162 až 164, 174 až 178, 320 až 324, 325 a 349.  </w:t>
      </w:r>
    </w:p>
    <w:p w:rsidR="00726F8D" w:rsidRPr="00726F8D" w:rsidRDefault="00726F8D" w:rsidP="00726F8D">
      <w:pPr>
        <w:tabs>
          <w:tab w:val="left" w:pos="1068"/>
        </w:tabs>
        <w:spacing w:after="0" w:line="240" w:lineRule="auto"/>
        <w:ind w:left="879" w:hanging="171"/>
        <w:jc w:val="both"/>
        <w:rPr>
          <w:rFonts w:ascii="Times New Roman" w:hAnsi="Times New Roman"/>
          <w:i/>
          <w:sz w:val="24"/>
          <w:szCs w:val="24"/>
        </w:rPr>
      </w:pPr>
      <w:r w:rsidRPr="00726F8D">
        <w:rPr>
          <w:rFonts w:ascii="Times New Roman" w:hAnsi="Times New Roman"/>
          <w:sz w:val="24"/>
          <w:szCs w:val="24"/>
        </w:rPr>
        <w:t>-</w:t>
      </w:r>
      <w:r w:rsidRPr="00726F8D">
        <w:rPr>
          <w:rFonts w:ascii="Times New Roman" w:hAnsi="Times New Roman"/>
          <w:sz w:val="24"/>
          <w:szCs w:val="24"/>
        </w:rPr>
        <w:tab/>
      </w:r>
      <w:r w:rsidRPr="00726F8D">
        <w:rPr>
          <w:rFonts w:ascii="Times New Roman" w:hAnsi="Times New Roman"/>
          <w:i/>
          <w:sz w:val="24"/>
          <w:szCs w:val="24"/>
        </w:rPr>
        <w:t>sekundárnom (prijatom po nadobudnutím platnosti Lisabonskej zmluvy, ktorou sa mení a dopĺňa Zmluva o Európskom spoločenstve a Zmluva o Európskej únii – po 30. novembri 2009)</w:t>
      </w:r>
    </w:p>
    <w:p w:rsidR="00726F8D" w:rsidRPr="00726F8D" w:rsidRDefault="00726F8D" w:rsidP="00726F8D">
      <w:pPr>
        <w:tabs>
          <w:tab w:val="left" w:pos="1068"/>
        </w:tabs>
        <w:spacing w:after="0" w:line="240" w:lineRule="auto"/>
        <w:ind w:left="879" w:hanging="171"/>
        <w:rPr>
          <w:rFonts w:ascii="Times New Roman" w:hAnsi="Times New Roman"/>
          <w:i/>
          <w:sz w:val="24"/>
          <w:szCs w:val="24"/>
        </w:rPr>
      </w:pPr>
    </w:p>
    <w:p w:rsidR="00726F8D" w:rsidRPr="00726F8D" w:rsidRDefault="00726F8D" w:rsidP="00726F8D">
      <w:pPr>
        <w:spacing w:after="0" w:line="240" w:lineRule="auto"/>
        <w:ind w:left="1239" w:hanging="360"/>
        <w:rPr>
          <w:rFonts w:ascii="Times New Roman" w:hAnsi="Times New Roman"/>
          <w:i/>
          <w:sz w:val="24"/>
          <w:szCs w:val="24"/>
        </w:rPr>
      </w:pPr>
      <w:r w:rsidRPr="00726F8D">
        <w:rPr>
          <w:rFonts w:ascii="Times New Roman" w:hAnsi="Times New Roman"/>
          <w:sz w:val="24"/>
          <w:szCs w:val="24"/>
        </w:rPr>
        <w:t>1.</w:t>
      </w:r>
      <w:r w:rsidRPr="00726F8D">
        <w:rPr>
          <w:rFonts w:ascii="Times New Roman" w:hAnsi="Times New Roman"/>
          <w:sz w:val="24"/>
          <w:szCs w:val="24"/>
        </w:rPr>
        <w:tab/>
        <w:t xml:space="preserve">legislatívne akty </w:t>
      </w:r>
    </w:p>
    <w:p w:rsidR="00726F8D" w:rsidRPr="00726F8D" w:rsidRDefault="00726F8D" w:rsidP="00726F8D">
      <w:pPr>
        <w:spacing w:after="0" w:line="240" w:lineRule="auto"/>
        <w:ind w:firstLine="360"/>
        <w:rPr>
          <w:rFonts w:ascii="Times New Roman" w:hAnsi="Times New Roman"/>
          <w:sz w:val="24"/>
          <w:szCs w:val="24"/>
        </w:rPr>
      </w:pP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 xml:space="preserve">Nariadenie Európskeho parlamentu a Rady (EÚ) č. 1301/2013 zo 17. decembra 2013 o Európskom fonde regionálneho rozvoja a o osobitných ustanoveniach týkajúcich sa cieľa Investovanie do rastu a zamestnanosti, a ktorým sa zrušuje nariadenie (ES) č. 1080/2006. </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Nariadenie Európskeho parlamentu a Rady (EÚ) č. 1304/2013 z 17. decembri 2013 o Európskom sociálnom fonde a o zrušení nariadenia Rady (ES) č. 1081/2006.</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Nariadenie Európskeho parlamentu a Rady (EÚ) č. 1300/2013 zo 17. decembra 2013 o Kohéznom fonde, ktorým sa zrušuje nariadenie Rady (ES) č. 1084/2006.</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Nariadenie Európskeho parlamentu a Rady (EÚ) č. 1305/2013 zo 17. decembra 2013 o podpore rozvoja vidieka prostredníctvom Európskeho poľnohospodárskeho fondu pre rozvoj vidieka (EPFRV) a o zrušení nariadenia Rady (ES) č. 1698/2005.</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Nariadenie Európskeho parlamentu a Rady (EÚ) č. 508/2014 z 15.mája 2014 o Európskom námornom a rybárskom fonde, ktorým sa zrušujú nariadenia Rady (ES) č. 2328/2003, (ES) č. 861/2006, (ES) č. 1198/2006 a (ES) č. 791/2007 a nariadenie Európskeho parlamentu a Rady (EÚ) č.1255/2011.</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Nariadenie Európskeho parlamentu a Rady (EÚ) č. 1299/2013 z 17. decembra 2013 o osobitných ustanoveniach na podporu cieľa Európska územná spolupráca z Európskeho fondu regionálneho rozvoja.</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Nariadenie Európskeho parlamentu a Rady (EÚ) č. 1302/2013 zo 17. decembra 2013, ktorým sa mení nariadenie (ES) č. 1082/2006 o Európskom zoskupení územnej spolupráce (EZÚS), pokiaľ ide o vyjasnenie, zjednodušenie a zlepšenie zakladania a fungovania takýchto zoskupení.</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lastRenderedPageBreak/>
        <w:t>Nariadenie Európskeho parlamentu a Rady (EÚ) č. 1306/2013 zo 17. decembra 2013 o financovaní, riadení a monitorovaní spoločnej poľnohospodárskej politiky a ktorým sa zrušujú nariadenia Rady (EHS) č. 352/78, (ES) č. 165/94, (ES) č. 2799/98, (ES) č. 814/2000, (ES) č. 1290/2005 a (ES) č. 485/2008.</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 xml:space="preserve">Nariadenie Európskeho parlamentu a Rady (EÚ, </w:t>
      </w:r>
      <w:proofErr w:type="spellStart"/>
      <w:r w:rsidRPr="00726F8D">
        <w:rPr>
          <w:rFonts w:ascii="Times New Roman" w:hAnsi="Times New Roman"/>
          <w:sz w:val="24"/>
          <w:szCs w:val="24"/>
        </w:rPr>
        <w:t>Euratom</w:t>
      </w:r>
      <w:proofErr w:type="spellEnd"/>
      <w:r w:rsidRPr="00726F8D">
        <w:rPr>
          <w:rFonts w:ascii="Times New Roman" w:hAnsi="Times New Roman"/>
          <w:sz w:val="24"/>
          <w:szCs w:val="24"/>
        </w:rPr>
        <w:t xml:space="preserve">) č. 966/2012 z 25. októbra 2012, o rozpočtových pravidlách, ktoré sa vzťahujú na všeobecný rozpočet Únie, a zrušení nariadenia Rady (ES, </w:t>
      </w:r>
      <w:proofErr w:type="spellStart"/>
      <w:r w:rsidRPr="00726F8D">
        <w:rPr>
          <w:rFonts w:ascii="Times New Roman" w:hAnsi="Times New Roman"/>
          <w:sz w:val="24"/>
          <w:szCs w:val="24"/>
        </w:rPr>
        <w:t>Euratom</w:t>
      </w:r>
      <w:proofErr w:type="spellEnd"/>
      <w:r w:rsidRPr="00726F8D">
        <w:rPr>
          <w:rFonts w:ascii="Times New Roman" w:hAnsi="Times New Roman"/>
          <w:sz w:val="24"/>
          <w:szCs w:val="24"/>
        </w:rPr>
        <w:t>) č. 1605/2002.</w:t>
      </w:r>
    </w:p>
    <w:p w:rsidR="00726F8D" w:rsidRPr="00726F8D" w:rsidRDefault="00726F8D" w:rsidP="00726F8D">
      <w:pPr>
        <w:spacing w:after="0" w:line="240" w:lineRule="auto"/>
        <w:ind w:left="851"/>
        <w:jc w:val="both"/>
        <w:rPr>
          <w:rFonts w:ascii="Times New Roman" w:hAnsi="Times New Roman"/>
          <w:sz w:val="24"/>
          <w:szCs w:val="24"/>
        </w:rPr>
      </w:pPr>
      <w:r w:rsidRPr="00726F8D">
        <w:rPr>
          <w:rFonts w:ascii="Times New Roman" w:hAnsi="Times New Roman"/>
          <w:sz w:val="24"/>
          <w:szCs w:val="24"/>
        </w:rPr>
        <w:t>Nariadenie Európskeho parlamentu a Rady (ES) č. 1082/2006 z 5. júla 2006 o Európskom zoskupení územnej spolupráce (EZÚS).</w:t>
      </w:r>
    </w:p>
    <w:p w:rsidR="00726F8D" w:rsidRPr="00726F8D" w:rsidRDefault="00726F8D" w:rsidP="00726F8D">
      <w:pPr>
        <w:spacing w:after="0" w:line="240" w:lineRule="auto"/>
        <w:ind w:left="851"/>
        <w:rPr>
          <w:rFonts w:ascii="Times New Roman" w:hAnsi="Times New Roman"/>
          <w:sz w:val="24"/>
          <w:szCs w:val="24"/>
        </w:rPr>
      </w:pPr>
    </w:p>
    <w:p w:rsidR="00726F8D" w:rsidRPr="00726F8D" w:rsidRDefault="00726F8D" w:rsidP="00726F8D">
      <w:pPr>
        <w:spacing w:after="0" w:line="240" w:lineRule="auto"/>
        <w:ind w:left="1239" w:hanging="360"/>
        <w:jc w:val="both"/>
        <w:rPr>
          <w:rFonts w:ascii="Times New Roman" w:hAnsi="Times New Roman"/>
          <w:i/>
          <w:sz w:val="24"/>
          <w:szCs w:val="24"/>
        </w:rPr>
      </w:pPr>
      <w:r w:rsidRPr="00726F8D">
        <w:rPr>
          <w:rFonts w:ascii="Times New Roman" w:hAnsi="Times New Roman"/>
          <w:sz w:val="24"/>
          <w:szCs w:val="24"/>
        </w:rPr>
        <w:t>2.</w:t>
      </w:r>
      <w:r w:rsidRPr="00726F8D">
        <w:rPr>
          <w:rFonts w:ascii="Times New Roman" w:hAnsi="Times New Roman"/>
          <w:sz w:val="24"/>
          <w:szCs w:val="24"/>
        </w:rPr>
        <w:tab/>
        <w:t>nelegislatívne akty</w:t>
      </w:r>
    </w:p>
    <w:p w:rsidR="00726F8D" w:rsidRPr="00726F8D" w:rsidRDefault="00726F8D" w:rsidP="00726F8D">
      <w:pPr>
        <w:spacing w:after="0" w:line="240" w:lineRule="auto"/>
        <w:ind w:firstLine="708"/>
        <w:jc w:val="both"/>
        <w:rPr>
          <w:rFonts w:ascii="Times New Roman" w:hAnsi="Times New Roman"/>
          <w:sz w:val="24"/>
          <w:szCs w:val="24"/>
        </w:rPr>
      </w:pPr>
      <w:r w:rsidRPr="00726F8D">
        <w:rPr>
          <w:rFonts w:ascii="Times New Roman" w:hAnsi="Times New Roman"/>
          <w:sz w:val="24"/>
          <w:szCs w:val="24"/>
        </w:rPr>
        <w:t xml:space="preserve"> </w:t>
      </w:r>
    </w:p>
    <w:tbl>
      <w:tblPr>
        <w:tblW w:w="0" w:type="auto"/>
        <w:tblInd w:w="918" w:type="dxa"/>
        <w:tblLayout w:type="fixed"/>
        <w:tblLook w:val="04A0" w:firstRow="1" w:lastRow="0" w:firstColumn="1" w:lastColumn="0" w:noHBand="0" w:noVBand="1"/>
      </w:tblPr>
      <w:tblGrid>
        <w:gridCol w:w="8658"/>
      </w:tblGrid>
      <w:tr w:rsidR="00726F8D" w:rsidRPr="00726F8D" w:rsidTr="00875F34">
        <w:tc>
          <w:tcPr>
            <w:tcW w:w="8658" w:type="dxa"/>
            <w:hideMark/>
          </w:tcPr>
          <w:p w:rsidR="00726F8D" w:rsidRPr="00726F8D" w:rsidRDefault="00726F8D" w:rsidP="00726F8D">
            <w:pPr>
              <w:spacing w:after="0" w:line="240" w:lineRule="auto"/>
              <w:jc w:val="both"/>
              <w:rPr>
                <w:rFonts w:ascii="Times New Roman" w:hAnsi="Times New Roman"/>
                <w:sz w:val="24"/>
                <w:szCs w:val="24"/>
              </w:rPr>
            </w:pPr>
            <w:r w:rsidRPr="00726F8D">
              <w:rPr>
                <w:rFonts w:ascii="Times New Roman" w:hAnsi="Times New Roman"/>
                <w:sz w:val="24"/>
                <w:szCs w:val="24"/>
              </w:rPr>
              <w:t>Vykonávacie nariadenie Komisie (EÚ) č. 215/2014 zo 7. marca 2014,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w:t>
            </w:r>
          </w:p>
        </w:tc>
      </w:tr>
    </w:tbl>
    <w:p w:rsidR="00726F8D" w:rsidRPr="00726F8D" w:rsidRDefault="00726F8D" w:rsidP="00726F8D">
      <w:pPr>
        <w:spacing w:after="0" w:line="240" w:lineRule="auto"/>
        <w:ind w:firstLine="708"/>
        <w:jc w:val="both"/>
        <w:rPr>
          <w:rFonts w:ascii="Times New Roman" w:hAnsi="Times New Roman"/>
          <w:sz w:val="24"/>
          <w:szCs w:val="24"/>
        </w:rPr>
      </w:pPr>
    </w:p>
    <w:p w:rsidR="00726F8D" w:rsidRPr="00726F8D" w:rsidRDefault="00726F8D" w:rsidP="00726F8D">
      <w:pPr>
        <w:spacing w:after="0" w:line="240" w:lineRule="auto"/>
        <w:ind w:left="879" w:hanging="171"/>
        <w:jc w:val="both"/>
        <w:rPr>
          <w:rFonts w:ascii="Times New Roman" w:hAnsi="Times New Roman"/>
          <w:i/>
          <w:sz w:val="24"/>
          <w:szCs w:val="24"/>
        </w:rPr>
      </w:pPr>
      <w:r w:rsidRPr="00726F8D">
        <w:rPr>
          <w:rFonts w:ascii="Times New Roman" w:hAnsi="Times New Roman"/>
          <w:sz w:val="24"/>
          <w:szCs w:val="24"/>
        </w:rPr>
        <w:t>-</w:t>
      </w:r>
      <w:r w:rsidRPr="00726F8D">
        <w:rPr>
          <w:rFonts w:ascii="Times New Roman" w:hAnsi="Times New Roman"/>
          <w:sz w:val="24"/>
          <w:szCs w:val="24"/>
        </w:rPr>
        <w:tab/>
      </w:r>
      <w:r w:rsidRPr="00726F8D">
        <w:rPr>
          <w:rFonts w:ascii="Times New Roman" w:hAnsi="Times New Roman"/>
          <w:i/>
          <w:sz w:val="24"/>
          <w:szCs w:val="24"/>
        </w:rPr>
        <w:t>sekundárnom (prijatom pred nadobudnutím platnosti Lisabonskej zmluvy, ktorou sa mení a dopĺňa Zmluva o Európskom spoločenstve a Zmluva o Európskej únii – do 30. novembra 2009)</w:t>
      </w:r>
    </w:p>
    <w:tbl>
      <w:tblPr>
        <w:tblW w:w="0" w:type="auto"/>
        <w:tblInd w:w="918" w:type="dxa"/>
        <w:tblLayout w:type="fixed"/>
        <w:tblLook w:val="04A0" w:firstRow="1" w:lastRow="0" w:firstColumn="1" w:lastColumn="0" w:noHBand="0" w:noVBand="1"/>
      </w:tblPr>
      <w:tblGrid>
        <w:gridCol w:w="8658"/>
      </w:tblGrid>
      <w:tr w:rsidR="00726F8D" w:rsidRPr="00726F8D" w:rsidTr="00875F34">
        <w:tc>
          <w:tcPr>
            <w:tcW w:w="8658" w:type="dxa"/>
            <w:hideMark/>
          </w:tcPr>
          <w:p w:rsidR="00726F8D" w:rsidRPr="00726F8D" w:rsidRDefault="00726F8D" w:rsidP="00726F8D">
            <w:pPr>
              <w:spacing w:after="0" w:line="240" w:lineRule="auto"/>
              <w:jc w:val="both"/>
              <w:rPr>
                <w:rFonts w:ascii="Times New Roman" w:hAnsi="Times New Roman"/>
                <w:sz w:val="24"/>
                <w:szCs w:val="24"/>
              </w:rPr>
            </w:pPr>
            <w:r w:rsidRPr="00726F8D">
              <w:rPr>
                <w:rFonts w:ascii="Times New Roman" w:hAnsi="Times New Roman"/>
                <w:sz w:val="24"/>
                <w:szCs w:val="24"/>
              </w:rPr>
              <w:br/>
              <w:t>Rozhodnutie Rady z 25. júna 2007, ktorým sa zriaďuje Európsky fond pre integráciu štátnych príslušníkov tretích krajín na obdobie rokov 2007 až 2013 ako súčasť všeobecného programu Solidarita a riadenie migračných tokov (2007/435/ES) v platnom znení.</w:t>
            </w:r>
          </w:p>
          <w:p w:rsidR="00726F8D" w:rsidRPr="00726F8D" w:rsidRDefault="00726F8D" w:rsidP="00726F8D">
            <w:pPr>
              <w:spacing w:after="0" w:line="240" w:lineRule="auto"/>
              <w:jc w:val="both"/>
              <w:rPr>
                <w:rFonts w:ascii="Times New Roman" w:hAnsi="Times New Roman"/>
                <w:sz w:val="24"/>
                <w:szCs w:val="24"/>
              </w:rPr>
            </w:pPr>
            <w:r w:rsidRPr="00726F8D">
              <w:rPr>
                <w:rFonts w:ascii="Times New Roman" w:hAnsi="Times New Roman"/>
                <w:sz w:val="24"/>
                <w:szCs w:val="24"/>
              </w:rPr>
              <w:t>Nariadenie Komisie (ES) č. 1828/2006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v platnom znení.</w:t>
            </w:r>
          </w:p>
          <w:p w:rsidR="00726F8D" w:rsidRPr="00726F8D" w:rsidRDefault="00726F8D" w:rsidP="00726F8D">
            <w:pPr>
              <w:spacing w:after="0" w:line="240" w:lineRule="auto"/>
              <w:jc w:val="both"/>
              <w:rPr>
                <w:rFonts w:ascii="Times New Roman" w:hAnsi="Times New Roman"/>
                <w:sz w:val="24"/>
                <w:szCs w:val="24"/>
              </w:rPr>
            </w:pPr>
            <w:r w:rsidRPr="00726F8D">
              <w:rPr>
                <w:rFonts w:ascii="Times New Roman" w:hAnsi="Times New Roman"/>
                <w:sz w:val="24"/>
                <w:szCs w:val="24"/>
              </w:rPr>
              <w:t>Nariadenie Európskeho parlamentu a Rady (ES) č. 1082/2006 z 5. júla 2006 o Európskom zoskupení územnej spolupráce (EZÚS) v platnom znení.</w:t>
            </w:r>
          </w:p>
          <w:p w:rsidR="00726F8D" w:rsidRPr="00726F8D" w:rsidRDefault="00726F8D" w:rsidP="00726F8D">
            <w:pPr>
              <w:spacing w:after="0" w:line="240" w:lineRule="auto"/>
              <w:jc w:val="both"/>
              <w:rPr>
                <w:rFonts w:ascii="Times New Roman" w:hAnsi="Times New Roman"/>
                <w:sz w:val="24"/>
                <w:szCs w:val="24"/>
              </w:rPr>
            </w:pPr>
            <w:r w:rsidRPr="00726F8D">
              <w:rPr>
                <w:rFonts w:ascii="Times New Roman" w:hAnsi="Times New Roman"/>
                <w:sz w:val="24"/>
                <w:szCs w:val="24"/>
              </w:rPr>
              <w:t>Nariadenie Komisie (ES) č. 885/2006 z 21. júna 2006, ktorým sa ustanovujú podrobné pravidlá uplatňovania nariadenia Rady (ES) č. 1290/2005, pokiaľ ide o akreditáciu platobných agentúr a iných orgánov a zúčtovania EPZF a EPFRV v platnom znení.</w:t>
            </w:r>
          </w:p>
          <w:p w:rsidR="00726F8D" w:rsidRPr="00726F8D" w:rsidRDefault="00726F8D" w:rsidP="00726F8D">
            <w:pPr>
              <w:spacing w:after="0" w:line="240" w:lineRule="auto"/>
              <w:jc w:val="both"/>
              <w:rPr>
                <w:rFonts w:ascii="Times New Roman" w:hAnsi="Times New Roman"/>
                <w:sz w:val="24"/>
                <w:szCs w:val="24"/>
              </w:rPr>
            </w:pPr>
            <w:r w:rsidRPr="00726F8D">
              <w:rPr>
                <w:rFonts w:ascii="Times New Roman" w:hAnsi="Times New Roman"/>
                <w:sz w:val="24"/>
                <w:szCs w:val="24"/>
              </w:rPr>
              <w:t>Nariadenie Rady (EURATOM, ES) č. 2185/96 z 11. novembra 1996 o kontrolách a inšpekciách na mieste, vykonávaných Komisiou s cieľom ochrany finančných záujmov Európskych spoločenstiev pred spreneverou a inými podvodmi v platnom znení.</w:t>
            </w:r>
          </w:p>
          <w:p w:rsidR="00726F8D" w:rsidRPr="00726F8D" w:rsidRDefault="00726F8D" w:rsidP="00726F8D">
            <w:pPr>
              <w:spacing w:after="0" w:line="240" w:lineRule="auto"/>
              <w:jc w:val="both"/>
              <w:rPr>
                <w:rFonts w:ascii="Times New Roman" w:hAnsi="Times New Roman"/>
                <w:sz w:val="24"/>
                <w:szCs w:val="24"/>
              </w:rPr>
            </w:pPr>
            <w:r w:rsidRPr="00726F8D">
              <w:rPr>
                <w:rFonts w:ascii="Times New Roman" w:hAnsi="Times New Roman"/>
                <w:sz w:val="24"/>
                <w:szCs w:val="24"/>
              </w:rPr>
              <w:t xml:space="preserve">Nariadenie Rady (ES, </w:t>
            </w:r>
            <w:proofErr w:type="spellStart"/>
            <w:r w:rsidRPr="00726F8D">
              <w:rPr>
                <w:rFonts w:ascii="Times New Roman" w:hAnsi="Times New Roman"/>
                <w:sz w:val="24"/>
                <w:szCs w:val="24"/>
              </w:rPr>
              <w:t>Euratom</w:t>
            </w:r>
            <w:proofErr w:type="spellEnd"/>
            <w:r w:rsidRPr="00726F8D">
              <w:rPr>
                <w:rFonts w:ascii="Times New Roman" w:hAnsi="Times New Roman"/>
                <w:sz w:val="24"/>
                <w:szCs w:val="24"/>
              </w:rPr>
              <w:t>) č. 2988/95 z 18. decembra 1995 o ochrane finančných záujmov Európskych spoločenstiev v platnom znení.</w:t>
            </w:r>
          </w:p>
        </w:tc>
      </w:tr>
    </w:tbl>
    <w:p w:rsidR="00726F8D" w:rsidRPr="00726F8D" w:rsidRDefault="00726F8D" w:rsidP="00726F8D">
      <w:pPr>
        <w:spacing w:after="0" w:line="240" w:lineRule="auto"/>
        <w:rPr>
          <w:rFonts w:ascii="Times New Roman" w:hAnsi="Times New Roman"/>
          <w:sz w:val="24"/>
          <w:szCs w:val="24"/>
        </w:rPr>
      </w:pPr>
    </w:p>
    <w:p w:rsidR="00726F8D" w:rsidRPr="00726F8D" w:rsidRDefault="00726F8D" w:rsidP="00726F8D">
      <w:pPr>
        <w:spacing w:after="0" w:line="240" w:lineRule="auto"/>
        <w:ind w:left="709" w:hanging="349"/>
        <w:rPr>
          <w:rFonts w:ascii="Times New Roman" w:hAnsi="Times New Roman"/>
          <w:sz w:val="24"/>
          <w:szCs w:val="24"/>
        </w:rPr>
      </w:pPr>
      <w:r w:rsidRPr="00726F8D">
        <w:rPr>
          <w:rFonts w:ascii="Times New Roman" w:hAnsi="Times New Roman"/>
          <w:sz w:val="24"/>
          <w:szCs w:val="24"/>
        </w:rPr>
        <w:t>b)</w:t>
      </w:r>
      <w:r w:rsidRPr="00726F8D">
        <w:rPr>
          <w:rFonts w:ascii="Times New Roman" w:hAnsi="Times New Roman"/>
          <w:sz w:val="24"/>
          <w:szCs w:val="24"/>
        </w:rPr>
        <w:tab/>
        <w:t>je obsiahnutá v judikatúre Súdneho dvora Európskej únie.</w:t>
      </w:r>
    </w:p>
    <w:p w:rsidR="00726F8D" w:rsidRPr="00726F8D" w:rsidRDefault="00726F8D" w:rsidP="00726F8D">
      <w:pPr>
        <w:spacing w:after="0" w:line="240" w:lineRule="auto"/>
        <w:ind w:left="709" w:hanging="349"/>
        <w:rPr>
          <w:rFonts w:ascii="Times New Roman" w:hAnsi="Times New Roman"/>
          <w:sz w:val="24"/>
          <w:szCs w:val="24"/>
        </w:rPr>
      </w:pPr>
    </w:p>
    <w:p w:rsidR="00726F8D" w:rsidRPr="00726F8D" w:rsidRDefault="00726F8D" w:rsidP="00726F8D">
      <w:pPr>
        <w:widowControl w:val="0"/>
        <w:numPr>
          <w:ilvl w:val="0"/>
          <w:numId w:val="21"/>
        </w:numPr>
        <w:adjustRightInd w:val="0"/>
        <w:spacing w:after="0" w:line="240" w:lineRule="auto"/>
        <w:jc w:val="both"/>
        <w:rPr>
          <w:rFonts w:ascii="Times New Roman" w:hAnsi="Times New Roman"/>
          <w:sz w:val="24"/>
          <w:szCs w:val="24"/>
        </w:rPr>
      </w:pPr>
      <w:r w:rsidRPr="00726F8D">
        <w:rPr>
          <w:rFonts w:ascii="Times New Roman" w:hAnsi="Times New Roman"/>
          <w:sz w:val="24"/>
          <w:szCs w:val="24"/>
        </w:rPr>
        <w:t xml:space="preserve">rozhodnutie Súdneho dvora vo veci C 46/03, Spojené kráľovstvo Veľkej Británie a </w:t>
      </w:r>
      <w:r w:rsidRPr="00726F8D">
        <w:rPr>
          <w:rFonts w:ascii="Times New Roman" w:hAnsi="Times New Roman"/>
          <w:sz w:val="24"/>
          <w:szCs w:val="24"/>
        </w:rPr>
        <w:lastRenderedPageBreak/>
        <w:t xml:space="preserve">Severného Írska proti EK, [2005] </w:t>
      </w:r>
    </w:p>
    <w:p w:rsidR="00726F8D" w:rsidRPr="00726F8D" w:rsidRDefault="00726F8D" w:rsidP="00726F8D">
      <w:pPr>
        <w:spacing w:after="0" w:line="240" w:lineRule="auto"/>
        <w:ind w:left="1134" w:hanging="414"/>
        <w:jc w:val="both"/>
        <w:rPr>
          <w:rFonts w:ascii="Times New Roman" w:hAnsi="Times New Roman"/>
          <w:sz w:val="24"/>
          <w:szCs w:val="24"/>
        </w:rPr>
      </w:pPr>
      <w:r w:rsidRPr="00726F8D">
        <w:rPr>
          <w:rFonts w:ascii="Times New Roman" w:hAnsi="Times New Roman"/>
          <w:sz w:val="24"/>
          <w:szCs w:val="24"/>
        </w:rPr>
        <w:t xml:space="preserve">2. rozhodnutie Súdneho dvora vo veci T-102/03, </w:t>
      </w:r>
      <w:proofErr w:type="spellStart"/>
      <w:r w:rsidRPr="00726F8D">
        <w:rPr>
          <w:rFonts w:ascii="Times New Roman" w:hAnsi="Times New Roman"/>
          <w:sz w:val="24"/>
          <w:szCs w:val="24"/>
        </w:rPr>
        <w:t>Centro</w:t>
      </w:r>
      <w:proofErr w:type="spellEnd"/>
      <w:r w:rsidRPr="00726F8D">
        <w:rPr>
          <w:rFonts w:ascii="Times New Roman" w:hAnsi="Times New Roman"/>
          <w:sz w:val="24"/>
          <w:szCs w:val="24"/>
        </w:rPr>
        <w:t xml:space="preserve"> </w:t>
      </w:r>
      <w:proofErr w:type="spellStart"/>
      <w:r w:rsidRPr="00726F8D">
        <w:rPr>
          <w:rFonts w:ascii="Times New Roman" w:hAnsi="Times New Roman"/>
          <w:sz w:val="24"/>
          <w:szCs w:val="24"/>
        </w:rPr>
        <w:t>informativo</w:t>
      </w:r>
      <w:proofErr w:type="spellEnd"/>
      <w:r w:rsidRPr="00726F8D">
        <w:rPr>
          <w:rFonts w:ascii="Times New Roman" w:hAnsi="Times New Roman"/>
          <w:sz w:val="24"/>
          <w:szCs w:val="24"/>
        </w:rPr>
        <w:t xml:space="preserve"> per la </w:t>
      </w:r>
      <w:proofErr w:type="spellStart"/>
      <w:r w:rsidRPr="00726F8D">
        <w:rPr>
          <w:rFonts w:ascii="Times New Roman" w:hAnsi="Times New Roman"/>
          <w:sz w:val="24"/>
          <w:szCs w:val="24"/>
        </w:rPr>
        <w:t>collaborazione</w:t>
      </w:r>
      <w:proofErr w:type="spellEnd"/>
      <w:r w:rsidRPr="00726F8D">
        <w:rPr>
          <w:rFonts w:ascii="Times New Roman" w:hAnsi="Times New Roman"/>
          <w:sz w:val="24"/>
          <w:szCs w:val="24"/>
        </w:rPr>
        <w:t xml:space="preserve"> </w:t>
      </w:r>
      <w:proofErr w:type="spellStart"/>
      <w:r w:rsidRPr="00726F8D">
        <w:rPr>
          <w:rFonts w:ascii="Times New Roman" w:hAnsi="Times New Roman"/>
          <w:sz w:val="24"/>
          <w:szCs w:val="24"/>
        </w:rPr>
        <w:t>tra</w:t>
      </w:r>
      <w:proofErr w:type="spellEnd"/>
      <w:r w:rsidRPr="00726F8D">
        <w:rPr>
          <w:rFonts w:ascii="Times New Roman" w:hAnsi="Times New Roman"/>
          <w:sz w:val="24"/>
          <w:szCs w:val="24"/>
        </w:rPr>
        <w:t xml:space="preserve"> </w:t>
      </w:r>
      <w:proofErr w:type="spellStart"/>
      <w:r w:rsidRPr="00726F8D">
        <w:rPr>
          <w:rFonts w:ascii="Times New Roman" w:hAnsi="Times New Roman"/>
          <w:sz w:val="24"/>
          <w:szCs w:val="24"/>
        </w:rPr>
        <w:t>le</w:t>
      </w:r>
      <w:proofErr w:type="spellEnd"/>
      <w:r w:rsidRPr="00726F8D">
        <w:rPr>
          <w:rFonts w:ascii="Times New Roman" w:hAnsi="Times New Roman"/>
          <w:sz w:val="24"/>
          <w:szCs w:val="24"/>
        </w:rPr>
        <w:t xml:space="preserve"> </w:t>
      </w:r>
      <w:proofErr w:type="spellStart"/>
      <w:r w:rsidRPr="00726F8D">
        <w:rPr>
          <w:rFonts w:ascii="Times New Roman" w:hAnsi="Times New Roman"/>
          <w:sz w:val="24"/>
          <w:szCs w:val="24"/>
        </w:rPr>
        <w:t>imprese</w:t>
      </w:r>
      <w:proofErr w:type="spellEnd"/>
      <w:r w:rsidRPr="00726F8D">
        <w:rPr>
          <w:rFonts w:ascii="Times New Roman" w:hAnsi="Times New Roman"/>
          <w:sz w:val="24"/>
          <w:szCs w:val="24"/>
        </w:rPr>
        <w:t xml:space="preserve"> e la </w:t>
      </w:r>
      <w:proofErr w:type="spellStart"/>
      <w:r w:rsidRPr="00726F8D">
        <w:rPr>
          <w:rFonts w:ascii="Times New Roman" w:hAnsi="Times New Roman"/>
          <w:sz w:val="24"/>
          <w:szCs w:val="24"/>
        </w:rPr>
        <w:t>promozione</w:t>
      </w:r>
      <w:proofErr w:type="spellEnd"/>
      <w:r w:rsidRPr="00726F8D">
        <w:rPr>
          <w:rFonts w:ascii="Times New Roman" w:hAnsi="Times New Roman"/>
          <w:sz w:val="24"/>
          <w:szCs w:val="24"/>
        </w:rPr>
        <w:t xml:space="preserve"> </w:t>
      </w:r>
      <w:proofErr w:type="spellStart"/>
      <w:r w:rsidRPr="00726F8D">
        <w:rPr>
          <w:rFonts w:ascii="Times New Roman" w:hAnsi="Times New Roman"/>
          <w:sz w:val="24"/>
          <w:szCs w:val="24"/>
        </w:rPr>
        <w:t>degli</w:t>
      </w:r>
      <w:proofErr w:type="spellEnd"/>
      <w:r w:rsidRPr="00726F8D">
        <w:rPr>
          <w:rFonts w:ascii="Times New Roman" w:hAnsi="Times New Roman"/>
          <w:sz w:val="24"/>
          <w:szCs w:val="24"/>
        </w:rPr>
        <w:t xml:space="preserve"> </w:t>
      </w:r>
      <w:proofErr w:type="spellStart"/>
      <w:r w:rsidRPr="00726F8D">
        <w:rPr>
          <w:rFonts w:ascii="Times New Roman" w:hAnsi="Times New Roman"/>
          <w:sz w:val="24"/>
          <w:szCs w:val="24"/>
        </w:rPr>
        <w:t>investimenti</w:t>
      </w:r>
      <w:proofErr w:type="spellEnd"/>
      <w:r w:rsidRPr="00726F8D">
        <w:rPr>
          <w:rFonts w:ascii="Times New Roman" w:hAnsi="Times New Roman"/>
          <w:sz w:val="24"/>
          <w:szCs w:val="24"/>
        </w:rPr>
        <w:t xml:space="preserve"> in </w:t>
      </w:r>
      <w:proofErr w:type="spellStart"/>
      <w:r w:rsidRPr="00726F8D">
        <w:rPr>
          <w:rFonts w:ascii="Times New Roman" w:hAnsi="Times New Roman"/>
          <w:sz w:val="24"/>
          <w:szCs w:val="24"/>
        </w:rPr>
        <w:t>Sicilia</w:t>
      </w:r>
      <w:proofErr w:type="spellEnd"/>
      <w:r w:rsidRPr="00726F8D">
        <w:rPr>
          <w:rFonts w:ascii="Times New Roman" w:hAnsi="Times New Roman"/>
          <w:sz w:val="24"/>
          <w:szCs w:val="24"/>
        </w:rPr>
        <w:t xml:space="preserve"> </w:t>
      </w:r>
      <w:proofErr w:type="spellStart"/>
      <w:r w:rsidRPr="00726F8D">
        <w:rPr>
          <w:rFonts w:ascii="Times New Roman" w:hAnsi="Times New Roman"/>
          <w:sz w:val="24"/>
          <w:szCs w:val="24"/>
        </w:rPr>
        <w:t>SpA</w:t>
      </w:r>
      <w:proofErr w:type="spellEnd"/>
      <w:r w:rsidRPr="00726F8D">
        <w:rPr>
          <w:rFonts w:ascii="Times New Roman" w:hAnsi="Times New Roman"/>
          <w:sz w:val="24"/>
          <w:szCs w:val="24"/>
        </w:rPr>
        <w:t xml:space="preserve"> (CIS) proti EK, [2005] </w:t>
      </w:r>
    </w:p>
    <w:p w:rsidR="00726F8D" w:rsidRPr="00726F8D" w:rsidRDefault="00726F8D" w:rsidP="00726F8D">
      <w:pPr>
        <w:spacing w:after="0" w:line="240" w:lineRule="auto"/>
        <w:rPr>
          <w:rFonts w:ascii="Times New Roman" w:hAnsi="Times New Roman"/>
          <w:sz w:val="24"/>
          <w:szCs w:val="24"/>
        </w:rPr>
      </w:pPr>
    </w:p>
    <w:p w:rsidR="00726F8D" w:rsidRPr="00726F8D" w:rsidRDefault="00726F8D" w:rsidP="00726F8D">
      <w:pPr>
        <w:spacing w:after="0" w:line="240" w:lineRule="auto"/>
        <w:ind w:left="360" w:hanging="360"/>
        <w:rPr>
          <w:rFonts w:ascii="Times New Roman" w:hAnsi="Times New Roman"/>
          <w:b/>
          <w:sz w:val="24"/>
          <w:szCs w:val="24"/>
        </w:rPr>
      </w:pPr>
      <w:r w:rsidRPr="00726F8D">
        <w:rPr>
          <w:rFonts w:ascii="Times New Roman" w:hAnsi="Times New Roman"/>
          <w:b/>
          <w:sz w:val="24"/>
          <w:szCs w:val="24"/>
        </w:rPr>
        <w:t>4.</w:t>
      </w:r>
      <w:r w:rsidRPr="00726F8D">
        <w:rPr>
          <w:rFonts w:ascii="Times New Roman" w:hAnsi="Times New Roman"/>
          <w:b/>
          <w:sz w:val="24"/>
          <w:szCs w:val="24"/>
        </w:rPr>
        <w:tab/>
        <w:t xml:space="preserve">Záväzky Slovenskej republiky vo vzťahu k Európskej únii: </w:t>
      </w:r>
    </w:p>
    <w:p w:rsidR="00726F8D" w:rsidRPr="00726F8D" w:rsidRDefault="00726F8D" w:rsidP="00726F8D">
      <w:pPr>
        <w:spacing w:after="0" w:line="240" w:lineRule="auto"/>
        <w:rPr>
          <w:rFonts w:ascii="Times New Roman" w:hAnsi="Times New Roman"/>
          <w:sz w:val="24"/>
          <w:szCs w:val="24"/>
        </w:rPr>
      </w:pPr>
    </w:p>
    <w:p w:rsidR="00726F8D" w:rsidRPr="00726F8D" w:rsidRDefault="00726F8D" w:rsidP="00726F8D">
      <w:pPr>
        <w:spacing w:after="0" w:line="240" w:lineRule="auto"/>
        <w:ind w:left="709" w:hanging="349"/>
        <w:jc w:val="both"/>
        <w:rPr>
          <w:rFonts w:ascii="Times New Roman" w:hAnsi="Times New Roman"/>
          <w:sz w:val="24"/>
          <w:szCs w:val="24"/>
        </w:rPr>
      </w:pPr>
      <w:r w:rsidRPr="00726F8D">
        <w:rPr>
          <w:rFonts w:ascii="Times New Roman" w:hAnsi="Times New Roman"/>
          <w:sz w:val="24"/>
          <w:szCs w:val="24"/>
        </w:rPr>
        <w:t>a)</w:t>
      </w:r>
      <w:r w:rsidRPr="00726F8D">
        <w:rPr>
          <w:rFonts w:ascii="Times New Roman" w:hAnsi="Times New Roman"/>
          <w:sz w:val="24"/>
          <w:szCs w:val="24"/>
        </w:rPr>
        <w:tab/>
        <w:t>lehota na prebratie smernice alebo lehota na implementáciu nariadenia alebo rozhodnutia</w:t>
      </w:r>
    </w:p>
    <w:p w:rsidR="00726F8D" w:rsidRPr="00726F8D" w:rsidRDefault="00726F8D" w:rsidP="00726F8D">
      <w:pPr>
        <w:spacing w:after="0" w:line="240" w:lineRule="auto"/>
        <w:ind w:left="720"/>
        <w:rPr>
          <w:rFonts w:ascii="Times New Roman" w:hAnsi="Times New Roman"/>
          <w:sz w:val="24"/>
          <w:szCs w:val="24"/>
        </w:rPr>
      </w:pPr>
    </w:p>
    <w:p w:rsidR="00726F8D" w:rsidRPr="00726F8D" w:rsidRDefault="00726F8D" w:rsidP="00726F8D">
      <w:pPr>
        <w:spacing w:after="0" w:line="240" w:lineRule="auto"/>
        <w:ind w:left="720"/>
        <w:rPr>
          <w:rFonts w:ascii="Times New Roman" w:hAnsi="Times New Roman"/>
          <w:sz w:val="24"/>
          <w:szCs w:val="24"/>
        </w:rPr>
      </w:pPr>
      <w:r w:rsidRPr="00726F8D">
        <w:rPr>
          <w:rFonts w:ascii="Times New Roman" w:hAnsi="Times New Roman"/>
          <w:sz w:val="24"/>
          <w:szCs w:val="24"/>
        </w:rPr>
        <w:t>nie je určená </w:t>
      </w:r>
    </w:p>
    <w:p w:rsidR="00726F8D" w:rsidRPr="00726F8D" w:rsidRDefault="00726F8D" w:rsidP="00726F8D">
      <w:pPr>
        <w:spacing w:after="0" w:line="240" w:lineRule="auto"/>
        <w:rPr>
          <w:rFonts w:ascii="Times New Roman" w:hAnsi="Times New Roman"/>
          <w:sz w:val="24"/>
          <w:szCs w:val="24"/>
        </w:rPr>
      </w:pPr>
    </w:p>
    <w:p w:rsidR="00726F8D" w:rsidRPr="00726F8D" w:rsidRDefault="00726F8D" w:rsidP="00726F8D">
      <w:pPr>
        <w:spacing w:after="0" w:line="240" w:lineRule="auto"/>
        <w:ind w:left="709" w:hanging="349"/>
        <w:jc w:val="both"/>
        <w:rPr>
          <w:rFonts w:ascii="Times New Roman" w:hAnsi="Times New Roman"/>
          <w:sz w:val="24"/>
          <w:szCs w:val="24"/>
        </w:rPr>
      </w:pPr>
      <w:r w:rsidRPr="00726F8D">
        <w:rPr>
          <w:rFonts w:ascii="Times New Roman" w:hAnsi="Times New Roman"/>
          <w:sz w:val="24"/>
          <w:szCs w:val="24"/>
        </w:rPr>
        <w:t>b)</w:t>
      </w:r>
      <w:r w:rsidRPr="00726F8D">
        <w:rPr>
          <w:rFonts w:ascii="Times New Roman" w:hAnsi="Times New Roman"/>
          <w:sz w:val="24"/>
          <w:szCs w:val="24"/>
        </w:rPr>
        <w:tab/>
      </w:r>
      <w:r w:rsidRPr="00726F8D">
        <w:rPr>
          <w:rFonts w:ascii="Times New Roman" w:hAnsi="Times New Roman"/>
          <w:color w:val="000000"/>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726F8D" w:rsidRPr="00726F8D" w:rsidRDefault="00726F8D" w:rsidP="00726F8D">
      <w:pPr>
        <w:spacing w:after="0" w:line="240" w:lineRule="auto"/>
        <w:ind w:left="709" w:hanging="349"/>
        <w:rPr>
          <w:rFonts w:ascii="Times New Roman" w:hAnsi="Times New Roman"/>
          <w:sz w:val="24"/>
          <w:szCs w:val="24"/>
        </w:rPr>
      </w:pPr>
      <w:r w:rsidRPr="00726F8D">
        <w:rPr>
          <w:rFonts w:ascii="Times New Roman" w:hAnsi="Times New Roman"/>
          <w:sz w:val="24"/>
          <w:szCs w:val="24"/>
        </w:rPr>
        <w:tab/>
      </w:r>
    </w:p>
    <w:p w:rsidR="00726F8D" w:rsidRPr="00726F8D" w:rsidRDefault="00726F8D" w:rsidP="00726F8D">
      <w:pPr>
        <w:spacing w:after="0" w:line="240" w:lineRule="auto"/>
        <w:ind w:left="709" w:hanging="349"/>
        <w:rPr>
          <w:rFonts w:ascii="Times New Roman" w:hAnsi="Times New Roman"/>
          <w:sz w:val="24"/>
          <w:szCs w:val="24"/>
        </w:rPr>
      </w:pPr>
      <w:r w:rsidRPr="00726F8D">
        <w:rPr>
          <w:rFonts w:ascii="Times New Roman" w:hAnsi="Times New Roman"/>
          <w:sz w:val="24"/>
          <w:szCs w:val="24"/>
        </w:rPr>
        <w:tab/>
        <w:t>nie je určená </w:t>
      </w:r>
    </w:p>
    <w:p w:rsidR="00726F8D" w:rsidRPr="00726F8D" w:rsidRDefault="00726F8D" w:rsidP="00726F8D">
      <w:pPr>
        <w:spacing w:after="0" w:line="240" w:lineRule="auto"/>
        <w:ind w:left="709" w:hanging="349"/>
        <w:rPr>
          <w:rFonts w:ascii="Times New Roman" w:hAnsi="Times New Roman"/>
          <w:sz w:val="24"/>
          <w:szCs w:val="24"/>
        </w:rPr>
      </w:pPr>
    </w:p>
    <w:p w:rsidR="00726F8D" w:rsidRPr="00726F8D" w:rsidRDefault="00726F8D" w:rsidP="00726F8D">
      <w:pPr>
        <w:spacing w:after="0" w:line="240" w:lineRule="auto"/>
        <w:ind w:left="709" w:hanging="349"/>
        <w:jc w:val="both"/>
        <w:rPr>
          <w:rFonts w:ascii="Times New Roman" w:hAnsi="Times New Roman"/>
          <w:sz w:val="24"/>
          <w:szCs w:val="24"/>
        </w:rPr>
      </w:pPr>
      <w:r w:rsidRPr="00726F8D">
        <w:rPr>
          <w:rFonts w:ascii="Times New Roman" w:hAnsi="Times New Roman"/>
          <w:sz w:val="24"/>
          <w:szCs w:val="24"/>
        </w:rPr>
        <w:t>c)</w:t>
      </w:r>
      <w:r w:rsidRPr="00726F8D">
        <w:rPr>
          <w:rFonts w:ascii="Times New Roman" w:hAnsi="Times New Roman"/>
          <w:sz w:val="24"/>
          <w:szCs w:val="24"/>
        </w:rPr>
        <w:tab/>
        <w:t>informácia o konaní začatom proti Slovenskej republike o porušení podľa čl. 258 až 260 Zmluvy o fungovaní Európskej únie</w:t>
      </w:r>
    </w:p>
    <w:p w:rsidR="00726F8D" w:rsidRPr="00726F8D" w:rsidRDefault="00726F8D" w:rsidP="00726F8D">
      <w:pPr>
        <w:spacing w:after="0" w:line="240" w:lineRule="auto"/>
        <w:ind w:left="720"/>
        <w:rPr>
          <w:rFonts w:ascii="Times New Roman" w:hAnsi="Times New Roman"/>
          <w:sz w:val="24"/>
          <w:szCs w:val="24"/>
        </w:rPr>
      </w:pPr>
    </w:p>
    <w:p w:rsidR="00726F8D" w:rsidRPr="00726F8D" w:rsidRDefault="00726F8D" w:rsidP="00726F8D">
      <w:pPr>
        <w:spacing w:after="0" w:line="240" w:lineRule="auto"/>
        <w:ind w:firstLine="708"/>
        <w:rPr>
          <w:rFonts w:ascii="Times New Roman" w:hAnsi="Times New Roman"/>
          <w:sz w:val="24"/>
          <w:szCs w:val="24"/>
        </w:rPr>
      </w:pPr>
      <w:r w:rsidRPr="00726F8D">
        <w:rPr>
          <w:rFonts w:ascii="Times New Roman" w:hAnsi="Times New Roman"/>
          <w:sz w:val="24"/>
          <w:szCs w:val="24"/>
        </w:rPr>
        <w:t>konanie nebolo začaté </w:t>
      </w:r>
    </w:p>
    <w:p w:rsidR="00726F8D" w:rsidRPr="00726F8D" w:rsidRDefault="00726F8D" w:rsidP="00726F8D">
      <w:pPr>
        <w:spacing w:after="0" w:line="240" w:lineRule="auto"/>
        <w:ind w:firstLine="708"/>
        <w:rPr>
          <w:rFonts w:ascii="Times New Roman" w:hAnsi="Times New Roman"/>
          <w:sz w:val="24"/>
          <w:szCs w:val="24"/>
        </w:rPr>
      </w:pPr>
    </w:p>
    <w:p w:rsidR="00726F8D" w:rsidRPr="00726F8D" w:rsidRDefault="00726F8D" w:rsidP="00726F8D">
      <w:pPr>
        <w:spacing w:after="0" w:line="240" w:lineRule="auto"/>
        <w:ind w:left="709" w:hanging="349"/>
        <w:jc w:val="both"/>
        <w:rPr>
          <w:rFonts w:ascii="Times New Roman" w:hAnsi="Times New Roman"/>
          <w:sz w:val="24"/>
          <w:szCs w:val="24"/>
        </w:rPr>
      </w:pPr>
      <w:r w:rsidRPr="00726F8D">
        <w:rPr>
          <w:rFonts w:ascii="Times New Roman" w:hAnsi="Times New Roman"/>
          <w:sz w:val="24"/>
          <w:szCs w:val="24"/>
        </w:rPr>
        <w:t>d)</w:t>
      </w:r>
      <w:r w:rsidRPr="00726F8D">
        <w:rPr>
          <w:rFonts w:ascii="Times New Roman" w:hAnsi="Times New Roman"/>
          <w:sz w:val="24"/>
          <w:szCs w:val="24"/>
        </w:rPr>
        <w:tab/>
        <w:t>informácia o právnych predpisoch, v ktorých sú preberané smernice už prebraté spolu s uvedením rozsahu tohto prebratia</w:t>
      </w:r>
    </w:p>
    <w:p w:rsidR="00726F8D" w:rsidRPr="00726F8D" w:rsidRDefault="00726F8D" w:rsidP="00726F8D">
      <w:pPr>
        <w:spacing w:after="0" w:line="240" w:lineRule="auto"/>
        <w:ind w:left="720"/>
        <w:rPr>
          <w:rFonts w:ascii="Times New Roman" w:hAnsi="Times New Roman"/>
          <w:sz w:val="24"/>
          <w:szCs w:val="24"/>
        </w:rPr>
      </w:pPr>
    </w:p>
    <w:p w:rsidR="00726F8D" w:rsidRPr="00726F8D" w:rsidRDefault="00726F8D" w:rsidP="00726F8D">
      <w:pPr>
        <w:spacing w:after="0" w:line="240" w:lineRule="auto"/>
        <w:ind w:firstLine="708"/>
        <w:rPr>
          <w:rFonts w:ascii="Times New Roman" w:hAnsi="Times New Roman"/>
          <w:sz w:val="24"/>
          <w:szCs w:val="24"/>
        </w:rPr>
      </w:pPr>
      <w:r w:rsidRPr="00726F8D">
        <w:rPr>
          <w:rFonts w:ascii="Times New Roman" w:hAnsi="Times New Roman"/>
          <w:sz w:val="24"/>
          <w:szCs w:val="24"/>
        </w:rPr>
        <w:t>návrh zákona nepreberá smernice </w:t>
      </w:r>
    </w:p>
    <w:p w:rsidR="00726F8D" w:rsidRPr="00726F8D" w:rsidRDefault="00726F8D" w:rsidP="00726F8D">
      <w:pPr>
        <w:spacing w:after="0" w:line="240" w:lineRule="auto"/>
        <w:ind w:firstLine="708"/>
        <w:rPr>
          <w:rFonts w:ascii="Times New Roman" w:hAnsi="Times New Roman"/>
          <w:sz w:val="24"/>
          <w:szCs w:val="24"/>
        </w:rPr>
      </w:pPr>
    </w:p>
    <w:p w:rsidR="00726F8D" w:rsidRPr="00726F8D" w:rsidRDefault="00726F8D" w:rsidP="00726F8D">
      <w:pPr>
        <w:spacing w:after="0" w:line="240" w:lineRule="auto"/>
        <w:ind w:left="360" w:hanging="360"/>
        <w:rPr>
          <w:rFonts w:ascii="Times New Roman" w:hAnsi="Times New Roman"/>
          <w:b/>
          <w:sz w:val="24"/>
          <w:szCs w:val="24"/>
        </w:rPr>
      </w:pPr>
      <w:r w:rsidRPr="00726F8D">
        <w:rPr>
          <w:rFonts w:ascii="Times New Roman" w:hAnsi="Times New Roman"/>
          <w:b/>
          <w:sz w:val="24"/>
          <w:szCs w:val="24"/>
        </w:rPr>
        <w:t>5.</w:t>
      </w:r>
      <w:r w:rsidRPr="00726F8D">
        <w:rPr>
          <w:rFonts w:ascii="Times New Roman" w:hAnsi="Times New Roman"/>
          <w:b/>
          <w:sz w:val="24"/>
          <w:szCs w:val="24"/>
        </w:rPr>
        <w:tab/>
        <w:t>Stupeň zlučiteľnosti návrhu právneho predpisu s právom Európskej únie:</w:t>
      </w:r>
    </w:p>
    <w:p w:rsidR="00726F8D" w:rsidRPr="00726F8D" w:rsidRDefault="00726F8D" w:rsidP="00726F8D">
      <w:pPr>
        <w:spacing w:after="0" w:line="240" w:lineRule="auto"/>
        <w:rPr>
          <w:rFonts w:ascii="Times New Roman" w:hAnsi="Times New Roman"/>
          <w:sz w:val="24"/>
          <w:szCs w:val="24"/>
        </w:rPr>
      </w:pPr>
    </w:p>
    <w:p w:rsidR="00726F8D" w:rsidRPr="00726F8D" w:rsidRDefault="00726F8D" w:rsidP="00726F8D">
      <w:pPr>
        <w:spacing w:after="0" w:line="240" w:lineRule="auto"/>
        <w:ind w:firstLine="360"/>
        <w:rPr>
          <w:rFonts w:ascii="Times New Roman" w:hAnsi="Times New Roman"/>
          <w:sz w:val="24"/>
          <w:szCs w:val="24"/>
        </w:rPr>
      </w:pPr>
      <w:r w:rsidRPr="00726F8D">
        <w:rPr>
          <w:rFonts w:ascii="Times New Roman" w:hAnsi="Times New Roman"/>
          <w:sz w:val="24"/>
          <w:szCs w:val="24"/>
        </w:rPr>
        <w:t>Stupeň zlučiteľnosti - úplný </w:t>
      </w:r>
    </w:p>
    <w:p w:rsidR="00726F8D" w:rsidRPr="00726F8D" w:rsidRDefault="00726F8D" w:rsidP="00726F8D">
      <w:pPr>
        <w:pStyle w:val="Zarkazkladnhotextu3"/>
        <w:widowControl w:val="0"/>
        <w:spacing w:after="0" w:line="240" w:lineRule="auto"/>
        <w:ind w:left="680" w:hanging="340"/>
        <w:jc w:val="both"/>
        <w:rPr>
          <w:b/>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Default="00726F8D" w:rsidP="008E305A">
      <w:pPr>
        <w:spacing w:after="0" w:line="240" w:lineRule="auto"/>
        <w:rPr>
          <w:rFonts w:ascii="Times New Roman" w:hAnsi="Times New Roman"/>
          <w:color w:val="000000" w:themeColor="text1"/>
          <w:sz w:val="24"/>
          <w:szCs w:val="24"/>
        </w:rPr>
      </w:pPr>
    </w:p>
    <w:p w:rsidR="00726F8D" w:rsidRPr="00DC0F2E" w:rsidRDefault="00726F8D" w:rsidP="00726F8D">
      <w:pPr>
        <w:spacing w:after="0" w:line="240" w:lineRule="auto"/>
        <w:jc w:val="center"/>
        <w:rPr>
          <w:rFonts w:ascii="Times New Roman" w:hAnsi="Times New Roman"/>
          <w:b/>
          <w:bCs/>
          <w:sz w:val="24"/>
          <w:szCs w:val="28"/>
        </w:rPr>
      </w:pPr>
      <w:r w:rsidRPr="00DC0F2E">
        <w:rPr>
          <w:rFonts w:ascii="Times New Roman" w:hAnsi="Times New Roman"/>
          <w:b/>
          <w:bCs/>
          <w:sz w:val="24"/>
          <w:szCs w:val="28"/>
        </w:rPr>
        <w:lastRenderedPageBreak/>
        <w:t>Doložka vybraných vplyvov</w:t>
      </w:r>
    </w:p>
    <w:p w:rsidR="00726F8D" w:rsidRPr="00DC0F2E" w:rsidRDefault="00726F8D" w:rsidP="00726F8D">
      <w:pPr>
        <w:pStyle w:val="Odsekzoznamu1"/>
        <w:spacing w:after="0" w:line="240" w:lineRule="auto"/>
        <w:ind w:left="426"/>
        <w:rPr>
          <w:rFonts w:ascii="Times New Roman" w:hAnsi="Times New Roman"/>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12"/>
        <w:gridCol w:w="400"/>
        <w:gridCol w:w="141"/>
        <w:gridCol w:w="564"/>
        <w:gridCol w:w="717"/>
        <w:gridCol w:w="569"/>
        <w:gridCol w:w="1133"/>
        <w:gridCol w:w="284"/>
        <w:gridCol w:w="263"/>
        <w:gridCol w:w="1297"/>
      </w:tblGrid>
      <w:tr w:rsidR="00726F8D" w:rsidRPr="00DC0F2E" w:rsidTr="00875F34">
        <w:tc>
          <w:tcPr>
            <w:tcW w:w="9180" w:type="dxa"/>
            <w:gridSpan w:val="10"/>
            <w:tcBorders>
              <w:bottom w:val="single" w:sz="4" w:space="0" w:color="FFFFFF"/>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Základné údaje</w:t>
            </w: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875F34">
            <w:pPr>
              <w:pStyle w:val="Odsekzoznamu1"/>
              <w:spacing w:after="0" w:line="240" w:lineRule="auto"/>
              <w:ind w:left="142"/>
              <w:rPr>
                <w:rFonts w:ascii="Times New Roman" w:hAnsi="Times New Roman"/>
                <w:b/>
              </w:rPr>
            </w:pPr>
            <w:r w:rsidRPr="00DC0F2E">
              <w:rPr>
                <w:rFonts w:ascii="Times New Roman" w:hAnsi="Times New Roman"/>
                <w:b/>
              </w:rPr>
              <w:t>Názov materiálu</w:t>
            </w:r>
          </w:p>
        </w:tc>
      </w:tr>
      <w:tr w:rsidR="00726F8D" w:rsidRPr="00DC0F2E" w:rsidTr="00875F34">
        <w:tc>
          <w:tcPr>
            <w:tcW w:w="9180" w:type="dxa"/>
            <w:gridSpan w:val="10"/>
            <w:tcBorders>
              <w:top w:val="single" w:sz="4" w:space="0" w:color="FFFFFF"/>
            </w:tcBorders>
            <w:shd w:val="clear" w:color="auto" w:fill="auto"/>
          </w:tcPr>
          <w:p w:rsidR="00726F8D" w:rsidRPr="00B237DA" w:rsidRDefault="00726F8D" w:rsidP="00875F34">
            <w:pPr>
              <w:spacing w:after="0" w:line="240" w:lineRule="auto"/>
              <w:jc w:val="both"/>
              <w:rPr>
                <w:rFonts w:ascii="Times New Roman" w:hAnsi="Times New Roman"/>
              </w:rPr>
            </w:pPr>
            <w:r w:rsidRPr="00B237DA">
              <w:rPr>
                <w:rFonts w:ascii="Times New Roman" w:hAnsi="Times New Roman"/>
              </w:rPr>
              <w:t>Návrh zákona, ktorým sa mení a dopĺňa zákon č. 575/2001 Z. z. o organizácii činnosti vlády a organizácii ústrednej štátnej správy v znení neskorších predpisov a ktorým sa menia a dopĺňajú niektoré zákony</w:t>
            </w: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875F34">
            <w:pPr>
              <w:pStyle w:val="Odsekzoznamu1"/>
              <w:spacing w:after="0" w:line="240" w:lineRule="auto"/>
              <w:ind w:left="142"/>
              <w:rPr>
                <w:rFonts w:ascii="Times New Roman" w:hAnsi="Times New Roman"/>
                <w:b/>
              </w:rPr>
            </w:pPr>
            <w:r w:rsidRPr="00DC0F2E">
              <w:rPr>
                <w:rFonts w:ascii="Times New Roman" w:hAnsi="Times New Roman"/>
                <w:b/>
              </w:rPr>
              <w:t>Predkladateľ (a spolupredkladateľ)</w:t>
            </w:r>
          </w:p>
        </w:tc>
      </w:tr>
      <w:tr w:rsidR="00726F8D" w:rsidRPr="00DC0F2E" w:rsidTr="00875F34">
        <w:tc>
          <w:tcPr>
            <w:tcW w:w="9180" w:type="dxa"/>
            <w:gridSpan w:val="10"/>
            <w:tcBorders>
              <w:top w:val="single" w:sz="4" w:space="0" w:color="FFFFFF"/>
            </w:tcBorders>
            <w:shd w:val="clear" w:color="auto" w:fill="FFFFFF"/>
          </w:tcPr>
          <w:p w:rsidR="00726F8D" w:rsidRPr="00DC0F2E" w:rsidRDefault="00726F8D" w:rsidP="00875F34">
            <w:pPr>
              <w:spacing w:after="0" w:line="240" w:lineRule="auto"/>
              <w:rPr>
                <w:rFonts w:ascii="Times New Roman" w:hAnsi="Times New Roman"/>
              </w:rPr>
            </w:pPr>
            <w:r>
              <w:rPr>
                <w:rFonts w:ascii="Times New Roman" w:hAnsi="Times New Roman"/>
              </w:rPr>
              <w:t>P</w:t>
            </w:r>
            <w:r w:rsidRPr="00DC0F2E">
              <w:rPr>
                <w:rFonts w:ascii="Times New Roman" w:hAnsi="Times New Roman"/>
              </w:rPr>
              <w:t>redseda vlády S</w:t>
            </w:r>
            <w:r>
              <w:rPr>
                <w:rFonts w:ascii="Times New Roman" w:hAnsi="Times New Roman"/>
              </w:rPr>
              <w:t>lovenskej republiky</w:t>
            </w:r>
          </w:p>
        </w:tc>
      </w:tr>
      <w:tr w:rsidR="00726F8D" w:rsidRPr="00DC0F2E" w:rsidTr="00875F34">
        <w:tc>
          <w:tcPr>
            <w:tcW w:w="4212" w:type="dxa"/>
            <w:gridSpan w:val="2"/>
            <w:vMerge w:val="restart"/>
            <w:tcBorders>
              <w:bottom w:val="single" w:sz="4" w:space="0" w:color="FFFFFF"/>
            </w:tcBorders>
            <w:shd w:val="clear" w:color="auto" w:fill="E2E2E2"/>
            <w:vAlign w:val="center"/>
          </w:tcPr>
          <w:p w:rsidR="00726F8D" w:rsidRPr="00DC0F2E" w:rsidRDefault="00726F8D" w:rsidP="00875F34">
            <w:pPr>
              <w:pStyle w:val="Odsekzoznamu1"/>
              <w:spacing w:after="0" w:line="240" w:lineRule="auto"/>
              <w:ind w:left="142"/>
              <w:rPr>
                <w:rFonts w:ascii="Times New Roman" w:hAnsi="Times New Roman"/>
                <w:b/>
              </w:rPr>
            </w:pPr>
            <w:r w:rsidRPr="00DC0F2E">
              <w:rPr>
                <w:rFonts w:ascii="Times New Roman" w:hAnsi="Times New Roman"/>
                <w:b/>
              </w:rPr>
              <w:t>Charakter predkladaného materiálu</w:t>
            </w:r>
          </w:p>
        </w:tc>
        <w:tc>
          <w:tcPr>
            <w:tcW w:w="705" w:type="dxa"/>
            <w:gridSpan w:val="2"/>
            <w:tcBorders>
              <w:right w:val="nil"/>
            </w:tcBorders>
            <w:shd w:val="clear" w:color="auto" w:fill="FFFFFF"/>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p>
        </w:tc>
        <w:tc>
          <w:tcPr>
            <w:tcW w:w="4263" w:type="dxa"/>
            <w:gridSpan w:val="6"/>
            <w:tcBorders>
              <w:left w:val="nil"/>
            </w:tcBorders>
            <w:shd w:val="clear" w:color="auto" w:fill="FFFFFF"/>
          </w:tcPr>
          <w:p w:rsidR="00726F8D" w:rsidRPr="00DC0F2E" w:rsidRDefault="00726F8D" w:rsidP="00875F34">
            <w:pPr>
              <w:spacing w:after="0" w:line="240" w:lineRule="auto"/>
              <w:rPr>
                <w:rFonts w:ascii="Times New Roman" w:hAnsi="Times New Roman"/>
              </w:rPr>
            </w:pPr>
            <w:r w:rsidRPr="00DC0F2E">
              <w:rPr>
                <w:rFonts w:ascii="Times New Roman" w:hAnsi="Times New Roman"/>
              </w:rPr>
              <w:t>Materiál nelegislatívnej povahy</w:t>
            </w:r>
          </w:p>
        </w:tc>
      </w:tr>
      <w:tr w:rsidR="00726F8D" w:rsidRPr="00DC0F2E" w:rsidTr="00875F34">
        <w:tc>
          <w:tcPr>
            <w:tcW w:w="4212" w:type="dxa"/>
            <w:gridSpan w:val="2"/>
            <w:vMerge/>
            <w:tcBorders>
              <w:top w:val="nil"/>
              <w:bottom w:val="single" w:sz="4" w:space="0" w:color="FFFFFF"/>
            </w:tcBorders>
            <w:shd w:val="clear" w:color="auto" w:fill="E2E2E2"/>
          </w:tcPr>
          <w:p w:rsidR="00726F8D" w:rsidRPr="00DC0F2E" w:rsidRDefault="00726F8D" w:rsidP="00875F34">
            <w:pPr>
              <w:spacing w:after="0" w:line="240" w:lineRule="auto"/>
              <w:rPr>
                <w:rFonts w:ascii="Times New Roman" w:hAnsi="Times New Roman"/>
              </w:rPr>
            </w:pPr>
          </w:p>
        </w:tc>
        <w:tc>
          <w:tcPr>
            <w:tcW w:w="705" w:type="dxa"/>
            <w:gridSpan w:val="2"/>
            <w:tcBorders>
              <w:right w:val="nil"/>
            </w:tcBorders>
            <w:shd w:val="clear" w:color="auto" w:fill="FFFFFF"/>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p>
        </w:tc>
        <w:tc>
          <w:tcPr>
            <w:tcW w:w="4263" w:type="dxa"/>
            <w:gridSpan w:val="6"/>
            <w:tcBorders>
              <w:left w:val="nil"/>
            </w:tcBorders>
            <w:shd w:val="clear" w:color="auto" w:fill="FFFFFF"/>
          </w:tcPr>
          <w:p w:rsidR="00726F8D" w:rsidRPr="00DC0F2E" w:rsidRDefault="00726F8D" w:rsidP="00875F34">
            <w:pPr>
              <w:spacing w:after="0" w:line="240" w:lineRule="auto"/>
              <w:ind w:left="175" w:hanging="175"/>
              <w:rPr>
                <w:rFonts w:ascii="Times New Roman" w:hAnsi="Times New Roman"/>
              </w:rPr>
            </w:pPr>
            <w:r w:rsidRPr="00DC0F2E">
              <w:rPr>
                <w:rFonts w:ascii="Times New Roman" w:hAnsi="Times New Roman"/>
              </w:rPr>
              <w:t>Materiál legislatívnej povahy</w:t>
            </w:r>
          </w:p>
        </w:tc>
      </w:tr>
      <w:tr w:rsidR="00726F8D" w:rsidRPr="00DC0F2E" w:rsidTr="00875F34">
        <w:tc>
          <w:tcPr>
            <w:tcW w:w="4212" w:type="dxa"/>
            <w:gridSpan w:val="2"/>
            <w:vMerge/>
            <w:tcBorders>
              <w:top w:val="nil"/>
            </w:tcBorders>
            <w:shd w:val="clear" w:color="auto" w:fill="E2E2E2"/>
          </w:tcPr>
          <w:p w:rsidR="00726F8D" w:rsidRPr="00DC0F2E" w:rsidRDefault="00726F8D" w:rsidP="00875F34">
            <w:pPr>
              <w:spacing w:after="0" w:line="240" w:lineRule="auto"/>
              <w:rPr>
                <w:rFonts w:ascii="Times New Roman" w:hAnsi="Times New Roman"/>
              </w:rPr>
            </w:pPr>
          </w:p>
        </w:tc>
        <w:tc>
          <w:tcPr>
            <w:tcW w:w="705" w:type="dxa"/>
            <w:gridSpan w:val="2"/>
            <w:tcBorders>
              <w:right w:val="nil"/>
            </w:tcBorders>
            <w:shd w:val="clear" w:color="auto" w:fill="FFFFFF"/>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p>
        </w:tc>
        <w:tc>
          <w:tcPr>
            <w:tcW w:w="4263" w:type="dxa"/>
            <w:gridSpan w:val="6"/>
            <w:tcBorders>
              <w:left w:val="nil"/>
            </w:tcBorders>
            <w:shd w:val="clear" w:color="auto" w:fill="FFFFFF"/>
          </w:tcPr>
          <w:p w:rsidR="00726F8D" w:rsidRPr="00DC0F2E" w:rsidRDefault="00726F8D" w:rsidP="00875F34">
            <w:pPr>
              <w:spacing w:after="0" w:line="240" w:lineRule="auto"/>
              <w:rPr>
                <w:rFonts w:ascii="Times New Roman" w:hAnsi="Times New Roman"/>
              </w:rPr>
            </w:pPr>
            <w:r w:rsidRPr="00DC0F2E">
              <w:rPr>
                <w:rFonts w:ascii="Times New Roman" w:hAnsi="Times New Roman"/>
              </w:rPr>
              <w:t>Transpozícia práva EÚ</w:t>
            </w:r>
          </w:p>
        </w:tc>
      </w:tr>
      <w:tr w:rsidR="00726F8D" w:rsidRPr="00DC0F2E" w:rsidTr="00875F34">
        <w:tc>
          <w:tcPr>
            <w:tcW w:w="9180" w:type="dxa"/>
            <w:gridSpan w:val="10"/>
            <w:tcBorders>
              <w:bottom w:val="single" w:sz="4" w:space="0" w:color="FFFFFF"/>
            </w:tcBorders>
            <w:shd w:val="clear" w:color="auto" w:fill="FFFFFF"/>
          </w:tcPr>
          <w:p w:rsidR="00726F8D" w:rsidRPr="00DC0F2E" w:rsidRDefault="00726F8D" w:rsidP="00875F34">
            <w:pPr>
              <w:spacing w:after="0" w:line="240" w:lineRule="auto"/>
              <w:rPr>
                <w:rFonts w:ascii="Times New Roman" w:hAnsi="Times New Roman"/>
                <w:i/>
              </w:rPr>
            </w:pPr>
            <w:r w:rsidRPr="00DC0F2E">
              <w:rPr>
                <w:rFonts w:ascii="Times New Roman" w:hAnsi="Times New Roman"/>
                <w:i/>
              </w:rPr>
              <w:t>V prípade transpozície uveďte zoznam transponovaných predpisov:-</w:t>
            </w:r>
          </w:p>
          <w:p w:rsidR="00726F8D" w:rsidRPr="00DC0F2E" w:rsidRDefault="00726F8D" w:rsidP="00875F34">
            <w:pPr>
              <w:spacing w:after="0" w:line="240" w:lineRule="auto"/>
              <w:rPr>
                <w:rFonts w:ascii="Times New Roman" w:hAnsi="Times New Roman"/>
              </w:rPr>
            </w:pPr>
          </w:p>
          <w:p w:rsidR="00726F8D" w:rsidRPr="00DC0F2E" w:rsidRDefault="00726F8D" w:rsidP="00875F34">
            <w:pPr>
              <w:spacing w:after="0" w:line="240" w:lineRule="auto"/>
              <w:rPr>
                <w:rFonts w:ascii="Times New Roman" w:hAnsi="Times New Roman"/>
              </w:rPr>
            </w:pPr>
          </w:p>
        </w:tc>
      </w:tr>
      <w:tr w:rsidR="00726F8D" w:rsidRPr="00DC0F2E" w:rsidTr="00875F34">
        <w:tc>
          <w:tcPr>
            <w:tcW w:w="5634" w:type="dxa"/>
            <w:gridSpan w:val="5"/>
            <w:tcBorders>
              <w:top w:val="single" w:sz="4" w:space="0" w:color="000000"/>
              <w:bottom w:val="single" w:sz="4" w:space="0" w:color="FFFFFF"/>
            </w:tcBorders>
            <w:shd w:val="clear" w:color="auto" w:fill="E2E2E2"/>
          </w:tcPr>
          <w:p w:rsidR="00726F8D" w:rsidRPr="00DC0F2E" w:rsidRDefault="00726F8D" w:rsidP="00875F34">
            <w:pPr>
              <w:pStyle w:val="Odsekzoznamu1"/>
              <w:spacing w:after="0" w:line="240" w:lineRule="auto"/>
              <w:ind w:left="142"/>
              <w:rPr>
                <w:rFonts w:ascii="Times New Roman" w:hAnsi="Times New Roman"/>
                <w:b/>
              </w:rPr>
            </w:pPr>
            <w:r w:rsidRPr="00DC0F2E">
              <w:rPr>
                <w:rFonts w:ascii="Times New Roman" w:hAnsi="Times New Roman"/>
                <w:b/>
              </w:rPr>
              <w:t>Termín začiatku a ukončenia PPK</w:t>
            </w:r>
          </w:p>
        </w:tc>
        <w:tc>
          <w:tcPr>
            <w:tcW w:w="3546" w:type="dxa"/>
            <w:gridSpan w:val="5"/>
            <w:tcBorders>
              <w:top w:val="single" w:sz="4" w:space="0" w:color="000000"/>
            </w:tcBorders>
            <w:shd w:val="clear" w:color="auto" w:fill="auto"/>
          </w:tcPr>
          <w:p w:rsidR="00726F8D" w:rsidRPr="00DC0F2E" w:rsidRDefault="00726F8D" w:rsidP="00875F34">
            <w:pPr>
              <w:spacing w:after="0" w:line="240" w:lineRule="auto"/>
              <w:rPr>
                <w:rFonts w:ascii="Times New Roman" w:hAnsi="Times New Roman"/>
                <w:i/>
              </w:rPr>
            </w:pPr>
          </w:p>
        </w:tc>
      </w:tr>
      <w:tr w:rsidR="00726F8D" w:rsidRPr="00DC0F2E" w:rsidTr="00875F34">
        <w:tc>
          <w:tcPr>
            <w:tcW w:w="5634" w:type="dxa"/>
            <w:gridSpan w:val="5"/>
            <w:tcBorders>
              <w:bottom w:val="single" w:sz="4" w:space="0" w:color="FFFFFF"/>
            </w:tcBorders>
            <w:shd w:val="clear" w:color="auto" w:fill="E2E2E2"/>
          </w:tcPr>
          <w:p w:rsidR="00726F8D" w:rsidRPr="00DC0F2E" w:rsidRDefault="00726F8D" w:rsidP="00875F34">
            <w:pPr>
              <w:pStyle w:val="Odsekzoznamu1"/>
              <w:spacing w:after="0" w:line="240" w:lineRule="auto"/>
              <w:ind w:left="142"/>
              <w:rPr>
                <w:rFonts w:ascii="Times New Roman" w:hAnsi="Times New Roman"/>
                <w:b/>
              </w:rPr>
            </w:pPr>
            <w:r w:rsidRPr="00DC0F2E">
              <w:rPr>
                <w:rFonts w:ascii="Times New Roman" w:hAnsi="Times New Roman"/>
                <w:b/>
              </w:rPr>
              <w:t>Predpokladaný termín predloženia na MPK*</w:t>
            </w:r>
          </w:p>
        </w:tc>
        <w:tc>
          <w:tcPr>
            <w:tcW w:w="3546" w:type="dxa"/>
            <w:gridSpan w:val="5"/>
            <w:shd w:val="clear" w:color="auto" w:fill="auto"/>
          </w:tcPr>
          <w:p w:rsidR="00726F8D" w:rsidRPr="00DC0F2E" w:rsidRDefault="00726F8D" w:rsidP="00875F34">
            <w:pPr>
              <w:spacing w:after="0" w:line="240" w:lineRule="auto"/>
              <w:rPr>
                <w:rFonts w:ascii="Times New Roman" w:hAnsi="Times New Roman"/>
                <w:i/>
              </w:rPr>
            </w:pPr>
          </w:p>
        </w:tc>
      </w:tr>
      <w:tr w:rsidR="00726F8D" w:rsidRPr="00DC0F2E" w:rsidTr="00875F34">
        <w:tc>
          <w:tcPr>
            <w:tcW w:w="5634" w:type="dxa"/>
            <w:gridSpan w:val="5"/>
            <w:tcBorders>
              <w:bottom w:val="single" w:sz="4" w:space="0" w:color="FFFFFF"/>
            </w:tcBorders>
            <w:shd w:val="clear" w:color="auto" w:fill="E2E2E2"/>
          </w:tcPr>
          <w:p w:rsidR="00726F8D" w:rsidRPr="00DC0F2E" w:rsidRDefault="00726F8D" w:rsidP="00875F34">
            <w:pPr>
              <w:pStyle w:val="Odsekzoznamu1"/>
              <w:spacing w:after="0" w:line="240" w:lineRule="auto"/>
              <w:ind w:left="142"/>
              <w:rPr>
                <w:rFonts w:ascii="Times New Roman" w:hAnsi="Times New Roman"/>
                <w:b/>
              </w:rPr>
            </w:pPr>
            <w:r w:rsidRPr="00DC0F2E">
              <w:rPr>
                <w:rFonts w:ascii="Times New Roman" w:hAnsi="Times New Roman"/>
                <w:b/>
              </w:rPr>
              <w:t>Predpokladaný termín predloženia na Rokovanie vlády SR*</w:t>
            </w:r>
          </w:p>
        </w:tc>
        <w:tc>
          <w:tcPr>
            <w:tcW w:w="3546" w:type="dxa"/>
            <w:gridSpan w:val="5"/>
            <w:shd w:val="clear" w:color="auto" w:fill="auto"/>
          </w:tcPr>
          <w:p w:rsidR="00726F8D" w:rsidRPr="00DC0F2E" w:rsidRDefault="00726F8D" w:rsidP="00875F34">
            <w:pPr>
              <w:spacing w:after="0" w:line="240" w:lineRule="auto"/>
              <w:rPr>
                <w:rFonts w:ascii="Times New Roman" w:hAnsi="Times New Roman"/>
                <w:i/>
              </w:rPr>
            </w:pPr>
          </w:p>
        </w:tc>
      </w:tr>
      <w:tr w:rsidR="00726F8D" w:rsidRPr="00DC0F2E" w:rsidTr="00875F34">
        <w:tc>
          <w:tcPr>
            <w:tcW w:w="9180" w:type="dxa"/>
            <w:gridSpan w:val="10"/>
            <w:tcBorders>
              <w:left w:val="nil"/>
              <w:right w:val="nil"/>
            </w:tcBorders>
            <w:shd w:val="clear" w:color="auto" w:fill="FFFFFF"/>
          </w:tcPr>
          <w:p w:rsidR="00726F8D" w:rsidRPr="00DC0F2E" w:rsidRDefault="00726F8D" w:rsidP="00875F34">
            <w:pPr>
              <w:spacing w:after="0" w:line="240" w:lineRule="auto"/>
              <w:rPr>
                <w:rFonts w:ascii="Times New Roman" w:hAnsi="Times New Roman"/>
              </w:rPr>
            </w:pP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Definícia problému</w:t>
            </w:r>
          </w:p>
        </w:tc>
      </w:tr>
      <w:tr w:rsidR="00726F8D" w:rsidRPr="00DC0F2E" w:rsidTr="00875F34">
        <w:trPr>
          <w:trHeight w:val="718"/>
        </w:trPr>
        <w:tc>
          <w:tcPr>
            <w:tcW w:w="9180" w:type="dxa"/>
            <w:gridSpan w:val="10"/>
            <w:tcBorders>
              <w:top w:val="single" w:sz="4" w:space="0" w:color="FFFFFF"/>
            </w:tcBorders>
            <w:shd w:val="clear" w:color="auto" w:fill="FFFFFF"/>
          </w:tcPr>
          <w:p w:rsidR="00726F8D" w:rsidRDefault="00726F8D" w:rsidP="00875F34">
            <w:pPr>
              <w:spacing w:after="0" w:line="240" w:lineRule="auto"/>
              <w:jc w:val="both"/>
              <w:rPr>
                <w:rFonts w:ascii="Times New Roman" w:hAnsi="Times New Roman"/>
              </w:rPr>
            </w:pPr>
            <w:r w:rsidRPr="000A44E5">
              <w:rPr>
                <w:rFonts w:ascii="Times New Roman" w:hAnsi="Times New Roman"/>
              </w:rPr>
              <w:t xml:space="preserve">Návrh zákona bol vypracovaný ako iniciatívny materiál v súlade </w:t>
            </w:r>
            <w:r>
              <w:rPr>
                <w:rFonts w:ascii="Times New Roman" w:hAnsi="Times New Roman"/>
              </w:rPr>
              <w:t>s programovým vyhlásením vlády S</w:t>
            </w:r>
            <w:r w:rsidRPr="000A44E5">
              <w:rPr>
                <w:rFonts w:ascii="Times New Roman" w:hAnsi="Times New Roman"/>
              </w:rPr>
              <w:t xml:space="preserve">lovenskej republiky. </w:t>
            </w:r>
          </w:p>
          <w:p w:rsidR="00726F8D" w:rsidRDefault="00726F8D" w:rsidP="00875F34">
            <w:pPr>
              <w:spacing w:after="0" w:line="240" w:lineRule="auto"/>
              <w:jc w:val="both"/>
              <w:rPr>
                <w:rFonts w:ascii="Times New Roman" w:hAnsi="Times New Roman"/>
              </w:rPr>
            </w:pPr>
          </w:p>
          <w:p w:rsidR="00726F8D" w:rsidRPr="000A44E5" w:rsidRDefault="00726F8D" w:rsidP="00875F34">
            <w:pPr>
              <w:spacing w:after="0" w:line="240" w:lineRule="auto"/>
              <w:jc w:val="both"/>
              <w:rPr>
                <w:rFonts w:ascii="Times New Roman" w:hAnsi="Times New Roman"/>
              </w:rPr>
            </w:pPr>
          </w:p>
        </w:tc>
      </w:tr>
      <w:tr w:rsidR="00726F8D" w:rsidRPr="00DC0F2E" w:rsidTr="00875F34">
        <w:tc>
          <w:tcPr>
            <w:tcW w:w="9180" w:type="dxa"/>
            <w:gridSpan w:val="10"/>
            <w:tcBorders>
              <w:bottom w:val="nil"/>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Ciele a výsledný stav</w:t>
            </w:r>
          </w:p>
        </w:tc>
      </w:tr>
      <w:tr w:rsidR="00726F8D" w:rsidRPr="00DC0F2E" w:rsidTr="00875F34">
        <w:trPr>
          <w:trHeight w:val="741"/>
        </w:trPr>
        <w:tc>
          <w:tcPr>
            <w:tcW w:w="9180" w:type="dxa"/>
            <w:gridSpan w:val="10"/>
            <w:tcBorders>
              <w:top w:val="nil"/>
            </w:tcBorders>
            <w:shd w:val="clear" w:color="auto" w:fill="FFFFFF"/>
          </w:tcPr>
          <w:p w:rsidR="00726F8D" w:rsidRDefault="00726F8D" w:rsidP="00875F34">
            <w:pPr>
              <w:spacing w:after="0" w:line="240" w:lineRule="auto"/>
              <w:jc w:val="both"/>
              <w:rPr>
                <w:rFonts w:ascii="Times New Roman" w:hAnsi="Times New Roman"/>
              </w:rPr>
            </w:pPr>
            <w:r w:rsidRPr="000A44E5">
              <w:rPr>
                <w:rFonts w:ascii="Times New Roman" w:hAnsi="Times New Roman"/>
              </w:rPr>
              <w:t xml:space="preserve">Návrh zákona bol vypracovaný ako iniciatívny materiál v súlade </w:t>
            </w:r>
            <w:r>
              <w:rPr>
                <w:rFonts w:ascii="Times New Roman" w:hAnsi="Times New Roman"/>
              </w:rPr>
              <w:t>s programovým vyhlásením vlády S</w:t>
            </w:r>
            <w:r w:rsidRPr="000A44E5">
              <w:rPr>
                <w:rFonts w:ascii="Times New Roman" w:hAnsi="Times New Roman"/>
              </w:rPr>
              <w:t>lovenskej republiky.</w:t>
            </w:r>
          </w:p>
          <w:p w:rsidR="00726F8D" w:rsidRDefault="00726F8D" w:rsidP="00875F34">
            <w:pPr>
              <w:spacing w:after="0" w:line="240" w:lineRule="auto"/>
              <w:jc w:val="both"/>
              <w:rPr>
                <w:rFonts w:ascii="Times New Roman" w:hAnsi="Times New Roman"/>
              </w:rPr>
            </w:pPr>
          </w:p>
          <w:p w:rsidR="00726F8D" w:rsidRPr="00DC0F2E" w:rsidRDefault="00726F8D" w:rsidP="00875F34">
            <w:pPr>
              <w:spacing w:after="0" w:line="240" w:lineRule="auto"/>
              <w:jc w:val="both"/>
              <w:rPr>
                <w:rFonts w:ascii="Times New Roman" w:hAnsi="Times New Roman"/>
              </w:rPr>
            </w:pPr>
          </w:p>
        </w:tc>
      </w:tr>
      <w:tr w:rsidR="00726F8D" w:rsidRPr="00DC0F2E" w:rsidTr="00875F34">
        <w:tc>
          <w:tcPr>
            <w:tcW w:w="9180" w:type="dxa"/>
            <w:gridSpan w:val="10"/>
            <w:tcBorders>
              <w:bottom w:val="nil"/>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Dotknuté subjekty</w:t>
            </w:r>
          </w:p>
        </w:tc>
      </w:tr>
      <w:tr w:rsidR="00726F8D" w:rsidRPr="00DC0F2E" w:rsidTr="00875F34">
        <w:tc>
          <w:tcPr>
            <w:tcW w:w="9180" w:type="dxa"/>
            <w:gridSpan w:val="10"/>
            <w:tcBorders>
              <w:top w:val="nil"/>
            </w:tcBorders>
            <w:shd w:val="clear" w:color="auto" w:fill="FFFFFF"/>
          </w:tcPr>
          <w:p w:rsidR="00726F8D" w:rsidRDefault="00726F8D" w:rsidP="00875F34">
            <w:pPr>
              <w:spacing w:after="0" w:line="240" w:lineRule="auto"/>
              <w:rPr>
                <w:rFonts w:ascii="Times New Roman" w:hAnsi="Times New Roman"/>
              </w:rPr>
            </w:pPr>
            <w:r w:rsidRPr="00DC0F2E">
              <w:rPr>
                <w:rFonts w:ascii="Times New Roman" w:hAnsi="Times New Roman"/>
              </w:rPr>
              <w:t>Štátne orgány, orgány územnej samosprávy, fyzické osoby, právnické osoby</w:t>
            </w:r>
            <w:r>
              <w:rPr>
                <w:rFonts w:ascii="Times New Roman" w:hAnsi="Times New Roman"/>
              </w:rPr>
              <w:t>.</w:t>
            </w:r>
          </w:p>
          <w:p w:rsidR="00726F8D" w:rsidRPr="00DC0F2E" w:rsidRDefault="00726F8D" w:rsidP="00875F34">
            <w:pPr>
              <w:spacing w:after="0" w:line="240" w:lineRule="auto"/>
              <w:rPr>
                <w:rFonts w:ascii="Times New Roman" w:hAnsi="Times New Roman"/>
              </w:rPr>
            </w:pPr>
          </w:p>
          <w:p w:rsidR="00726F8D" w:rsidRPr="00DC0F2E" w:rsidRDefault="00726F8D" w:rsidP="00875F34">
            <w:pPr>
              <w:spacing w:after="0" w:line="240" w:lineRule="auto"/>
              <w:rPr>
                <w:rFonts w:ascii="Times New Roman" w:hAnsi="Times New Roman"/>
                <w:i/>
              </w:rPr>
            </w:pPr>
          </w:p>
        </w:tc>
      </w:tr>
      <w:tr w:rsidR="00726F8D" w:rsidRPr="00DC0F2E" w:rsidTr="00875F34">
        <w:tc>
          <w:tcPr>
            <w:tcW w:w="9180" w:type="dxa"/>
            <w:gridSpan w:val="10"/>
            <w:tcBorders>
              <w:bottom w:val="nil"/>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Alternatívne riešenia</w:t>
            </w:r>
          </w:p>
        </w:tc>
      </w:tr>
      <w:tr w:rsidR="00726F8D" w:rsidRPr="00DC0F2E" w:rsidTr="00875F34">
        <w:trPr>
          <w:trHeight w:val="709"/>
        </w:trPr>
        <w:tc>
          <w:tcPr>
            <w:tcW w:w="9180" w:type="dxa"/>
            <w:gridSpan w:val="10"/>
            <w:tcBorders>
              <w:top w:val="nil"/>
            </w:tcBorders>
            <w:shd w:val="clear" w:color="auto" w:fill="FFFFFF"/>
          </w:tcPr>
          <w:p w:rsidR="00726F8D" w:rsidRPr="00DC0F2E" w:rsidRDefault="00726F8D" w:rsidP="00875F34">
            <w:pPr>
              <w:spacing w:after="0" w:line="240" w:lineRule="auto"/>
              <w:rPr>
                <w:rFonts w:ascii="Times New Roman" w:hAnsi="Times New Roman"/>
              </w:rPr>
            </w:pPr>
            <w:r w:rsidRPr="00DC0F2E">
              <w:rPr>
                <w:rFonts w:ascii="Times New Roman" w:hAnsi="Times New Roman"/>
              </w:rPr>
              <w:t>Alternatívne riešenia neboli posudzované.</w:t>
            </w: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Vykonávacie predpisy</w:t>
            </w:r>
          </w:p>
        </w:tc>
      </w:tr>
      <w:tr w:rsidR="00726F8D" w:rsidRPr="00DC0F2E" w:rsidTr="00875F34">
        <w:tc>
          <w:tcPr>
            <w:tcW w:w="6203" w:type="dxa"/>
            <w:gridSpan w:val="6"/>
            <w:tcBorders>
              <w:top w:val="single" w:sz="4" w:space="0" w:color="FFFFFF"/>
              <w:bottom w:val="nil"/>
              <w:right w:val="nil"/>
            </w:tcBorders>
            <w:shd w:val="clear" w:color="auto" w:fill="FFFFFF"/>
          </w:tcPr>
          <w:p w:rsidR="00726F8D" w:rsidRPr="00DC0F2E" w:rsidRDefault="00726F8D" w:rsidP="00875F34">
            <w:pPr>
              <w:spacing w:after="0" w:line="240" w:lineRule="auto"/>
              <w:rPr>
                <w:rFonts w:ascii="Times New Roman" w:hAnsi="Times New Roman"/>
                <w:i/>
              </w:rPr>
            </w:pPr>
          </w:p>
        </w:tc>
        <w:tc>
          <w:tcPr>
            <w:tcW w:w="1417" w:type="dxa"/>
            <w:gridSpan w:val="2"/>
            <w:tcBorders>
              <w:top w:val="single" w:sz="4" w:space="0" w:color="FFFFFF"/>
              <w:left w:val="nil"/>
              <w:bottom w:val="nil"/>
              <w:right w:val="nil"/>
            </w:tcBorders>
            <w:shd w:val="clear" w:color="auto" w:fill="FFFFFF"/>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r w:rsidRPr="00DC0F2E">
              <w:rPr>
                <w:rFonts w:ascii="Times New Roman" w:hAnsi="Times New Roman"/>
              </w:rPr>
              <w:t xml:space="preserve">  Áno</w:t>
            </w:r>
          </w:p>
        </w:tc>
        <w:tc>
          <w:tcPr>
            <w:tcW w:w="1560" w:type="dxa"/>
            <w:gridSpan w:val="2"/>
            <w:tcBorders>
              <w:top w:val="single" w:sz="4" w:space="0" w:color="FFFFFF"/>
              <w:left w:val="nil"/>
              <w:bottom w:val="nil"/>
            </w:tcBorders>
            <w:shd w:val="clear" w:color="auto" w:fill="FFFFFF"/>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r w:rsidRPr="00DC0F2E">
              <w:rPr>
                <w:rFonts w:ascii="Times New Roman" w:hAnsi="Times New Roman"/>
              </w:rPr>
              <w:t xml:space="preserve">  Nie</w:t>
            </w:r>
          </w:p>
        </w:tc>
      </w:tr>
      <w:tr w:rsidR="00726F8D" w:rsidRPr="00DC0F2E" w:rsidTr="00875F34">
        <w:tc>
          <w:tcPr>
            <w:tcW w:w="9180" w:type="dxa"/>
            <w:gridSpan w:val="10"/>
            <w:tcBorders>
              <w:top w:val="nil"/>
            </w:tcBorders>
            <w:shd w:val="clear" w:color="auto" w:fill="FFFFFF"/>
          </w:tcPr>
          <w:p w:rsidR="00726F8D" w:rsidRPr="00DC0F2E" w:rsidRDefault="00726F8D" w:rsidP="00875F34">
            <w:pPr>
              <w:spacing w:after="0" w:line="240" w:lineRule="auto"/>
              <w:rPr>
                <w:rFonts w:ascii="Times New Roman" w:hAnsi="Times New Roman"/>
              </w:rPr>
            </w:pP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 xml:space="preserve">Transpozícia práva EÚ </w:t>
            </w:r>
          </w:p>
        </w:tc>
      </w:tr>
      <w:tr w:rsidR="00726F8D" w:rsidRPr="00DC0F2E" w:rsidTr="00875F34">
        <w:trPr>
          <w:trHeight w:val="157"/>
        </w:trPr>
        <w:tc>
          <w:tcPr>
            <w:tcW w:w="9180" w:type="dxa"/>
            <w:gridSpan w:val="10"/>
            <w:tcBorders>
              <w:top w:val="nil"/>
              <w:left w:val="single" w:sz="4" w:space="0" w:color="000000"/>
              <w:bottom w:val="nil"/>
            </w:tcBorders>
            <w:shd w:val="clear" w:color="auto" w:fill="FFFFFF"/>
          </w:tcPr>
          <w:p w:rsidR="00726F8D" w:rsidRPr="00DC0F2E" w:rsidRDefault="00726F8D" w:rsidP="00875F34">
            <w:pPr>
              <w:spacing w:after="0" w:line="240" w:lineRule="auto"/>
              <w:rPr>
                <w:rFonts w:ascii="Times New Roman" w:hAnsi="Times New Roman"/>
              </w:rPr>
            </w:pPr>
            <w:r w:rsidRPr="00DC0F2E">
              <w:rPr>
                <w:rFonts w:ascii="Times New Roman" w:hAnsi="Times New Roman"/>
              </w:rPr>
              <w:t>Národná právna úprava nejde nad rámec minimálnych požiadaviek EÚ.</w:t>
            </w:r>
          </w:p>
        </w:tc>
      </w:tr>
      <w:tr w:rsidR="00726F8D" w:rsidRPr="00DC0F2E" w:rsidTr="00875F34">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rsidR="00726F8D" w:rsidRDefault="00726F8D" w:rsidP="00875F34">
            <w:pPr>
              <w:spacing w:after="0" w:line="240" w:lineRule="auto"/>
              <w:jc w:val="center"/>
              <w:rPr>
                <w:rFonts w:ascii="Times New Roman" w:hAnsi="Times New Roman"/>
              </w:rPr>
            </w:pPr>
          </w:p>
          <w:p w:rsidR="00726F8D" w:rsidRPr="00DC0F2E" w:rsidRDefault="00726F8D" w:rsidP="00875F34">
            <w:pPr>
              <w:spacing w:after="0" w:line="240" w:lineRule="auto"/>
              <w:jc w:val="center"/>
              <w:rPr>
                <w:rFonts w:ascii="Times New Roman" w:hAnsi="Times New Roman"/>
              </w:rPr>
            </w:pP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Preskúmanie účelnosti**</w:t>
            </w:r>
          </w:p>
        </w:tc>
      </w:tr>
      <w:tr w:rsidR="00726F8D" w:rsidRPr="00DC0F2E" w:rsidTr="00875F34">
        <w:tc>
          <w:tcPr>
            <w:tcW w:w="9180" w:type="dxa"/>
            <w:gridSpan w:val="10"/>
            <w:tcBorders>
              <w:top w:val="single" w:sz="4" w:space="0" w:color="FFFFFF"/>
            </w:tcBorders>
            <w:shd w:val="clear" w:color="auto" w:fill="FFFFFF"/>
          </w:tcPr>
          <w:p w:rsidR="00726F8D" w:rsidRPr="00DC0F2E" w:rsidRDefault="00726F8D" w:rsidP="00875F34">
            <w:pPr>
              <w:spacing w:after="0" w:line="240" w:lineRule="auto"/>
              <w:jc w:val="both"/>
              <w:rPr>
                <w:rFonts w:ascii="Times New Roman" w:hAnsi="Times New Roman"/>
              </w:rPr>
            </w:pPr>
            <w:r w:rsidRPr="00DC0F2E">
              <w:rPr>
                <w:rFonts w:ascii="Times New Roman" w:hAnsi="Times New Roman"/>
              </w:rPr>
              <w:t>Preskúmanie účinnosti a účelnosti navrhovaného predpisu bude vykonávané priebežne po nadobudnutí účinnosti.</w:t>
            </w:r>
          </w:p>
          <w:p w:rsidR="00726F8D" w:rsidRDefault="00726F8D" w:rsidP="00875F34">
            <w:pPr>
              <w:spacing w:after="0" w:line="240" w:lineRule="auto"/>
              <w:jc w:val="both"/>
              <w:rPr>
                <w:rFonts w:ascii="Times New Roman" w:hAnsi="Times New Roman"/>
                <w:i/>
              </w:rPr>
            </w:pPr>
          </w:p>
          <w:p w:rsidR="00726F8D" w:rsidRDefault="00726F8D" w:rsidP="00875F34">
            <w:pPr>
              <w:spacing w:after="0" w:line="240" w:lineRule="auto"/>
              <w:jc w:val="both"/>
              <w:rPr>
                <w:rFonts w:ascii="Times New Roman" w:hAnsi="Times New Roman"/>
                <w:i/>
              </w:rPr>
            </w:pPr>
          </w:p>
          <w:p w:rsidR="00726F8D" w:rsidRPr="00DC0F2E" w:rsidRDefault="00726F8D" w:rsidP="00875F34">
            <w:pPr>
              <w:spacing w:after="0" w:line="240" w:lineRule="auto"/>
              <w:jc w:val="both"/>
              <w:rPr>
                <w:rFonts w:ascii="Times New Roman" w:hAnsi="Times New Roman"/>
                <w:i/>
              </w:rPr>
            </w:pPr>
          </w:p>
        </w:tc>
      </w:tr>
      <w:tr w:rsidR="00726F8D" w:rsidRPr="00DC0F2E" w:rsidTr="00875F34">
        <w:trPr>
          <w:trHeight w:val="577"/>
        </w:trPr>
        <w:tc>
          <w:tcPr>
            <w:tcW w:w="9180" w:type="dxa"/>
            <w:gridSpan w:val="10"/>
            <w:tcBorders>
              <w:bottom w:val="single" w:sz="4" w:space="0" w:color="FFFFFF"/>
            </w:tcBorders>
            <w:shd w:val="clear" w:color="auto" w:fill="E2E2E2"/>
            <w:vAlign w:val="center"/>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lastRenderedPageBreak/>
              <w:t>Vplyvy navrhovaného materiálu</w:t>
            </w:r>
          </w:p>
        </w:tc>
      </w:tr>
      <w:tr w:rsidR="00726F8D" w:rsidRPr="00DC0F2E" w:rsidTr="00875F34">
        <w:tc>
          <w:tcPr>
            <w:tcW w:w="3812" w:type="dxa"/>
            <w:tcBorders>
              <w:bottom w:val="nil"/>
            </w:tcBorders>
            <w:shd w:val="clear" w:color="auto" w:fill="E2E2E2"/>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Vplyvy na rozpočet verejnej správy</w:t>
            </w:r>
          </w:p>
        </w:tc>
        <w:tc>
          <w:tcPr>
            <w:tcW w:w="541" w:type="dxa"/>
            <w:gridSpan w:val="2"/>
            <w:tcBorders>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left w:val="nil"/>
              <w:right w:val="nil"/>
            </w:tcBorders>
            <w:shd w:val="clear" w:color="auto" w:fill="auto"/>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Pozitívne</w:t>
            </w:r>
          </w:p>
        </w:tc>
        <w:tc>
          <w:tcPr>
            <w:tcW w:w="569" w:type="dxa"/>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left w:val="nil"/>
              <w:right w:val="nil"/>
            </w:tcBorders>
            <w:shd w:val="clear" w:color="auto" w:fill="auto"/>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Žiadne</w:t>
            </w:r>
          </w:p>
        </w:tc>
        <w:tc>
          <w:tcPr>
            <w:tcW w:w="547" w:type="dxa"/>
            <w:gridSpan w:val="2"/>
            <w:tcBorders>
              <w:left w:val="nil"/>
              <w:right w:val="nil"/>
            </w:tcBorders>
            <w:shd w:val="clear" w:color="auto" w:fill="auto"/>
          </w:tcPr>
          <w:p w:rsidR="00726F8D" w:rsidRPr="00DC0F2E" w:rsidRDefault="00726F8D" w:rsidP="00875F34">
            <w:pPr>
              <w:spacing w:after="0" w:line="240" w:lineRule="auto"/>
              <w:ind w:left="-107" w:right="-108"/>
              <w:jc w:val="center"/>
              <w:rPr>
                <w:rFonts w:ascii="Times New Roman" w:hAnsi="Times New Roman"/>
                <w:b/>
              </w:rPr>
            </w:pPr>
            <w:r w:rsidRPr="00DC0F2E">
              <w:rPr>
                <w:rFonts w:ascii="MS Mincho" w:eastAsia="MS Mincho" w:hAnsi="MS Mincho" w:cs="MS Mincho" w:hint="eastAsia"/>
                <w:b/>
              </w:rPr>
              <w:t>☐</w:t>
            </w:r>
          </w:p>
        </w:tc>
        <w:tc>
          <w:tcPr>
            <w:tcW w:w="1297" w:type="dxa"/>
            <w:tcBorders>
              <w:left w:val="nil"/>
            </w:tcBorders>
            <w:shd w:val="clear" w:color="auto" w:fill="auto"/>
          </w:tcPr>
          <w:p w:rsidR="00726F8D" w:rsidRPr="00DC0F2E" w:rsidRDefault="00726F8D" w:rsidP="00875F34">
            <w:pPr>
              <w:spacing w:after="0" w:line="240" w:lineRule="auto"/>
              <w:ind w:left="34"/>
              <w:rPr>
                <w:rFonts w:ascii="Times New Roman" w:hAnsi="Times New Roman"/>
                <w:b/>
              </w:rPr>
            </w:pPr>
            <w:r w:rsidRPr="00DC0F2E">
              <w:rPr>
                <w:rFonts w:ascii="Times New Roman" w:hAnsi="Times New Roman"/>
                <w:b/>
              </w:rPr>
              <w:t>Negatívne</w:t>
            </w:r>
          </w:p>
        </w:tc>
      </w:tr>
      <w:tr w:rsidR="00726F8D" w:rsidRPr="00DC0F2E" w:rsidTr="00875F34">
        <w:tc>
          <w:tcPr>
            <w:tcW w:w="3812" w:type="dxa"/>
            <w:tcBorders>
              <w:top w:val="nil"/>
              <w:bottom w:val="single" w:sz="4" w:space="0" w:color="000000"/>
            </w:tcBorders>
            <w:shd w:val="clear" w:color="auto" w:fill="E2E2E2"/>
          </w:tcPr>
          <w:p w:rsidR="00726F8D" w:rsidRPr="00DC0F2E" w:rsidRDefault="00726F8D" w:rsidP="00875F34">
            <w:pPr>
              <w:spacing w:after="0" w:line="240" w:lineRule="auto"/>
              <w:rPr>
                <w:rFonts w:ascii="Times New Roman" w:hAnsi="Times New Roman"/>
              </w:rPr>
            </w:pPr>
            <w:r w:rsidRPr="00DC0F2E">
              <w:rPr>
                <w:rFonts w:ascii="Times New Roman" w:hAnsi="Times New Roman"/>
              </w:rPr>
              <w:t xml:space="preserve">    z toho rozpočtovo zabezpečené vplyvy</w:t>
            </w:r>
          </w:p>
        </w:tc>
        <w:tc>
          <w:tcPr>
            <w:tcW w:w="541" w:type="dxa"/>
            <w:gridSpan w:val="2"/>
            <w:tcBorders>
              <w:right w:val="nil"/>
            </w:tcBorders>
            <w:shd w:val="clear" w:color="auto" w:fill="auto"/>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p>
        </w:tc>
        <w:tc>
          <w:tcPr>
            <w:tcW w:w="1281" w:type="dxa"/>
            <w:gridSpan w:val="2"/>
            <w:tcBorders>
              <w:left w:val="nil"/>
              <w:right w:val="nil"/>
            </w:tcBorders>
            <w:shd w:val="clear" w:color="auto" w:fill="auto"/>
          </w:tcPr>
          <w:p w:rsidR="00726F8D" w:rsidRPr="00DC0F2E" w:rsidRDefault="00726F8D" w:rsidP="00875F34">
            <w:pPr>
              <w:spacing w:after="0" w:line="240" w:lineRule="auto"/>
              <w:rPr>
                <w:rFonts w:ascii="Times New Roman" w:hAnsi="Times New Roman"/>
              </w:rPr>
            </w:pPr>
            <w:r w:rsidRPr="00DC0F2E">
              <w:rPr>
                <w:rFonts w:ascii="Times New Roman" w:hAnsi="Times New Roman"/>
              </w:rPr>
              <w:t>Áno</w:t>
            </w:r>
          </w:p>
        </w:tc>
        <w:tc>
          <w:tcPr>
            <w:tcW w:w="569" w:type="dxa"/>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p>
        </w:tc>
        <w:tc>
          <w:tcPr>
            <w:tcW w:w="1133" w:type="dxa"/>
            <w:tcBorders>
              <w:left w:val="nil"/>
              <w:right w:val="nil"/>
            </w:tcBorders>
            <w:shd w:val="clear" w:color="auto" w:fill="auto"/>
          </w:tcPr>
          <w:p w:rsidR="00726F8D" w:rsidRPr="00DC0F2E" w:rsidRDefault="00726F8D" w:rsidP="00875F34">
            <w:pPr>
              <w:spacing w:after="0" w:line="240" w:lineRule="auto"/>
              <w:rPr>
                <w:rFonts w:ascii="Times New Roman" w:hAnsi="Times New Roman"/>
              </w:rPr>
            </w:pPr>
            <w:r w:rsidRPr="00DC0F2E">
              <w:rPr>
                <w:rFonts w:ascii="Times New Roman" w:hAnsi="Times New Roman"/>
              </w:rPr>
              <w:t>Nie</w:t>
            </w:r>
          </w:p>
        </w:tc>
        <w:tc>
          <w:tcPr>
            <w:tcW w:w="547" w:type="dxa"/>
            <w:gridSpan w:val="2"/>
            <w:tcBorders>
              <w:left w:val="nil"/>
              <w:right w:val="nil"/>
            </w:tcBorders>
            <w:shd w:val="clear" w:color="auto" w:fill="auto"/>
          </w:tcPr>
          <w:p w:rsidR="00726F8D" w:rsidRPr="00DC0F2E" w:rsidRDefault="00726F8D" w:rsidP="00875F34">
            <w:pPr>
              <w:spacing w:after="0" w:line="240" w:lineRule="auto"/>
              <w:ind w:left="-107" w:right="-108"/>
              <w:jc w:val="center"/>
              <w:rPr>
                <w:rFonts w:ascii="Times New Roman" w:hAnsi="Times New Roman"/>
              </w:rPr>
            </w:pPr>
            <w:r w:rsidRPr="00DC0F2E">
              <w:rPr>
                <w:rFonts w:ascii="MS Mincho" w:eastAsia="MS Mincho" w:hAnsi="MS Mincho" w:cs="MS Mincho" w:hint="eastAsia"/>
              </w:rPr>
              <w:t>☐</w:t>
            </w:r>
          </w:p>
        </w:tc>
        <w:tc>
          <w:tcPr>
            <w:tcW w:w="1297" w:type="dxa"/>
            <w:tcBorders>
              <w:left w:val="nil"/>
            </w:tcBorders>
            <w:shd w:val="clear" w:color="auto" w:fill="auto"/>
          </w:tcPr>
          <w:p w:rsidR="00726F8D" w:rsidRPr="00DC0F2E" w:rsidRDefault="00726F8D" w:rsidP="00875F34">
            <w:pPr>
              <w:spacing w:after="0" w:line="240" w:lineRule="auto"/>
              <w:ind w:left="34"/>
              <w:rPr>
                <w:rFonts w:ascii="Times New Roman" w:hAnsi="Times New Roman"/>
              </w:rPr>
            </w:pPr>
            <w:r w:rsidRPr="00DC0F2E">
              <w:rPr>
                <w:rFonts w:ascii="Times New Roman" w:hAnsi="Times New Roman"/>
              </w:rPr>
              <w:t>Čiastočne</w:t>
            </w:r>
          </w:p>
        </w:tc>
      </w:tr>
      <w:tr w:rsidR="00726F8D" w:rsidRPr="00DC0F2E" w:rsidTr="00875F34">
        <w:tc>
          <w:tcPr>
            <w:tcW w:w="3812" w:type="dxa"/>
            <w:tcBorders>
              <w:top w:val="single" w:sz="4" w:space="0" w:color="000000"/>
              <w:bottom w:val="nil"/>
            </w:tcBorders>
            <w:shd w:val="clear" w:color="auto" w:fill="E2E2E2"/>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Vplyvy na podnikateľské prostredie</w:t>
            </w:r>
          </w:p>
        </w:tc>
        <w:tc>
          <w:tcPr>
            <w:tcW w:w="541" w:type="dxa"/>
            <w:gridSpan w:val="2"/>
            <w:tcBorders>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Segoe UI Symbol" w:eastAsia="MS Mincho" w:hAnsi="Segoe UI Symbol" w:cs="Segoe UI Symbol"/>
              </w:rPr>
              <w:t>☐</w:t>
            </w:r>
          </w:p>
        </w:tc>
        <w:tc>
          <w:tcPr>
            <w:tcW w:w="1281" w:type="dxa"/>
            <w:gridSpan w:val="2"/>
            <w:tcBorders>
              <w:left w:val="nil"/>
              <w:right w:val="nil"/>
            </w:tcBorders>
            <w:shd w:val="clear" w:color="auto" w:fill="auto"/>
          </w:tcPr>
          <w:p w:rsidR="00726F8D" w:rsidRPr="00DC0F2E" w:rsidRDefault="00726F8D" w:rsidP="00875F34">
            <w:pPr>
              <w:spacing w:after="0" w:line="240" w:lineRule="auto"/>
              <w:ind w:right="-108"/>
              <w:rPr>
                <w:rFonts w:ascii="Times New Roman" w:hAnsi="Times New Roman"/>
                <w:b/>
              </w:rPr>
            </w:pPr>
            <w:r w:rsidRPr="00DC0F2E">
              <w:rPr>
                <w:rFonts w:ascii="Times New Roman" w:hAnsi="Times New Roman"/>
                <w:b/>
              </w:rPr>
              <w:t>Pozitívne</w:t>
            </w:r>
          </w:p>
        </w:tc>
        <w:tc>
          <w:tcPr>
            <w:tcW w:w="569" w:type="dxa"/>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Segoe UI Symbol" w:eastAsia="MS Mincho" w:hAnsi="Segoe UI Symbol" w:cs="Segoe UI Symbol"/>
                <w:b/>
              </w:rPr>
              <w:t>☒</w:t>
            </w:r>
          </w:p>
        </w:tc>
        <w:tc>
          <w:tcPr>
            <w:tcW w:w="1133" w:type="dxa"/>
            <w:tcBorders>
              <w:left w:val="nil"/>
              <w:right w:val="nil"/>
            </w:tcBorders>
            <w:shd w:val="clear" w:color="auto" w:fill="auto"/>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Žiadne</w:t>
            </w:r>
          </w:p>
        </w:tc>
        <w:tc>
          <w:tcPr>
            <w:tcW w:w="547" w:type="dxa"/>
            <w:gridSpan w:val="2"/>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left w:val="nil"/>
            </w:tcBorders>
            <w:shd w:val="clear" w:color="auto" w:fill="auto"/>
          </w:tcPr>
          <w:p w:rsidR="00726F8D" w:rsidRPr="00DC0F2E" w:rsidRDefault="00726F8D" w:rsidP="00875F34">
            <w:pPr>
              <w:spacing w:after="0" w:line="240" w:lineRule="auto"/>
              <w:ind w:left="54"/>
              <w:rPr>
                <w:rFonts w:ascii="Times New Roman" w:hAnsi="Times New Roman"/>
                <w:b/>
              </w:rPr>
            </w:pPr>
            <w:r w:rsidRPr="00DC0F2E">
              <w:rPr>
                <w:rFonts w:ascii="Times New Roman" w:hAnsi="Times New Roman"/>
                <w:b/>
              </w:rPr>
              <w:t>Negatívne</w:t>
            </w:r>
          </w:p>
        </w:tc>
      </w:tr>
      <w:tr w:rsidR="00726F8D" w:rsidRPr="00DC0F2E" w:rsidTr="00875F34">
        <w:tc>
          <w:tcPr>
            <w:tcW w:w="3812" w:type="dxa"/>
            <w:tcBorders>
              <w:top w:val="nil"/>
              <w:left w:val="single" w:sz="4" w:space="0" w:color="000000"/>
              <w:bottom w:val="single" w:sz="4" w:space="0" w:color="000000"/>
              <w:right w:val="single" w:sz="4" w:space="0" w:color="000000"/>
            </w:tcBorders>
            <w:shd w:val="clear" w:color="auto" w:fill="E2E2E2"/>
          </w:tcPr>
          <w:p w:rsidR="00726F8D" w:rsidRPr="00DC0F2E" w:rsidRDefault="00726F8D" w:rsidP="00875F34">
            <w:pPr>
              <w:spacing w:after="0" w:line="240" w:lineRule="auto"/>
              <w:rPr>
                <w:rFonts w:ascii="Times New Roman" w:hAnsi="Times New Roman"/>
              </w:rPr>
            </w:pPr>
            <w:r w:rsidRPr="00DC0F2E">
              <w:rPr>
                <w:rFonts w:ascii="Times New Roman" w:hAnsi="Times New Roman"/>
              </w:rPr>
              <w:t xml:space="preserve">    z toho vplyvy na MSP</w:t>
            </w:r>
          </w:p>
        </w:tc>
        <w:tc>
          <w:tcPr>
            <w:tcW w:w="541" w:type="dxa"/>
            <w:gridSpan w:val="2"/>
            <w:tcBorders>
              <w:left w:val="single" w:sz="4" w:space="0" w:color="000000"/>
              <w:right w:val="nil"/>
            </w:tcBorders>
            <w:shd w:val="clear" w:color="auto" w:fill="auto"/>
          </w:tcPr>
          <w:p w:rsidR="00726F8D" w:rsidRPr="00DC0F2E" w:rsidRDefault="00726F8D" w:rsidP="00875F34">
            <w:pPr>
              <w:spacing w:after="0" w:line="240" w:lineRule="auto"/>
              <w:jc w:val="center"/>
              <w:rPr>
                <w:rFonts w:ascii="Times New Roman" w:hAnsi="Times New Roman"/>
              </w:rPr>
            </w:pPr>
            <w:r w:rsidRPr="00DC0F2E">
              <w:rPr>
                <w:rFonts w:ascii="Segoe UI Symbol" w:eastAsia="MS Mincho" w:hAnsi="Segoe UI Symbol" w:cs="Segoe UI Symbol"/>
              </w:rPr>
              <w:t>☐</w:t>
            </w:r>
          </w:p>
        </w:tc>
        <w:tc>
          <w:tcPr>
            <w:tcW w:w="1281" w:type="dxa"/>
            <w:gridSpan w:val="2"/>
            <w:tcBorders>
              <w:left w:val="nil"/>
              <w:right w:val="nil"/>
            </w:tcBorders>
            <w:shd w:val="clear" w:color="auto" w:fill="auto"/>
          </w:tcPr>
          <w:p w:rsidR="00726F8D" w:rsidRPr="00DC0F2E" w:rsidRDefault="00726F8D" w:rsidP="00875F34">
            <w:pPr>
              <w:spacing w:after="0" w:line="240" w:lineRule="auto"/>
              <w:ind w:right="-108"/>
              <w:rPr>
                <w:rFonts w:ascii="Times New Roman" w:hAnsi="Times New Roman"/>
              </w:rPr>
            </w:pPr>
            <w:r w:rsidRPr="00DC0F2E">
              <w:rPr>
                <w:rFonts w:ascii="Times New Roman" w:hAnsi="Times New Roman"/>
              </w:rPr>
              <w:t>Pozitívne</w:t>
            </w:r>
          </w:p>
        </w:tc>
        <w:tc>
          <w:tcPr>
            <w:tcW w:w="569" w:type="dxa"/>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p>
        </w:tc>
        <w:tc>
          <w:tcPr>
            <w:tcW w:w="1133" w:type="dxa"/>
            <w:tcBorders>
              <w:left w:val="nil"/>
              <w:right w:val="nil"/>
            </w:tcBorders>
            <w:shd w:val="clear" w:color="auto" w:fill="auto"/>
          </w:tcPr>
          <w:p w:rsidR="00726F8D" w:rsidRPr="00DC0F2E" w:rsidRDefault="00726F8D" w:rsidP="00875F34">
            <w:pPr>
              <w:spacing w:after="0" w:line="240" w:lineRule="auto"/>
              <w:rPr>
                <w:rFonts w:ascii="Times New Roman" w:hAnsi="Times New Roman"/>
              </w:rPr>
            </w:pPr>
            <w:r w:rsidRPr="00DC0F2E">
              <w:rPr>
                <w:rFonts w:ascii="Times New Roman" w:hAnsi="Times New Roman"/>
              </w:rPr>
              <w:t>Žiadne</w:t>
            </w:r>
          </w:p>
        </w:tc>
        <w:tc>
          <w:tcPr>
            <w:tcW w:w="547" w:type="dxa"/>
            <w:gridSpan w:val="2"/>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rPr>
            </w:pPr>
            <w:r w:rsidRPr="00DC0F2E">
              <w:rPr>
                <w:rFonts w:ascii="MS Mincho" w:eastAsia="MS Mincho" w:hAnsi="MS Mincho" w:cs="MS Mincho" w:hint="eastAsia"/>
              </w:rPr>
              <w:t>☐</w:t>
            </w:r>
          </w:p>
        </w:tc>
        <w:tc>
          <w:tcPr>
            <w:tcW w:w="1297" w:type="dxa"/>
            <w:tcBorders>
              <w:left w:val="nil"/>
            </w:tcBorders>
            <w:shd w:val="clear" w:color="auto" w:fill="auto"/>
          </w:tcPr>
          <w:p w:rsidR="00726F8D" w:rsidRPr="00DC0F2E" w:rsidRDefault="00726F8D" w:rsidP="00875F34">
            <w:pPr>
              <w:spacing w:after="0" w:line="240" w:lineRule="auto"/>
              <w:ind w:left="54"/>
              <w:rPr>
                <w:rFonts w:ascii="Times New Roman" w:hAnsi="Times New Roman"/>
              </w:rPr>
            </w:pPr>
            <w:r w:rsidRPr="00DC0F2E">
              <w:rPr>
                <w:rFonts w:ascii="Times New Roman" w:hAnsi="Times New Roman"/>
              </w:rPr>
              <w:t>Negatívne</w:t>
            </w:r>
          </w:p>
        </w:tc>
      </w:tr>
      <w:tr w:rsidR="00726F8D" w:rsidRPr="00DC0F2E" w:rsidTr="00875F34">
        <w:tc>
          <w:tcPr>
            <w:tcW w:w="3812" w:type="dxa"/>
            <w:tcBorders>
              <w:top w:val="single" w:sz="4" w:space="0" w:color="000000"/>
            </w:tcBorders>
            <w:shd w:val="clear" w:color="auto" w:fill="E2E2E2"/>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Sociálne vplyvy</w:t>
            </w:r>
          </w:p>
        </w:tc>
        <w:tc>
          <w:tcPr>
            <w:tcW w:w="541" w:type="dxa"/>
            <w:gridSpan w:val="2"/>
            <w:tcBorders>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Segoe UI Symbol" w:eastAsia="MS Mincho" w:hAnsi="Segoe UI Symbol" w:cs="Segoe UI Symbol"/>
              </w:rPr>
              <w:t>☐</w:t>
            </w:r>
          </w:p>
        </w:tc>
        <w:tc>
          <w:tcPr>
            <w:tcW w:w="1281" w:type="dxa"/>
            <w:gridSpan w:val="2"/>
            <w:tcBorders>
              <w:left w:val="nil"/>
              <w:right w:val="nil"/>
            </w:tcBorders>
            <w:shd w:val="clear" w:color="auto" w:fill="auto"/>
          </w:tcPr>
          <w:p w:rsidR="00726F8D" w:rsidRPr="00DC0F2E" w:rsidRDefault="00726F8D" w:rsidP="00875F34">
            <w:pPr>
              <w:spacing w:after="0" w:line="240" w:lineRule="auto"/>
              <w:ind w:right="-108"/>
              <w:rPr>
                <w:rFonts w:ascii="Times New Roman" w:hAnsi="Times New Roman"/>
                <w:b/>
              </w:rPr>
            </w:pPr>
            <w:r w:rsidRPr="00DC0F2E">
              <w:rPr>
                <w:rFonts w:ascii="Times New Roman" w:hAnsi="Times New Roman"/>
                <w:b/>
              </w:rPr>
              <w:t>Pozitívne</w:t>
            </w:r>
          </w:p>
        </w:tc>
        <w:tc>
          <w:tcPr>
            <w:tcW w:w="569" w:type="dxa"/>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Segoe UI Symbol" w:eastAsia="MS Mincho" w:hAnsi="Segoe UI Symbol" w:cs="Segoe UI Symbol"/>
                <w:b/>
              </w:rPr>
              <w:t>☒</w:t>
            </w:r>
          </w:p>
        </w:tc>
        <w:tc>
          <w:tcPr>
            <w:tcW w:w="1133" w:type="dxa"/>
            <w:tcBorders>
              <w:left w:val="nil"/>
              <w:right w:val="nil"/>
            </w:tcBorders>
            <w:shd w:val="clear" w:color="auto" w:fill="auto"/>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Žiadne</w:t>
            </w:r>
          </w:p>
        </w:tc>
        <w:tc>
          <w:tcPr>
            <w:tcW w:w="547" w:type="dxa"/>
            <w:gridSpan w:val="2"/>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left w:val="nil"/>
            </w:tcBorders>
            <w:shd w:val="clear" w:color="auto" w:fill="auto"/>
          </w:tcPr>
          <w:p w:rsidR="00726F8D" w:rsidRPr="00DC0F2E" w:rsidRDefault="00726F8D" w:rsidP="00875F34">
            <w:pPr>
              <w:spacing w:after="0" w:line="240" w:lineRule="auto"/>
              <w:ind w:left="54"/>
              <w:rPr>
                <w:rFonts w:ascii="Times New Roman" w:hAnsi="Times New Roman"/>
                <w:b/>
              </w:rPr>
            </w:pPr>
            <w:r w:rsidRPr="00DC0F2E">
              <w:rPr>
                <w:rFonts w:ascii="Times New Roman" w:hAnsi="Times New Roman"/>
                <w:b/>
              </w:rPr>
              <w:t>Negatívne</w:t>
            </w:r>
          </w:p>
        </w:tc>
      </w:tr>
      <w:tr w:rsidR="00726F8D" w:rsidRPr="00DC0F2E" w:rsidTr="00875F34">
        <w:tc>
          <w:tcPr>
            <w:tcW w:w="3812" w:type="dxa"/>
            <w:shd w:val="clear" w:color="auto" w:fill="E2E2E2"/>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Vplyvy na životné prostredie</w:t>
            </w:r>
          </w:p>
        </w:tc>
        <w:tc>
          <w:tcPr>
            <w:tcW w:w="541" w:type="dxa"/>
            <w:gridSpan w:val="2"/>
            <w:tcBorders>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left w:val="nil"/>
              <w:right w:val="nil"/>
            </w:tcBorders>
            <w:shd w:val="clear" w:color="auto" w:fill="auto"/>
          </w:tcPr>
          <w:p w:rsidR="00726F8D" w:rsidRPr="00DC0F2E" w:rsidRDefault="00726F8D" w:rsidP="00875F34">
            <w:pPr>
              <w:spacing w:after="0" w:line="240" w:lineRule="auto"/>
              <w:ind w:right="-108"/>
              <w:rPr>
                <w:rFonts w:ascii="Times New Roman" w:hAnsi="Times New Roman"/>
                <w:b/>
              </w:rPr>
            </w:pPr>
            <w:r w:rsidRPr="00DC0F2E">
              <w:rPr>
                <w:rFonts w:ascii="Times New Roman" w:hAnsi="Times New Roman"/>
                <w:b/>
              </w:rPr>
              <w:t>Pozitívne</w:t>
            </w:r>
          </w:p>
        </w:tc>
        <w:tc>
          <w:tcPr>
            <w:tcW w:w="569" w:type="dxa"/>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left w:val="nil"/>
              <w:right w:val="nil"/>
            </w:tcBorders>
            <w:shd w:val="clear" w:color="auto" w:fill="auto"/>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Žiadne</w:t>
            </w:r>
          </w:p>
        </w:tc>
        <w:tc>
          <w:tcPr>
            <w:tcW w:w="547" w:type="dxa"/>
            <w:gridSpan w:val="2"/>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left w:val="nil"/>
            </w:tcBorders>
            <w:shd w:val="clear" w:color="auto" w:fill="auto"/>
          </w:tcPr>
          <w:p w:rsidR="00726F8D" w:rsidRPr="00DC0F2E" w:rsidRDefault="00726F8D" w:rsidP="00875F34">
            <w:pPr>
              <w:spacing w:after="0" w:line="240" w:lineRule="auto"/>
              <w:ind w:left="54"/>
              <w:rPr>
                <w:rFonts w:ascii="Times New Roman" w:hAnsi="Times New Roman"/>
                <w:b/>
              </w:rPr>
            </w:pPr>
            <w:r w:rsidRPr="00DC0F2E">
              <w:rPr>
                <w:rFonts w:ascii="Times New Roman" w:hAnsi="Times New Roman"/>
                <w:b/>
              </w:rPr>
              <w:t>Negatívne</w:t>
            </w:r>
          </w:p>
        </w:tc>
      </w:tr>
      <w:tr w:rsidR="00726F8D" w:rsidRPr="00DC0F2E" w:rsidTr="00875F34">
        <w:tc>
          <w:tcPr>
            <w:tcW w:w="3812" w:type="dxa"/>
            <w:shd w:val="clear" w:color="auto" w:fill="E2E2E2"/>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Vplyvy na informatizáciu</w:t>
            </w:r>
          </w:p>
        </w:tc>
        <w:tc>
          <w:tcPr>
            <w:tcW w:w="541" w:type="dxa"/>
            <w:gridSpan w:val="2"/>
            <w:tcBorders>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left w:val="nil"/>
              <w:right w:val="nil"/>
            </w:tcBorders>
            <w:shd w:val="clear" w:color="auto" w:fill="auto"/>
          </w:tcPr>
          <w:p w:rsidR="00726F8D" w:rsidRPr="00DC0F2E" w:rsidRDefault="00726F8D" w:rsidP="00875F34">
            <w:pPr>
              <w:spacing w:after="0" w:line="240" w:lineRule="auto"/>
              <w:ind w:right="-108"/>
              <w:rPr>
                <w:rFonts w:ascii="Times New Roman" w:hAnsi="Times New Roman"/>
                <w:b/>
              </w:rPr>
            </w:pPr>
            <w:r w:rsidRPr="00DC0F2E">
              <w:rPr>
                <w:rFonts w:ascii="Times New Roman" w:hAnsi="Times New Roman"/>
                <w:b/>
              </w:rPr>
              <w:t>Pozitívne</w:t>
            </w:r>
          </w:p>
        </w:tc>
        <w:tc>
          <w:tcPr>
            <w:tcW w:w="569" w:type="dxa"/>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left w:val="nil"/>
              <w:right w:val="nil"/>
            </w:tcBorders>
            <w:shd w:val="clear" w:color="auto" w:fill="auto"/>
          </w:tcPr>
          <w:p w:rsidR="00726F8D" w:rsidRPr="00DC0F2E" w:rsidRDefault="00726F8D" w:rsidP="00875F34">
            <w:pPr>
              <w:spacing w:after="0" w:line="240" w:lineRule="auto"/>
              <w:rPr>
                <w:rFonts w:ascii="Times New Roman" w:hAnsi="Times New Roman"/>
                <w:b/>
              </w:rPr>
            </w:pPr>
            <w:r w:rsidRPr="00DC0F2E">
              <w:rPr>
                <w:rFonts w:ascii="Times New Roman" w:hAnsi="Times New Roman"/>
                <w:b/>
              </w:rPr>
              <w:t>Žiadne</w:t>
            </w:r>
          </w:p>
        </w:tc>
        <w:tc>
          <w:tcPr>
            <w:tcW w:w="547" w:type="dxa"/>
            <w:gridSpan w:val="2"/>
            <w:tcBorders>
              <w:left w:val="nil"/>
              <w:right w:val="nil"/>
            </w:tcBorders>
            <w:shd w:val="clear" w:color="auto" w:fill="auto"/>
          </w:tcPr>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left w:val="nil"/>
            </w:tcBorders>
            <w:shd w:val="clear" w:color="auto" w:fill="auto"/>
          </w:tcPr>
          <w:p w:rsidR="00726F8D" w:rsidRPr="00DC0F2E" w:rsidRDefault="00726F8D" w:rsidP="00875F34">
            <w:pPr>
              <w:spacing w:after="0" w:line="240" w:lineRule="auto"/>
              <w:ind w:left="54"/>
              <w:rPr>
                <w:rFonts w:ascii="Times New Roman" w:hAnsi="Times New Roman"/>
                <w:b/>
              </w:rPr>
            </w:pPr>
            <w:r w:rsidRPr="00DC0F2E">
              <w:rPr>
                <w:rFonts w:ascii="Times New Roman" w:hAnsi="Times New Roman"/>
                <w:b/>
              </w:rPr>
              <w:t>Negatívne</w:t>
            </w:r>
          </w:p>
        </w:tc>
      </w:tr>
      <w:tr w:rsidR="00726F8D" w:rsidRPr="00DC0F2E" w:rsidTr="00875F34">
        <w:tc>
          <w:tcPr>
            <w:tcW w:w="3812" w:type="dxa"/>
            <w:vMerge w:val="restart"/>
            <w:shd w:val="clear" w:color="auto" w:fill="E2E2E2"/>
          </w:tcPr>
          <w:p w:rsidR="00726F8D" w:rsidRDefault="00726F8D" w:rsidP="00875F34">
            <w:pPr>
              <w:spacing w:after="0" w:line="240" w:lineRule="auto"/>
              <w:jc w:val="both"/>
              <w:rPr>
                <w:szCs w:val="20"/>
              </w:rPr>
            </w:pPr>
            <w:r w:rsidRPr="00997E14">
              <w:rPr>
                <w:rFonts w:ascii="Times" w:hAnsi="Times" w:cs="Times"/>
                <w:b/>
                <w:bCs/>
                <w:szCs w:val="20"/>
              </w:rPr>
              <w:t>Vplyvy na služby pre občana z toho</w:t>
            </w:r>
            <w:r w:rsidRPr="00997E14">
              <w:rPr>
                <w:szCs w:val="20"/>
              </w:rPr>
              <w:br/>
            </w:r>
            <w:r w:rsidRPr="00997E14">
              <w:rPr>
                <w:rFonts w:ascii="Times" w:hAnsi="Times" w:cs="Times"/>
                <w:szCs w:val="20"/>
              </w:rPr>
              <w:t>vplyvy služieb verejnej správy na občana</w:t>
            </w:r>
            <w:r>
              <w:rPr>
                <w:szCs w:val="20"/>
              </w:rPr>
              <w:t xml:space="preserve"> </w:t>
            </w:r>
          </w:p>
          <w:p w:rsidR="00726F8D" w:rsidRPr="00DC0F2E" w:rsidRDefault="00726F8D" w:rsidP="00875F34">
            <w:pPr>
              <w:spacing w:after="0" w:line="240" w:lineRule="auto"/>
              <w:rPr>
                <w:rFonts w:ascii="Times New Roman" w:hAnsi="Times New Roman"/>
                <w:b/>
              </w:rPr>
            </w:pPr>
            <w:r w:rsidRPr="00997E14">
              <w:rPr>
                <w:rFonts w:ascii="Times" w:hAnsi="Times" w:cs="Times"/>
                <w:szCs w:val="20"/>
              </w:rPr>
              <w:t>vplyvy na procesy služieb vo verejnej</w:t>
            </w:r>
            <w:r>
              <w:rPr>
                <w:szCs w:val="20"/>
              </w:rPr>
              <w:t xml:space="preserve"> </w:t>
            </w:r>
            <w:r w:rsidRPr="00997E14">
              <w:rPr>
                <w:rFonts w:ascii="Times" w:hAnsi="Times" w:cs="Times"/>
                <w:szCs w:val="20"/>
              </w:rPr>
              <w:t>správe</w:t>
            </w:r>
          </w:p>
        </w:tc>
        <w:tc>
          <w:tcPr>
            <w:tcW w:w="541" w:type="dxa"/>
            <w:gridSpan w:val="2"/>
            <w:tcBorders>
              <w:bottom w:val="single" w:sz="4" w:space="0" w:color="FFFFFF" w:themeColor="background1"/>
              <w:right w:val="nil"/>
            </w:tcBorders>
            <w:shd w:val="clear" w:color="auto" w:fill="auto"/>
          </w:tcPr>
          <w:p w:rsidR="00726F8D" w:rsidRDefault="00726F8D" w:rsidP="00875F34">
            <w:pPr>
              <w:spacing w:after="0" w:line="240" w:lineRule="auto"/>
              <w:jc w:val="center"/>
              <w:rPr>
                <w:rFonts w:ascii="MS Mincho" w:eastAsia="MS Mincho" w:hAnsi="MS Mincho" w:cs="MS Mincho"/>
                <w:b/>
              </w:rPr>
            </w:pPr>
          </w:p>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left w:val="nil"/>
              <w:bottom w:val="single" w:sz="4" w:space="0" w:color="FFFFFF" w:themeColor="background1"/>
              <w:right w:val="nil"/>
            </w:tcBorders>
            <w:shd w:val="clear" w:color="auto" w:fill="auto"/>
          </w:tcPr>
          <w:p w:rsidR="00726F8D" w:rsidRDefault="00726F8D" w:rsidP="00875F34">
            <w:pPr>
              <w:spacing w:after="0" w:line="240" w:lineRule="auto"/>
              <w:ind w:right="-108"/>
              <w:rPr>
                <w:rFonts w:ascii="Times New Roman" w:hAnsi="Times New Roman"/>
                <w:b/>
              </w:rPr>
            </w:pPr>
          </w:p>
          <w:p w:rsidR="00726F8D" w:rsidRPr="00DC0F2E" w:rsidRDefault="00726F8D" w:rsidP="00875F34">
            <w:pPr>
              <w:spacing w:after="0" w:line="240" w:lineRule="auto"/>
              <w:ind w:right="-108"/>
              <w:rPr>
                <w:rFonts w:ascii="Times New Roman" w:hAnsi="Times New Roman"/>
                <w:b/>
              </w:rPr>
            </w:pPr>
            <w:r w:rsidRPr="00DC0F2E">
              <w:rPr>
                <w:rFonts w:ascii="Times New Roman" w:hAnsi="Times New Roman"/>
                <w:b/>
              </w:rPr>
              <w:t>Pozitívne</w:t>
            </w:r>
          </w:p>
        </w:tc>
        <w:tc>
          <w:tcPr>
            <w:tcW w:w="569" w:type="dxa"/>
            <w:tcBorders>
              <w:left w:val="nil"/>
              <w:bottom w:val="single" w:sz="4" w:space="0" w:color="FFFFFF" w:themeColor="background1"/>
              <w:right w:val="nil"/>
            </w:tcBorders>
            <w:shd w:val="clear" w:color="auto" w:fill="auto"/>
          </w:tcPr>
          <w:p w:rsidR="00726F8D" w:rsidRDefault="00726F8D" w:rsidP="00875F34">
            <w:pPr>
              <w:spacing w:after="0" w:line="240" w:lineRule="auto"/>
              <w:jc w:val="center"/>
              <w:rPr>
                <w:rFonts w:ascii="MS Mincho" w:eastAsia="MS Mincho" w:hAnsi="MS Mincho" w:cs="MS Mincho"/>
                <w:b/>
              </w:rPr>
            </w:pPr>
          </w:p>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left w:val="nil"/>
              <w:bottom w:val="single" w:sz="4" w:space="0" w:color="FFFFFF" w:themeColor="background1"/>
              <w:right w:val="nil"/>
            </w:tcBorders>
            <w:shd w:val="clear" w:color="auto" w:fill="auto"/>
          </w:tcPr>
          <w:p w:rsidR="00726F8D" w:rsidRDefault="00726F8D" w:rsidP="00875F34">
            <w:pPr>
              <w:spacing w:after="0" w:line="240" w:lineRule="auto"/>
              <w:rPr>
                <w:rFonts w:ascii="Times New Roman" w:hAnsi="Times New Roman"/>
                <w:b/>
              </w:rPr>
            </w:pPr>
          </w:p>
          <w:p w:rsidR="00726F8D" w:rsidRPr="00DC0F2E" w:rsidRDefault="00726F8D" w:rsidP="00875F34">
            <w:pPr>
              <w:spacing w:after="0" w:line="240" w:lineRule="auto"/>
              <w:rPr>
                <w:rFonts w:ascii="Times New Roman" w:hAnsi="Times New Roman"/>
                <w:b/>
              </w:rPr>
            </w:pPr>
            <w:r w:rsidRPr="00DC0F2E">
              <w:rPr>
                <w:rFonts w:ascii="Times New Roman" w:hAnsi="Times New Roman"/>
                <w:b/>
              </w:rPr>
              <w:t>Žiadne</w:t>
            </w:r>
          </w:p>
        </w:tc>
        <w:tc>
          <w:tcPr>
            <w:tcW w:w="547" w:type="dxa"/>
            <w:gridSpan w:val="2"/>
            <w:tcBorders>
              <w:left w:val="nil"/>
              <w:bottom w:val="single" w:sz="4" w:space="0" w:color="FFFFFF" w:themeColor="background1"/>
              <w:right w:val="nil"/>
            </w:tcBorders>
            <w:shd w:val="clear" w:color="auto" w:fill="auto"/>
          </w:tcPr>
          <w:p w:rsidR="00726F8D" w:rsidRDefault="00726F8D" w:rsidP="00875F34">
            <w:pPr>
              <w:spacing w:after="0" w:line="240" w:lineRule="auto"/>
              <w:jc w:val="center"/>
              <w:rPr>
                <w:rFonts w:ascii="MS Mincho" w:eastAsia="MS Mincho" w:hAnsi="MS Mincho" w:cs="MS Mincho"/>
                <w:b/>
              </w:rPr>
            </w:pPr>
          </w:p>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left w:val="nil"/>
              <w:bottom w:val="single" w:sz="4" w:space="0" w:color="FFFFFF" w:themeColor="background1"/>
            </w:tcBorders>
            <w:shd w:val="clear" w:color="auto" w:fill="auto"/>
          </w:tcPr>
          <w:p w:rsidR="00726F8D" w:rsidRDefault="00726F8D" w:rsidP="00875F34">
            <w:pPr>
              <w:spacing w:after="0" w:line="240" w:lineRule="auto"/>
              <w:ind w:left="54"/>
              <w:rPr>
                <w:rFonts w:ascii="Times New Roman" w:hAnsi="Times New Roman"/>
                <w:b/>
              </w:rPr>
            </w:pPr>
          </w:p>
          <w:p w:rsidR="00726F8D" w:rsidRPr="00DC0F2E" w:rsidRDefault="00726F8D" w:rsidP="00875F34">
            <w:pPr>
              <w:spacing w:after="0" w:line="240" w:lineRule="auto"/>
              <w:ind w:left="54"/>
              <w:rPr>
                <w:rFonts w:ascii="Times New Roman" w:hAnsi="Times New Roman"/>
                <w:b/>
              </w:rPr>
            </w:pPr>
            <w:r w:rsidRPr="00DC0F2E">
              <w:rPr>
                <w:rFonts w:ascii="Times New Roman" w:hAnsi="Times New Roman"/>
                <w:b/>
              </w:rPr>
              <w:t>Negatívne</w:t>
            </w:r>
          </w:p>
        </w:tc>
      </w:tr>
      <w:tr w:rsidR="00726F8D" w:rsidRPr="00DC0F2E" w:rsidTr="00875F34">
        <w:tc>
          <w:tcPr>
            <w:tcW w:w="3812" w:type="dxa"/>
            <w:vMerge/>
            <w:shd w:val="clear" w:color="auto" w:fill="E2E2E2"/>
          </w:tcPr>
          <w:p w:rsidR="00726F8D" w:rsidRPr="00DC0F2E" w:rsidRDefault="00726F8D" w:rsidP="00875F34">
            <w:pPr>
              <w:spacing w:after="0" w:line="240" w:lineRule="auto"/>
              <w:rPr>
                <w:rFonts w:ascii="Times New Roman" w:hAnsi="Times New Roman"/>
                <w:b/>
              </w:rPr>
            </w:pPr>
          </w:p>
        </w:tc>
        <w:tc>
          <w:tcPr>
            <w:tcW w:w="541" w:type="dxa"/>
            <w:gridSpan w:val="2"/>
            <w:tcBorders>
              <w:top w:val="single" w:sz="4" w:space="0" w:color="FFFFFF" w:themeColor="background1"/>
              <w:right w:val="nil"/>
            </w:tcBorders>
            <w:shd w:val="clear" w:color="auto" w:fill="auto"/>
          </w:tcPr>
          <w:p w:rsidR="00726F8D" w:rsidRDefault="00726F8D" w:rsidP="00875F34">
            <w:pPr>
              <w:spacing w:after="0" w:line="240" w:lineRule="auto"/>
              <w:jc w:val="center"/>
              <w:rPr>
                <w:rFonts w:ascii="MS Mincho" w:eastAsia="MS Mincho" w:hAnsi="MS Mincho" w:cs="MS Mincho"/>
                <w:b/>
              </w:rPr>
            </w:pPr>
          </w:p>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81" w:type="dxa"/>
            <w:gridSpan w:val="2"/>
            <w:tcBorders>
              <w:top w:val="single" w:sz="4" w:space="0" w:color="FFFFFF" w:themeColor="background1"/>
              <w:left w:val="nil"/>
              <w:right w:val="nil"/>
            </w:tcBorders>
            <w:shd w:val="clear" w:color="auto" w:fill="auto"/>
          </w:tcPr>
          <w:p w:rsidR="00726F8D" w:rsidRDefault="00726F8D" w:rsidP="00875F34">
            <w:pPr>
              <w:spacing w:after="0" w:line="240" w:lineRule="auto"/>
              <w:ind w:right="-108"/>
              <w:rPr>
                <w:rFonts w:ascii="Times New Roman" w:hAnsi="Times New Roman"/>
                <w:b/>
              </w:rPr>
            </w:pPr>
          </w:p>
          <w:p w:rsidR="00726F8D" w:rsidRPr="00DC0F2E" w:rsidRDefault="00726F8D" w:rsidP="00875F34">
            <w:pPr>
              <w:spacing w:after="0" w:line="240" w:lineRule="auto"/>
              <w:ind w:right="-108"/>
              <w:rPr>
                <w:rFonts w:ascii="Times New Roman" w:hAnsi="Times New Roman"/>
                <w:b/>
              </w:rPr>
            </w:pPr>
            <w:r w:rsidRPr="00DC0F2E">
              <w:rPr>
                <w:rFonts w:ascii="Times New Roman" w:hAnsi="Times New Roman"/>
                <w:b/>
              </w:rPr>
              <w:t>Pozitívne</w:t>
            </w:r>
          </w:p>
        </w:tc>
        <w:tc>
          <w:tcPr>
            <w:tcW w:w="569" w:type="dxa"/>
            <w:tcBorders>
              <w:top w:val="single" w:sz="4" w:space="0" w:color="FFFFFF" w:themeColor="background1"/>
              <w:left w:val="nil"/>
              <w:right w:val="nil"/>
            </w:tcBorders>
            <w:shd w:val="clear" w:color="auto" w:fill="auto"/>
          </w:tcPr>
          <w:p w:rsidR="00726F8D" w:rsidRDefault="00726F8D" w:rsidP="00875F34">
            <w:pPr>
              <w:spacing w:after="0" w:line="240" w:lineRule="auto"/>
              <w:jc w:val="center"/>
              <w:rPr>
                <w:rFonts w:ascii="MS Mincho" w:eastAsia="MS Mincho" w:hAnsi="MS Mincho" w:cs="MS Mincho"/>
                <w:b/>
              </w:rPr>
            </w:pPr>
          </w:p>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133" w:type="dxa"/>
            <w:tcBorders>
              <w:top w:val="single" w:sz="4" w:space="0" w:color="FFFFFF" w:themeColor="background1"/>
              <w:left w:val="nil"/>
              <w:right w:val="nil"/>
            </w:tcBorders>
            <w:shd w:val="clear" w:color="auto" w:fill="auto"/>
          </w:tcPr>
          <w:p w:rsidR="00726F8D" w:rsidRDefault="00726F8D" w:rsidP="00875F34">
            <w:pPr>
              <w:spacing w:after="0" w:line="240" w:lineRule="auto"/>
              <w:rPr>
                <w:rFonts w:ascii="Times New Roman" w:hAnsi="Times New Roman"/>
                <w:b/>
              </w:rPr>
            </w:pPr>
          </w:p>
          <w:p w:rsidR="00726F8D" w:rsidRPr="00DC0F2E" w:rsidRDefault="00726F8D" w:rsidP="00875F34">
            <w:pPr>
              <w:spacing w:after="0" w:line="240" w:lineRule="auto"/>
              <w:rPr>
                <w:rFonts w:ascii="Times New Roman" w:hAnsi="Times New Roman"/>
                <w:b/>
              </w:rPr>
            </w:pPr>
            <w:r w:rsidRPr="00DC0F2E">
              <w:rPr>
                <w:rFonts w:ascii="Times New Roman" w:hAnsi="Times New Roman"/>
                <w:b/>
              </w:rPr>
              <w:t>Žiadne</w:t>
            </w:r>
          </w:p>
        </w:tc>
        <w:tc>
          <w:tcPr>
            <w:tcW w:w="547" w:type="dxa"/>
            <w:gridSpan w:val="2"/>
            <w:tcBorders>
              <w:top w:val="single" w:sz="4" w:space="0" w:color="FFFFFF" w:themeColor="background1"/>
              <w:left w:val="nil"/>
              <w:right w:val="nil"/>
            </w:tcBorders>
            <w:shd w:val="clear" w:color="auto" w:fill="auto"/>
          </w:tcPr>
          <w:p w:rsidR="00726F8D" w:rsidRDefault="00726F8D" w:rsidP="00875F34">
            <w:pPr>
              <w:spacing w:after="0" w:line="240" w:lineRule="auto"/>
              <w:jc w:val="center"/>
              <w:rPr>
                <w:rFonts w:ascii="MS Mincho" w:eastAsia="MS Mincho" w:hAnsi="MS Mincho" w:cs="MS Mincho"/>
                <w:b/>
              </w:rPr>
            </w:pPr>
          </w:p>
          <w:p w:rsidR="00726F8D" w:rsidRPr="00DC0F2E" w:rsidRDefault="00726F8D" w:rsidP="00875F34">
            <w:pPr>
              <w:spacing w:after="0" w:line="240" w:lineRule="auto"/>
              <w:jc w:val="center"/>
              <w:rPr>
                <w:rFonts w:ascii="Times New Roman" w:hAnsi="Times New Roman"/>
                <w:b/>
              </w:rPr>
            </w:pPr>
            <w:r w:rsidRPr="00DC0F2E">
              <w:rPr>
                <w:rFonts w:ascii="MS Mincho" w:eastAsia="MS Mincho" w:hAnsi="MS Mincho" w:cs="MS Mincho" w:hint="eastAsia"/>
                <w:b/>
              </w:rPr>
              <w:t>☐</w:t>
            </w:r>
          </w:p>
        </w:tc>
        <w:tc>
          <w:tcPr>
            <w:tcW w:w="1297" w:type="dxa"/>
            <w:tcBorders>
              <w:top w:val="single" w:sz="4" w:space="0" w:color="FFFFFF" w:themeColor="background1"/>
              <w:left w:val="nil"/>
            </w:tcBorders>
            <w:shd w:val="clear" w:color="auto" w:fill="auto"/>
          </w:tcPr>
          <w:p w:rsidR="00726F8D" w:rsidRDefault="00726F8D" w:rsidP="00875F34">
            <w:pPr>
              <w:spacing w:after="0" w:line="240" w:lineRule="auto"/>
              <w:ind w:left="54"/>
              <w:rPr>
                <w:rFonts w:ascii="Times New Roman" w:hAnsi="Times New Roman"/>
                <w:b/>
              </w:rPr>
            </w:pPr>
          </w:p>
          <w:p w:rsidR="00726F8D" w:rsidRPr="00DC0F2E" w:rsidRDefault="00726F8D" w:rsidP="00875F34">
            <w:pPr>
              <w:spacing w:after="0" w:line="240" w:lineRule="auto"/>
              <w:ind w:left="54"/>
              <w:rPr>
                <w:rFonts w:ascii="Times New Roman" w:hAnsi="Times New Roman"/>
                <w:b/>
              </w:rPr>
            </w:pPr>
            <w:r w:rsidRPr="00DC0F2E">
              <w:rPr>
                <w:rFonts w:ascii="Times New Roman" w:hAnsi="Times New Roman"/>
                <w:b/>
              </w:rPr>
              <w:t>Negatívne</w:t>
            </w:r>
          </w:p>
        </w:tc>
      </w:tr>
      <w:tr w:rsidR="00726F8D" w:rsidRPr="00DC0F2E" w:rsidTr="00875F34">
        <w:tc>
          <w:tcPr>
            <w:tcW w:w="9180" w:type="dxa"/>
            <w:gridSpan w:val="10"/>
            <w:tcBorders>
              <w:bottom w:val="nil"/>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Poznámky</w:t>
            </w:r>
          </w:p>
        </w:tc>
      </w:tr>
      <w:tr w:rsidR="00726F8D" w:rsidRPr="00DC0F2E" w:rsidTr="00875F34">
        <w:trPr>
          <w:trHeight w:val="713"/>
        </w:trPr>
        <w:tc>
          <w:tcPr>
            <w:tcW w:w="9180" w:type="dxa"/>
            <w:gridSpan w:val="10"/>
            <w:tcBorders>
              <w:top w:val="nil"/>
              <w:bottom w:val="single" w:sz="4" w:space="0" w:color="FFFFFF"/>
            </w:tcBorders>
            <w:shd w:val="clear" w:color="auto" w:fill="auto"/>
          </w:tcPr>
          <w:p w:rsidR="00726F8D" w:rsidRPr="00DC0F2E" w:rsidRDefault="00726F8D" w:rsidP="00875F34">
            <w:pPr>
              <w:spacing w:after="0" w:line="240" w:lineRule="auto"/>
              <w:jc w:val="both"/>
              <w:rPr>
                <w:rFonts w:ascii="Times New Roman" w:hAnsi="Times New Roman"/>
                <w:b/>
              </w:rPr>
            </w:pPr>
            <w:r>
              <w:rPr>
                <w:rFonts w:ascii="Times New Roman" w:hAnsi="Times New Roman"/>
                <w:i/>
              </w:rPr>
              <w:t xml:space="preserve">Aj keď je uvedené, že predložený návrh zákona nemá žiadne vplyvy na rozpočet verejnej správy možno predpokladať, že kompetenčné zmeny si vyžiadajú čiastočné a jednorazové navýšenie zdrojov, ktoré ale, vzhľadom na predpokladané úspory vo viac ako desiatkach miliónov eur budú v porovnaní s touto sumou zanedbateľné.  </w:t>
            </w: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Kontakt na spracovateľa</w:t>
            </w:r>
          </w:p>
        </w:tc>
      </w:tr>
      <w:tr w:rsidR="00726F8D" w:rsidRPr="00DC0F2E" w:rsidTr="00875F34">
        <w:trPr>
          <w:trHeight w:val="586"/>
        </w:trPr>
        <w:tc>
          <w:tcPr>
            <w:tcW w:w="9180" w:type="dxa"/>
            <w:gridSpan w:val="10"/>
            <w:tcBorders>
              <w:top w:val="single" w:sz="4" w:space="0" w:color="FFFFFF"/>
            </w:tcBorders>
            <w:shd w:val="clear" w:color="auto" w:fill="FFFFFF"/>
          </w:tcPr>
          <w:p w:rsidR="00726F8D" w:rsidRPr="00A7353A" w:rsidRDefault="00726F8D" w:rsidP="00875F34">
            <w:pPr>
              <w:spacing w:after="0" w:line="240" w:lineRule="auto"/>
              <w:jc w:val="both"/>
              <w:rPr>
                <w:rFonts w:ascii="Times New Roman" w:hAnsi="Times New Roman"/>
                <w:i/>
                <w:szCs w:val="20"/>
              </w:rPr>
            </w:pPr>
            <w:r w:rsidRPr="00A7353A">
              <w:rPr>
                <w:rFonts w:ascii="Times New Roman" w:hAnsi="Times New Roman"/>
                <w:i/>
                <w:szCs w:val="20"/>
              </w:rPr>
              <w:t>Andrej Bonko, andrej.bonko@vlada.gov.sk, 02/572 95 360, Úrad vlády Slovenskej republiky</w:t>
            </w: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Zdroje</w:t>
            </w:r>
          </w:p>
        </w:tc>
      </w:tr>
      <w:tr w:rsidR="00726F8D" w:rsidRPr="00DC0F2E" w:rsidTr="00875F34">
        <w:trPr>
          <w:trHeight w:val="401"/>
        </w:trPr>
        <w:tc>
          <w:tcPr>
            <w:tcW w:w="9180" w:type="dxa"/>
            <w:gridSpan w:val="10"/>
            <w:tcBorders>
              <w:top w:val="single" w:sz="4" w:space="0" w:color="FFFFFF"/>
            </w:tcBorders>
            <w:shd w:val="clear" w:color="auto" w:fill="FFFFFF"/>
          </w:tcPr>
          <w:p w:rsidR="00726F8D" w:rsidRPr="00DC0F2E" w:rsidRDefault="00726F8D" w:rsidP="00875F34">
            <w:pPr>
              <w:spacing w:after="0" w:line="240" w:lineRule="auto"/>
              <w:rPr>
                <w:rFonts w:ascii="Times New Roman" w:hAnsi="Times New Roman"/>
                <w:i/>
              </w:rPr>
            </w:pPr>
            <w:r w:rsidRPr="00DC0F2E">
              <w:rPr>
                <w:rFonts w:ascii="Times New Roman" w:hAnsi="Times New Roman"/>
                <w:i/>
              </w:rPr>
              <w:t xml:space="preserve">Bezpredmetné </w:t>
            </w:r>
          </w:p>
          <w:p w:rsidR="00726F8D" w:rsidRPr="00DC0F2E" w:rsidRDefault="00726F8D" w:rsidP="00875F34">
            <w:pPr>
              <w:spacing w:after="0" w:line="240" w:lineRule="auto"/>
              <w:rPr>
                <w:rFonts w:ascii="Times New Roman" w:hAnsi="Times New Roman"/>
                <w:i/>
              </w:rPr>
            </w:pPr>
          </w:p>
          <w:p w:rsidR="00726F8D" w:rsidRPr="00DC0F2E" w:rsidRDefault="00726F8D" w:rsidP="00875F34">
            <w:pPr>
              <w:spacing w:after="0" w:line="240" w:lineRule="auto"/>
              <w:rPr>
                <w:rFonts w:ascii="Times New Roman" w:hAnsi="Times New Roman"/>
                <w:b/>
              </w:rPr>
            </w:pPr>
          </w:p>
        </w:tc>
      </w:tr>
      <w:tr w:rsidR="00726F8D" w:rsidRPr="00DC0F2E" w:rsidTr="00875F34">
        <w:tc>
          <w:tcPr>
            <w:tcW w:w="9180" w:type="dxa"/>
            <w:gridSpan w:val="10"/>
            <w:tcBorders>
              <w:bottom w:val="single" w:sz="4" w:space="0" w:color="FFFFFF"/>
            </w:tcBorders>
            <w:shd w:val="clear" w:color="auto" w:fill="E2E2E2"/>
          </w:tcPr>
          <w:p w:rsidR="00726F8D" w:rsidRPr="00DC0F2E" w:rsidRDefault="00726F8D" w:rsidP="00726F8D">
            <w:pPr>
              <w:pStyle w:val="Odsekzoznamu1"/>
              <w:numPr>
                <w:ilvl w:val="0"/>
                <w:numId w:val="9"/>
              </w:numPr>
              <w:spacing w:after="0" w:line="240" w:lineRule="auto"/>
              <w:ind w:left="426"/>
              <w:rPr>
                <w:rFonts w:ascii="Times New Roman" w:hAnsi="Times New Roman"/>
                <w:b/>
              </w:rPr>
            </w:pPr>
            <w:r w:rsidRPr="00DC0F2E">
              <w:rPr>
                <w:rFonts w:ascii="Times New Roman" w:hAnsi="Times New Roman"/>
                <w:b/>
              </w:rPr>
              <w:t>Stanovisko Komisie pre posudzovanie vybraných vplyvov z PPK</w:t>
            </w:r>
          </w:p>
        </w:tc>
      </w:tr>
      <w:tr w:rsidR="00726F8D" w:rsidRPr="00DC0F2E" w:rsidTr="00875F34">
        <w:tc>
          <w:tcPr>
            <w:tcW w:w="9180" w:type="dxa"/>
            <w:gridSpan w:val="10"/>
            <w:tcBorders>
              <w:top w:val="single" w:sz="4" w:space="0" w:color="FFFFFF"/>
            </w:tcBorders>
            <w:shd w:val="clear" w:color="auto" w:fill="FFFFFF"/>
          </w:tcPr>
          <w:p w:rsidR="00726F8D" w:rsidRPr="00DC0F2E" w:rsidRDefault="00726F8D" w:rsidP="00875F34">
            <w:pPr>
              <w:spacing w:after="0" w:line="240" w:lineRule="auto"/>
              <w:rPr>
                <w:rFonts w:ascii="Times New Roman" w:hAnsi="Times New Roman"/>
                <w:i/>
              </w:rPr>
            </w:pPr>
            <w:r w:rsidRPr="00DC0F2E">
              <w:rPr>
                <w:rFonts w:ascii="Times New Roman" w:hAnsi="Times New Roman"/>
                <w:i/>
              </w:rPr>
              <w:t>...</w:t>
            </w:r>
          </w:p>
          <w:p w:rsidR="00726F8D" w:rsidRPr="00DC0F2E" w:rsidRDefault="00726F8D" w:rsidP="00875F34">
            <w:pPr>
              <w:spacing w:after="0" w:line="240" w:lineRule="auto"/>
              <w:rPr>
                <w:rFonts w:ascii="Times New Roman" w:hAnsi="Times New Roman"/>
                <w:b/>
              </w:rPr>
            </w:pPr>
          </w:p>
          <w:p w:rsidR="00726F8D" w:rsidRPr="00DC0F2E" w:rsidRDefault="00726F8D" w:rsidP="00875F34">
            <w:pPr>
              <w:spacing w:after="0" w:line="240" w:lineRule="auto"/>
              <w:rPr>
                <w:rFonts w:ascii="Times New Roman" w:hAnsi="Times New Roman"/>
                <w:b/>
              </w:rPr>
            </w:pPr>
          </w:p>
        </w:tc>
      </w:tr>
    </w:tbl>
    <w:p w:rsidR="00726F8D" w:rsidRDefault="00726F8D" w:rsidP="00726F8D"/>
    <w:p w:rsidR="008E305A" w:rsidRDefault="008E305A"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Default="00726F8D" w:rsidP="00C573B8">
      <w:pPr>
        <w:tabs>
          <w:tab w:val="left" w:pos="426"/>
        </w:tabs>
        <w:spacing w:after="0" w:line="240" w:lineRule="auto"/>
        <w:rPr>
          <w:rFonts w:ascii="Times New Roman" w:hAnsi="Times New Roman"/>
          <w:b/>
          <w:sz w:val="24"/>
          <w:szCs w:val="24"/>
        </w:rPr>
      </w:pPr>
    </w:p>
    <w:p w:rsidR="00726F8D" w:rsidRPr="00DC0F2E" w:rsidRDefault="00726F8D" w:rsidP="00726F8D">
      <w:pPr>
        <w:tabs>
          <w:tab w:val="left" w:pos="426"/>
        </w:tabs>
        <w:spacing w:after="0" w:line="240" w:lineRule="auto"/>
        <w:rPr>
          <w:rFonts w:ascii="Times New Roman" w:hAnsi="Times New Roman"/>
          <w:b/>
          <w:sz w:val="24"/>
          <w:szCs w:val="24"/>
        </w:rPr>
      </w:pPr>
      <w:r>
        <w:rPr>
          <w:rFonts w:ascii="Times New Roman" w:hAnsi="Times New Roman"/>
          <w:b/>
          <w:sz w:val="24"/>
          <w:szCs w:val="24"/>
        </w:rPr>
        <w:lastRenderedPageBreak/>
        <w:t>B.</w:t>
      </w:r>
      <w:r>
        <w:rPr>
          <w:rFonts w:ascii="Times New Roman" w:hAnsi="Times New Roman"/>
          <w:b/>
          <w:sz w:val="24"/>
          <w:szCs w:val="24"/>
        </w:rPr>
        <w:tab/>
      </w:r>
      <w:r w:rsidRPr="00DC0F2E">
        <w:rPr>
          <w:rFonts w:ascii="Times New Roman" w:hAnsi="Times New Roman"/>
          <w:b/>
          <w:sz w:val="24"/>
          <w:szCs w:val="24"/>
        </w:rPr>
        <w:t>Osobitná časť</w:t>
      </w:r>
    </w:p>
    <w:p w:rsidR="00726F8D" w:rsidRDefault="00726F8D" w:rsidP="00726F8D">
      <w:pPr>
        <w:spacing w:after="0" w:line="240" w:lineRule="auto"/>
        <w:jc w:val="both"/>
        <w:rPr>
          <w:rFonts w:ascii="Times New Roman" w:hAnsi="Times New Roman"/>
          <w:b/>
          <w:sz w:val="24"/>
          <w:szCs w:val="24"/>
        </w:rPr>
      </w:pPr>
    </w:p>
    <w:p w:rsidR="00726F8D" w:rsidRPr="00DC0F2E" w:rsidRDefault="00726F8D" w:rsidP="00726F8D">
      <w:pPr>
        <w:spacing w:after="0" w:line="240" w:lineRule="auto"/>
        <w:jc w:val="both"/>
        <w:rPr>
          <w:rFonts w:ascii="Times New Roman" w:hAnsi="Times New Roman"/>
          <w:b/>
          <w:sz w:val="24"/>
          <w:szCs w:val="24"/>
        </w:rPr>
      </w:pPr>
    </w:p>
    <w:p w:rsidR="00726F8D" w:rsidRPr="00F618CD" w:rsidRDefault="00726F8D" w:rsidP="00726F8D">
      <w:pPr>
        <w:spacing w:after="0" w:line="240" w:lineRule="auto"/>
        <w:jc w:val="both"/>
        <w:rPr>
          <w:rFonts w:ascii="Times New Roman" w:hAnsi="Times New Roman"/>
          <w:b/>
          <w:sz w:val="24"/>
          <w:szCs w:val="24"/>
          <w:highlight w:val="yellow"/>
        </w:rPr>
      </w:pPr>
      <w:r w:rsidRPr="00F618CD">
        <w:rPr>
          <w:rFonts w:ascii="Times New Roman" w:hAnsi="Times New Roman"/>
          <w:b/>
          <w:sz w:val="24"/>
          <w:szCs w:val="24"/>
        </w:rPr>
        <w:t xml:space="preserve">K čl. I bodom 1, 2, </w:t>
      </w:r>
      <w:r>
        <w:rPr>
          <w:rFonts w:ascii="Times New Roman" w:hAnsi="Times New Roman"/>
          <w:b/>
          <w:sz w:val="24"/>
          <w:szCs w:val="24"/>
        </w:rPr>
        <w:t>8</w:t>
      </w:r>
      <w:r w:rsidRPr="00F618CD">
        <w:rPr>
          <w:rFonts w:ascii="Times New Roman" w:hAnsi="Times New Roman"/>
          <w:b/>
          <w:sz w:val="24"/>
          <w:szCs w:val="24"/>
        </w:rPr>
        <w:t>,</w:t>
      </w:r>
      <w:r>
        <w:rPr>
          <w:rFonts w:ascii="Times New Roman" w:hAnsi="Times New Roman"/>
          <w:b/>
          <w:sz w:val="24"/>
          <w:szCs w:val="24"/>
        </w:rPr>
        <w:t xml:space="preserve"> 17, 18, 25, </w:t>
      </w:r>
      <w:r w:rsidRPr="00F618CD">
        <w:rPr>
          <w:rFonts w:ascii="Times New Roman" w:hAnsi="Times New Roman"/>
          <w:b/>
          <w:sz w:val="24"/>
          <w:szCs w:val="24"/>
        </w:rPr>
        <w:t>čl. II a čl. XII</w:t>
      </w:r>
    </w:p>
    <w:p w:rsidR="00726F8D" w:rsidRPr="00F618CD" w:rsidRDefault="00726F8D" w:rsidP="00726F8D">
      <w:pPr>
        <w:spacing w:after="0" w:line="240" w:lineRule="auto"/>
        <w:jc w:val="both"/>
        <w:rPr>
          <w:rFonts w:ascii="Times New Roman" w:hAnsi="Times New Roman"/>
          <w:b/>
          <w:sz w:val="24"/>
          <w:szCs w:val="24"/>
          <w:highlight w:val="yellow"/>
        </w:rPr>
      </w:pPr>
    </w:p>
    <w:p w:rsidR="00726F8D" w:rsidRPr="00F618CD" w:rsidRDefault="00726F8D" w:rsidP="00726F8D">
      <w:pPr>
        <w:spacing w:after="0" w:line="240" w:lineRule="auto"/>
        <w:ind w:firstLine="708"/>
        <w:jc w:val="both"/>
        <w:rPr>
          <w:rFonts w:ascii="Times New Roman" w:hAnsi="Times New Roman"/>
          <w:bCs/>
          <w:sz w:val="24"/>
        </w:rPr>
      </w:pPr>
      <w:r w:rsidRPr="00F618CD">
        <w:rPr>
          <w:rFonts w:ascii="Times New Roman" w:hAnsi="Times New Roman"/>
          <w:sz w:val="24"/>
          <w:szCs w:val="24"/>
        </w:rPr>
        <w:t xml:space="preserve">Navrhuje sa aby Úrad vlády Slovenskej republiky, v nadväznosti na zriadenie funkcie podpredsedu vlády Slovenskej republiky ako člena vlády </w:t>
      </w:r>
      <w:r w:rsidRPr="00F618CD">
        <w:rPr>
          <w:rFonts w:ascii="Times New Roman" w:hAnsi="Times New Roman"/>
          <w:bCs/>
          <w:sz w:val="24"/>
        </w:rPr>
        <w:t>bez portefeuille povereného vládou koordinovať legislatívnu činnosť na úrovni výkonnej moci a zabezpečovať strategické plánovanie, plnil pre uvedeného člena vlády a jeho štátneho tajomníka, obdobne ako plní pre vládu a jej predsedu, úlohy spojené s organizačným, odborný a technickým zabezpečením jeho činnosti. Vzhľadom na rozsah zverených činností sa navrhuje ustanoviť uvedenému podpredsedovi vlády štátneho tajomníka s čím súvisí potreba uvedené primietnuť aj do príslušného ustanovenia zákona č. 55/2017 Z. z. o štátnej službe a o zmene a doplnení niektorých zákonov v znení neskorších predpisov. Uvedené riešenie, kedy Úrad vlády Slovenskej republiky poskytuje inštitucionálne zázemie podpredsedovi vlády a jeho štátnemu tajomníkovi, sa uprednostnilo pred zriadení nového ústredného orgánu štátnej správy s cieľom nezaťažovať verejné financie výdavkami na zabezpečenie obslužných činností, ktoré bude plniť Úrad vlády Slovenskej republiky.</w:t>
      </w:r>
    </w:p>
    <w:p w:rsidR="00726F8D" w:rsidRPr="00F618CD" w:rsidRDefault="00726F8D" w:rsidP="00726F8D">
      <w:pPr>
        <w:spacing w:after="0" w:line="240" w:lineRule="auto"/>
        <w:ind w:firstLine="708"/>
        <w:jc w:val="both"/>
        <w:rPr>
          <w:rFonts w:ascii="Times New Roman" w:hAnsi="Times New Roman"/>
          <w:sz w:val="24"/>
          <w:szCs w:val="24"/>
        </w:rPr>
      </w:pPr>
      <w:r w:rsidRPr="00F618CD">
        <w:rPr>
          <w:rFonts w:ascii="Times New Roman" w:hAnsi="Times New Roman"/>
          <w:bCs/>
          <w:sz w:val="24"/>
        </w:rPr>
        <w:t>V nadväznosti na uvedené je potrebné zabezpečiť aj rozpočtové krytie plnenia uvedených úloh podpredsedu vlády Slovenskej republiky tak, aby o týchto rozhodoval samostatne, s tým súvisí aj potreba v prebiehajúcom rozpočtovom roku vykonať nevyhnutné rozpočtové opatrenie.</w:t>
      </w:r>
    </w:p>
    <w:p w:rsidR="00726F8D" w:rsidRDefault="00726F8D" w:rsidP="00726F8D">
      <w:pPr>
        <w:spacing w:after="0" w:line="240" w:lineRule="auto"/>
        <w:jc w:val="both"/>
        <w:rPr>
          <w:rFonts w:ascii="Times New Roman" w:hAnsi="Times New Roman"/>
          <w:sz w:val="24"/>
          <w:szCs w:val="24"/>
          <w:highlight w:val="yellow"/>
        </w:rPr>
      </w:pPr>
    </w:p>
    <w:p w:rsidR="00726F8D" w:rsidRPr="00F618CD" w:rsidRDefault="00726F8D" w:rsidP="00726F8D">
      <w:pPr>
        <w:spacing w:after="0" w:line="240" w:lineRule="auto"/>
        <w:jc w:val="both"/>
        <w:rPr>
          <w:rFonts w:ascii="Times New Roman" w:hAnsi="Times New Roman"/>
          <w:sz w:val="24"/>
          <w:szCs w:val="24"/>
          <w:highlight w:val="yellow"/>
        </w:rPr>
      </w:pPr>
    </w:p>
    <w:p w:rsidR="00726F8D" w:rsidRPr="00F618CD" w:rsidRDefault="00726F8D" w:rsidP="00726F8D">
      <w:pPr>
        <w:spacing w:after="0" w:line="240" w:lineRule="auto"/>
        <w:jc w:val="both"/>
        <w:rPr>
          <w:rFonts w:ascii="Times New Roman" w:hAnsi="Times New Roman"/>
          <w:b/>
          <w:sz w:val="24"/>
          <w:szCs w:val="24"/>
        </w:rPr>
      </w:pPr>
      <w:r w:rsidRPr="00F618CD">
        <w:rPr>
          <w:rFonts w:ascii="Times New Roman" w:hAnsi="Times New Roman"/>
          <w:b/>
          <w:sz w:val="24"/>
          <w:szCs w:val="24"/>
        </w:rPr>
        <w:t xml:space="preserve">K bodu 3 </w:t>
      </w:r>
    </w:p>
    <w:p w:rsidR="00726F8D" w:rsidRPr="00F618CD" w:rsidRDefault="00726F8D" w:rsidP="00726F8D">
      <w:pPr>
        <w:spacing w:after="0" w:line="240" w:lineRule="auto"/>
        <w:jc w:val="both"/>
        <w:rPr>
          <w:rFonts w:ascii="Times New Roman" w:hAnsi="Times New Roman"/>
          <w:b/>
          <w:sz w:val="24"/>
          <w:szCs w:val="24"/>
        </w:rPr>
      </w:pPr>
    </w:p>
    <w:p w:rsidR="00726F8D" w:rsidRPr="00F618CD" w:rsidRDefault="00726F8D" w:rsidP="00726F8D">
      <w:pPr>
        <w:spacing w:after="0" w:line="240" w:lineRule="auto"/>
        <w:ind w:firstLine="708"/>
        <w:jc w:val="both"/>
        <w:rPr>
          <w:rFonts w:ascii="Times New Roman" w:hAnsi="Times New Roman"/>
          <w:sz w:val="24"/>
          <w:szCs w:val="24"/>
        </w:rPr>
      </w:pPr>
      <w:r w:rsidRPr="00F618CD">
        <w:rPr>
          <w:rFonts w:ascii="Times New Roman" w:hAnsi="Times New Roman"/>
          <w:sz w:val="24"/>
          <w:szCs w:val="24"/>
        </w:rPr>
        <w:t>Navrhuje sa umožniť vláde Slovenskej republiky pri vymenovaní splnomocnenca vlády určiť, že ten bude vykonávať funkciu bez nároku na odmenu.</w:t>
      </w:r>
    </w:p>
    <w:p w:rsidR="00726F8D" w:rsidRDefault="00726F8D" w:rsidP="00726F8D">
      <w:pPr>
        <w:spacing w:after="0" w:line="240" w:lineRule="auto"/>
        <w:jc w:val="both"/>
        <w:rPr>
          <w:rFonts w:ascii="Times New Roman" w:hAnsi="Times New Roman"/>
          <w:b/>
          <w:sz w:val="24"/>
          <w:szCs w:val="24"/>
          <w:highlight w:val="yellow"/>
        </w:rPr>
      </w:pPr>
    </w:p>
    <w:p w:rsidR="00726F8D" w:rsidRPr="00F618CD" w:rsidRDefault="00726F8D" w:rsidP="00726F8D">
      <w:pPr>
        <w:spacing w:after="0" w:line="240" w:lineRule="auto"/>
        <w:jc w:val="both"/>
        <w:rPr>
          <w:rFonts w:ascii="Times New Roman" w:hAnsi="Times New Roman"/>
          <w:b/>
          <w:sz w:val="24"/>
          <w:szCs w:val="24"/>
          <w:highlight w:val="yellow"/>
        </w:rPr>
      </w:pPr>
    </w:p>
    <w:p w:rsidR="00726F8D" w:rsidRPr="00F618CD" w:rsidRDefault="00726F8D" w:rsidP="00726F8D">
      <w:pPr>
        <w:spacing w:after="0" w:line="240" w:lineRule="auto"/>
        <w:jc w:val="both"/>
        <w:rPr>
          <w:rFonts w:ascii="Times New Roman" w:hAnsi="Times New Roman"/>
          <w:b/>
          <w:sz w:val="24"/>
          <w:szCs w:val="24"/>
        </w:rPr>
      </w:pPr>
      <w:r>
        <w:rPr>
          <w:rFonts w:ascii="Times New Roman" w:hAnsi="Times New Roman"/>
          <w:b/>
          <w:sz w:val="24"/>
          <w:szCs w:val="24"/>
        </w:rPr>
        <w:t>K bodom 4 a 9</w:t>
      </w:r>
    </w:p>
    <w:p w:rsidR="00726F8D" w:rsidRPr="00F618CD" w:rsidRDefault="00726F8D" w:rsidP="00726F8D">
      <w:pPr>
        <w:spacing w:after="0" w:line="240" w:lineRule="auto"/>
        <w:jc w:val="both"/>
        <w:rPr>
          <w:rFonts w:ascii="Times New Roman" w:hAnsi="Times New Roman"/>
          <w:b/>
          <w:sz w:val="24"/>
          <w:szCs w:val="24"/>
        </w:rPr>
      </w:pPr>
    </w:p>
    <w:p w:rsidR="00726F8D" w:rsidRPr="00F618CD" w:rsidRDefault="00726F8D" w:rsidP="00726F8D">
      <w:pPr>
        <w:spacing w:after="0" w:line="240" w:lineRule="auto"/>
        <w:ind w:firstLine="708"/>
        <w:jc w:val="both"/>
        <w:rPr>
          <w:rFonts w:ascii="Times New Roman" w:hAnsi="Times New Roman"/>
          <w:sz w:val="24"/>
          <w:szCs w:val="24"/>
        </w:rPr>
      </w:pPr>
      <w:r w:rsidRPr="00F618CD">
        <w:rPr>
          <w:rFonts w:ascii="Times New Roman" w:hAnsi="Times New Roman"/>
          <w:sz w:val="24"/>
          <w:szCs w:val="24"/>
        </w:rPr>
        <w:t xml:space="preserve">Navrhuje sa, v súlade s Programovým vyhlásením vlády Slovenskej republiky na roky 2020 až 2024,  s cieľom zvýšiť konkurencieschopnosť a produktivitu slovenskej ekonomiky zriadiť nový poradný orgán - Radu vlády Slovenskej republiky pre konkurencieschopnosť a produktivitu, ktorej predsedom bude minister hospodárstva Slovenskej republiky. </w:t>
      </w:r>
    </w:p>
    <w:p w:rsidR="00726F8D" w:rsidRDefault="00726F8D" w:rsidP="00726F8D">
      <w:pPr>
        <w:spacing w:after="0" w:line="240" w:lineRule="auto"/>
        <w:jc w:val="both"/>
        <w:rPr>
          <w:rFonts w:ascii="Times New Roman" w:hAnsi="Times New Roman"/>
          <w:b/>
          <w:sz w:val="24"/>
          <w:szCs w:val="24"/>
          <w:highlight w:val="yellow"/>
        </w:rPr>
      </w:pPr>
    </w:p>
    <w:p w:rsidR="00726F8D" w:rsidRPr="00F618CD" w:rsidRDefault="00726F8D" w:rsidP="00726F8D">
      <w:pPr>
        <w:spacing w:after="0" w:line="240" w:lineRule="auto"/>
        <w:jc w:val="both"/>
        <w:rPr>
          <w:rFonts w:ascii="Times New Roman" w:hAnsi="Times New Roman"/>
          <w:b/>
          <w:sz w:val="24"/>
          <w:szCs w:val="24"/>
          <w:highlight w:val="yellow"/>
        </w:rPr>
      </w:pPr>
    </w:p>
    <w:p w:rsidR="00726F8D" w:rsidRPr="00F618CD" w:rsidRDefault="00726F8D" w:rsidP="00726F8D">
      <w:pPr>
        <w:spacing w:after="0" w:line="240" w:lineRule="auto"/>
        <w:jc w:val="both"/>
        <w:rPr>
          <w:rFonts w:ascii="Times New Roman" w:hAnsi="Times New Roman"/>
          <w:b/>
          <w:sz w:val="24"/>
          <w:szCs w:val="24"/>
        </w:rPr>
      </w:pPr>
      <w:r w:rsidRPr="00F618CD">
        <w:rPr>
          <w:rFonts w:ascii="Times New Roman" w:hAnsi="Times New Roman"/>
          <w:b/>
          <w:sz w:val="24"/>
          <w:szCs w:val="24"/>
        </w:rPr>
        <w:t>K bodu 5</w:t>
      </w:r>
    </w:p>
    <w:p w:rsidR="00726F8D" w:rsidRPr="00F618CD" w:rsidRDefault="00726F8D" w:rsidP="00726F8D">
      <w:pPr>
        <w:spacing w:after="0" w:line="240" w:lineRule="auto"/>
        <w:jc w:val="both"/>
        <w:rPr>
          <w:rFonts w:ascii="Times New Roman" w:hAnsi="Times New Roman"/>
          <w:b/>
          <w:sz w:val="24"/>
          <w:szCs w:val="24"/>
        </w:rPr>
      </w:pPr>
    </w:p>
    <w:p w:rsidR="00726F8D" w:rsidRPr="00F618CD" w:rsidRDefault="00726F8D" w:rsidP="00726F8D">
      <w:pPr>
        <w:spacing w:after="0" w:line="240" w:lineRule="auto"/>
        <w:ind w:firstLine="708"/>
        <w:jc w:val="both"/>
        <w:rPr>
          <w:rFonts w:ascii="Times New Roman" w:hAnsi="Times New Roman"/>
          <w:sz w:val="24"/>
          <w:szCs w:val="24"/>
        </w:rPr>
      </w:pPr>
      <w:r w:rsidRPr="00F618CD">
        <w:rPr>
          <w:rFonts w:ascii="Times New Roman" w:hAnsi="Times New Roman"/>
          <w:sz w:val="24"/>
          <w:szCs w:val="24"/>
        </w:rPr>
        <w:t>Navrhuje sa ustanoviť povinnosť uvádzať v štatúte odborného poradného orgánu vlády výšku odmeny pre člena tohto poradného orgánu. Cieľom navrhovanej úpravy je zaviesť transparentnosť v odmeňovaní členov odborných poradných orgánov.</w:t>
      </w:r>
    </w:p>
    <w:p w:rsidR="00726F8D" w:rsidRDefault="00726F8D" w:rsidP="00726F8D">
      <w:pPr>
        <w:spacing w:after="0" w:line="240" w:lineRule="auto"/>
        <w:jc w:val="both"/>
        <w:rPr>
          <w:rFonts w:ascii="Times New Roman" w:hAnsi="Times New Roman"/>
          <w:b/>
          <w:sz w:val="24"/>
          <w:szCs w:val="24"/>
          <w:highlight w:val="yellow"/>
        </w:rPr>
      </w:pPr>
    </w:p>
    <w:p w:rsidR="00726F8D" w:rsidRPr="00F618CD" w:rsidRDefault="00726F8D" w:rsidP="00726F8D">
      <w:pPr>
        <w:spacing w:after="0" w:line="240" w:lineRule="auto"/>
        <w:jc w:val="both"/>
        <w:rPr>
          <w:rFonts w:ascii="Times New Roman" w:hAnsi="Times New Roman"/>
          <w:b/>
          <w:sz w:val="24"/>
          <w:szCs w:val="24"/>
          <w:highlight w:val="yellow"/>
        </w:rPr>
      </w:pPr>
    </w:p>
    <w:p w:rsidR="00726F8D" w:rsidRPr="00F618CD" w:rsidRDefault="00726F8D" w:rsidP="00726F8D">
      <w:pPr>
        <w:spacing w:after="0" w:line="240" w:lineRule="auto"/>
        <w:jc w:val="both"/>
        <w:rPr>
          <w:rFonts w:ascii="Times New Roman" w:hAnsi="Times New Roman"/>
          <w:b/>
          <w:sz w:val="24"/>
          <w:szCs w:val="24"/>
        </w:rPr>
      </w:pPr>
      <w:r w:rsidRPr="00F618CD">
        <w:rPr>
          <w:rFonts w:ascii="Times New Roman" w:hAnsi="Times New Roman"/>
          <w:b/>
          <w:sz w:val="24"/>
          <w:szCs w:val="24"/>
        </w:rPr>
        <w:t>K bodu 6</w:t>
      </w:r>
    </w:p>
    <w:p w:rsidR="00726F8D" w:rsidRPr="00F618CD" w:rsidRDefault="00726F8D" w:rsidP="00726F8D">
      <w:pPr>
        <w:spacing w:after="0" w:line="240" w:lineRule="auto"/>
        <w:jc w:val="both"/>
        <w:rPr>
          <w:rFonts w:ascii="Times New Roman" w:hAnsi="Times New Roman"/>
          <w:b/>
          <w:sz w:val="24"/>
          <w:szCs w:val="24"/>
        </w:rPr>
      </w:pPr>
    </w:p>
    <w:p w:rsidR="00726F8D" w:rsidRPr="00F618CD" w:rsidRDefault="00726F8D" w:rsidP="00726F8D">
      <w:pPr>
        <w:spacing w:after="0" w:line="240" w:lineRule="auto"/>
        <w:jc w:val="both"/>
        <w:rPr>
          <w:rFonts w:ascii="Times New Roman" w:hAnsi="Times New Roman"/>
          <w:sz w:val="24"/>
          <w:szCs w:val="24"/>
        </w:rPr>
      </w:pPr>
      <w:r w:rsidRPr="00F618CD">
        <w:rPr>
          <w:rFonts w:ascii="Times New Roman" w:hAnsi="Times New Roman"/>
          <w:sz w:val="24"/>
          <w:szCs w:val="24"/>
        </w:rPr>
        <w:tab/>
        <w:t xml:space="preserve">Navrhuje sa umožniť zriadiť poradný orgán aj predsedovi vlády prípadne inému členovi vlády, ktorý neriadi ministerstvo, takýto poradný orgán bude pre predsedu vlády plniť obdobné úlohy, aké plnia pre ministrov ich poradné orgány pôsobiace na ministerstvách. </w:t>
      </w:r>
    </w:p>
    <w:p w:rsidR="00726F8D" w:rsidRPr="00F618CD" w:rsidRDefault="00726F8D" w:rsidP="00726F8D">
      <w:pPr>
        <w:spacing w:after="0" w:line="240" w:lineRule="auto"/>
        <w:jc w:val="both"/>
        <w:rPr>
          <w:rFonts w:ascii="Times New Roman" w:hAnsi="Times New Roman"/>
          <w:b/>
          <w:sz w:val="24"/>
          <w:szCs w:val="24"/>
          <w:highlight w:val="yellow"/>
        </w:rPr>
      </w:pPr>
      <w:r>
        <w:rPr>
          <w:rFonts w:ascii="Times New Roman" w:hAnsi="Times New Roman"/>
          <w:b/>
          <w:sz w:val="24"/>
          <w:szCs w:val="24"/>
        </w:rPr>
        <w:lastRenderedPageBreak/>
        <w:t>K čl. I bodom 7, 10, 11, 12</w:t>
      </w:r>
      <w:r w:rsidRPr="00F618CD">
        <w:rPr>
          <w:rFonts w:ascii="Times New Roman" w:hAnsi="Times New Roman"/>
          <w:b/>
          <w:sz w:val="24"/>
          <w:szCs w:val="24"/>
        </w:rPr>
        <w:t xml:space="preserve">, </w:t>
      </w:r>
      <w:r>
        <w:rPr>
          <w:rFonts w:ascii="Times New Roman" w:hAnsi="Times New Roman"/>
          <w:b/>
          <w:sz w:val="24"/>
          <w:szCs w:val="24"/>
        </w:rPr>
        <w:t>14</w:t>
      </w:r>
      <w:r w:rsidRPr="00F618CD">
        <w:rPr>
          <w:rFonts w:ascii="Times New Roman" w:hAnsi="Times New Roman"/>
          <w:b/>
          <w:sz w:val="24"/>
          <w:szCs w:val="24"/>
        </w:rPr>
        <w:t xml:space="preserve">, </w:t>
      </w:r>
      <w:r>
        <w:rPr>
          <w:rFonts w:ascii="Times New Roman" w:hAnsi="Times New Roman"/>
          <w:b/>
          <w:sz w:val="24"/>
          <w:szCs w:val="24"/>
        </w:rPr>
        <w:t>15</w:t>
      </w:r>
      <w:r w:rsidRPr="00F618CD">
        <w:rPr>
          <w:rFonts w:ascii="Times New Roman" w:hAnsi="Times New Roman"/>
          <w:b/>
          <w:sz w:val="24"/>
          <w:szCs w:val="24"/>
        </w:rPr>
        <w:t xml:space="preserve">, </w:t>
      </w:r>
      <w:r>
        <w:rPr>
          <w:rFonts w:ascii="Times New Roman" w:hAnsi="Times New Roman"/>
          <w:b/>
          <w:sz w:val="24"/>
          <w:szCs w:val="24"/>
        </w:rPr>
        <w:t>22, 24, 26 a 27</w:t>
      </w:r>
    </w:p>
    <w:p w:rsidR="00726F8D" w:rsidRPr="00F618CD" w:rsidRDefault="00726F8D" w:rsidP="00726F8D">
      <w:pPr>
        <w:spacing w:after="0" w:line="240" w:lineRule="auto"/>
        <w:jc w:val="both"/>
        <w:rPr>
          <w:rFonts w:ascii="Times New Roman" w:hAnsi="Times New Roman"/>
          <w:sz w:val="24"/>
          <w:szCs w:val="24"/>
          <w:highlight w:val="yellow"/>
          <w:u w:val="single"/>
        </w:rPr>
      </w:pPr>
    </w:p>
    <w:p w:rsidR="00726F8D" w:rsidRDefault="00726F8D" w:rsidP="00726F8D">
      <w:pPr>
        <w:spacing w:after="0" w:line="240" w:lineRule="auto"/>
        <w:ind w:firstLine="708"/>
        <w:jc w:val="both"/>
        <w:rPr>
          <w:rFonts w:ascii="Times New Roman" w:hAnsi="Times New Roman"/>
          <w:sz w:val="24"/>
        </w:rPr>
      </w:pPr>
      <w:r w:rsidRPr="00F618CD">
        <w:rPr>
          <w:rFonts w:ascii="Times New Roman" w:hAnsi="Times New Roman"/>
          <w:sz w:val="24"/>
        </w:rPr>
        <w:t>Navrhuje sa zriadiť Ministerstvo investícií, regionálneho rozvoja a informatizácie Slovenskej republiky, ktoré prevezme pôsobnosť Úradu podpredsedu vlády Slovenskej republiky pre investície a informatizáciu, pričom tento úrad k 1. júlu 2020 zanikne. Dôvodom pre zriadenie uvedeného ministerstva je centralizácia agendy regionálneho rozvoja a eurofondov na jedno ministerstvo s cieľom zlepšenia koordinácie regionálneho rozvoja, optimalizácie implementačnej štruktúry riadenia eurofondov, posilnenia princípov transparentnosti, efektívnosti, hospodárnosti, účelnosti a výsledkovej orientácie, na ktoré kladie dôraz aj Európska komisia. V nadväznosti na uvedené je potrebné vypustiť úpravu platových náležitostí vedúceho úradu podpredsedu vlády Slovenskej republiky pre informatizáciu a investície.</w:t>
      </w:r>
    </w:p>
    <w:p w:rsidR="00726F8D" w:rsidRPr="00F618CD" w:rsidRDefault="00726F8D" w:rsidP="00726F8D">
      <w:pPr>
        <w:spacing w:after="0" w:line="240" w:lineRule="auto"/>
        <w:ind w:firstLine="708"/>
        <w:jc w:val="both"/>
        <w:rPr>
          <w:rFonts w:ascii="Times New Roman" w:hAnsi="Times New Roman"/>
          <w:sz w:val="24"/>
        </w:rPr>
      </w:pPr>
      <w:r w:rsidRPr="00F618CD">
        <w:rPr>
          <w:rFonts w:ascii="Times New Roman" w:hAnsi="Times New Roman"/>
          <w:sz w:val="24"/>
        </w:rPr>
        <w:t>Ministerstvo investícií, regionálneho rozvoja a informatizácie Slovenskej republiky</w:t>
      </w:r>
      <w:r>
        <w:rPr>
          <w:rFonts w:ascii="Times New Roman" w:hAnsi="Times New Roman"/>
          <w:sz w:val="24"/>
        </w:rPr>
        <w:t xml:space="preserve"> sa zo zákona stane zriaďovateľom doterajšej príspevkovej organizácie </w:t>
      </w:r>
      <w:r w:rsidRPr="00F618CD">
        <w:rPr>
          <w:rFonts w:ascii="Times New Roman" w:hAnsi="Times New Roman"/>
          <w:sz w:val="24"/>
        </w:rPr>
        <w:t>Úradu podpredsedu vlády Slovenskej republiky pre investície a</w:t>
      </w:r>
      <w:r>
        <w:rPr>
          <w:rFonts w:ascii="Times New Roman" w:hAnsi="Times New Roman"/>
          <w:sz w:val="24"/>
        </w:rPr>
        <w:t> </w:t>
      </w:r>
      <w:r w:rsidRPr="00F618CD">
        <w:rPr>
          <w:rFonts w:ascii="Times New Roman" w:hAnsi="Times New Roman"/>
          <w:sz w:val="24"/>
        </w:rPr>
        <w:t>informatizáciu</w:t>
      </w:r>
      <w:r>
        <w:rPr>
          <w:rFonts w:ascii="Times New Roman" w:hAnsi="Times New Roman"/>
          <w:sz w:val="24"/>
        </w:rPr>
        <w:t>.</w:t>
      </w:r>
    </w:p>
    <w:p w:rsidR="00726F8D" w:rsidRPr="00F618CD" w:rsidRDefault="00726F8D" w:rsidP="00726F8D">
      <w:pPr>
        <w:spacing w:after="0" w:line="240" w:lineRule="auto"/>
        <w:ind w:firstLine="708"/>
        <w:jc w:val="both"/>
        <w:rPr>
          <w:rFonts w:ascii="Times New Roman" w:hAnsi="Times New Roman"/>
          <w:sz w:val="24"/>
        </w:rPr>
      </w:pPr>
      <w:r w:rsidRPr="00F618CD">
        <w:rPr>
          <w:rFonts w:ascii="Times New Roman" w:hAnsi="Times New Roman"/>
          <w:sz w:val="24"/>
          <w:szCs w:val="24"/>
        </w:rPr>
        <w:t xml:space="preserve">Vzhľadom na to, že </w:t>
      </w:r>
      <w:r w:rsidRPr="00F618CD">
        <w:rPr>
          <w:rFonts w:ascii="Times New Roman" w:hAnsi="Times New Roman"/>
          <w:sz w:val="24"/>
        </w:rPr>
        <w:t>Ministerstvo investícií, regionálneho rozvoja a informatizácie Slovenskej republiky má byť od 1. októbra 2020 aj ústredným orgánom štátnej správy pre regionálny rozvoj, navrhuje sa presunúť doterajšiu pôsobnosť Ministerstva pôdohospodárstva a rozvoja vidieka Slovenskej republiky na novovznikajúce ministerstvo.</w:t>
      </w:r>
    </w:p>
    <w:p w:rsidR="00726F8D" w:rsidRPr="00DF4D3B" w:rsidRDefault="00726F8D" w:rsidP="00726F8D">
      <w:pPr>
        <w:spacing w:after="0" w:line="240" w:lineRule="auto"/>
        <w:ind w:firstLine="708"/>
        <w:jc w:val="both"/>
        <w:rPr>
          <w:rFonts w:ascii="Times New Roman" w:hAnsi="Times New Roman"/>
          <w:sz w:val="24"/>
        </w:rPr>
      </w:pPr>
      <w:r w:rsidRPr="00F618CD">
        <w:rPr>
          <w:rFonts w:ascii="Times New Roman" w:hAnsi="Times New Roman"/>
          <w:sz w:val="24"/>
        </w:rPr>
        <w:t xml:space="preserve">V nadväznosti na uvedené zmeny sa v príslušných prechodných ustanoveniach navrhuje intertemporálna právna úprava upravujúca súvisiace procesy spojené s prechodom uvedených </w:t>
      </w:r>
      <w:r w:rsidRPr="00DF4D3B">
        <w:rPr>
          <w:rFonts w:ascii="Times New Roman" w:hAnsi="Times New Roman"/>
          <w:sz w:val="24"/>
        </w:rPr>
        <w:t>kompetencií (zamestnanecké a iné právne vzťahy, správa majetku štátu a pod.).</w:t>
      </w:r>
    </w:p>
    <w:p w:rsidR="00726F8D" w:rsidRDefault="00726F8D" w:rsidP="00726F8D">
      <w:pPr>
        <w:spacing w:after="0" w:line="240" w:lineRule="auto"/>
        <w:jc w:val="both"/>
        <w:rPr>
          <w:rFonts w:ascii="Times New Roman" w:hAnsi="Times New Roman"/>
          <w:sz w:val="24"/>
          <w:szCs w:val="24"/>
        </w:rPr>
      </w:pPr>
    </w:p>
    <w:p w:rsidR="00726F8D" w:rsidRPr="00DF4D3B" w:rsidRDefault="00726F8D" w:rsidP="00726F8D">
      <w:pPr>
        <w:spacing w:after="0" w:line="240" w:lineRule="auto"/>
        <w:jc w:val="both"/>
        <w:rPr>
          <w:rFonts w:ascii="Times New Roman" w:hAnsi="Times New Roman"/>
          <w:sz w:val="24"/>
          <w:szCs w:val="24"/>
        </w:rPr>
      </w:pPr>
    </w:p>
    <w:p w:rsidR="00726F8D" w:rsidRPr="00DF4D3B" w:rsidRDefault="00726F8D" w:rsidP="00726F8D">
      <w:pPr>
        <w:spacing w:after="0" w:line="240" w:lineRule="auto"/>
        <w:jc w:val="both"/>
        <w:rPr>
          <w:rFonts w:ascii="Times New Roman" w:hAnsi="Times New Roman"/>
          <w:b/>
          <w:sz w:val="24"/>
          <w:szCs w:val="24"/>
        </w:rPr>
      </w:pPr>
      <w:r w:rsidRPr="00DF4D3B">
        <w:rPr>
          <w:rFonts w:ascii="Times New Roman" w:hAnsi="Times New Roman"/>
          <w:b/>
          <w:sz w:val="24"/>
          <w:szCs w:val="24"/>
        </w:rPr>
        <w:t xml:space="preserve">K čl. I bodom </w:t>
      </w:r>
      <w:r>
        <w:rPr>
          <w:rFonts w:ascii="Times New Roman" w:hAnsi="Times New Roman"/>
          <w:b/>
          <w:sz w:val="24"/>
          <w:szCs w:val="24"/>
        </w:rPr>
        <w:t>13</w:t>
      </w:r>
      <w:r w:rsidRPr="00DF4D3B">
        <w:rPr>
          <w:rFonts w:ascii="Times New Roman" w:hAnsi="Times New Roman"/>
          <w:b/>
          <w:sz w:val="24"/>
          <w:szCs w:val="24"/>
        </w:rPr>
        <w:t xml:space="preserve">, </w:t>
      </w:r>
      <w:r>
        <w:rPr>
          <w:rFonts w:ascii="Times New Roman" w:hAnsi="Times New Roman"/>
          <w:b/>
          <w:sz w:val="24"/>
          <w:szCs w:val="24"/>
        </w:rPr>
        <w:t>19, 20 a 25</w:t>
      </w:r>
    </w:p>
    <w:p w:rsidR="00726F8D" w:rsidRPr="00DF4D3B" w:rsidRDefault="00726F8D" w:rsidP="00726F8D">
      <w:pPr>
        <w:spacing w:after="0" w:line="240" w:lineRule="auto"/>
        <w:jc w:val="both"/>
        <w:rPr>
          <w:rFonts w:ascii="Times New Roman" w:hAnsi="Times New Roman"/>
          <w:sz w:val="24"/>
          <w:szCs w:val="24"/>
        </w:rPr>
      </w:pPr>
    </w:p>
    <w:p w:rsidR="00726F8D" w:rsidRPr="00DF4D3B" w:rsidRDefault="00726F8D" w:rsidP="00726F8D">
      <w:pPr>
        <w:spacing w:after="0" w:line="240" w:lineRule="auto"/>
        <w:ind w:firstLine="708"/>
        <w:jc w:val="both"/>
        <w:rPr>
          <w:rFonts w:ascii="Times New Roman" w:hAnsi="Times New Roman"/>
          <w:sz w:val="24"/>
          <w:szCs w:val="24"/>
        </w:rPr>
      </w:pPr>
      <w:r w:rsidRPr="00DF4D3B">
        <w:rPr>
          <w:rFonts w:ascii="Times New Roman" w:hAnsi="Times New Roman"/>
          <w:sz w:val="24"/>
          <w:szCs w:val="24"/>
        </w:rPr>
        <w:t>V súvislosti so zriadením funkcie podpredsedu vlády Slovenskej republiky plnenie úloh ktorého bude zabezpečovať Úrad vlády Slovenskej republiky, prostredníctvom organizačných útvarov v jeho riadiacej pôsobnosti,  je potrebné niektoré činnosti – vydávanie Zbierky zákonov Slovenskej republiky a správu a prevádzku Slov-</w:t>
      </w:r>
      <w:proofErr w:type="spellStart"/>
      <w:r w:rsidRPr="00DF4D3B">
        <w:rPr>
          <w:rFonts w:ascii="Times New Roman" w:hAnsi="Times New Roman"/>
          <w:sz w:val="24"/>
          <w:szCs w:val="24"/>
        </w:rPr>
        <w:t>Lexu</w:t>
      </w:r>
      <w:proofErr w:type="spellEnd"/>
      <w:r w:rsidRPr="00DF4D3B">
        <w:rPr>
          <w:rFonts w:ascii="Times New Roman" w:hAnsi="Times New Roman"/>
          <w:sz w:val="24"/>
          <w:szCs w:val="24"/>
        </w:rPr>
        <w:t xml:space="preserve"> Ministerstva spravodlivosti Slovenskej republiky previesť na Úrad vlády Slovenskej republiky, rovnako tak je potrebné sústrediť niektoré činnosti v oblasti právneho zastupovania a zabezpečovanie legislatívnych činnosti spojených s prípravou, prerokúvaním a schvaľovaním všeobecne záväzných právnych predpisov vybraných ostatných ústredných orgánov štátnej správy.</w:t>
      </w:r>
    </w:p>
    <w:p w:rsidR="00726F8D" w:rsidRDefault="00726F8D" w:rsidP="00726F8D">
      <w:pPr>
        <w:spacing w:after="0" w:line="240" w:lineRule="auto"/>
        <w:ind w:firstLine="708"/>
        <w:jc w:val="both"/>
        <w:rPr>
          <w:rFonts w:ascii="Times New Roman" w:hAnsi="Times New Roman"/>
          <w:sz w:val="24"/>
          <w:szCs w:val="24"/>
        </w:rPr>
      </w:pPr>
      <w:r w:rsidRPr="00DF4D3B">
        <w:rPr>
          <w:rFonts w:ascii="Times New Roman" w:hAnsi="Times New Roman"/>
          <w:sz w:val="24"/>
        </w:rPr>
        <w:t>V nadväznosti na uvedené zmeny sa v príslušných prechodných ustanoveniach navrhuje intertemporálna právna úprava upravujúca súvisiace procesy spojené s prechodom uvedených kompetencií (zamestnanecké a iné právne vzťahy, správa majetku štátu a pod.).</w:t>
      </w:r>
    </w:p>
    <w:p w:rsidR="00726F8D" w:rsidRDefault="00726F8D" w:rsidP="00726F8D">
      <w:pPr>
        <w:spacing w:after="0" w:line="240" w:lineRule="auto"/>
        <w:jc w:val="both"/>
        <w:rPr>
          <w:rFonts w:ascii="Times New Roman" w:hAnsi="Times New Roman"/>
          <w:sz w:val="24"/>
          <w:szCs w:val="24"/>
        </w:rPr>
      </w:pPr>
    </w:p>
    <w:p w:rsidR="00726F8D" w:rsidRDefault="00726F8D" w:rsidP="00726F8D">
      <w:pPr>
        <w:spacing w:after="0" w:line="240" w:lineRule="auto"/>
        <w:jc w:val="both"/>
        <w:rPr>
          <w:rFonts w:ascii="Times New Roman" w:hAnsi="Times New Roman"/>
          <w:sz w:val="24"/>
          <w:szCs w:val="24"/>
        </w:rPr>
      </w:pPr>
    </w:p>
    <w:p w:rsidR="00726F8D" w:rsidRPr="00F618CD" w:rsidRDefault="00726F8D" w:rsidP="00726F8D">
      <w:pPr>
        <w:spacing w:after="0" w:line="240" w:lineRule="auto"/>
        <w:jc w:val="both"/>
        <w:rPr>
          <w:rFonts w:ascii="Times New Roman" w:hAnsi="Times New Roman"/>
          <w:b/>
          <w:sz w:val="24"/>
          <w:szCs w:val="24"/>
        </w:rPr>
      </w:pPr>
      <w:r>
        <w:rPr>
          <w:rFonts w:ascii="Times New Roman" w:hAnsi="Times New Roman"/>
          <w:b/>
          <w:sz w:val="24"/>
          <w:szCs w:val="24"/>
        </w:rPr>
        <w:t>K bodom 16, 21 a 24</w:t>
      </w:r>
    </w:p>
    <w:p w:rsidR="00726F8D" w:rsidRPr="00F618CD" w:rsidRDefault="00726F8D" w:rsidP="00726F8D">
      <w:pPr>
        <w:spacing w:after="0" w:line="240" w:lineRule="auto"/>
        <w:jc w:val="both"/>
        <w:rPr>
          <w:rFonts w:ascii="Times New Roman" w:hAnsi="Times New Roman"/>
          <w:sz w:val="24"/>
          <w:szCs w:val="24"/>
        </w:rPr>
      </w:pPr>
    </w:p>
    <w:p w:rsidR="00726F8D" w:rsidRDefault="00726F8D" w:rsidP="00726F8D">
      <w:pPr>
        <w:pStyle w:val="Default"/>
        <w:ind w:firstLine="720"/>
        <w:jc w:val="both"/>
      </w:pPr>
      <w:r w:rsidRPr="00F618CD">
        <w:t>Navrhuje sa zriadenie fondu na pomoc ľuďom pri riešení životných prípadov negatívne ovplyvnených súčasnou krízou vyvolanou šírením nebezpečnej nákazlivej ľudskej choroby COVID-19. V nadväznosti na uvedené sa navrhuje vykonať súvisiacu legislatívno-technickú zmenu a prostredníctvom intertemporálnej úpravy ustanoviť, že peňažné prostriedky, ktoré boli poskytnuté na samostatný účet fondu pre dňom účinnosti tohto zákona, budú považované za príjmy fondu podľa navrhovaného § 24a.</w:t>
      </w:r>
      <w:r>
        <w:t xml:space="preserve"> Pomoc z fondu bude určená pre osoby ak negatívne následky nie sú zmiernené formami podpory štátu.</w:t>
      </w:r>
    </w:p>
    <w:p w:rsidR="00726F8D" w:rsidRDefault="00726F8D" w:rsidP="00726F8D">
      <w:pPr>
        <w:spacing w:after="0" w:line="240" w:lineRule="auto"/>
        <w:jc w:val="both"/>
        <w:rPr>
          <w:rFonts w:ascii="Times New Roman" w:hAnsi="Times New Roman"/>
          <w:sz w:val="24"/>
          <w:szCs w:val="24"/>
        </w:rPr>
      </w:pPr>
    </w:p>
    <w:p w:rsidR="00726F8D" w:rsidRDefault="00726F8D" w:rsidP="00726F8D">
      <w:pPr>
        <w:spacing w:after="0" w:line="240" w:lineRule="auto"/>
        <w:jc w:val="both"/>
        <w:rPr>
          <w:rFonts w:ascii="Times New Roman" w:hAnsi="Times New Roman"/>
          <w:sz w:val="24"/>
          <w:szCs w:val="24"/>
        </w:rPr>
      </w:pPr>
    </w:p>
    <w:p w:rsidR="00726F8D" w:rsidRDefault="00726F8D" w:rsidP="00726F8D">
      <w:pPr>
        <w:spacing w:after="0" w:line="240" w:lineRule="auto"/>
        <w:jc w:val="both"/>
        <w:rPr>
          <w:rFonts w:ascii="Times New Roman" w:hAnsi="Times New Roman"/>
          <w:b/>
          <w:sz w:val="24"/>
          <w:szCs w:val="24"/>
        </w:rPr>
      </w:pPr>
      <w:r>
        <w:rPr>
          <w:rFonts w:ascii="Times New Roman" w:hAnsi="Times New Roman"/>
          <w:b/>
          <w:sz w:val="24"/>
          <w:szCs w:val="24"/>
        </w:rPr>
        <w:lastRenderedPageBreak/>
        <w:t>K bodu 23</w:t>
      </w:r>
    </w:p>
    <w:p w:rsidR="00726F8D" w:rsidRPr="00F87489" w:rsidRDefault="00726F8D" w:rsidP="00726F8D">
      <w:pPr>
        <w:spacing w:after="0" w:line="240" w:lineRule="auto"/>
        <w:jc w:val="both"/>
        <w:rPr>
          <w:rFonts w:ascii="Times New Roman" w:hAnsi="Times New Roman"/>
          <w:b/>
          <w:sz w:val="24"/>
          <w:szCs w:val="24"/>
        </w:rPr>
      </w:pPr>
    </w:p>
    <w:p w:rsidR="00726F8D" w:rsidRDefault="00726F8D" w:rsidP="00726F8D">
      <w:pPr>
        <w:spacing w:after="0" w:line="240" w:lineRule="auto"/>
        <w:ind w:firstLine="708"/>
        <w:jc w:val="both"/>
        <w:rPr>
          <w:rFonts w:ascii="Times New Roman" w:hAnsi="Times New Roman"/>
          <w:sz w:val="24"/>
          <w:szCs w:val="24"/>
        </w:rPr>
      </w:pPr>
      <w:r>
        <w:rPr>
          <w:rFonts w:ascii="Times New Roman" w:hAnsi="Times New Roman"/>
          <w:sz w:val="24"/>
          <w:szCs w:val="24"/>
        </w:rPr>
        <w:t>Legislatívno-technická úprava, ktorá opravuje neaktuálnu terminológiu doterajšieho znenia § 35 ods. 5.</w:t>
      </w:r>
    </w:p>
    <w:p w:rsidR="00726F8D" w:rsidRDefault="00726F8D" w:rsidP="00726F8D">
      <w:pPr>
        <w:spacing w:after="0" w:line="240" w:lineRule="auto"/>
        <w:jc w:val="both"/>
        <w:rPr>
          <w:rFonts w:ascii="Times New Roman" w:hAnsi="Times New Roman"/>
          <w:b/>
          <w:sz w:val="24"/>
          <w:szCs w:val="24"/>
        </w:rPr>
      </w:pPr>
    </w:p>
    <w:p w:rsidR="00726F8D" w:rsidRDefault="00726F8D" w:rsidP="00726F8D">
      <w:pPr>
        <w:spacing w:after="0" w:line="240" w:lineRule="auto"/>
        <w:jc w:val="both"/>
        <w:rPr>
          <w:rFonts w:ascii="Times New Roman" w:hAnsi="Times New Roman"/>
          <w:b/>
          <w:sz w:val="24"/>
          <w:szCs w:val="24"/>
        </w:rPr>
      </w:pPr>
    </w:p>
    <w:p w:rsidR="00726F8D" w:rsidRDefault="00726F8D" w:rsidP="00726F8D">
      <w:pPr>
        <w:spacing w:after="0" w:line="240" w:lineRule="auto"/>
        <w:jc w:val="both"/>
        <w:rPr>
          <w:rFonts w:ascii="Times New Roman" w:hAnsi="Times New Roman"/>
          <w:b/>
          <w:sz w:val="24"/>
          <w:szCs w:val="24"/>
        </w:rPr>
      </w:pPr>
      <w:r>
        <w:rPr>
          <w:rFonts w:ascii="Times New Roman" w:hAnsi="Times New Roman"/>
          <w:b/>
          <w:sz w:val="24"/>
          <w:szCs w:val="24"/>
        </w:rPr>
        <w:t>K čl. III až X, XIII až XV</w:t>
      </w:r>
    </w:p>
    <w:p w:rsidR="00726F8D" w:rsidRDefault="00726F8D" w:rsidP="00726F8D">
      <w:pPr>
        <w:spacing w:after="0" w:line="240" w:lineRule="auto"/>
        <w:jc w:val="both"/>
        <w:rPr>
          <w:rFonts w:ascii="Times New Roman" w:hAnsi="Times New Roman"/>
          <w:b/>
          <w:sz w:val="24"/>
          <w:szCs w:val="24"/>
        </w:rPr>
      </w:pPr>
    </w:p>
    <w:p w:rsidR="00726F8D" w:rsidRPr="00A17EDD" w:rsidRDefault="00726F8D" w:rsidP="00726F8D">
      <w:pPr>
        <w:spacing w:after="0" w:line="240" w:lineRule="auto"/>
        <w:ind w:firstLine="708"/>
        <w:jc w:val="both"/>
        <w:rPr>
          <w:rFonts w:ascii="Times New Roman" w:hAnsi="Times New Roman"/>
          <w:sz w:val="24"/>
          <w:szCs w:val="24"/>
        </w:rPr>
      </w:pPr>
      <w:r w:rsidRPr="00A17EDD">
        <w:rPr>
          <w:rFonts w:ascii="Times New Roman" w:hAnsi="Times New Roman"/>
          <w:sz w:val="24"/>
          <w:szCs w:val="24"/>
        </w:rPr>
        <w:t>V nadväznosti na zmeny v čl. I – zriadenie Ministerstva investícií, regionálneho rozvoja a informatizácie Slovenskej republik</w:t>
      </w:r>
      <w:r>
        <w:rPr>
          <w:rFonts w:ascii="Times New Roman" w:hAnsi="Times New Roman"/>
          <w:sz w:val="24"/>
          <w:szCs w:val="24"/>
        </w:rPr>
        <w:t>y</w:t>
      </w:r>
      <w:r w:rsidRPr="00A17EDD">
        <w:rPr>
          <w:rFonts w:ascii="Times New Roman" w:hAnsi="Times New Roman"/>
          <w:sz w:val="24"/>
          <w:szCs w:val="24"/>
        </w:rPr>
        <w:t xml:space="preserve"> </w:t>
      </w:r>
      <w:r>
        <w:rPr>
          <w:rFonts w:ascii="Times New Roman" w:hAnsi="Times New Roman"/>
          <w:sz w:val="24"/>
          <w:szCs w:val="24"/>
        </w:rPr>
        <w:t xml:space="preserve">ako právneho nástupcu </w:t>
      </w:r>
      <w:r w:rsidRPr="00A17EDD">
        <w:rPr>
          <w:rFonts w:ascii="Times New Roman" w:hAnsi="Times New Roman"/>
          <w:sz w:val="24"/>
          <w:szCs w:val="24"/>
        </w:rPr>
        <w:t>zruš</w:t>
      </w:r>
      <w:r>
        <w:rPr>
          <w:rFonts w:ascii="Times New Roman" w:hAnsi="Times New Roman"/>
          <w:sz w:val="24"/>
          <w:szCs w:val="24"/>
        </w:rPr>
        <w:t>ovaného</w:t>
      </w:r>
      <w:r w:rsidRPr="00A17EDD">
        <w:rPr>
          <w:rFonts w:ascii="Times New Roman" w:hAnsi="Times New Roman"/>
          <w:sz w:val="24"/>
          <w:szCs w:val="24"/>
        </w:rPr>
        <w:t xml:space="preserve"> Úradu podpredsedu vlády Slovenskej republiky pre informatizáciu a</w:t>
      </w:r>
      <w:r>
        <w:rPr>
          <w:rFonts w:ascii="Times New Roman" w:hAnsi="Times New Roman"/>
          <w:sz w:val="24"/>
          <w:szCs w:val="24"/>
        </w:rPr>
        <w:t> </w:t>
      </w:r>
      <w:r w:rsidRPr="00A17EDD">
        <w:rPr>
          <w:rFonts w:ascii="Times New Roman" w:hAnsi="Times New Roman"/>
          <w:sz w:val="24"/>
          <w:szCs w:val="24"/>
        </w:rPr>
        <w:t>investície</w:t>
      </w:r>
      <w:r>
        <w:rPr>
          <w:rFonts w:ascii="Times New Roman" w:hAnsi="Times New Roman"/>
          <w:sz w:val="24"/>
          <w:szCs w:val="24"/>
        </w:rPr>
        <w:t xml:space="preserve"> a prechod kompetencie v oblasti regionálneho rozvoja (§ 9 ods. 1 písm. k) zákona č. 575/2001 Z. z.) sa navrhuje v čl. III až X, XIII až XV vykonať nevyhnutné legislatívno-technické úpravy.</w:t>
      </w:r>
    </w:p>
    <w:p w:rsidR="00726F8D" w:rsidRDefault="00726F8D" w:rsidP="00726F8D">
      <w:pPr>
        <w:spacing w:after="0" w:line="240" w:lineRule="auto"/>
        <w:jc w:val="both"/>
        <w:rPr>
          <w:rFonts w:ascii="Times New Roman" w:hAnsi="Times New Roman"/>
          <w:i/>
          <w:sz w:val="24"/>
          <w:szCs w:val="24"/>
        </w:rPr>
      </w:pPr>
    </w:p>
    <w:p w:rsidR="00726F8D" w:rsidRDefault="00726F8D" w:rsidP="00726F8D">
      <w:pPr>
        <w:spacing w:after="0" w:line="240" w:lineRule="auto"/>
        <w:jc w:val="both"/>
        <w:rPr>
          <w:rFonts w:ascii="Times New Roman" w:hAnsi="Times New Roman"/>
          <w:i/>
          <w:sz w:val="24"/>
          <w:szCs w:val="24"/>
        </w:rPr>
      </w:pPr>
    </w:p>
    <w:p w:rsidR="00726F8D" w:rsidRDefault="00726F8D" w:rsidP="00726F8D">
      <w:pPr>
        <w:spacing w:after="0" w:line="240" w:lineRule="auto"/>
        <w:jc w:val="both"/>
        <w:rPr>
          <w:rFonts w:ascii="Times New Roman" w:hAnsi="Times New Roman"/>
          <w:b/>
          <w:sz w:val="24"/>
          <w:szCs w:val="24"/>
        </w:rPr>
      </w:pPr>
      <w:r>
        <w:rPr>
          <w:rFonts w:ascii="Times New Roman" w:hAnsi="Times New Roman"/>
          <w:b/>
          <w:sz w:val="24"/>
          <w:szCs w:val="24"/>
        </w:rPr>
        <w:t>K čl. XI</w:t>
      </w:r>
    </w:p>
    <w:p w:rsidR="00726F8D" w:rsidRDefault="00726F8D" w:rsidP="00726F8D">
      <w:pPr>
        <w:spacing w:after="0" w:line="240" w:lineRule="auto"/>
        <w:jc w:val="both"/>
        <w:rPr>
          <w:rFonts w:ascii="Times New Roman" w:hAnsi="Times New Roman"/>
          <w:b/>
          <w:sz w:val="24"/>
          <w:szCs w:val="24"/>
        </w:rPr>
      </w:pPr>
    </w:p>
    <w:p w:rsidR="00726F8D" w:rsidRDefault="00726F8D" w:rsidP="00726F8D">
      <w:pPr>
        <w:spacing w:after="0" w:line="240" w:lineRule="auto"/>
        <w:ind w:firstLine="708"/>
        <w:jc w:val="both"/>
        <w:rPr>
          <w:rFonts w:ascii="Times New Roman" w:hAnsi="Times New Roman"/>
          <w:sz w:val="24"/>
          <w:szCs w:val="24"/>
        </w:rPr>
      </w:pPr>
      <w:r w:rsidRPr="00A17EDD">
        <w:rPr>
          <w:rFonts w:ascii="Times New Roman" w:hAnsi="Times New Roman"/>
          <w:sz w:val="24"/>
          <w:szCs w:val="24"/>
        </w:rPr>
        <w:t xml:space="preserve">V nadväznosti na prechod </w:t>
      </w:r>
      <w:r>
        <w:rPr>
          <w:rFonts w:ascii="Times New Roman" w:hAnsi="Times New Roman"/>
          <w:sz w:val="24"/>
          <w:szCs w:val="24"/>
        </w:rPr>
        <w:t xml:space="preserve">pôsobnosti v oblasti zabezpečovania vydávania Zbierky zákonov Slovenskej republiky </w:t>
      </w:r>
      <w:r w:rsidRPr="00A17EDD">
        <w:rPr>
          <w:rFonts w:ascii="Times New Roman" w:hAnsi="Times New Roman"/>
          <w:sz w:val="24"/>
          <w:szCs w:val="24"/>
        </w:rPr>
        <w:t>z </w:t>
      </w:r>
      <w:r>
        <w:rPr>
          <w:rFonts w:ascii="Times New Roman" w:hAnsi="Times New Roman"/>
          <w:sz w:val="24"/>
          <w:szCs w:val="24"/>
        </w:rPr>
        <w:t>M</w:t>
      </w:r>
      <w:r w:rsidRPr="00A17EDD">
        <w:rPr>
          <w:rFonts w:ascii="Times New Roman" w:hAnsi="Times New Roman"/>
          <w:sz w:val="24"/>
          <w:szCs w:val="24"/>
        </w:rPr>
        <w:t>inisterstva spravodlivosti Slovenskej republiky na Úrad vlády Slovenskej republiky</w:t>
      </w:r>
      <w:r>
        <w:rPr>
          <w:rFonts w:ascii="Times New Roman" w:hAnsi="Times New Roman"/>
          <w:sz w:val="24"/>
          <w:szCs w:val="24"/>
        </w:rPr>
        <w:t xml:space="preserve"> pod gesciu podpredsedu vlády Slovenskej republiky je potrebné vykonať nadväzujúce legislatívne úpravy súvisiace s prechodom správy informačného systému verejnej správy Slov-Lex, vrátane ustanovenia intertemporálnej právnej úpravy, v súvisiacich zákonoch. </w:t>
      </w:r>
    </w:p>
    <w:p w:rsidR="00726F8D" w:rsidRDefault="00726F8D" w:rsidP="00726F8D">
      <w:pPr>
        <w:spacing w:after="0" w:line="240" w:lineRule="auto"/>
        <w:ind w:firstLine="708"/>
        <w:jc w:val="both"/>
        <w:rPr>
          <w:rFonts w:ascii="Times New Roman" w:hAnsi="Times New Roman"/>
          <w:sz w:val="24"/>
          <w:szCs w:val="24"/>
        </w:rPr>
      </w:pPr>
      <w:r>
        <w:rPr>
          <w:rFonts w:ascii="Times New Roman" w:hAnsi="Times New Roman"/>
          <w:sz w:val="24"/>
          <w:szCs w:val="24"/>
        </w:rPr>
        <w:t>Zároveň sa navrhuje, v súlade s Programovým vyhlásení vlády Slovenskej republiky na rok 2020 až 2024, zriadiť inštitút „verejného vypočutia“ k tým návrhom právnych predpisov kódexového typu, alebo ústavných zákonov, týkajúcich sa veľkého počtu adresátov alebo ak pôjde o návrhy právnych predpisov v osobitne dôležitých oblastiach verejného záujmu, s cieľom posliniť transparentnosť a </w:t>
      </w:r>
      <w:proofErr w:type="spellStart"/>
      <w:r>
        <w:rPr>
          <w:rFonts w:ascii="Times New Roman" w:hAnsi="Times New Roman"/>
          <w:sz w:val="24"/>
          <w:szCs w:val="24"/>
        </w:rPr>
        <w:t>participatívnosť</w:t>
      </w:r>
      <w:proofErr w:type="spellEnd"/>
      <w:r>
        <w:rPr>
          <w:rFonts w:ascii="Times New Roman" w:hAnsi="Times New Roman"/>
          <w:sz w:val="24"/>
          <w:szCs w:val="24"/>
        </w:rPr>
        <w:t xml:space="preserve"> legislatívneho procesu.</w:t>
      </w:r>
    </w:p>
    <w:p w:rsidR="00726F8D" w:rsidRDefault="00726F8D" w:rsidP="00726F8D">
      <w:pPr>
        <w:spacing w:after="0" w:line="240" w:lineRule="auto"/>
        <w:ind w:firstLine="708"/>
        <w:jc w:val="both"/>
        <w:rPr>
          <w:rFonts w:ascii="Times New Roman" w:hAnsi="Times New Roman"/>
          <w:sz w:val="24"/>
          <w:szCs w:val="24"/>
        </w:rPr>
      </w:pPr>
      <w:r>
        <w:rPr>
          <w:rFonts w:ascii="Times New Roman" w:hAnsi="Times New Roman"/>
          <w:sz w:val="24"/>
          <w:szCs w:val="24"/>
        </w:rPr>
        <w:t>Taktiež sa navrhuje, v súlade s Programovým vyhlásení vlády Slovenskej republiky na rok 2020 až 2024, aby sa návrh zákona alebo návrh ústavného zákona, ktorý sa nevypracoval na základe uznesenia vlády (tzv. iniciatívne návrhy), mohol predložiť na pripomienkové konanie len po predchádzajúcom prerokovaní s podpredsedom vlády, teda len v odôvodnených prípadoch. Za predloženie návrhu na základe uznesenia vlády sa bude považovať aj predloženie návrhu na základe jej programového vyhlásenia.</w:t>
      </w:r>
    </w:p>
    <w:p w:rsidR="00726F8D" w:rsidRDefault="00726F8D" w:rsidP="00726F8D">
      <w:pPr>
        <w:spacing w:after="0" w:line="240" w:lineRule="auto"/>
        <w:jc w:val="both"/>
        <w:rPr>
          <w:rFonts w:ascii="Times New Roman" w:hAnsi="Times New Roman"/>
          <w:sz w:val="24"/>
          <w:szCs w:val="24"/>
        </w:rPr>
      </w:pPr>
    </w:p>
    <w:p w:rsidR="00726F8D" w:rsidRPr="00873639" w:rsidRDefault="00726F8D" w:rsidP="00726F8D">
      <w:pPr>
        <w:spacing w:after="0" w:line="240" w:lineRule="auto"/>
        <w:jc w:val="both"/>
        <w:rPr>
          <w:rFonts w:ascii="Times New Roman" w:hAnsi="Times New Roman"/>
          <w:sz w:val="24"/>
          <w:szCs w:val="24"/>
        </w:rPr>
      </w:pPr>
    </w:p>
    <w:p w:rsidR="00726F8D" w:rsidRPr="00DC0F2E" w:rsidRDefault="00726F8D" w:rsidP="00726F8D">
      <w:pPr>
        <w:spacing w:after="0" w:line="240" w:lineRule="auto"/>
        <w:jc w:val="both"/>
        <w:rPr>
          <w:rFonts w:ascii="Times New Roman" w:hAnsi="Times New Roman"/>
          <w:b/>
          <w:sz w:val="24"/>
          <w:szCs w:val="24"/>
        </w:rPr>
      </w:pPr>
      <w:r>
        <w:rPr>
          <w:rFonts w:ascii="Times New Roman" w:hAnsi="Times New Roman"/>
          <w:b/>
          <w:sz w:val="24"/>
          <w:szCs w:val="24"/>
        </w:rPr>
        <w:t>K čl. XV</w:t>
      </w:r>
    </w:p>
    <w:p w:rsidR="00726F8D" w:rsidRPr="004E20BC" w:rsidRDefault="00726F8D" w:rsidP="00726F8D">
      <w:pPr>
        <w:spacing w:after="0" w:line="240" w:lineRule="auto"/>
        <w:jc w:val="both"/>
        <w:rPr>
          <w:rFonts w:ascii="Times New Roman" w:hAnsi="Times New Roman"/>
          <w:i/>
          <w:sz w:val="24"/>
          <w:szCs w:val="24"/>
        </w:rPr>
      </w:pPr>
    </w:p>
    <w:p w:rsidR="00726F8D" w:rsidRDefault="00726F8D" w:rsidP="00726F8D">
      <w:pPr>
        <w:spacing w:after="0" w:line="240" w:lineRule="auto"/>
        <w:ind w:firstLine="708"/>
        <w:jc w:val="both"/>
        <w:rPr>
          <w:rFonts w:ascii="Times New Roman" w:hAnsi="Times New Roman"/>
          <w:sz w:val="24"/>
          <w:szCs w:val="24"/>
        </w:rPr>
      </w:pPr>
      <w:r w:rsidRPr="00DC0F2E">
        <w:rPr>
          <w:rFonts w:ascii="Times New Roman" w:hAnsi="Times New Roman"/>
          <w:sz w:val="24"/>
          <w:szCs w:val="24"/>
        </w:rPr>
        <w:t xml:space="preserve">Navrhuje sa, </w:t>
      </w:r>
      <w:r>
        <w:rPr>
          <w:rFonts w:ascii="Times New Roman" w:hAnsi="Times New Roman"/>
          <w:sz w:val="24"/>
          <w:szCs w:val="24"/>
        </w:rPr>
        <w:t xml:space="preserve">ustanoviť delenú účinnosť tak, aby </w:t>
      </w:r>
    </w:p>
    <w:p w:rsidR="00726F8D" w:rsidRPr="00284A72" w:rsidRDefault="00726F8D" w:rsidP="00726F8D">
      <w:pPr>
        <w:pStyle w:val="Odsekzoznamu"/>
        <w:numPr>
          <w:ilvl w:val="0"/>
          <w:numId w:val="22"/>
        </w:numPr>
        <w:spacing w:after="0" w:line="240" w:lineRule="auto"/>
        <w:jc w:val="both"/>
        <w:rPr>
          <w:rFonts w:ascii="Times New Roman" w:hAnsi="Times New Roman"/>
          <w:sz w:val="24"/>
          <w:szCs w:val="24"/>
        </w:rPr>
      </w:pPr>
      <w:r w:rsidRPr="00284A72">
        <w:rPr>
          <w:rFonts w:ascii="Times New Roman" w:hAnsi="Times New Roman"/>
          <w:sz w:val="24"/>
          <w:szCs w:val="24"/>
        </w:rPr>
        <w:t>tie novelizačné články a novelizačné body, ktorými sa vytvára právny rámec a inštitucionálne zázemie pre podpredsedu vlády nevyhnutné na plnenie úloh vyplývajúcich pre neho z programového vyhlásenia vlády, nadobudli účinnosť dňom vyhlásenia, keďže v nich obsiahnutá právna úprava je nevyhnutná pre zabezpečenie činnosti podpredsedu vlády Slovenskej republiky,</w:t>
      </w:r>
    </w:p>
    <w:p w:rsidR="00726F8D" w:rsidRPr="00284A72" w:rsidRDefault="00726F8D" w:rsidP="00726F8D">
      <w:pPr>
        <w:pStyle w:val="Odsekzoznamu"/>
        <w:numPr>
          <w:ilvl w:val="0"/>
          <w:numId w:val="22"/>
        </w:numPr>
        <w:spacing w:after="0" w:line="240" w:lineRule="auto"/>
        <w:jc w:val="both"/>
        <w:rPr>
          <w:rFonts w:ascii="Times New Roman" w:hAnsi="Times New Roman"/>
          <w:sz w:val="24"/>
          <w:szCs w:val="24"/>
        </w:rPr>
      </w:pPr>
      <w:r w:rsidRPr="00284A72">
        <w:rPr>
          <w:rFonts w:ascii="Times New Roman" w:hAnsi="Times New Roman"/>
          <w:sz w:val="24"/>
          <w:szCs w:val="24"/>
        </w:rPr>
        <w:t xml:space="preserve">tie novelizačné články a novelizačné body, ktorými dochádza k zriadeniu Ministerstva investícií, regionálneho rozvoja a informatizácie Slovenskej republiky a zrušeniu Úradu podpredsedu vlády Slovenskej republiky pre informatizáciu a investície a k prechodu </w:t>
      </w:r>
      <w:r>
        <w:rPr>
          <w:rFonts w:ascii="Times New Roman" w:hAnsi="Times New Roman"/>
          <w:sz w:val="24"/>
          <w:szCs w:val="24"/>
        </w:rPr>
        <w:t>vydávania Zbierky zákonov Slovenskej republiky a správy a prevádzky Slov-</w:t>
      </w:r>
      <w:proofErr w:type="spellStart"/>
      <w:r>
        <w:rPr>
          <w:rFonts w:ascii="Times New Roman" w:hAnsi="Times New Roman"/>
          <w:sz w:val="24"/>
          <w:szCs w:val="24"/>
        </w:rPr>
        <w:t>Lexu</w:t>
      </w:r>
      <w:proofErr w:type="spellEnd"/>
      <w:r>
        <w:rPr>
          <w:rFonts w:ascii="Times New Roman" w:hAnsi="Times New Roman"/>
          <w:sz w:val="24"/>
          <w:szCs w:val="24"/>
        </w:rPr>
        <w:t xml:space="preserve"> z </w:t>
      </w:r>
      <w:r w:rsidRPr="00284A72">
        <w:rPr>
          <w:rFonts w:ascii="Times New Roman" w:hAnsi="Times New Roman"/>
          <w:sz w:val="24"/>
          <w:szCs w:val="24"/>
        </w:rPr>
        <w:t>Ministerstva spravodlivosti Slovenskej republiky a </w:t>
      </w:r>
      <w:r>
        <w:rPr>
          <w:rFonts w:ascii="Times New Roman" w:hAnsi="Times New Roman"/>
          <w:sz w:val="24"/>
          <w:szCs w:val="24"/>
        </w:rPr>
        <w:t>legislatívnych činností z</w:t>
      </w:r>
      <w:r w:rsidRPr="00284A72">
        <w:rPr>
          <w:rFonts w:ascii="Times New Roman" w:hAnsi="Times New Roman"/>
          <w:sz w:val="24"/>
          <w:szCs w:val="24"/>
        </w:rPr>
        <w:t xml:space="preserve"> ostatných ústredných orgánov štátnej správy na Úrad vlády Slovenskej republiky pod gesciou </w:t>
      </w:r>
      <w:r w:rsidRPr="00284A72">
        <w:rPr>
          <w:rFonts w:ascii="Times New Roman" w:hAnsi="Times New Roman"/>
          <w:sz w:val="24"/>
          <w:szCs w:val="24"/>
        </w:rPr>
        <w:lastRenderedPageBreak/>
        <w:t xml:space="preserve">podpredsedu vlády Slovenskej republiky nadobudli účinnosť 1. júna 2020, čím sa zabezpečí dostatočná </w:t>
      </w:r>
      <w:proofErr w:type="spellStart"/>
      <w:r w:rsidRPr="00284A72">
        <w:rPr>
          <w:rFonts w:ascii="Times New Roman" w:hAnsi="Times New Roman"/>
          <w:sz w:val="24"/>
          <w:szCs w:val="24"/>
        </w:rPr>
        <w:t>legisvakancia</w:t>
      </w:r>
      <w:proofErr w:type="spellEnd"/>
      <w:r w:rsidRPr="00284A72">
        <w:rPr>
          <w:rFonts w:ascii="Times New Roman" w:hAnsi="Times New Roman"/>
          <w:sz w:val="24"/>
          <w:szCs w:val="24"/>
        </w:rPr>
        <w:t xml:space="preserve"> na prechod súvisiacich právnych vzťahov a ich delimitáciu, </w:t>
      </w:r>
    </w:p>
    <w:p w:rsidR="00726F8D" w:rsidRPr="0047771F" w:rsidRDefault="00726F8D" w:rsidP="00726F8D">
      <w:pPr>
        <w:pStyle w:val="Odsekzoznamu"/>
        <w:numPr>
          <w:ilvl w:val="0"/>
          <w:numId w:val="22"/>
        </w:numPr>
        <w:spacing w:after="0" w:line="240" w:lineRule="auto"/>
        <w:jc w:val="both"/>
        <w:rPr>
          <w:rFonts w:ascii="Times New Roman" w:hAnsi="Times New Roman"/>
          <w:sz w:val="24"/>
          <w:szCs w:val="24"/>
        </w:rPr>
      </w:pPr>
      <w:r>
        <w:rPr>
          <w:rFonts w:ascii="Times New Roman" w:hAnsi="Times New Roman"/>
          <w:sz w:val="24"/>
          <w:szCs w:val="24"/>
        </w:rPr>
        <w:t>kompetencia Ministerstva pôdohospodárstva a rozvoja vidieka Slovenskej republiky prešla k 1. októbru 2020 na Ministerstvo investícií, regionálneho rozvoja a informatizácie Slovenskej republiky čím sa zabezpečí</w:t>
      </w:r>
      <w:r w:rsidRPr="00284A72">
        <w:rPr>
          <w:rFonts w:ascii="Times New Roman" w:hAnsi="Times New Roman"/>
          <w:sz w:val="24"/>
          <w:szCs w:val="24"/>
        </w:rPr>
        <w:t xml:space="preserve"> dostatočný časový priestor na vykonanie potrebných a časovo náročn</w:t>
      </w:r>
      <w:r>
        <w:rPr>
          <w:rFonts w:ascii="Times New Roman" w:hAnsi="Times New Roman"/>
          <w:sz w:val="24"/>
          <w:szCs w:val="24"/>
        </w:rPr>
        <w:t>ých administratívnych procesov</w:t>
      </w:r>
      <w:r w:rsidRPr="0047771F">
        <w:rPr>
          <w:rFonts w:ascii="Times New Roman" w:hAnsi="Times New Roman"/>
          <w:sz w:val="24"/>
          <w:szCs w:val="24"/>
        </w:rPr>
        <w:t>.</w:t>
      </w:r>
    </w:p>
    <w:p w:rsidR="00C573B8" w:rsidRPr="008E305A" w:rsidRDefault="00C573B8" w:rsidP="00A308F8">
      <w:pPr>
        <w:spacing w:after="0" w:line="240" w:lineRule="auto"/>
        <w:jc w:val="both"/>
        <w:rPr>
          <w:rFonts w:ascii="Times New Roman" w:hAnsi="Times New Roman"/>
          <w:color w:val="000000" w:themeColor="text1"/>
          <w:sz w:val="24"/>
          <w:szCs w:val="24"/>
        </w:rPr>
      </w:pPr>
    </w:p>
    <w:p w:rsidR="00C573B8" w:rsidRPr="008E305A" w:rsidRDefault="00C573B8" w:rsidP="00A308F8">
      <w:pPr>
        <w:spacing w:after="0" w:line="240" w:lineRule="auto"/>
        <w:jc w:val="both"/>
        <w:rPr>
          <w:rFonts w:ascii="Times New Roman" w:hAnsi="Times New Roman"/>
          <w:color w:val="000000" w:themeColor="text1"/>
          <w:sz w:val="24"/>
          <w:szCs w:val="24"/>
        </w:rPr>
      </w:pPr>
    </w:p>
    <w:p w:rsidR="00C573B8" w:rsidRDefault="00C573B8" w:rsidP="00A308F8">
      <w:pPr>
        <w:spacing w:after="0" w:line="240" w:lineRule="auto"/>
        <w:jc w:val="both"/>
        <w:rPr>
          <w:rFonts w:ascii="Times New Roman" w:hAnsi="Times New Roman"/>
          <w:color w:val="000000" w:themeColor="text1"/>
          <w:sz w:val="24"/>
          <w:szCs w:val="24"/>
        </w:rPr>
      </w:pPr>
    </w:p>
    <w:p w:rsidR="00726F8D" w:rsidRPr="008E305A" w:rsidRDefault="00726F8D" w:rsidP="00A308F8">
      <w:pPr>
        <w:spacing w:after="0" w:line="240" w:lineRule="auto"/>
        <w:jc w:val="both"/>
        <w:rPr>
          <w:rFonts w:ascii="Times New Roman" w:hAnsi="Times New Roman"/>
          <w:color w:val="000000" w:themeColor="text1"/>
          <w:sz w:val="24"/>
          <w:szCs w:val="24"/>
        </w:rPr>
      </w:pPr>
    </w:p>
    <w:p w:rsidR="00C573B8" w:rsidRPr="008E305A" w:rsidRDefault="00C573B8" w:rsidP="00A308F8">
      <w:pPr>
        <w:spacing w:after="0" w:line="240" w:lineRule="auto"/>
        <w:jc w:val="both"/>
        <w:rPr>
          <w:rFonts w:ascii="Times New Roman" w:hAnsi="Times New Roman"/>
          <w:color w:val="000000" w:themeColor="text1"/>
          <w:sz w:val="24"/>
          <w:szCs w:val="24"/>
        </w:rPr>
      </w:pPr>
    </w:p>
    <w:p w:rsidR="00C573B8" w:rsidRPr="008E305A" w:rsidRDefault="00B45DF5" w:rsidP="00A308F8">
      <w:pPr>
        <w:spacing w:after="0" w:line="240" w:lineRule="auto"/>
        <w:jc w:val="both"/>
        <w:rPr>
          <w:rFonts w:ascii="Times New Roman" w:hAnsi="Times New Roman"/>
          <w:sz w:val="24"/>
          <w:szCs w:val="24"/>
        </w:rPr>
      </w:pPr>
      <w:r>
        <w:rPr>
          <w:rFonts w:ascii="Times New Roman" w:hAnsi="Times New Roman"/>
          <w:sz w:val="24"/>
          <w:szCs w:val="24"/>
        </w:rPr>
        <w:t>V Bratislave</w:t>
      </w:r>
      <w:r w:rsidR="008E305A">
        <w:rPr>
          <w:rFonts w:ascii="Times New Roman" w:hAnsi="Times New Roman"/>
          <w:sz w:val="24"/>
          <w:szCs w:val="24"/>
        </w:rPr>
        <w:t xml:space="preserve"> </w:t>
      </w:r>
      <w:r w:rsidR="00A308F8">
        <w:rPr>
          <w:rFonts w:ascii="Times New Roman" w:hAnsi="Times New Roman"/>
          <w:sz w:val="24"/>
          <w:szCs w:val="24"/>
        </w:rPr>
        <w:t>1</w:t>
      </w:r>
      <w:r w:rsidR="00726F8D">
        <w:rPr>
          <w:rFonts w:ascii="Times New Roman" w:hAnsi="Times New Roman"/>
          <w:sz w:val="24"/>
          <w:szCs w:val="24"/>
        </w:rPr>
        <w:t>1</w:t>
      </w:r>
      <w:r w:rsidR="00A308F8">
        <w:rPr>
          <w:rFonts w:ascii="Times New Roman" w:hAnsi="Times New Roman"/>
          <w:sz w:val="24"/>
          <w:szCs w:val="24"/>
        </w:rPr>
        <w:t xml:space="preserve">. </w:t>
      </w:r>
      <w:r w:rsidR="00726F8D">
        <w:rPr>
          <w:rFonts w:ascii="Times New Roman" w:hAnsi="Times New Roman"/>
          <w:sz w:val="24"/>
          <w:szCs w:val="24"/>
        </w:rPr>
        <w:t>mája</w:t>
      </w:r>
      <w:r w:rsidR="00A308F8">
        <w:rPr>
          <w:rFonts w:ascii="Times New Roman" w:hAnsi="Times New Roman"/>
          <w:sz w:val="24"/>
          <w:szCs w:val="24"/>
        </w:rPr>
        <w:t xml:space="preserve"> 2020</w:t>
      </w:r>
    </w:p>
    <w:p w:rsidR="00C573B8" w:rsidRPr="008E305A" w:rsidRDefault="00C573B8" w:rsidP="00A308F8">
      <w:pPr>
        <w:spacing w:after="0" w:line="240" w:lineRule="auto"/>
        <w:jc w:val="both"/>
        <w:rPr>
          <w:rFonts w:ascii="Times New Roman" w:hAnsi="Times New Roman"/>
          <w:sz w:val="24"/>
          <w:szCs w:val="24"/>
        </w:rPr>
      </w:pPr>
    </w:p>
    <w:p w:rsidR="00C573B8" w:rsidRPr="008E305A" w:rsidRDefault="00C573B8" w:rsidP="00A308F8">
      <w:pPr>
        <w:spacing w:after="0" w:line="240" w:lineRule="auto"/>
        <w:jc w:val="both"/>
        <w:rPr>
          <w:rFonts w:ascii="Times New Roman" w:hAnsi="Times New Roman"/>
          <w:sz w:val="24"/>
          <w:szCs w:val="24"/>
        </w:rPr>
      </w:pPr>
    </w:p>
    <w:p w:rsidR="00C573B8" w:rsidRPr="008E305A" w:rsidRDefault="00C573B8" w:rsidP="00A308F8">
      <w:pPr>
        <w:spacing w:after="0" w:line="240" w:lineRule="auto"/>
        <w:jc w:val="both"/>
        <w:rPr>
          <w:rFonts w:ascii="Times New Roman" w:hAnsi="Times New Roman"/>
          <w:sz w:val="24"/>
          <w:szCs w:val="24"/>
        </w:rPr>
      </w:pPr>
    </w:p>
    <w:p w:rsidR="00C573B8" w:rsidRPr="008E305A" w:rsidRDefault="00C573B8" w:rsidP="00A308F8">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C573B8" w:rsidP="008E305A">
      <w:pPr>
        <w:spacing w:after="0" w:line="240" w:lineRule="auto"/>
        <w:jc w:val="both"/>
        <w:rPr>
          <w:rFonts w:ascii="Times New Roman" w:hAnsi="Times New Roman"/>
          <w:sz w:val="24"/>
          <w:szCs w:val="24"/>
        </w:rPr>
      </w:pPr>
    </w:p>
    <w:p w:rsidR="00C573B8" w:rsidRPr="008E305A" w:rsidRDefault="00726F8D" w:rsidP="008E305A">
      <w:pPr>
        <w:spacing w:after="0" w:line="240" w:lineRule="auto"/>
        <w:jc w:val="center"/>
        <w:rPr>
          <w:rFonts w:ascii="Times New Roman" w:hAnsi="Times New Roman"/>
          <w:b/>
          <w:sz w:val="24"/>
          <w:szCs w:val="24"/>
        </w:rPr>
      </w:pPr>
      <w:bookmarkStart w:id="0" w:name="_GoBack"/>
      <w:r>
        <w:rPr>
          <w:rFonts w:ascii="Times New Roman" w:hAnsi="Times New Roman"/>
          <w:b/>
          <w:sz w:val="24"/>
          <w:szCs w:val="24"/>
        </w:rPr>
        <w:t>Igor Matovič</w:t>
      </w:r>
      <w:r w:rsidR="00C573B8" w:rsidRPr="008E305A">
        <w:rPr>
          <w:rFonts w:ascii="Times New Roman" w:hAnsi="Times New Roman"/>
          <w:b/>
          <w:sz w:val="24"/>
          <w:szCs w:val="24"/>
        </w:rPr>
        <w:t>, v.</w:t>
      </w:r>
      <w:r w:rsidR="00A308F8">
        <w:rPr>
          <w:rFonts w:ascii="Times New Roman" w:hAnsi="Times New Roman"/>
          <w:b/>
          <w:sz w:val="24"/>
          <w:szCs w:val="24"/>
        </w:rPr>
        <w:t xml:space="preserve"> </w:t>
      </w:r>
      <w:r w:rsidR="00C573B8" w:rsidRPr="008E305A">
        <w:rPr>
          <w:rFonts w:ascii="Times New Roman" w:hAnsi="Times New Roman"/>
          <w:b/>
          <w:sz w:val="24"/>
          <w:szCs w:val="24"/>
        </w:rPr>
        <w:t>r.</w:t>
      </w:r>
    </w:p>
    <w:p w:rsidR="00C573B8" w:rsidRDefault="00C573B8" w:rsidP="008E305A">
      <w:pPr>
        <w:spacing w:after="0" w:line="240" w:lineRule="auto"/>
        <w:jc w:val="center"/>
        <w:rPr>
          <w:rFonts w:ascii="Times New Roman" w:hAnsi="Times New Roman"/>
          <w:sz w:val="24"/>
          <w:szCs w:val="24"/>
        </w:rPr>
      </w:pPr>
      <w:r w:rsidRPr="008E305A">
        <w:rPr>
          <w:rFonts w:ascii="Times New Roman" w:hAnsi="Times New Roman"/>
          <w:sz w:val="24"/>
          <w:szCs w:val="24"/>
        </w:rPr>
        <w:t>predseda vlády Slovenskej republiky</w:t>
      </w:r>
    </w:p>
    <w:p w:rsidR="00AD4FD6" w:rsidRDefault="00AD4FD6" w:rsidP="008E305A">
      <w:pPr>
        <w:spacing w:after="0" w:line="240" w:lineRule="auto"/>
        <w:jc w:val="center"/>
        <w:rPr>
          <w:rFonts w:ascii="Times New Roman" w:hAnsi="Times New Roman"/>
          <w:sz w:val="24"/>
          <w:szCs w:val="24"/>
        </w:rPr>
      </w:pPr>
    </w:p>
    <w:p w:rsidR="00AD4FD6" w:rsidRDefault="00AD4FD6" w:rsidP="008E305A">
      <w:pPr>
        <w:spacing w:after="0" w:line="240" w:lineRule="auto"/>
        <w:jc w:val="center"/>
        <w:rPr>
          <w:rFonts w:ascii="Times New Roman" w:hAnsi="Times New Roman"/>
          <w:sz w:val="24"/>
          <w:szCs w:val="24"/>
        </w:rPr>
      </w:pPr>
    </w:p>
    <w:p w:rsidR="00AD4FD6" w:rsidRDefault="00AD4FD6" w:rsidP="008E305A">
      <w:pPr>
        <w:spacing w:after="0" w:line="240" w:lineRule="auto"/>
        <w:jc w:val="center"/>
        <w:rPr>
          <w:rFonts w:ascii="Times New Roman" w:hAnsi="Times New Roman"/>
          <w:sz w:val="24"/>
          <w:szCs w:val="24"/>
        </w:rPr>
      </w:pPr>
    </w:p>
    <w:p w:rsidR="00AD4FD6" w:rsidRDefault="00AD4FD6" w:rsidP="008E305A">
      <w:pPr>
        <w:spacing w:after="0" w:line="240" w:lineRule="auto"/>
        <w:jc w:val="center"/>
        <w:rPr>
          <w:rFonts w:ascii="Times New Roman" w:hAnsi="Times New Roman"/>
          <w:sz w:val="24"/>
          <w:szCs w:val="24"/>
        </w:rPr>
      </w:pPr>
    </w:p>
    <w:p w:rsidR="00AD4FD6" w:rsidRDefault="00AD4FD6" w:rsidP="008E305A">
      <w:pPr>
        <w:spacing w:after="0" w:line="240" w:lineRule="auto"/>
        <w:jc w:val="center"/>
        <w:rPr>
          <w:rFonts w:ascii="Times New Roman" w:hAnsi="Times New Roman"/>
          <w:sz w:val="24"/>
          <w:szCs w:val="24"/>
        </w:rPr>
      </w:pPr>
    </w:p>
    <w:p w:rsidR="00AD4FD6" w:rsidRDefault="00AD4FD6" w:rsidP="008E305A">
      <w:pPr>
        <w:spacing w:after="0" w:line="240" w:lineRule="auto"/>
        <w:jc w:val="center"/>
        <w:rPr>
          <w:rFonts w:ascii="Times New Roman" w:hAnsi="Times New Roman"/>
          <w:sz w:val="24"/>
          <w:szCs w:val="24"/>
        </w:rPr>
      </w:pPr>
    </w:p>
    <w:p w:rsidR="00AD4FD6" w:rsidRPr="00AD4FD6" w:rsidRDefault="00AD4FD6" w:rsidP="008E305A">
      <w:pPr>
        <w:spacing w:after="0" w:line="240" w:lineRule="auto"/>
        <w:jc w:val="center"/>
        <w:rPr>
          <w:rFonts w:ascii="Times New Roman" w:hAnsi="Times New Roman"/>
          <w:b/>
          <w:sz w:val="24"/>
          <w:szCs w:val="24"/>
        </w:rPr>
      </w:pPr>
      <w:r w:rsidRPr="00AD4FD6">
        <w:rPr>
          <w:rFonts w:ascii="Times New Roman" w:hAnsi="Times New Roman"/>
          <w:b/>
          <w:sz w:val="24"/>
          <w:szCs w:val="24"/>
        </w:rPr>
        <w:t>Štefan Holý, v. r.</w:t>
      </w:r>
    </w:p>
    <w:p w:rsidR="00AD4FD6" w:rsidRPr="008E305A" w:rsidRDefault="00AD4FD6" w:rsidP="008E305A">
      <w:pPr>
        <w:spacing w:after="0" w:line="240" w:lineRule="auto"/>
        <w:jc w:val="center"/>
        <w:rPr>
          <w:rFonts w:ascii="Times New Roman" w:hAnsi="Times New Roman"/>
          <w:sz w:val="24"/>
          <w:szCs w:val="24"/>
        </w:rPr>
      </w:pPr>
      <w:r>
        <w:rPr>
          <w:rFonts w:ascii="Times New Roman" w:hAnsi="Times New Roman"/>
          <w:sz w:val="24"/>
          <w:szCs w:val="24"/>
        </w:rPr>
        <w:t>Podpredseda vlády Slovenskej republiky</w:t>
      </w:r>
      <w:bookmarkEnd w:id="0"/>
    </w:p>
    <w:sectPr w:rsidR="00AD4FD6" w:rsidRPr="008E305A" w:rsidSect="00D7579C">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40" w:rsidRDefault="00F65940" w:rsidP="00EE02C0">
      <w:pPr>
        <w:spacing w:after="0" w:line="240" w:lineRule="auto"/>
      </w:pPr>
      <w:r>
        <w:separator/>
      </w:r>
    </w:p>
  </w:endnote>
  <w:endnote w:type="continuationSeparator" w:id="0">
    <w:p w:rsidR="00F65940" w:rsidRDefault="00F65940" w:rsidP="00EE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AFF" w:usb1="C0007841"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946" w:rsidRPr="00C60946" w:rsidRDefault="00C60946">
    <w:pPr>
      <w:pStyle w:val="Pta"/>
      <w:jc w:val="center"/>
      <w:rPr>
        <w:rFonts w:ascii="Times New Roman" w:hAnsi="Times New Roman"/>
        <w:sz w:val="24"/>
      </w:rPr>
    </w:pPr>
    <w:r w:rsidRPr="00C60946">
      <w:rPr>
        <w:rFonts w:ascii="Times New Roman" w:hAnsi="Times New Roman"/>
        <w:sz w:val="24"/>
      </w:rPr>
      <w:fldChar w:fldCharType="begin"/>
    </w:r>
    <w:r w:rsidRPr="00C60946">
      <w:rPr>
        <w:rFonts w:ascii="Times New Roman" w:hAnsi="Times New Roman"/>
        <w:sz w:val="24"/>
      </w:rPr>
      <w:instrText>PAGE   \* MERGEFORMAT</w:instrText>
    </w:r>
    <w:r w:rsidRPr="00C60946">
      <w:rPr>
        <w:rFonts w:ascii="Times New Roman" w:hAnsi="Times New Roman"/>
        <w:sz w:val="24"/>
      </w:rPr>
      <w:fldChar w:fldCharType="separate"/>
    </w:r>
    <w:r w:rsidR="00AD4FD6">
      <w:rPr>
        <w:rFonts w:ascii="Times New Roman" w:hAnsi="Times New Roman"/>
        <w:noProof/>
        <w:sz w:val="24"/>
      </w:rPr>
      <w:t>10</w:t>
    </w:r>
    <w:r w:rsidRPr="00C60946">
      <w:rPr>
        <w:rFonts w:ascii="Times New Roman" w:hAnsi="Times New Roman"/>
        <w:sz w:val="24"/>
      </w:rPr>
      <w:fldChar w:fldCharType="end"/>
    </w:r>
  </w:p>
  <w:p w:rsidR="00EE02C0" w:rsidRPr="00C60946" w:rsidRDefault="00EE02C0" w:rsidP="007E52A4">
    <w:pPr>
      <w:pStyle w:val="Pta"/>
      <w:rPr>
        <w:rFonts w:ascii="Times New Roman" w:hAnsi="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40" w:rsidRDefault="00F65940" w:rsidP="00EE02C0">
      <w:pPr>
        <w:spacing w:after="0" w:line="240" w:lineRule="auto"/>
      </w:pPr>
      <w:r>
        <w:separator/>
      </w:r>
    </w:p>
  </w:footnote>
  <w:footnote w:type="continuationSeparator" w:id="0">
    <w:p w:rsidR="00F65940" w:rsidRDefault="00F65940" w:rsidP="00EE0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6DD8"/>
    <w:multiLevelType w:val="hybridMultilevel"/>
    <w:tmpl w:val="9AE6F6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C77C81"/>
    <w:multiLevelType w:val="multilevel"/>
    <w:tmpl w:val="45121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536C3"/>
    <w:multiLevelType w:val="hybridMultilevel"/>
    <w:tmpl w:val="1EE48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AE50EC"/>
    <w:multiLevelType w:val="hybridMultilevel"/>
    <w:tmpl w:val="4E94F7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C27639A"/>
    <w:multiLevelType w:val="hybridMultilevel"/>
    <w:tmpl w:val="D1506C82"/>
    <w:lvl w:ilvl="0" w:tplc="7292E1F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5C257A3"/>
    <w:multiLevelType w:val="hybridMultilevel"/>
    <w:tmpl w:val="A1606F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E6E116A"/>
    <w:multiLevelType w:val="hybridMultilevel"/>
    <w:tmpl w:val="749E569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F9F11D3"/>
    <w:multiLevelType w:val="hybridMultilevel"/>
    <w:tmpl w:val="0D1671E4"/>
    <w:lvl w:ilvl="0" w:tplc="AB22D562">
      <w:start w:val="1"/>
      <w:numFmt w:val="decimal"/>
      <w:lvlText w:val="%1."/>
      <w:lvlJc w:val="left"/>
      <w:pPr>
        <w:tabs>
          <w:tab w:val="num" w:pos="720"/>
        </w:tabs>
        <w:ind w:left="720" w:hanging="360"/>
      </w:pPr>
      <w:rPr>
        <w:rFonts w:cs="Times New Roman"/>
        <w:b/>
        <w:strike w:val="0"/>
      </w:rPr>
    </w:lvl>
    <w:lvl w:ilvl="1" w:tplc="31E0E406">
      <w:start w:val="1"/>
      <w:numFmt w:val="lowerLetter"/>
      <w:lvlText w:val="%2)"/>
      <w:lvlJc w:val="left"/>
      <w:pPr>
        <w:tabs>
          <w:tab w:val="num" w:pos="1364"/>
        </w:tabs>
        <w:ind w:left="1080" w:firstLine="0"/>
      </w:pPr>
      <w:rPr>
        <w:rFonts w:cs="Times New Roman"/>
        <w:b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5C34946"/>
    <w:multiLevelType w:val="hybridMultilevel"/>
    <w:tmpl w:val="2FE6DD2C"/>
    <w:lvl w:ilvl="0" w:tplc="8C5AF40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7695CC1"/>
    <w:multiLevelType w:val="hybridMultilevel"/>
    <w:tmpl w:val="37AACC54"/>
    <w:lvl w:ilvl="0" w:tplc="22F21A5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FA64795"/>
    <w:multiLevelType w:val="hybridMultilevel"/>
    <w:tmpl w:val="1FE4F8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1095166"/>
    <w:multiLevelType w:val="hybridMultilevel"/>
    <w:tmpl w:val="EC46FB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9356BE7"/>
    <w:multiLevelType w:val="hybridMultilevel"/>
    <w:tmpl w:val="D192883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CC2427"/>
    <w:multiLevelType w:val="hybridMultilevel"/>
    <w:tmpl w:val="662C18B2"/>
    <w:lvl w:ilvl="0" w:tplc="BC56A578">
      <w:start w:val="1"/>
      <w:numFmt w:val="decimal"/>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4164FC9"/>
    <w:multiLevelType w:val="hybridMultilevel"/>
    <w:tmpl w:val="7BECA5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17"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hint="default"/>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FE55BA"/>
    <w:multiLevelType w:val="hybridMultilevel"/>
    <w:tmpl w:val="A5F2E1A4"/>
    <w:lvl w:ilvl="0" w:tplc="A9FE02CC">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5"/>
  </w:num>
  <w:num w:numId="2">
    <w:abstractNumId w:val="11"/>
  </w:num>
  <w:num w:numId="3">
    <w:abstractNumId w:val="13"/>
  </w:num>
  <w:num w:numId="4">
    <w:abstractNumId w:val="14"/>
  </w:num>
  <w:num w:numId="5">
    <w:abstractNumId w:val="2"/>
  </w:num>
  <w:num w:numId="6">
    <w:abstractNumId w:val="9"/>
  </w:num>
  <w:num w:numId="7">
    <w:abstractNumId w:val="1"/>
  </w:num>
  <w:num w:numId="8">
    <w:abstractNumId w:val="12"/>
  </w:num>
  <w:num w:numId="9">
    <w:abstractNumId w:val="16"/>
  </w:num>
  <w:num w:numId="10">
    <w:abstractNumId w:val="3"/>
  </w:num>
  <w:num w:numId="11">
    <w:abstractNumId w:val="17"/>
  </w:num>
  <w:num w:numId="12">
    <w:abstractNumId w:val="15"/>
  </w:num>
  <w:num w:numId="13">
    <w:abstractNumId w:val="18"/>
  </w:num>
  <w:num w:numId="14">
    <w:abstractNumId w:val="4"/>
  </w:num>
  <w:num w:numId="15">
    <w:abstractNumId w:val="1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81"/>
    <w:rsid w:val="0000108F"/>
    <w:rsid w:val="00001BEB"/>
    <w:rsid w:val="00001C9D"/>
    <w:rsid w:val="00002842"/>
    <w:rsid w:val="00003034"/>
    <w:rsid w:val="000043C5"/>
    <w:rsid w:val="00006469"/>
    <w:rsid w:val="00007445"/>
    <w:rsid w:val="0001084F"/>
    <w:rsid w:val="00012D3C"/>
    <w:rsid w:val="000135B7"/>
    <w:rsid w:val="00013B02"/>
    <w:rsid w:val="00014490"/>
    <w:rsid w:val="00015ABA"/>
    <w:rsid w:val="00016611"/>
    <w:rsid w:val="000179B4"/>
    <w:rsid w:val="00023BF4"/>
    <w:rsid w:val="000260B1"/>
    <w:rsid w:val="00027E26"/>
    <w:rsid w:val="0003125E"/>
    <w:rsid w:val="000335D7"/>
    <w:rsid w:val="000345C6"/>
    <w:rsid w:val="00034FEC"/>
    <w:rsid w:val="000361E4"/>
    <w:rsid w:val="000378EE"/>
    <w:rsid w:val="00042454"/>
    <w:rsid w:val="00042BC9"/>
    <w:rsid w:val="00043BD3"/>
    <w:rsid w:val="00047520"/>
    <w:rsid w:val="000501F2"/>
    <w:rsid w:val="00050D16"/>
    <w:rsid w:val="00051CDC"/>
    <w:rsid w:val="00052E0F"/>
    <w:rsid w:val="000544E0"/>
    <w:rsid w:val="0005594B"/>
    <w:rsid w:val="00057538"/>
    <w:rsid w:val="000617F5"/>
    <w:rsid w:val="00061DCC"/>
    <w:rsid w:val="000635C6"/>
    <w:rsid w:val="0007348C"/>
    <w:rsid w:val="0007442A"/>
    <w:rsid w:val="00074738"/>
    <w:rsid w:val="0007518E"/>
    <w:rsid w:val="00080FF7"/>
    <w:rsid w:val="000870C1"/>
    <w:rsid w:val="000875BB"/>
    <w:rsid w:val="00087DA5"/>
    <w:rsid w:val="00091BD9"/>
    <w:rsid w:val="00093700"/>
    <w:rsid w:val="0009438C"/>
    <w:rsid w:val="000947C1"/>
    <w:rsid w:val="000955FE"/>
    <w:rsid w:val="000959B0"/>
    <w:rsid w:val="000969B0"/>
    <w:rsid w:val="00096F89"/>
    <w:rsid w:val="000A2BF1"/>
    <w:rsid w:val="000A2D64"/>
    <w:rsid w:val="000A44E5"/>
    <w:rsid w:val="000A58A2"/>
    <w:rsid w:val="000A5CC3"/>
    <w:rsid w:val="000B01FA"/>
    <w:rsid w:val="000B0C38"/>
    <w:rsid w:val="000B614F"/>
    <w:rsid w:val="000B627D"/>
    <w:rsid w:val="000B6D3A"/>
    <w:rsid w:val="000C26EC"/>
    <w:rsid w:val="000C330B"/>
    <w:rsid w:val="000C39C4"/>
    <w:rsid w:val="000C534B"/>
    <w:rsid w:val="000D0939"/>
    <w:rsid w:val="000D0F8F"/>
    <w:rsid w:val="000D1756"/>
    <w:rsid w:val="000D178E"/>
    <w:rsid w:val="000D324E"/>
    <w:rsid w:val="000D4C6B"/>
    <w:rsid w:val="000D5006"/>
    <w:rsid w:val="000D5511"/>
    <w:rsid w:val="000E1D63"/>
    <w:rsid w:val="000E3ABB"/>
    <w:rsid w:val="000E4455"/>
    <w:rsid w:val="000E4E1E"/>
    <w:rsid w:val="000E5138"/>
    <w:rsid w:val="000E5C5F"/>
    <w:rsid w:val="000E7E63"/>
    <w:rsid w:val="000E7FEC"/>
    <w:rsid w:val="000F13A1"/>
    <w:rsid w:val="000F2071"/>
    <w:rsid w:val="000F5028"/>
    <w:rsid w:val="000F6196"/>
    <w:rsid w:val="000F62E5"/>
    <w:rsid w:val="000F6B14"/>
    <w:rsid w:val="000F73EB"/>
    <w:rsid w:val="000F7A08"/>
    <w:rsid w:val="00100088"/>
    <w:rsid w:val="00105A8C"/>
    <w:rsid w:val="00106E84"/>
    <w:rsid w:val="00107969"/>
    <w:rsid w:val="001109C5"/>
    <w:rsid w:val="001111B5"/>
    <w:rsid w:val="00113C38"/>
    <w:rsid w:val="001177B2"/>
    <w:rsid w:val="00120DAD"/>
    <w:rsid w:val="001215E3"/>
    <w:rsid w:val="00121FC4"/>
    <w:rsid w:val="00123AFE"/>
    <w:rsid w:val="00126AAF"/>
    <w:rsid w:val="00131C5A"/>
    <w:rsid w:val="00131C61"/>
    <w:rsid w:val="001329D8"/>
    <w:rsid w:val="00133A16"/>
    <w:rsid w:val="0013464C"/>
    <w:rsid w:val="001353B6"/>
    <w:rsid w:val="00137472"/>
    <w:rsid w:val="001430EC"/>
    <w:rsid w:val="00143B0D"/>
    <w:rsid w:val="00145B50"/>
    <w:rsid w:val="00147031"/>
    <w:rsid w:val="0014728D"/>
    <w:rsid w:val="001521CE"/>
    <w:rsid w:val="001522DB"/>
    <w:rsid w:val="001528E7"/>
    <w:rsid w:val="001530C8"/>
    <w:rsid w:val="001541CA"/>
    <w:rsid w:val="001606A7"/>
    <w:rsid w:val="00160F16"/>
    <w:rsid w:val="001619A4"/>
    <w:rsid w:val="00164286"/>
    <w:rsid w:val="00171FF3"/>
    <w:rsid w:val="00172A2C"/>
    <w:rsid w:val="00172D07"/>
    <w:rsid w:val="001802EE"/>
    <w:rsid w:val="001802F0"/>
    <w:rsid w:val="00183C38"/>
    <w:rsid w:val="00185034"/>
    <w:rsid w:val="001853DD"/>
    <w:rsid w:val="00186D15"/>
    <w:rsid w:val="001877FF"/>
    <w:rsid w:val="00187F08"/>
    <w:rsid w:val="00193F82"/>
    <w:rsid w:val="001947EF"/>
    <w:rsid w:val="001949D2"/>
    <w:rsid w:val="0019511B"/>
    <w:rsid w:val="0019680B"/>
    <w:rsid w:val="00196E24"/>
    <w:rsid w:val="00197638"/>
    <w:rsid w:val="00197681"/>
    <w:rsid w:val="001A15B9"/>
    <w:rsid w:val="001A24A5"/>
    <w:rsid w:val="001A2848"/>
    <w:rsid w:val="001A3713"/>
    <w:rsid w:val="001A4C78"/>
    <w:rsid w:val="001A66C5"/>
    <w:rsid w:val="001A6F42"/>
    <w:rsid w:val="001A7DA2"/>
    <w:rsid w:val="001B169F"/>
    <w:rsid w:val="001B2C06"/>
    <w:rsid w:val="001B37D5"/>
    <w:rsid w:val="001B5717"/>
    <w:rsid w:val="001C1518"/>
    <w:rsid w:val="001C361F"/>
    <w:rsid w:val="001C55D3"/>
    <w:rsid w:val="001C6F0C"/>
    <w:rsid w:val="001D1E06"/>
    <w:rsid w:val="001D5FB4"/>
    <w:rsid w:val="001D6153"/>
    <w:rsid w:val="001E0A7A"/>
    <w:rsid w:val="001E43C8"/>
    <w:rsid w:val="001E45F7"/>
    <w:rsid w:val="001E638B"/>
    <w:rsid w:val="001E737A"/>
    <w:rsid w:val="001E7FCE"/>
    <w:rsid w:val="001F020B"/>
    <w:rsid w:val="001F172A"/>
    <w:rsid w:val="001F188D"/>
    <w:rsid w:val="001F2852"/>
    <w:rsid w:val="001F41A7"/>
    <w:rsid w:val="001F437A"/>
    <w:rsid w:val="001F7EE5"/>
    <w:rsid w:val="002005EA"/>
    <w:rsid w:val="00201585"/>
    <w:rsid w:val="00201A61"/>
    <w:rsid w:val="002020F8"/>
    <w:rsid w:val="00204640"/>
    <w:rsid w:val="00205738"/>
    <w:rsid w:val="00205FCD"/>
    <w:rsid w:val="00211ABF"/>
    <w:rsid w:val="002121FC"/>
    <w:rsid w:val="0021373C"/>
    <w:rsid w:val="00213D9A"/>
    <w:rsid w:val="00214EA0"/>
    <w:rsid w:val="00215D1C"/>
    <w:rsid w:val="00216323"/>
    <w:rsid w:val="00224BEC"/>
    <w:rsid w:val="002301EE"/>
    <w:rsid w:val="002303C5"/>
    <w:rsid w:val="0023385A"/>
    <w:rsid w:val="00234229"/>
    <w:rsid w:val="00234552"/>
    <w:rsid w:val="00234D6C"/>
    <w:rsid w:val="00235C3E"/>
    <w:rsid w:val="00236397"/>
    <w:rsid w:val="0024220D"/>
    <w:rsid w:val="0024388D"/>
    <w:rsid w:val="002469F9"/>
    <w:rsid w:val="00246FA3"/>
    <w:rsid w:val="00247821"/>
    <w:rsid w:val="002511C0"/>
    <w:rsid w:val="002511FF"/>
    <w:rsid w:val="00253F25"/>
    <w:rsid w:val="00254987"/>
    <w:rsid w:val="0025517C"/>
    <w:rsid w:val="00256A6B"/>
    <w:rsid w:val="00257788"/>
    <w:rsid w:val="00260AE8"/>
    <w:rsid w:val="00261075"/>
    <w:rsid w:val="0026119B"/>
    <w:rsid w:val="00261400"/>
    <w:rsid w:val="002618DE"/>
    <w:rsid w:val="00264D09"/>
    <w:rsid w:val="00265F31"/>
    <w:rsid w:val="00267B2E"/>
    <w:rsid w:val="002725A2"/>
    <w:rsid w:val="002725BA"/>
    <w:rsid w:val="0027289A"/>
    <w:rsid w:val="0027381A"/>
    <w:rsid w:val="0028308D"/>
    <w:rsid w:val="00283ACF"/>
    <w:rsid w:val="002856BF"/>
    <w:rsid w:val="002867A9"/>
    <w:rsid w:val="0029027A"/>
    <w:rsid w:val="00293ECC"/>
    <w:rsid w:val="00295E81"/>
    <w:rsid w:val="00296924"/>
    <w:rsid w:val="002A0627"/>
    <w:rsid w:val="002A1889"/>
    <w:rsid w:val="002A39FA"/>
    <w:rsid w:val="002A54DB"/>
    <w:rsid w:val="002A7188"/>
    <w:rsid w:val="002B2B63"/>
    <w:rsid w:val="002B43B2"/>
    <w:rsid w:val="002B5B09"/>
    <w:rsid w:val="002B5E32"/>
    <w:rsid w:val="002B78A3"/>
    <w:rsid w:val="002C4E93"/>
    <w:rsid w:val="002D0C1C"/>
    <w:rsid w:val="002D26CA"/>
    <w:rsid w:val="002D376B"/>
    <w:rsid w:val="002D5C1A"/>
    <w:rsid w:val="002D64FB"/>
    <w:rsid w:val="002D6D80"/>
    <w:rsid w:val="002D7C4D"/>
    <w:rsid w:val="002E0848"/>
    <w:rsid w:val="002E0E07"/>
    <w:rsid w:val="002E1FB0"/>
    <w:rsid w:val="002E3020"/>
    <w:rsid w:val="002E37DB"/>
    <w:rsid w:val="002E3A76"/>
    <w:rsid w:val="002E4854"/>
    <w:rsid w:val="002E6CEE"/>
    <w:rsid w:val="002E784A"/>
    <w:rsid w:val="002F12B1"/>
    <w:rsid w:val="002F29A2"/>
    <w:rsid w:val="002F4BF5"/>
    <w:rsid w:val="002F6824"/>
    <w:rsid w:val="002F736E"/>
    <w:rsid w:val="003013C0"/>
    <w:rsid w:val="00303531"/>
    <w:rsid w:val="00304825"/>
    <w:rsid w:val="003073CD"/>
    <w:rsid w:val="003073F4"/>
    <w:rsid w:val="003106D7"/>
    <w:rsid w:val="00313258"/>
    <w:rsid w:val="00314A6D"/>
    <w:rsid w:val="00314CA8"/>
    <w:rsid w:val="00315671"/>
    <w:rsid w:val="003220E7"/>
    <w:rsid w:val="0032416F"/>
    <w:rsid w:val="00327B67"/>
    <w:rsid w:val="00327E80"/>
    <w:rsid w:val="00331648"/>
    <w:rsid w:val="00332C68"/>
    <w:rsid w:val="00333FD5"/>
    <w:rsid w:val="00334CB2"/>
    <w:rsid w:val="003368AE"/>
    <w:rsid w:val="00341B01"/>
    <w:rsid w:val="0034522D"/>
    <w:rsid w:val="00350971"/>
    <w:rsid w:val="00351579"/>
    <w:rsid w:val="003521B4"/>
    <w:rsid w:val="00353BEE"/>
    <w:rsid w:val="00353EF8"/>
    <w:rsid w:val="0035404E"/>
    <w:rsid w:val="00362421"/>
    <w:rsid w:val="003665BE"/>
    <w:rsid w:val="00367996"/>
    <w:rsid w:val="003679F0"/>
    <w:rsid w:val="003711F4"/>
    <w:rsid w:val="00371655"/>
    <w:rsid w:val="0037194E"/>
    <w:rsid w:val="00372999"/>
    <w:rsid w:val="00373A76"/>
    <w:rsid w:val="00373F31"/>
    <w:rsid w:val="0037489A"/>
    <w:rsid w:val="00374D51"/>
    <w:rsid w:val="003765FD"/>
    <w:rsid w:val="00376714"/>
    <w:rsid w:val="003773C7"/>
    <w:rsid w:val="003842A0"/>
    <w:rsid w:val="00385432"/>
    <w:rsid w:val="0038600F"/>
    <w:rsid w:val="00386515"/>
    <w:rsid w:val="00390A84"/>
    <w:rsid w:val="00390E58"/>
    <w:rsid w:val="00390F84"/>
    <w:rsid w:val="0039276B"/>
    <w:rsid w:val="0039276E"/>
    <w:rsid w:val="00392FC9"/>
    <w:rsid w:val="00393949"/>
    <w:rsid w:val="00394D21"/>
    <w:rsid w:val="00397F46"/>
    <w:rsid w:val="003A008F"/>
    <w:rsid w:val="003A00AB"/>
    <w:rsid w:val="003A0820"/>
    <w:rsid w:val="003A0AA0"/>
    <w:rsid w:val="003A0FA9"/>
    <w:rsid w:val="003A1C8C"/>
    <w:rsid w:val="003A6089"/>
    <w:rsid w:val="003B057F"/>
    <w:rsid w:val="003B05EC"/>
    <w:rsid w:val="003B181A"/>
    <w:rsid w:val="003B2369"/>
    <w:rsid w:val="003B2894"/>
    <w:rsid w:val="003B2CEF"/>
    <w:rsid w:val="003B487F"/>
    <w:rsid w:val="003B70FB"/>
    <w:rsid w:val="003B7222"/>
    <w:rsid w:val="003B7D57"/>
    <w:rsid w:val="003C047D"/>
    <w:rsid w:val="003C1757"/>
    <w:rsid w:val="003C1C3D"/>
    <w:rsid w:val="003C4E89"/>
    <w:rsid w:val="003C6F88"/>
    <w:rsid w:val="003D2BC6"/>
    <w:rsid w:val="003D5035"/>
    <w:rsid w:val="003D539D"/>
    <w:rsid w:val="003D7B55"/>
    <w:rsid w:val="003E17F2"/>
    <w:rsid w:val="003E6703"/>
    <w:rsid w:val="003F0236"/>
    <w:rsid w:val="003F1070"/>
    <w:rsid w:val="003F4D15"/>
    <w:rsid w:val="003F520E"/>
    <w:rsid w:val="003F6A62"/>
    <w:rsid w:val="003F7D6A"/>
    <w:rsid w:val="004005EE"/>
    <w:rsid w:val="00405D79"/>
    <w:rsid w:val="0041092A"/>
    <w:rsid w:val="004116B4"/>
    <w:rsid w:val="0041521E"/>
    <w:rsid w:val="00417488"/>
    <w:rsid w:val="0042283E"/>
    <w:rsid w:val="00422A51"/>
    <w:rsid w:val="00423650"/>
    <w:rsid w:val="00423D72"/>
    <w:rsid w:val="00427BFE"/>
    <w:rsid w:val="004315F4"/>
    <w:rsid w:val="004319D8"/>
    <w:rsid w:val="004320B9"/>
    <w:rsid w:val="00433925"/>
    <w:rsid w:val="00435BF7"/>
    <w:rsid w:val="00440097"/>
    <w:rsid w:val="0044082C"/>
    <w:rsid w:val="00441502"/>
    <w:rsid w:val="00441846"/>
    <w:rsid w:val="004421E4"/>
    <w:rsid w:val="00442FF0"/>
    <w:rsid w:val="00445BFB"/>
    <w:rsid w:val="00446258"/>
    <w:rsid w:val="004510BC"/>
    <w:rsid w:val="00452F6D"/>
    <w:rsid w:val="004549C0"/>
    <w:rsid w:val="00454F2A"/>
    <w:rsid w:val="00455CCA"/>
    <w:rsid w:val="004567D2"/>
    <w:rsid w:val="004577FD"/>
    <w:rsid w:val="00460FDE"/>
    <w:rsid w:val="00461A6A"/>
    <w:rsid w:val="00465332"/>
    <w:rsid w:val="00466208"/>
    <w:rsid w:val="00467E68"/>
    <w:rsid w:val="004771B4"/>
    <w:rsid w:val="00477AB6"/>
    <w:rsid w:val="00477AB9"/>
    <w:rsid w:val="00477F24"/>
    <w:rsid w:val="004803BF"/>
    <w:rsid w:val="00483674"/>
    <w:rsid w:val="00486772"/>
    <w:rsid w:val="00486828"/>
    <w:rsid w:val="0049039C"/>
    <w:rsid w:val="00492AD7"/>
    <w:rsid w:val="00495464"/>
    <w:rsid w:val="0049678D"/>
    <w:rsid w:val="00496B64"/>
    <w:rsid w:val="004A13CF"/>
    <w:rsid w:val="004A27E3"/>
    <w:rsid w:val="004A4566"/>
    <w:rsid w:val="004A490B"/>
    <w:rsid w:val="004A4FAF"/>
    <w:rsid w:val="004A7247"/>
    <w:rsid w:val="004A757C"/>
    <w:rsid w:val="004B1D8B"/>
    <w:rsid w:val="004B501D"/>
    <w:rsid w:val="004B5675"/>
    <w:rsid w:val="004B7EF4"/>
    <w:rsid w:val="004C19E7"/>
    <w:rsid w:val="004C243C"/>
    <w:rsid w:val="004C2A31"/>
    <w:rsid w:val="004C47CB"/>
    <w:rsid w:val="004C4841"/>
    <w:rsid w:val="004C6AD9"/>
    <w:rsid w:val="004C7F86"/>
    <w:rsid w:val="004D0BEF"/>
    <w:rsid w:val="004D0FB4"/>
    <w:rsid w:val="004D1644"/>
    <w:rsid w:val="004D197C"/>
    <w:rsid w:val="004D2C55"/>
    <w:rsid w:val="004D56B7"/>
    <w:rsid w:val="004D5ED7"/>
    <w:rsid w:val="004E2B9D"/>
    <w:rsid w:val="004E2F55"/>
    <w:rsid w:val="004E3E25"/>
    <w:rsid w:val="004E561B"/>
    <w:rsid w:val="004E59C2"/>
    <w:rsid w:val="004E5A78"/>
    <w:rsid w:val="004E7145"/>
    <w:rsid w:val="004F0DAF"/>
    <w:rsid w:val="004F577A"/>
    <w:rsid w:val="004F5B68"/>
    <w:rsid w:val="0050109A"/>
    <w:rsid w:val="0050214A"/>
    <w:rsid w:val="00504AE7"/>
    <w:rsid w:val="00504E2E"/>
    <w:rsid w:val="0051042F"/>
    <w:rsid w:val="00512892"/>
    <w:rsid w:val="005130A4"/>
    <w:rsid w:val="005162C4"/>
    <w:rsid w:val="005163E3"/>
    <w:rsid w:val="005166B0"/>
    <w:rsid w:val="0052146D"/>
    <w:rsid w:val="005217FC"/>
    <w:rsid w:val="0052196F"/>
    <w:rsid w:val="00521E05"/>
    <w:rsid w:val="00522C65"/>
    <w:rsid w:val="00524286"/>
    <w:rsid w:val="00524586"/>
    <w:rsid w:val="00525519"/>
    <w:rsid w:val="005264A2"/>
    <w:rsid w:val="00530EF4"/>
    <w:rsid w:val="0053302E"/>
    <w:rsid w:val="00533974"/>
    <w:rsid w:val="00534F31"/>
    <w:rsid w:val="0053648B"/>
    <w:rsid w:val="005376C8"/>
    <w:rsid w:val="00543B8E"/>
    <w:rsid w:val="0054613B"/>
    <w:rsid w:val="00546EAB"/>
    <w:rsid w:val="005550D9"/>
    <w:rsid w:val="0055705A"/>
    <w:rsid w:val="00563763"/>
    <w:rsid w:val="005637B3"/>
    <w:rsid w:val="00564DD7"/>
    <w:rsid w:val="005716FB"/>
    <w:rsid w:val="00571BC8"/>
    <w:rsid w:val="00574D98"/>
    <w:rsid w:val="00575952"/>
    <w:rsid w:val="00576C04"/>
    <w:rsid w:val="00577BE3"/>
    <w:rsid w:val="00580548"/>
    <w:rsid w:val="00582B5C"/>
    <w:rsid w:val="00582D22"/>
    <w:rsid w:val="00585555"/>
    <w:rsid w:val="005878B7"/>
    <w:rsid w:val="00590C0C"/>
    <w:rsid w:val="00590C14"/>
    <w:rsid w:val="00592E02"/>
    <w:rsid w:val="00594CF1"/>
    <w:rsid w:val="00595A08"/>
    <w:rsid w:val="0059620D"/>
    <w:rsid w:val="00596681"/>
    <w:rsid w:val="00597B8C"/>
    <w:rsid w:val="005A38A3"/>
    <w:rsid w:val="005A45B1"/>
    <w:rsid w:val="005B232C"/>
    <w:rsid w:val="005B26F0"/>
    <w:rsid w:val="005B445F"/>
    <w:rsid w:val="005B551F"/>
    <w:rsid w:val="005C621B"/>
    <w:rsid w:val="005C6511"/>
    <w:rsid w:val="005D12C5"/>
    <w:rsid w:val="005D244B"/>
    <w:rsid w:val="005D3066"/>
    <w:rsid w:val="005D4A03"/>
    <w:rsid w:val="005D7B4F"/>
    <w:rsid w:val="005D7F64"/>
    <w:rsid w:val="005E016A"/>
    <w:rsid w:val="005E0CB1"/>
    <w:rsid w:val="005E2421"/>
    <w:rsid w:val="005E2888"/>
    <w:rsid w:val="005E4400"/>
    <w:rsid w:val="005E4C97"/>
    <w:rsid w:val="005E6B40"/>
    <w:rsid w:val="005E7EC5"/>
    <w:rsid w:val="005F0296"/>
    <w:rsid w:val="005F2072"/>
    <w:rsid w:val="005F2702"/>
    <w:rsid w:val="005F2C4F"/>
    <w:rsid w:val="005F32F5"/>
    <w:rsid w:val="006001F2"/>
    <w:rsid w:val="00600B5F"/>
    <w:rsid w:val="006011D5"/>
    <w:rsid w:val="00601D4A"/>
    <w:rsid w:val="00602CAF"/>
    <w:rsid w:val="0060314B"/>
    <w:rsid w:val="00603654"/>
    <w:rsid w:val="00603E6E"/>
    <w:rsid w:val="006049B2"/>
    <w:rsid w:val="006065C8"/>
    <w:rsid w:val="0061040B"/>
    <w:rsid w:val="00610692"/>
    <w:rsid w:val="00612266"/>
    <w:rsid w:val="006134E6"/>
    <w:rsid w:val="00613ED3"/>
    <w:rsid w:val="006165A1"/>
    <w:rsid w:val="00617111"/>
    <w:rsid w:val="00617A8C"/>
    <w:rsid w:val="00630D4A"/>
    <w:rsid w:val="00631019"/>
    <w:rsid w:val="00631AF0"/>
    <w:rsid w:val="00633D2E"/>
    <w:rsid w:val="00637D08"/>
    <w:rsid w:val="00643302"/>
    <w:rsid w:val="0064577D"/>
    <w:rsid w:val="00651442"/>
    <w:rsid w:val="00651C05"/>
    <w:rsid w:val="00652E04"/>
    <w:rsid w:val="00654D70"/>
    <w:rsid w:val="00660D61"/>
    <w:rsid w:val="00664848"/>
    <w:rsid w:val="00665FD0"/>
    <w:rsid w:val="006714AC"/>
    <w:rsid w:val="00671AAC"/>
    <w:rsid w:val="0068036F"/>
    <w:rsid w:val="00680A5A"/>
    <w:rsid w:val="00681CCB"/>
    <w:rsid w:val="00682549"/>
    <w:rsid w:val="00683C4C"/>
    <w:rsid w:val="00685EF0"/>
    <w:rsid w:val="00687F19"/>
    <w:rsid w:val="00691133"/>
    <w:rsid w:val="006937A5"/>
    <w:rsid w:val="0069462D"/>
    <w:rsid w:val="006A0E50"/>
    <w:rsid w:val="006A209F"/>
    <w:rsid w:val="006A2D0F"/>
    <w:rsid w:val="006A6639"/>
    <w:rsid w:val="006B0200"/>
    <w:rsid w:val="006B111C"/>
    <w:rsid w:val="006B1C1A"/>
    <w:rsid w:val="006B1DF9"/>
    <w:rsid w:val="006B5157"/>
    <w:rsid w:val="006C0DF7"/>
    <w:rsid w:val="006C3559"/>
    <w:rsid w:val="006D1030"/>
    <w:rsid w:val="006D1DFE"/>
    <w:rsid w:val="006D2672"/>
    <w:rsid w:val="006D5375"/>
    <w:rsid w:val="006D5F42"/>
    <w:rsid w:val="006E19B0"/>
    <w:rsid w:val="006E4EE7"/>
    <w:rsid w:val="006E53F2"/>
    <w:rsid w:val="006E79C3"/>
    <w:rsid w:val="006E79C5"/>
    <w:rsid w:val="006F4AF0"/>
    <w:rsid w:val="006F6EAC"/>
    <w:rsid w:val="007055D9"/>
    <w:rsid w:val="00705B33"/>
    <w:rsid w:val="00707C13"/>
    <w:rsid w:val="00711098"/>
    <w:rsid w:val="00711E40"/>
    <w:rsid w:val="00712CF9"/>
    <w:rsid w:val="00712D3A"/>
    <w:rsid w:val="00722450"/>
    <w:rsid w:val="00724782"/>
    <w:rsid w:val="00725EA2"/>
    <w:rsid w:val="00726F8D"/>
    <w:rsid w:val="007312DE"/>
    <w:rsid w:val="00733C2A"/>
    <w:rsid w:val="00737A93"/>
    <w:rsid w:val="00740C99"/>
    <w:rsid w:val="00741C8A"/>
    <w:rsid w:val="00743922"/>
    <w:rsid w:val="00745252"/>
    <w:rsid w:val="007477CF"/>
    <w:rsid w:val="0075330C"/>
    <w:rsid w:val="00756714"/>
    <w:rsid w:val="00756B47"/>
    <w:rsid w:val="00756D71"/>
    <w:rsid w:val="00760426"/>
    <w:rsid w:val="0076133D"/>
    <w:rsid w:val="00761644"/>
    <w:rsid w:val="00761B61"/>
    <w:rsid w:val="00762D04"/>
    <w:rsid w:val="00772966"/>
    <w:rsid w:val="00772A5C"/>
    <w:rsid w:val="00774D85"/>
    <w:rsid w:val="0077763B"/>
    <w:rsid w:val="007819CC"/>
    <w:rsid w:val="00782227"/>
    <w:rsid w:val="00782D50"/>
    <w:rsid w:val="0078356F"/>
    <w:rsid w:val="0078380D"/>
    <w:rsid w:val="00784A57"/>
    <w:rsid w:val="00786C9E"/>
    <w:rsid w:val="007911CC"/>
    <w:rsid w:val="0079358F"/>
    <w:rsid w:val="00794F66"/>
    <w:rsid w:val="00797520"/>
    <w:rsid w:val="00797EDA"/>
    <w:rsid w:val="007A0B2F"/>
    <w:rsid w:val="007A244C"/>
    <w:rsid w:val="007A247A"/>
    <w:rsid w:val="007A2EB6"/>
    <w:rsid w:val="007A300D"/>
    <w:rsid w:val="007A37B0"/>
    <w:rsid w:val="007A3C6A"/>
    <w:rsid w:val="007A3F24"/>
    <w:rsid w:val="007A454E"/>
    <w:rsid w:val="007A4AC9"/>
    <w:rsid w:val="007A695D"/>
    <w:rsid w:val="007A6B1D"/>
    <w:rsid w:val="007A71D5"/>
    <w:rsid w:val="007B00DE"/>
    <w:rsid w:val="007B0A46"/>
    <w:rsid w:val="007B24AB"/>
    <w:rsid w:val="007B67A9"/>
    <w:rsid w:val="007C169B"/>
    <w:rsid w:val="007C46C7"/>
    <w:rsid w:val="007C48F7"/>
    <w:rsid w:val="007C508D"/>
    <w:rsid w:val="007C5C12"/>
    <w:rsid w:val="007D07C2"/>
    <w:rsid w:val="007D1836"/>
    <w:rsid w:val="007D1EC9"/>
    <w:rsid w:val="007D2287"/>
    <w:rsid w:val="007D3F06"/>
    <w:rsid w:val="007D7951"/>
    <w:rsid w:val="007E1C8A"/>
    <w:rsid w:val="007E3041"/>
    <w:rsid w:val="007E3E2B"/>
    <w:rsid w:val="007E40B6"/>
    <w:rsid w:val="007E52A4"/>
    <w:rsid w:val="007E5D58"/>
    <w:rsid w:val="007E7F2D"/>
    <w:rsid w:val="007F4582"/>
    <w:rsid w:val="007F4A3A"/>
    <w:rsid w:val="007F551A"/>
    <w:rsid w:val="007F6BB7"/>
    <w:rsid w:val="007F72EC"/>
    <w:rsid w:val="007F72FD"/>
    <w:rsid w:val="007F7F1D"/>
    <w:rsid w:val="00800FDB"/>
    <w:rsid w:val="00807113"/>
    <w:rsid w:val="008078CF"/>
    <w:rsid w:val="00807D28"/>
    <w:rsid w:val="008112B3"/>
    <w:rsid w:val="00811E82"/>
    <w:rsid w:val="0081480E"/>
    <w:rsid w:val="00817DA4"/>
    <w:rsid w:val="00817E97"/>
    <w:rsid w:val="00821D31"/>
    <w:rsid w:val="008230E0"/>
    <w:rsid w:val="00823FBC"/>
    <w:rsid w:val="00824EEB"/>
    <w:rsid w:val="00825988"/>
    <w:rsid w:val="008260D8"/>
    <w:rsid w:val="0082615F"/>
    <w:rsid w:val="00831A88"/>
    <w:rsid w:val="008353D2"/>
    <w:rsid w:val="008363C6"/>
    <w:rsid w:val="00836A75"/>
    <w:rsid w:val="00836F0C"/>
    <w:rsid w:val="00836FEA"/>
    <w:rsid w:val="00841053"/>
    <w:rsid w:val="008425B5"/>
    <w:rsid w:val="008427B7"/>
    <w:rsid w:val="008430FD"/>
    <w:rsid w:val="0084469B"/>
    <w:rsid w:val="008456CA"/>
    <w:rsid w:val="00846079"/>
    <w:rsid w:val="00847E36"/>
    <w:rsid w:val="00850848"/>
    <w:rsid w:val="00855E8A"/>
    <w:rsid w:val="0086314B"/>
    <w:rsid w:val="00864884"/>
    <w:rsid w:val="00865A13"/>
    <w:rsid w:val="00866C2B"/>
    <w:rsid w:val="00866D88"/>
    <w:rsid w:val="00870FEB"/>
    <w:rsid w:val="008733A4"/>
    <w:rsid w:val="00873D60"/>
    <w:rsid w:val="00874D8F"/>
    <w:rsid w:val="008768A4"/>
    <w:rsid w:val="008771A4"/>
    <w:rsid w:val="008773B6"/>
    <w:rsid w:val="00880879"/>
    <w:rsid w:val="00881446"/>
    <w:rsid w:val="00882C1A"/>
    <w:rsid w:val="0088434F"/>
    <w:rsid w:val="00885D87"/>
    <w:rsid w:val="00887C74"/>
    <w:rsid w:val="00890F9B"/>
    <w:rsid w:val="00895A05"/>
    <w:rsid w:val="008A0399"/>
    <w:rsid w:val="008A111B"/>
    <w:rsid w:val="008A1937"/>
    <w:rsid w:val="008A2830"/>
    <w:rsid w:val="008A3E2A"/>
    <w:rsid w:val="008A5186"/>
    <w:rsid w:val="008A5A39"/>
    <w:rsid w:val="008A5E8C"/>
    <w:rsid w:val="008A6282"/>
    <w:rsid w:val="008B0BBC"/>
    <w:rsid w:val="008B30FE"/>
    <w:rsid w:val="008B37D7"/>
    <w:rsid w:val="008B4301"/>
    <w:rsid w:val="008B567F"/>
    <w:rsid w:val="008B6620"/>
    <w:rsid w:val="008B7D2F"/>
    <w:rsid w:val="008C0089"/>
    <w:rsid w:val="008C15C6"/>
    <w:rsid w:val="008C2B1D"/>
    <w:rsid w:val="008C3ABF"/>
    <w:rsid w:val="008C47DF"/>
    <w:rsid w:val="008C48EF"/>
    <w:rsid w:val="008D01C0"/>
    <w:rsid w:val="008D2218"/>
    <w:rsid w:val="008D403C"/>
    <w:rsid w:val="008D42FA"/>
    <w:rsid w:val="008D5C2F"/>
    <w:rsid w:val="008D77A2"/>
    <w:rsid w:val="008E054C"/>
    <w:rsid w:val="008E142B"/>
    <w:rsid w:val="008E1CE1"/>
    <w:rsid w:val="008E2ACE"/>
    <w:rsid w:val="008E305A"/>
    <w:rsid w:val="008E4B0D"/>
    <w:rsid w:val="008E6008"/>
    <w:rsid w:val="008F03CF"/>
    <w:rsid w:val="008F082F"/>
    <w:rsid w:val="008F4D3C"/>
    <w:rsid w:val="008F7C4D"/>
    <w:rsid w:val="00900561"/>
    <w:rsid w:val="009023BD"/>
    <w:rsid w:val="00902702"/>
    <w:rsid w:val="00905B7C"/>
    <w:rsid w:val="0090756E"/>
    <w:rsid w:val="00907C85"/>
    <w:rsid w:val="0091136B"/>
    <w:rsid w:val="00914781"/>
    <w:rsid w:val="00915FEA"/>
    <w:rsid w:val="0091631B"/>
    <w:rsid w:val="0091705C"/>
    <w:rsid w:val="00920EF9"/>
    <w:rsid w:val="00922906"/>
    <w:rsid w:val="00922F22"/>
    <w:rsid w:val="00924152"/>
    <w:rsid w:val="00930682"/>
    <w:rsid w:val="009325B5"/>
    <w:rsid w:val="0093347E"/>
    <w:rsid w:val="009345FD"/>
    <w:rsid w:val="00934F7A"/>
    <w:rsid w:val="00937E1C"/>
    <w:rsid w:val="00940C0F"/>
    <w:rsid w:val="00943FFA"/>
    <w:rsid w:val="0094453B"/>
    <w:rsid w:val="00944952"/>
    <w:rsid w:val="00945E0D"/>
    <w:rsid w:val="009526BB"/>
    <w:rsid w:val="00953D88"/>
    <w:rsid w:val="00955CA2"/>
    <w:rsid w:val="00956260"/>
    <w:rsid w:val="009616BA"/>
    <w:rsid w:val="0096226B"/>
    <w:rsid w:val="00966DB7"/>
    <w:rsid w:val="00970B7B"/>
    <w:rsid w:val="0097129E"/>
    <w:rsid w:val="00973DCA"/>
    <w:rsid w:val="00974396"/>
    <w:rsid w:val="0097439B"/>
    <w:rsid w:val="00975F73"/>
    <w:rsid w:val="00976BE2"/>
    <w:rsid w:val="0098118E"/>
    <w:rsid w:val="009835AD"/>
    <w:rsid w:val="00984273"/>
    <w:rsid w:val="009854F3"/>
    <w:rsid w:val="00985A04"/>
    <w:rsid w:val="00986A12"/>
    <w:rsid w:val="00990A51"/>
    <w:rsid w:val="00991269"/>
    <w:rsid w:val="00992223"/>
    <w:rsid w:val="00995AB4"/>
    <w:rsid w:val="00997E14"/>
    <w:rsid w:val="009A0C9F"/>
    <w:rsid w:val="009A429D"/>
    <w:rsid w:val="009A5244"/>
    <w:rsid w:val="009A76B1"/>
    <w:rsid w:val="009B1293"/>
    <w:rsid w:val="009B1608"/>
    <w:rsid w:val="009B3487"/>
    <w:rsid w:val="009C0931"/>
    <w:rsid w:val="009C2900"/>
    <w:rsid w:val="009D15E1"/>
    <w:rsid w:val="009D3291"/>
    <w:rsid w:val="009E4B23"/>
    <w:rsid w:val="009E59AB"/>
    <w:rsid w:val="009E5D87"/>
    <w:rsid w:val="009E5E32"/>
    <w:rsid w:val="009E6161"/>
    <w:rsid w:val="009E64FC"/>
    <w:rsid w:val="009E6DAE"/>
    <w:rsid w:val="009F103D"/>
    <w:rsid w:val="009F1E3D"/>
    <w:rsid w:val="009F21FE"/>
    <w:rsid w:val="009F22B2"/>
    <w:rsid w:val="009F2B0D"/>
    <w:rsid w:val="009F588F"/>
    <w:rsid w:val="009F7A30"/>
    <w:rsid w:val="00A028FB"/>
    <w:rsid w:val="00A02C3B"/>
    <w:rsid w:val="00A04E25"/>
    <w:rsid w:val="00A062A1"/>
    <w:rsid w:val="00A06690"/>
    <w:rsid w:val="00A06B1F"/>
    <w:rsid w:val="00A10685"/>
    <w:rsid w:val="00A12A49"/>
    <w:rsid w:val="00A12AB9"/>
    <w:rsid w:val="00A132EF"/>
    <w:rsid w:val="00A16021"/>
    <w:rsid w:val="00A172DF"/>
    <w:rsid w:val="00A20273"/>
    <w:rsid w:val="00A27A82"/>
    <w:rsid w:val="00A3065F"/>
    <w:rsid w:val="00A308F8"/>
    <w:rsid w:val="00A3107E"/>
    <w:rsid w:val="00A316CC"/>
    <w:rsid w:val="00A321CA"/>
    <w:rsid w:val="00A33499"/>
    <w:rsid w:val="00A3357B"/>
    <w:rsid w:val="00A343AD"/>
    <w:rsid w:val="00A34A29"/>
    <w:rsid w:val="00A34B72"/>
    <w:rsid w:val="00A35729"/>
    <w:rsid w:val="00A36970"/>
    <w:rsid w:val="00A374CC"/>
    <w:rsid w:val="00A402C1"/>
    <w:rsid w:val="00A402F4"/>
    <w:rsid w:val="00A40B52"/>
    <w:rsid w:val="00A41B92"/>
    <w:rsid w:val="00A41CD7"/>
    <w:rsid w:val="00A43EA4"/>
    <w:rsid w:val="00A43F53"/>
    <w:rsid w:val="00A44EE9"/>
    <w:rsid w:val="00A45D7A"/>
    <w:rsid w:val="00A4627C"/>
    <w:rsid w:val="00A46574"/>
    <w:rsid w:val="00A5049D"/>
    <w:rsid w:val="00A50C4E"/>
    <w:rsid w:val="00A521EE"/>
    <w:rsid w:val="00A528BD"/>
    <w:rsid w:val="00A53D87"/>
    <w:rsid w:val="00A54431"/>
    <w:rsid w:val="00A54720"/>
    <w:rsid w:val="00A54B75"/>
    <w:rsid w:val="00A54DF1"/>
    <w:rsid w:val="00A5561D"/>
    <w:rsid w:val="00A57FBA"/>
    <w:rsid w:val="00A6034D"/>
    <w:rsid w:val="00A6083D"/>
    <w:rsid w:val="00A62819"/>
    <w:rsid w:val="00A62A4E"/>
    <w:rsid w:val="00A62AE9"/>
    <w:rsid w:val="00A62F7F"/>
    <w:rsid w:val="00A62F9F"/>
    <w:rsid w:val="00A63E2B"/>
    <w:rsid w:val="00A65DC8"/>
    <w:rsid w:val="00A672F3"/>
    <w:rsid w:val="00A70CAF"/>
    <w:rsid w:val="00A72B32"/>
    <w:rsid w:val="00A7353A"/>
    <w:rsid w:val="00A760FE"/>
    <w:rsid w:val="00A76A3C"/>
    <w:rsid w:val="00A801FE"/>
    <w:rsid w:val="00A80490"/>
    <w:rsid w:val="00A826AE"/>
    <w:rsid w:val="00A85353"/>
    <w:rsid w:val="00A91A5C"/>
    <w:rsid w:val="00A94A3A"/>
    <w:rsid w:val="00A95AD1"/>
    <w:rsid w:val="00A95C8C"/>
    <w:rsid w:val="00AA0F1B"/>
    <w:rsid w:val="00AA1139"/>
    <w:rsid w:val="00AA1FD9"/>
    <w:rsid w:val="00AA295D"/>
    <w:rsid w:val="00AA44FB"/>
    <w:rsid w:val="00AA5EC4"/>
    <w:rsid w:val="00AB6BF8"/>
    <w:rsid w:val="00AC2A15"/>
    <w:rsid w:val="00AC52C3"/>
    <w:rsid w:val="00AC7364"/>
    <w:rsid w:val="00AD2434"/>
    <w:rsid w:val="00AD3C0B"/>
    <w:rsid w:val="00AD4455"/>
    <w:rsid w:val="00AD4FD6"/>
    <w:rsid w:val="00AD5F91"/>
    <w:rsid w:val="00AD6C72"/>
    <w:rsid w:val="00AD73D4"/>
    <w:rsid w:val="00AD79AE"/>
    <w:rsid w:val="00AE1397"/>
    <w:rsid w:val="00AE245E"/>
    <w:rsid w:val="00AE4836"/>
    <w:rsid w:val="00AF140E"/>
    <w:rsid w:val="00AF1718"/>
    <w:rsid w:val="00AF2BA2"/>
    <w:rsid w:val="00B00140"/>
    <w:rsid w:val="00B00BD9"/>
    <w:rsid w:val="00B049EB"/>
    <w:rsid w:val="00B04CF8"/>
    <w:rsid w:val="00B0513F"/>
    <w:rsid w:val="00B05FF7"/>
    <w:rsid w:val="00B10435"/>
    <w:rsid w:val="00B10EF2"/>
    <w:rsid w:val="00B11D9B"/>
    <w:rsid w:val="00B1299C"/>
    <w:rsid w:val="00B12BCD"/>
    <w:rsid w:val="00B16268"/>
    <w:rsid w:val="00B2024B"/>
    <w:rsid w:val="00B230D5"/>
    <w:rsid w:val="00B25A0F"/>
    <w:rsid w:val="00B2654A"/>
    <w:rsid w:val="00B30BE1"/>
    <w:rsid w:val="00B31C84"/>
    <w:rsid w:val="00B342AA"/>
    <w:rsid w:val="00B34A89"/>
    <w:rsid w:val="00B35AEA"/>
    <w:rsid w:val="00B40454"/>
    <w:rsid w:val="00B41E85"/>
    <w:rsid w:val="00B42D33"/>
    <w:rsid w:val="00B4460A"/>
    <w:rsid w:val="00B45DF5"/>
    <w:rsid w:val="00B4625F"/>
    <w:rsid w:val="00B51C5E"/>
    <w:rsid w:val="00B540B4"/>
    <w:rsid w:val="00B5415C"/>
    <w:rsid w:val="00B54716"/>
    <w:rsid w:val="00B55880"/>
    <w:rsid w:val="00B56098"/>
    <w:rsid w:val="00B6137F"/>
    <w:rsid w:val="00B61A06"/>
    <w:rsid w:val="00B63E91"/>
    <w:rsid w:val="00B64641"/>
    <w:rsid w:val="00B65963"/>
    <w:rsid w:val="00B66F4C"/>
    <w:rsid w:val="00B71C99"/>
    <w:rsid w:val="00B75A62"/>
    <w:rsid w:val="00B77DBE"/>
    <w:rsid w:val="00B8063B"/>
    <w:rsid w:val="00B80B11"/>
    <w:rsid w:val="00B83E8F"/>
    <w:rsid w:val="00B840F3"/>
    <w:rsid w:val="00B84B09"/>
    <w:rsid w:val="00B864E9"/>
    <w:rsid w:val="00B8712E"/>
    <w:rsid w:val="00B91B4C"/>
    <w:rsid w:val="00B929E7"/>
    <w:rsid w:val="00B93DDC"/>
    <w:rsid w:val="00B93FCD"/>
    <w:rsid w:val="00B964F7"/>
    <w:rsid w:val="00B9681A"/>
    <w:rsid w:val="00B968F2"/>
    <w:rsid w:val="00BA02C1"/>
    <w:rsid w:val="00BA3073"/>
    <w:rsid w:val="00BA434D"/>
    <w:rsid w:val="00BA6E68"/>
    <w:rsid w:val="00BA7330"/>
    <w:rsid w:val="00BA77FF"/>
    <w:rsid w:val="00BB27DE"/>
    <w:rsid w:val="00BB31FD"/>
    <w:rsid w:val="00BB6F82"/>
    <w:rsid w:val="00BB76FE"/>
    <w:rsid w:val="00BB7E97"/>
    <w:rsid w:val="00BC23D2"/>
    <w:rsid w:val="00BC2509"/>
    <w:rsid w:val="00BC378A"/>
    <w:rsid w:val="00BC4805"/>
    <w:rsid w:val="00BC538F"/>
    <w:rsid w:val="00BC6696"/>
    <w:rsid w:val="00BC70DE"/>
    <w:rsid w:val="00BD10FE"/>
    <w:rsid w:val="00BD264E"/>
    <w:rsid w:val="00BD7B18"/>
    <w:rsid w:val="00BE1644"/>
    <w:rsid w:val="00BE73F0"/>
    <w:rsid w:val="00BF07E9"/>
    <w:rsid w:val="00BF148D"/>
    <w:rsid w:val="00BF1BE5"/>
    <w:rsid w:val="00BF2F1C"/>
    <w:rsid w:val="00BF3078"/>
    <w:rsid w:val="00BF597F"/>
    <w:rsid w:val="00BF6AAE"/>
    <w:rsid w:val="00BF6B8E"/>
    <w:rsid w:val="00BF7448"/>
    <w:rsid w:val="00C008AF"/>
    <w:rsid w:val="00C049F6"/>
    <w:rsid w:val="00C10153"/>
    <w:rsid w:val="00C108DB"/>
    <w:rsid w:val="00C136D7"/>
    <w:rsid w:val="00C13C25"/>
    <w:rsid w:val="00C13E56"/>
    <w:rsid w:val="00C21E51"/>
    <w:rsid w:val="00C3264F"/>
    <w:rsid w:val="00C32B32"/>
    <w:rsid w:val="00C339DE"/>
    <w:rsid w:val="00C3715C"/>
    <w:rsid w:val="00C379B0"/>
    <w:rsid w:val="00C43276"/>
    <w:rsid w:val="00C44EAE"/>
    <w:rsid w:val="00C5048A"/>
    <w:rsid w:val="00C51BE7"/>
    <w:rsid w:val="00C5315C"/>
    <w:rsid w:val="00C53BCA"/>
    <w:rsid w:val="00C53D2F"/>
    <w:rsid w:val="00C53EB1"/>
    <w:rsid w:val="00C573B8"/>
    <w:rsid w:val="00C57A1F"/>
    <w:rsid w:val="00C60946"/>
    <w:rsid w:val="00C60C79"/>
    <w:rsid w:val="00C611F4"/>
    <w:rsid w:val="00C64F07"/>
    <w:rsid w:val="00C6613A"/>
    <w:rsid w:val="00C67183"/>
    <w:rsid w:val="00C702A8"/>
    <w:rsid w:val="00C70625"/>
    <w:rsid w:val="00C71BA4"/>
    <w:rsid w:val="00C730AD"/>
    <w:rsid w:val="00C73114"/>
    <w:rsid w:val="00C75028"/>
    <w:rsid w:val="00C823A6"/>
    <w:rsid w:val="00C83827"/>
    <w:rsid w:val="00C847B9"/>
    <w:rsid w:val="00C84D77"/>
    <w:rsid w:val="00C858F0"/>
    <w:rsid w:val="00C85E9F"/>
    <w:rsid w:val="00C861B0"/>
    <w:rsid w:val="00C867C9"/>
    <w:rsid w:val="00C87224"/>
    <w:rsid w:val="00C92E77"/>
    <w:rsid w:val="00C9497E"/>
    <w:rsid w:val="00CA069C"/>
    <w:rsid w:val="00CA12B3"/>
    <w:rsid w:val="00CA1D6D"/>
    <w:rsid w:val="00CA2E53"/>
    <w:rsid w:val="00CA477D"/>
    <w:rsid w:val="00CA626D"/>
    <w:rsid w:val="00CA76A4"/>
    <w:rsid w:val="00CA7FF6"/>
    <w:rsid w:val="00CB02B5"/>
    <w:rsid w:val="00CB44E7"/>
    <w:rsid w:val="00CB497E"/>
    <w:rsid w:val="00CB4F41"/>
    <w:rsid w:val="00CB4FBF"/>
    <w:rsid w:val="00CB55B6"/>
    <w:rsid w:val="00CB59F7"/>
    <w:rsid w:val="00CB5E24"/>
    <w:rsid w:val="00CB7871"/>
    <w:rsid w:val="00CC0D87"/>
    <w:rsid w:val="00CC27F7"/>
    <w:rsid w:val="00CC385B"/>
    <w:rsid w:val="00CC75DE"/>
    <w:rsid w:val="00CD0A06"/>
    <w:rsid w:val="00CD65BD"/>
    <w:rsid w:val="00CE0854"/>
    <w:rsid w:val="00CE1026"/>
    <w:rsid w:val="00CE1730"/>
    <w:rsid w:val="00CE1C1C"/>
    <w:rsid w:val="00CE2D27"/>
    <w:rsid w:val="00CE3860"/>
    <w:rsid w:val="00CF01A9"/>
    <w:rsid w:val="00CF1B74"/>
    <w:rsid w:val="00CF2AF3"/>
    <w:rsid w:val="00CF3194"/>
    <w:rsid w:val="00CF3E51"/>
    <w:rsid w:val="00CF40C7"/>
    <w:rsid w:val="00CF45E0"/>
    <w:rsid w:val="00CF5683"/>
    <w:rsid w:val="00CF57BF"/>
    <w:rsid w:val="00CF5F00"/>
    <w:rsid w:val="00CF7F86"/>
    <w:rsid w:val="00D0340C"/>
    <w:rsid w:val="00D0358F"/>
    <w:rsid w:val="00D03630"/>
    <w:rsid w:val="00D04D20"/>
    <w:rsid w:val="00D04DA7"/>
    <w:rsid w:val="00D0566F"/>
    <w:rsid w:val="00D071FD"/>
    <w:rsid w:val="00D1093E"/>
    <w:rsid w:val="00D134BC"/>
    <w:rsid w:val="00D1578C"/>
    <w:rsid w:val="00D21D6C"/>
    <w:rsid w:val="00D22361"/>
    <w:rsid w:val="00D228A0"/>
    <w:rsid w:val="00D230E1"/>
    <w:rsid w:val="00D2418E"/>
    <w:rsid w:val="00D247B9"/>
    <w:rsid w:val="00D301FA"/>
    <w:rsid w:val="00D322D7"/>
    <w:rsid w:val="00D33CB2"/>
    <w:rsid w:val="00D40C7B"/>
    <w:rsid w:val="00D45BFB"/>
    <w:rsid w:val="00D46DCB"/>
    <w:rsid w:val="00D47CD5"/>
    <w:rsid w:val="00D52FD8"/>
    <w:rsid w:val="00D5325F"/>
    <w:rsid w:val="00D53C63"/>
    <w:rsid w:val="00D5555E"/>
    <w:rsid w:val="00D55A4A"/>
    <w:rsid w:val="00D561E5"/>
    <w:rsid w:val="00D571B7"/>
    <w:rsid w:val="00D60CD4"/>
    <w:rsid w:val="00D63533"/>
    <w:rsid w:val="00D66880"/>
    <w:rsid w:val="00D6701F"/>
    <w:rsid w:val="00D7142D"/>
    <w:rsid w:val="00D71C79"/>
    <w:rsid w:val="00D73005"/>
    <w:rsid w:val="00D73439"/>
    <w:rsid w:val="00D73716"/>
    <w:rsid w:val="00D73B26"/>
    <w:rsid w:val="00D7579C"/>
    <w:rsid w:val="00D75BDE"/>
    <w:rsid w:val="00D764B9"/>
    <w:rsid w:val="00D76719"/>
    <w:rsid w:val="00D824FB"/>
    <w:rsid w:val="00D855E6"/>
    <w:rsid w:val="00D91B1E"/>
    <w:rsid w:val="00D9406D"/>
    <w:rsid w:val="00D95DDB"/>
    <w:rsid w:val="00DA0DCD"/>
    <w:rsid w:val="00DA379F"/>
    <w:rsid w:val="00DB02AB"/>
    <w:rsid w:val="00DB0331"/>
    <w:rsid w:val="00DB1B29"/>
    <w:rsid w:val="00DB5655"/>
    <w:rsid w:val="00DC0514"/>
    <w:rsid w:val="00DC0F2E"/>
    <w:rsid w:val="00DC19D7"/>
    <w:rsid w:val="00DC4D3E"/>
    <w:rsid w:val="00DC4E9C"/>
    <w:rsid w:val="00DD0D5F"/>
    <w:rsid w:val="00DD13A6"/>
    <w:rsid w:val="00DD27AF"/>
    <w:rsid w:val="00DD3950"/>
    <w:rsid w:val="00DD46F1"/>
    <w:rsid w:val="00DD4A96"/>
    <w:rsid w:val="00DD7388"/>
    <w:rsid w:val="00DE08D1"/>
    <w:rsid w:val="00DE1BB4"/>
    <w:rsid w:val="00DE2FDA"/>
    <w:rsid w:val="00DE5550"/>
    <w:rsid w:val="00DE78F7"/>
    <w:rsid w:val="00DF21D3"/>
    <w:rsid w:val="00DF2EE2"/>
    <w:rsid w:val="00DF30EE"/>
    <w:rsid w:val="00DF3169"/>
    <w:rsid w:val="00DF3E20"/>
    <w:rsid w:val="00DF5960"/>
    <w:rsid w:val="00DF7267"/>
    <w:rsid w:val="00DF7335"/>
    <w:rsid w:val="00DF7FEC"/>
    <w:rsid w:val="00E06281"/>
    <w:rsid w:val="00E07114"/>
    <w:rsid w:val="00E07BC4"/>
    <w:rsid w:val="00E07FA4"/>
    <w:rsid w:val="00E106A5"/>
    <w:rsid w:val="00E11284"/>
    <w:rsid w:val="00E12879"/>
    <w:rsid w:val="00E12B70"/>
    <w:rsid w:val="00E12D89"/>
    <w:rsid w:val="00E135E6"/>
    <w:rsid w:val="00E137EA"/>
    <w:rsid w:val="00E16F6C"/>
    <w:rsid w:val="00E211F3"/>
    <w:rsid w:val="00E3303D"/>
    <w:rsid w:val="00E33A69"/>
    <w:rsid w:val="00E34F94"/>
    <w:rsid w:val="00E40C0F"/>
    <w:rsid w:val="00E414C6"/>
    <w:rsid w:val="00E4711C"/>
    <w:rsid w:val="00E50CD4"/>
    <w:rsid w:val="00E51B9F"/>
    <w:rsid w:val="00E52674"/>
    <w:rsid w:val="00E532E2"/>
    <w:rsid w:val="00E5416E"/>
    <w:rsid w:val="00E55CC0"/>
    <w:rsid w:val="00E634AD"/>
    <w:rsid w:val="00E66B4A"/>
    <w:rsid w:val="00E70335"/>
    <w:rsid w:val="00E70F1C"/>
    <w:rsid w:val="00E80419"/>
    <w:rsid w:val="00E8415C"/>
    <w:rsid w:val="00E855C4"/>
    <w:rsid w:val="00E85939"/>
    <w:rsid w:val="00E86C49"/>
    <w:rsid w:val="00E872BF"/>
    <w:rsid w:val="00E87D3D"/>
    <w:rsid w:val="00E90996"/>
    <w:rsid w:val="00E90ABF"/>
    <w:rsid w:val="00E90B27"/>
    <w:rsid w:val="00E939AD"/>
    <w:rsid w:val="00E9586B"/>
    <w:rsid w:val="00E95B64"/>
    <w:rsid w:val="00EA019E"/>
    <w:rsid w:val="00EA0537"/>
    <w:rsid w:val="00EA0E6D"/>
    <w:rsid w:val="00EA46F1"/>
    <w:rsid w:val="00EA4EF6"/>
    <w:rsid w:val="00EA635D"/>
    <w:rsid w:val="00EA6EA1"/>
    <w:rsid w:val="00EA7A28"/>
    <w:rsid w:val="00EB08DD"/>
    <w:rsid w:val="00EB0AEB"/>
    <w:rsid w:val="00EB2F66"/>
    <w:rsid w:val="00EB2F97"/>
    <w:rsid w:val="00EB6C43"/>
    <w:rsid w:val="00EB6E18"/>
    <w:rsid w:val="00EC2A3E"/>
    <w:rsid w:val="00EC442C"/>
    <w:rsid w:val="00EC7EBC"/>
    <w:rsid w:val="00ED18A8"/>
    <w:rsid w:val="00ED1F52"/>
    <w:rsid w:val="00ED1FCF"/>
    <w:rsid w:val="00ED205B"/>
    <w:rsid w:val="00ED5D41"/>
    <w:rsid w:val="00ED7451"/>
    <w:rsid w:val="00EE0296"/>
    <w:rsid w:val="00EE02C0"/>
    <w:rsid w:val="00EE17BB"/>
    <w:rsid w:val="00EE1804"/>
    <w:rsid w:val="00EE3684"/>
    <w:rsid w:val="00EE5EA4"/>
    <w:rsid w:val="00EE6863"/>
    <w:rsid w:val="00EF2110"/>
    <w:rsid w:val="00EF2CB9"/>
    <w:rsid w:val="00EF6091"/>
    <w:rsid w:val="00F0278B"/>
    <w:rsid w:val="00F040B8"/>
    <w:rsid w:val="00F05662"/>
    <w:rsid w:val="00F07AA9"/>
    <w:rsid w:val="00F12638"/>
    <w:rsid w:val="00F148BF"/>
    <w:rsid w:val="00F15564"/>
    <w:rsid w:val="00F16CEE"/>
    <w:rsid w:val="00F17110"/>
    <w:rsid w:val="00F20D67"/>
    <w:rsid w:val="00F23125"/>
    <w:rsid w:val="00F25DE6"/>
    <w:rsid w:val="00F266A1"/>
    <w:rsid w:val="00F269BF"/>
    <w:rsid w:val="00F275A5"/>
    <w:rsid w:val="00F30072"/>
    <w:rsid w:val="00F3188D"/>
    <w:rsid w:val="00F319BA"/>
    <w:rsid w:val="00F31ADD"/>
    <w:rsid w:val="00F31E82"/>
    <w:rsid w:val="00F32EDF"/>
    <w:rsid w:val="00F33897"/>
    <w:rsid w:val="00F34288"/>
    <w:rsid w:val="00F34D8B"/>
    <w:rsid w:val="00F43273"/>
    <w:rsid w:val="00F45149"/>
    <w:rsid w:val="00F469D8"/>
    <w:rsid w:val="00F47A40"/>
    <w:rsid w:val="00F51C76"/>
    <w:rsid w:val="00F53EFD"/>
    <w:rsid w:val="00F56748"/>
    <w:rsid w:val="00F609DF"/>
    <w:rsid w:val="00F61B5E"/>
    <w:rsid w:val="00F62C66"/>
    <w:rsid w:val="00F63A09"/>
    <w:rsid w:val="00F651EC"/>
    <w:rsid w:val="00F65940"/>
    <w:rsid w:val="00F67B90"/>
    <w:rsid w:val="00F67F19"/>
    <w:rsid w:val="00F712F7"/>
    <w:rsid w:val="00F73681"/>
    <w:rsid w:val="00F744F3"/>
    <w:rsid w:val="00F74C60"/>
    <w:rsid w:val="00F74DA6"/>
    <w:rsid w:val="00F75106"/>
    <w:rsid w:val="00F77E36"/>
    <w:rsid w:val="00F80B59"/>
    <w:rsid w:val="00F84639"/>
    <w:rsid w:val="00F861EB"/>
    <w:rsid w:val="00F863E2"/>
    <w:rsid w:val="00F9485A"/>
    <w:rsid w:val="00F94913"/>
    <w:rsid w:val="00F96A1A"/>
    <w:rsid w:val="00F9765C"/>
    <w:rsid w:val="00FA3492"/>
    <w:rsid w:val="00FA5A08"/>
    <w:rsid w:val="00FA66E1"/>
    <w:rsid w:val="00FA6F2B"/>
    <w:rsid w:val="00FA7773"/>
    <w:rsid w:val="00FB0225"/>
    <w:rsid w:val="00FB0809"/>
    <w:rsid w:val="00FC01DD"/>
    <w:rsid w:val="00FC0B87"/>
    <w:rsid w:val="00FC1E1D"/>
    <w:rsid w:val="00FC2F19"/>
    <w:rsid w:val="00FC3381"/>
    <w:rsid w:val="00FC4F7E"/>
    <w:rsid w:val="00FC7E2E"/>
    <w:rsid w:val="00FD0020"/>
    <w:rsid w:val="00FD3E73"/>
    <w:rsid w:val="00FD4387"/>
    <w:rsid w:val="00FD4ABF"/>
    <w:rsid w:val="00FE0177"/>
    <w:rsid w:val="00FE1E0D"/>
    <w:rsid w:val="00FE37AA"/>
    <w:rsid w:val="00FE391D"/>
    <w:rsid w:val="00FE620E"/>
    <w:rsid w:val="00FE6A5E"/>
    <w:rsid w:val="00FE76B8"/>
    <w:rsid w:val="00FE77F7"/>
    <w:rsid w:val="00FF1A4B"/>
    <w:rsid w:val="00FF2A2B"/>
    <w:rsid w:val="00FF5A2A"/>
    <w:rsid w:val="00FF7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9A54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header" w:uiPriority="99"/>
    <w:lsdException w:name="footer" w:semiHidden="1" w:uiPriority="99" w:unhideWhenUsed="1"/>
    <w:lsdException w:name="caption" w:locked="1" w:semiHidden="1" w:unhideWhenUsed="1" w:qFormat="1"/>
    <w:lsdException w:name="page number" w:uiPriority="99"/>
    <w:lsdException w:name="List Number" w:locked="1" w:semiHidden="1" w:unhideWhenUsed="1"/>
    <w:lsdException w:name="List 4" w:locked="1"/>
    <w:lsdException w:name="List 5" w:locked="1"/>
    <w:lsdException w:name="Title" w:locked="1" w:qFormat="1"/>
    <w:lsdException w:name="Default Paragraph Font"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Indent 3" w:uiPriority="99"/>
    <w:lsdException w:name="Hyperlink" w:semiHidden="1" w:uiPriority="99" w:unhideWhenUsed="1"/>
    <w:lsdException w:name="Strong" w:locked="1" w:qFormat="1"/>
    <w:lsdException w:name="Emphasis" w:locked="1" w:qFormat="1"/>
    <w:lsdException w:name="Normal (Web)" w:semiHidden="1" w:uiPriority="99"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4EEB"/>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914781"/>
    <w:pPr>
      <w:ind w:left="720"/>
      <w:contextualSpacing/>
    </w:pPr>
  </w:style>
  <w:style w:type="paragraph" w:styleId="Zkladntext">
    <w:name w:val="Body Text"/>
    <w:basedOn w:val="Normlny"/>
    <w:link w:val="ZkladntextChar"/>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Predvolenpsmoodseku"/>
    <w:link w:val="Zkladntext"/>
    <w:locked/>
    <w:rsid w:val="00914781"/>
    <w:rPr>
      <w:rFonts w:ascii="Verdana" w:hAnsi="Verdana" w:cs="Times New Roman"/>
      <w:sz w:val="24"/>
      <w:lang w:val="x-none" w:eastAsia="sk-SK"/>
    </w:rPr>
  </w:style>
  <w:style w:type="paragraph" w:customStyle="1" w:styleId="CharCharCharCharCharChar">
    <w:name w:val="Char Char Char Char Char Char"/>
    <w:basedOn w:val="Normlny"/>
    <w:rsid w:val="00FE391D"/>
    <w:pPr>
      <w:spacing w:after="160" w:line="240" w:lineRule="exact"/>
    </w:pPr>
    <w:rPr>
      <w:rFonts w:ascii="Tahoma" w:hAnsi="Tahoma"/>
      <w:sz w:val="20"/>
      <w:szCs w:val="20"/>
      <w:lang w:val="en-US"/>
    </w:rPr>
  </w:style>
  <w:style w:type="paragraph" w:styleId="Hlavika">
    <w:name w:val="header"/>
    <w:basedOn w:val="Normlny"/>
    <w:link w:val="HlavikaChar"/>
    <w:uiPriority w:val="99"/>
    <w:rsid w:val="00EE02C0"/>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EE02C0"/>
    <w:rPr>
      <w:rFonts w:cs="Times New Roman"/>
    </w:rPr>
  </w:style>
  <w:style w:type="paragraph" w:styleId="Pta">
    <w:name w:val="footer"/>
    <w:basedOn w:val="Normlny"/>
    <w:link w:val="PtaChar"/>
    <w:uiPriority w:val="99"/>
    <w:rsid w:val="00EE02C0"/>
    <w:pPr>
      <w:tabs>
        <w:tab w:val="center" w:pos="4536"/>
        <w:tab w:val="right" w:pos="9072"/>
      </w:tabs>
      <w:spacing w:after="0" w:line="240" w:lineRule="auto"/>
    </w:pPr>
  </w:style>
  <w:style w:type="character" w:customStyle="1" w:styleId="PtaChar">
    <w:name w:val="Päta Char"/>
    <w:basedOn w:val="Predvolenpsmoodseku"/>
    <w:link w:val="Pta"/>
    <w:uiPriority w:val="99"/>
    <w:locked/>
    <w:rsid w:val="00EE02C0"/>
    <w:rPr>
      <w:rFonts w:cs="Times New Roman"/>
    </w:rPr>
  </w:style>
  <w:style w:type="paragraph" w:styleId="Textbubliny">
    <w:name w:val="Balloon Text"/>
    <w:basedOn w:val="Normlny"/>
    <w:link w:val="TextbublinyChar"/>
    <w:uiPriority w:val="99"/>
    <w:rsid w:val="00F62C6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locked/>
    <w:rsid w:val="00F62C66"/>
    <w:rPr>
      <w:rFonts w:ascii="Tahoma" w:hAnsi="Tahoma" w:cs="Times New Roman"/>
      <w:sz w:val="16"/>
    </w:rPr>
  </w:style>
  <w:style w:type="paragraph" w:styleId="Textpoznmkypodiarou">
    <w:name w:val="footnote text"/>
    <w:basedOn w:val="Normlny"/>
    <w:link w:val="TextpoznmkypodiarouChar"/>
    <w:uiPriority w:val="99"/>
    <w:rsid w:val="00B2024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B2024B"/>
    <w:rPr>
      <w:rFonts w:cs="Times New Roman"/>
      <w:sz w:val="20"/>
    </w:rPr>
  </w:style>
  <w:style w:type="character" w:styleId="Odkaznapoznmkupodiarou">
    <w:name w:val="footnote reference"/>
    <w:basedOn w:val="Predvolenpsmoodseku"/>
    <w:uiPriority w:val="99"/>
    <w:rsid w:val="00B2024B"/>
    <w:rPr>
      <w:rFonts w:cs="Times New Roman"/>
      <w:vertAlign w:val="superscript"/>
    </w:rPr>
  </w:style>
  <w:style w:type="table" w:styleId="Mriekatabuky">
    <w:name w:val="Table Grid"/>
    <w:basedOn w:val="Normlnatabuka"/>
    <w:uiPriority w:val="59"/>
    <w:rsid w:val="00707C1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iadkovania1">
    <w:name w:val="Bez riadkovania1"/>
    <w:rsid w:val="002301EE"/>
    <w:rPr>
      <w:rFonts w:cs="Times New Roman"/>
      <w:sz w:val="22"/>
      <w:szCs w:val="22"/>
      <w:lang w:eastAsia="en-US"/>
    </w:rPr>
  </w:style>
  <w:style w:type="character" w:styleId="Odkaznakomentr">
    <w:name w:val="annotation reference"/>
    <w:basedOn w:val="Predvolenpsmoodseku"/>
    <w:uiPriority w:val="99"/>
    <w:rsid w:val="00EE1804"/>
    <w:rPr>
      <w:rFonts w:cs="Times New Roman"/>
      <w:sz w:val="16"/>
    </w:rPr>
  </w:style>
  <w:style w:type="paragraph" w:styleId="Textkomentra">
    <w:name w:val="annotation text"/>
    <w:basedOn w:val="Normlny"/>
    <w:link w:val="TextkomentraChar"/>
    <w:uiPriority w:val="99"/>
    <w:rsid w:val="00EE1804"/>
    <w:pPr>
      <w:spacing w:line="240" w:lineRule="auto"/>
    </w:pPr>
    <w:rPr>
      <w:sz w:val="20"/>
      <w:szCs w:val="20"/>
    </w:rPr>
  </w:style>
  <w:style w:type="character" w:customStyle="1" w:styleId="TextkomentraChar">
    <w:name w:val="Text komentára Char"/>
    <w:basedOn w:val="Predvolenpsmoodseku"/>
    <w:link w:val="Textkomentra"/>
    <w:uiPriority w:val="99"/>
    <w:locked/>
    <w:rsid w:val="00EE1804"/>
    <w:rPr>
      <w:rFonts w:cs="Times New Roman"/>
      <w:sz w:val="20"/>
    </w:rPr>
  </w:style>
  <w:style w:type="paragraph" w:styleId="Predmetkomentra">
    <w:name w:val="annotation subject"/>
    <w:basedOn w:val="Textkomentra"/>
    <w:next w:val="Textkomentra"/>
    <w:link w:val="PredmetkomentraChar"/>
    <w:uiPriority w:val="99"/>
    <w:rsid w:val="00EE1804"/>
    <w:rPr>
      <w:b/>
      <w:bCs/>
    </w:rPr>
  </w:style>
  <w:style w:type="character" w:customStyle="1" w:styleId="PredmetkomentraChar">
    <w:name w:val="Predmet komentára Char"/>
    <w:basedOn w:val="TextkomentraChar"/>
    <w:link w:val="Predmetkomentra"/>
    <w:uiPriority w:val="99"/>
    <w:locked/>
    <w:rsid w:val="00EE1804"/>
    <w:rPr>
      <w:rFonts w:cs="Times New Roman"/>
      <w:b/>
      <w:sz w:val="20"/>
    </w:rPr>
  </w:style>
  <w:style w:type="character" w:styleId="Zstupntext">
    <w:name w:val="Placeholder Text"/>
    <w:basedOn w:val="Predvolenpsmoodseku"/>
    <w:uiPriority w:val="99"/>
    <w:semiHidden/>
    <w:rsid w:val="00AA1139"/>
    <w:rPr>
      <w:rFonts w:ascii="Times New Roman" w:hAnsi="Times New Roman" w:cs="Times New Roman"/>
      <w:color w:val="808080"/>
    </w:rPr>
  </w:style>
  <w:style w:type="paragraph" w:styleId="Normlnywebov">
    <w:name w:val="Normal (Web)"/>
    <w:basedOn w:val="Normlny"/>
    <w:uiPriority w:val="99"/>
    <w:unhideWhenUsed/>
    <w:rsid w:val="00B54716"/>
    <w:pPr>
      <w:spacing w:before="100" w:beforeAutospacing="1" w:after="100" w:afterAutospacing="1" w:line="240" w:lineRule="auto"/>
    </w:pPr>
    <w:rPr>
      <w:rFonts w:ascii="Times New Roman" w:hAnsi="Times New Roman"/>
      <w:sz w:val="24"/>
      <w:szCs w:val="24"/>
      <w:lang w:eastAsia="sk-SK"/>
    </w:rPr>
  </w:style>
  <w:style w:type="character" w:customStyle="1" w:styleId="apple-converted-space">
    <w:name w:val="apple-converted-space"/>
    <w:basedOn w:val="Predvolenpsmoodseku"/>
    <w:rsid w:val="00E07BC4"/>
    <w:rPr>
      <w:rFonts w:cs="Times New Roman"/>
    </w:rPr>
  </w:style>
  <w:style w:type="paragraph" w:styleId="Odsekzoznamu">
    <w:name w:val="List Paragraph"/>
    <w:aliases w:val="Odsek,Odsek zoznamu2"/>
    <w:basedOn w:val="Normlny"/>
    <w:link w:val="OdsekzoznamuChar"/>
    <w:uiPriority w:val="34"/>
    <w:qFormat/>
    <w:rsid w:val="00C573B8"/>
    <w:pPr>
      <w:ind w:left="720"/>
      <w:contextualSpacing/>
    </w:pPr>
  </w:style>
  <w:style w:type="character" w:styleId="Hypertextovprepojenie">
    <w:name w:val="Hyperlink"/>
    <w:basedOn w:val="Predvolenpsmoodseku"/>
    <w:uiPriority w:val="99"/>
    <w:semiHidden/>
    <w:unhideWhenUsed/>
    <w:rsid w:val="00C573B8"/>
    <w:rPr>
      <w:rFonts w:cs="Times New Roman"/>
      <w:color w:val="0000FF"/>
      <w:u w:val="single"/>
    </w:rPr>
  </w:style>
  <w:style w:type="paragraph" w:customStyle="1" w:styleId="Default">
    <w:name w:val="Default"/>
    <w:rsid w:val="008E305A"/>
    <w:pPr>
      <w:autoSpaceDE w:val="0"/>
      <w:autoSpaceDN w:val="0"/>
      <w:adjustRightInd w:val="0"/>
    </w:pPr>
    <w:rPr>
      <w:rFonts w:ascii="Times New Roman" w:hAnsi="Times New Roman" w:cs="Times New Roman"/>
      <w:color w:val="000000"/>
      <w:sz w:val="24"/>
      <w:szCs w:val="24"/>
      <w:lang w:eastAsia="en-US"/>
    </w:rPr>
  </w:style>
  <w:style w:type="character" w:customStyle="1" w:styleId="OdsekzoznamuChar">
    <w:name w:val="Odsek zoznamu Char"/>
    <w:aliases w:val="Odsek Char,Odsek zoznamu2 Char"/>
    <w:basedOn w:val="Predvolenpsmoodseku"/>
    <w:link w:val="Odsekzoznamu"/>
    <w:uiPriority w:val="34"/>
    <w:qFormat/>
    <w:locked/>
    <w:rsid w:val="00A308F8"/>
    <w:rPr>
      <w:rFonts w:cs="Times New Roman"/>
      <w:sz w:val="22"/>
      <w:szCs w:val="22"/>
      <w:lang w:eastAsia="en-US"/>
    </w:rPr>
  </w:style>
  <w:style w:type="paragraph" w:customStyle="1" w:styleId="Normlny1">
    <w:name w:val="Normálny1"/>
    <w:rsid w:val="00A308F8"/>
    <w:pPr>
      <w:keepNext/>
      <w:spacing w:before="60" w:after="60"/>
      <w:jc w:val="both"/>
    </w:pPr>
    <w:rPr>
      <w:rFonts w:ascii="Times New Roman" w:eastAsia="ヒラギノ角ゴ Pro W3" w:hAnsi="Times New Roman" w:cs="Times New Roman"/>
      <w:color w:val="000000"/>
      <w:sz w:val="24"/>
      <w:szCs w:val="24"/>
      <w:lang w:val="cs-CZ"/>
    </w:rPr>
  </w:style>
  <w:style w:type="character" w:styleId="slostrany">
    <w:name w:val="page number"/>
    <w:basedOn w:val="Predvolenpsmoodseku"/>
    <w:uiPriority w:val="99"/>
    <w:rsid w:val="00D7579C"/>
    <w:rPr>
      <w:rFonts w:cs="Times New Roman"/>
    </w:rPr>
  </w:style>
  <w:style w:type="paragraph" w:styleId="Zarkazkladnhotextu3">
    <w:name w:val="Body Text Indent 3"/>
    <w:basedOn w:val="Normlny"/>
    <w:link w:val="Zarkazkladnhotextu3Char1"/>
    <w:uiPriority w:val="99"/>
    <w:rsid w:val="00726F8D"/>
    <w:pPr>
      <w:suppressAutoHyphens/>
      <w:spacing w:after="120" w:line="100" w:lineRule="atLeast"/>
      <w:ind w:left="283"/>
    </w:pPr>
    <w:rPr>
      <w:rFonts w:ascii="Times New Roman" w:hAnsi="Times New Roman"/>
      <w:sz w:val="16"/>
      <w:szCs w:val="16"/>
      <w:lang w:eastAsia="ar-SA"/>
    </w:rPr>
  </w:style>
  <w:style w:type="character" w:customStyle="1" w:styleId="Zarkazkladnhotextu3Char">
    <w:name w:val="Zarážka základného textu 3 Char"/>
    <w:basedOn w:val="Predvolenpsmoodseku"/>
    <w:rsid w:val="00726F8D"/>
    <w:rPr>
      <w:rFonts w:cs="Times New Roman"/>
      <w:sz w:val="16"/>
      <w:szCs w:val="16"/>
      <w:lang w:eastAsia="en-US"/>
    </w:rPr>
  </w:style>
  <w:style w:type="character" w:customStyle="1" w:styleId="Zarkazkladnhotextu3Char1">
    <w:name w:val="Zarážka základného textu 3 Char1"/>
    <w:basedOn w:val="Predvolenpsmoodseku"/>
    <w:link w:val="Zarkazkladnhotextu3"/>
    <w:uiPriority w:val="99"/>
    <w:locked/>
    <w:rsid w:val="00726F8D"/>
    <w:rPr>
      <w:rFonts w:ascii="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16770">
      <w:bodyDiv w:val="1"/>
      <w:marLeft w:val="0"/>
      <w:marRight w:val="0"/>
      <w:marTop w:val="0"/>
      <w:marBottom w:val="0"/>
      <w:divBdr>
        <w:top w:val="none" w:sz="0" w:space="0" w:color="auto"/>
        <w:left w:val="none" w:sz="0" w:space="0" w:color="auto"/>
        <w:bottom w:val="none" w:sz="0" w:space="0" w:color="auto"/>
        <w:right w:val="none" w:sz="0" w:space="0" w:color="auto"/>
      </w:divBdr>
    </w:div>
    <w:div w:id="1693264631">
      <w:marLeft w:val="0"/>
      <w:marRight w:val="0"/>
      <w:marTop w:val="0"/>
      <w:marBottom w:val="0"/>
      <w:divBdr>
        <w:top w:val="none" w:sz="0" w:space="0" w:color="auto"/>
        <w:left w:val="none" w:sz="0" w:space="0" w:color="auto"/>
        <w:bottom w:val="none" w:sz="0" w:space="0" w:color="auto"/>
        <w:right w:val="none" w:sz="0" w:space="0" w:color="auto"/>
      </w:divBdr>
    </w:div>
    <w:div w:id="1693264632">
      <w:marLeft w:val="0"/>
      <w:marRight w:val="0"/>
      <w:marTop w:val="0"/>
      <w:marBottom w:val="0"/>
      <w:divBdr>
        <w:top w:val="none" w:sz="0" w:space="0" w:color="auto"/>
        <w:left w:val="none" w:sz="0" w:space="0" w:color="auto"/>
        <w:bottom w:val="none" w:sz="0" w:space="0" w:color="auto"/>
        <w:right w:val="none" w:sz="0" w:space="0" w:color="auto"/>
      </w:divBdr>
      <w:divsChild>
        <w:div w:id="1693264633">
          <w:marLeft w:val="0"/>
          <w:marRight w:val="0"/>
          <w:marTop w:val="0"/>
          <w:marBottom w:val="0"/>
          <w:divBdr>
            <w:top w:val="none" w:sz="0" w:space="0" w:color="auto"/>
            <w:left w:val="none" w:sz="0" w:space="0" w:color="auto"/>
            <w:bottom w:val="none" w:sz="0" w:space="0" w:color="auto"/>
            <w:right w:val="none" w:sz="0" w:space="0" w:color="auto"/>
          </w:divBdr>
        </w:div>
      </w:divsChild>
    </w:div>
    <w:div w:id="1693264634">
      <w:marLeft w:val="0"/>
      <w:marRight w:val="0"/>
      <w:marTop w:val="0"/>
      <w:marBottom w:val="0"/>
      <w:divBdr>
        <w:top w:val="none" w:sz="0" w:space="0" w:color="auto"/>
        <w:left w:val="none" w:sz="0" w:space="0" w:color="auto"/>
        <w:bottom w:val="none" w:sz="0" w:space="0" w:color="auto"/>
        <w:right w:val="none" w:sz="0" w:space="0" w:color="auto"/>
      </w:divBdr>
      <w:divsChild>
        <w:div w:id="169326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3650</Words>
  <Characters>20810</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
  <cp:keywords/>
  <dc:description/>
  <cp:lastModifiedBy/>
  <cp:revision>1</cp:revision>
  <dcterms:created xsi:type="dcterms:W3CDTF">2020-05-11T12:18:00Z</dcterms:created>
  <dcterms:modified xsi:type="dcterms:W3CDTF">2020-05-12T07:22:00Z</dcterms:modified>
</cp:coreProperties>
</file>