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</w:tcPr>
          <w:p w:rsidR="003501A1" w:rsidRPr="00A179AE" w:rsidRDefault="003501A1" w:rsidP="007B71A4"/>
          <w:p w:rsidR="003501A1" w:rsidRPr="00A179AE" w:rsidRDefault="00D93857" w:rsidP="001144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05FE4">
              <w:rPr>
                <w:noProof/>
              </w:rPr>
              <w:t xml:space="preserve">Návrh </w:t>
            </w:r>
            <w:r w:rsidR="00BC491E">
              <w:rPr>
                <w:noProof/>
              </w:rPr>
              <w:t xml:space="preserve">na skrátené legislatívne konanie o návrhu </w:t>
            </w:r>
            <w:r w:rsidR="00984318" w:rsidRPr="00984318">
              <w:rPr>
                <w:noProof/>
              </w:rPr>
              <w:t>zákona, ktorým sa menia a dopĺňajú niektoré zákony v pôsobnosti Ministerstva kultúry Slovenskej republiky v súvislosti s ochorením COVID-19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/>
          <w:p w:rsidR="003501A1" w:rsidRPr="00A179AE" w:rsidRDefault="00B14B2C" w:rsidP="007B71A4">
            <w:r>
              <w:t>Ministerstvo kultúry Slovenskej republiky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B14B2C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</w:tcBorders>
          </w:tcPr>
          <w:p w:rsidR="003501A1" w:rsidRPr="00D93857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D93857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D93857" w:rsidRDefault="001A39D7" w:rsidP="007B71A4">
            <w:r>
              <w:t>máj 2020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1A39D7" w:rsidRPr="00A179AE" w:rsidRDefault="001A39D7" w:rsidP="007B71A4">
            <w:pPr>
              <w:rPr>
                <w:i/>
              </w:rPr>
            </w:pPr>
          </w:p>
          <w:p w:rsidR="00E42BDD" w:rsidRDefault="001A39D7" w:rsidP="001A39D7">
            <w:pPr>
              <w:autoSpaceDE w:val="0"/>
              <w:autoSpaceDN w:val="0"/>
              <w:jc w:val="both"/>
              <w:rPr>
                <w:noProof/>
              </w:rPr>
            </w:pPr>
            <w:r>
              <w:t>Návrh zákona bol vypracovaný ako iniciatívny materiál z dôvodu identifikovania problémov pri aplikácii niektorých všeobecne záväzných právnych predpisov v pôsobnosti Ministerstva kultúry Slovenskej republiky v čase vyhlásenej mimoriadnej situácie, núdzového stavu alebo výnimočného stavu v súvislosti s ochorením COVID-19.</w:t>
            </w:r>
          </w:p>
          <w:p w:rsidR="00CC4C08" w:rsidRDefault="00CC4C08" w:rsidP="00CC4C08">
            <w:pPr>
              <w:jc w:val="both"/>
            </w:pPr>
            <w:r>
              <w:t>Návrhom zákona sa menia a dopĺňajú:</w:t>
            </w:r>
          </w:p>
          <w:p w:rsidR="00CC4C08" w:rsidRPr="003B2B7B" w:rsidRDefault="00CC4C08" w:rsidP="003B2B7B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spacing w:after="0"/>
              <w:ind w:left="714" w:hanging="357"/>
              <w:jc w:val="both"/>
              <w:rPr>
                <w:rFonts w:ascii="Times New Roman" w:hAnsi="Times New Roman"/>
                <w:sz w:val="20"/>
              </w:rPr>
            </w:pPr>
            <w:r w:rsidRPr="003B2B7B">
              <w:rPr>
                <w:rFonts w:ascii="Times New Roman" w:hAnsi="Times New Roman"/>
                <w:sz w:val="20"/>
              </w:rPr>
              <w:t>zákon Slovenskej národnej rady č. 96/1991 Zb. o verejných kultúrnych podujatiach v znení zákona č. 374/2013 Z. z.,</w:t>
            </w:r>
          </w:p>
          <w:p w:rsidR="00CC4C08" w:rsidRPr="003B2B7B" w:rsidRDefault="00CC4C08" w:rsidP="003B2B7B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spacing w:after="0"/>
              <w:ind w:left="714" w:hanging="357"/>
              <w:jc w:val="both"/>
              <w:rPr>
                <w:rFonts w:ascii="Times New Roman" w:hAnsi="Times New Roman"/>
                <w:sz w:val="20"/>
              </w:rPr>
            </w:pPr>
            <w:r w:rsidRPr="003B2B7B">
              <w:rPr>
                <w:rFonts w:ascii="Times New Roman" w:hAnsi="Times New Roman"/>
                <w:sz w:val="20"/>
              </w:rPr>
              <w:t>zákon Národnej rady Slovenskej republiky č. 13/1993 Z. z. o umeleckých fondoch v znení neskorších predpisov,</w:t>
            </w:r>
          </w:p>
          <w:p w:rsidR="00CC4C08" w:rsidRPr="003B2B7B" w:rsidRDefault="00CC4C08" w:rsidP="003B2B7B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spacing w:after="0"/>
              <w:ind w:left="714" w:hanging="357"/>
              <w:jc w:val="both"/>
              <w:rPr>
                <w:rFonts w:ascii="Times New Roman" w:hAnsi="Times New Roman"/>
                <w:sz w:val="20"/>
              </w:rPr>
            </w:pPr>
            <w:r w:rsidRPr="003B2B7B">
              <w:rPr>
                <w:rFonts w:ascii="Times New Roman" w:hAnsi="Times New Roman"/>
                <w:sz w:val="20"/>
              </w:rPr>
              <w:t>zákon č. 308/2000 Z. z. o vysielaní a retransmisii a o zmene zákona č. 195/2000 Z. z. o telekomunikáciách v znení neskorších predpisov,</w:t>
            </w:r>
          </w:p>
          <w:p w:rsidR="00CC4C08" w:rsidRPr="003B2B7B" w:rsidRDefault="00CC4C08" w:rsidP="003B2B7B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spacing w:after="0"/>
              <w:ind w:left="714" w:hanging="357"/>
              <w:jc w:val="both"/>
              <w:rPr>
                <w:rFonts w:ascii="Times New Roman" w:hAnsi="Times New Roman"/>
                <w:sz w:val="20"/>
              </w:rPr>
            </w:pPr>
            <w:r w:rsidRPr="003B2B7B">
              <w:rPr>
                <w:rFonts w:ascii="Times New Roman" w:hAnsi="Times New Roman"/>
                <w:sz w:val="20"/>
              </w:rPr>
              <w:t>zákon č. 516/2008 Z. z. o Audiovizuálnom fonde a o zmene a doplnení niektorých zákonov v znení neskorších predpisov,</w:t>
            </w:r>
          </w:p>
          <w:p w:rsidR="00CC4C08" w:rsidRPr="003B2B7B" w:rsidRDefault="00CC4C08" w:rsidP="003B2B7B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spacing w:after="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B7B">
              <w:rPr>
                <w:rFonts w:ascii="Times New Roman" w:hAnsi="Times New Roman"/>
                <w:sz w:val="20"/>
              </w:rPr>
              <w:t xml:space="preserve">zákon č. 284/2014 Z. z. o </w:t>
            </w:r>
            <w:r w:rsidRPr="003B2B7B">
              <w:rPr>
                <w:rFonts w:ascii="Times New Roman" w:hAnsi="Times New Roman"/>
                <w:sz w:val="20"/>
                <w:szCs w:val="20"/>
              </w:rPr>
              <w:t>Fonde na podporu umenia a o zmene a doplnení zákona č. 434/2010 Z. z. o poskytovaní dotácií v pôsobnosti Ministerstva kultúry Slovenskej republiky v znení zákona č. 79/2013 Z. z. v znení neskorších predpisov a</w:t>
            </w:r>
          </w:p>
          <w:p w:rsidR="001A39D7" w:rsidRPr="003B2B7B" w:rsidRDefault="00CC4C08" w:rsidP="003B2B7B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spacing w:after="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B7B">
              <w:rPr>
                <w:rFonts w:ascii="Times New Roman" w:hAnsi="Times New Roman"/>
                <w:sz w:val="20"/>
                <w:szCs w:val="20"/>
              </w:rPr>
              <w:t>zákon č. 138/2017 Z. z. o Fonde na podporu kultúry národnostných menšín a o zmene a doplnení niektorých zákonov v znení neskorších predpisov.</w:t>
            </w:r>
          </w:p>
          <w:p w:rsidR="001A39D7" w:rsidRPr="00E42BDD" w:rsidRDefault="001A39D7" w:rsidP="001A39D7"/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B82E78" w:rsidRDefault="00B82E78" w:rsidP="00B82E78">
            <w:pPr>
              <w:jc w:val="both"/>
              <w:rPr>
                <w:rStyle w:val="Textzstupnhosymbolu"/>
                <w:color w:val="000000"/>
              </w:rPr>
            </w:pPr>
          </w:p>
          <w:p w:rsidR="00CC4C08" w:rsidRDefault="00CC4C08" w:rsidP="00CC4C08">
            <w:pPr>
              <w:jc w:val="both"/>
            </w:pPr>
            <w:r>
              <w:t xml:space="preserve">Cieľom návrhu zákona je dočasne a vyvážene upraviť zmluvné podmienky realizácie verejných kultúrnych podujatí predovšetkým tak, aby objektívna nemožnosť konania podujatia nespôsobila neprimeranú negatívnu ekonomickú záťaž pre jeho usporiadateľa, a zároveň ponúknuť vhodné (náhradné) alternatívy pre tých, ktorí sa mali podujatia zúčastniť. </w:t>
            </w:r>
          </w:p>
          <w:p w:rsidR="00CC4C08" w:rsidRDefault="00CC4C08" w:rsidP="00CC4C08">
            <w:pPr>
              <w:jc w:val="both"/>
            </w:pPr>
            <w:r>
              <w:t xml:space="preserve">Ďalej je cieľom návrhu zákona optimalizovať odvodovú povinnosť do umeleckých fondov zriadených zákonom Národnej rady Slovenskej republiky č. 13/1993 Z. z. v znení neskorších predpisov na obdobie do 31. decembra </w:t>
            </w:r>
            <w:r>
              <w:lastRenderedPageBreak/>
              <w:t>2020, resp. vzniknutú k roku 2020, a to predovšetkým pozastavením povinnosti zrážať umelcom 2%-ný príspevok do týchto umeleckých fondov. Všeobecne od umeleckých fondov prispievatelia spravodlivo očakávajú tiež plnenie sociálnej funkcie v krízovom čase. Návrh zákona preto umožňuje širší prístup k sociálnej podpore pre umelcov.</w:t>
            </w:r>
          </w:p>
          <w:p w:rsidR="00CC4C08" w:rsidRDefault="00C836B4" w:rsidP="00CC4C08">
            <w:pPr>
              <w:jc w:val="both"/>
            </w:pPr>
            <w:r>
              <w:t xml:space="preserve">Okrem toho sa zároveň navrhuje </w:t>
            </w:r>
            <w:r w:rsidRPr="00C836B4">
              <w:t>obmedziť možnosť RTVS využívať uvoľnené frekvencie z okruhu frekvencií súkromných vysielateľov na prípady, keď o ne dlhodobo nie je záuje</w:t>
            </w:r>
            <w:r>
              <w:t>m medzi ostatnými vysielateľmi, vrátane obmedzenia využívania</w:t>
            </w:r>
            <w:r w:rsidRPr="00C836B4">
              <w:t xml:space="preserve"> týchto frekvencií aj časovo tak, aby sa nedostali do užívania RTVS natrvalo, čo by bolo v rozpore s politikou zachovania duálneho systému vysielania.</w:t>
            </w:r>
          </w:p>
          <w:p w:rsidR="00CC4C08" w:rsidRDefault="00CC4C08" w:rsidP="00CC4C08">
            <w:pPr>
              <w:jc w:val="both"/>
            </w:pPr>
            <w:r>
              <w:t>Cieľom návrhu zákona je aj zjednocujúca úprava vybraných procesných lehôt v rámci činností Audiovizuálneho fondu, Fondu na podporu umenia a Fondu na podporu kultúry národnostných menšín, ako aj zjednocujúca úprava administratívnych procesov a náležitostí v uvedených fondoch sledujúc ich zjednodušenie v záujme možnej efektívnejšej reakcie k období krízovej situácie. V danom kontexte je potrebné uviesť, že práve uvedené fondy predstavujú efektívny nástroj na zmierňovanie negatívnych dopadov krízy na kultúrnu obec v širokom zábere.</w:t>
            </w:r>
          </w:p>
          <w:p w:rsidR="003501A1" w:rsidRDefault="00CC4C08" w:rsidP="00CC4C08">
            <w:pPr>
              <w:jc w:val="both"/>
            </w:pPr>
            <w:r>
              <w:t>V dôsledku aktuálnej situácie spojenej so šírením ochorenia COVID-19 je pozastavená aj produkcia filmov zaradených do mechanizmu podpory audiovizuálneho priemyslu poskytovanej Audiovizuálnym fondom. Z uvedeného dôvodu návrh zákona umožňuje na základe písomného oznámenia žiadateľa prerušiť plynutie lehoty platnosti osvedčenia o registrácii filmového projektu na stanovenú dobu.</w:t>
            </w:r>
          </w:p>
          <w:p w:rsidR="001A39D7" w:rsidRPr="00A179AE" w:rsidRDefault="001A39D7" w:rsidP="001A39D7">
            <w:pPr>
              <w:jc w:val="both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lastRenderedPageBreak/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8C1D51" w:rsidRDefault="008C1D51" w:rsidP="007B71A4">
            <w:pPr>
              <w:rPr>
                <w:i/>
              </w:rPr>
            </w:pPr>
          </w:p>
          <w:p w:rsidR="001A39D7" w:rsidRDefault="008C1D51" w:rsidP="008C1D51">
            <w:pPr>
              <w:jc w:val="both"/>
            </w:pPr>
            <w:r w:rsidRPr="008C1D51">
              <w:t xml:space="preserve">Návrh sa </w:t>
            </w:r>
            <w:r>
              <w:t xml:space="preserve">bude priamo dotýkať </w:t>
            </w:r>
          </w:p>
          <w:p w:rsidR="003B2B7B" w:rsidRDefault="003B2B7B" w:rsidP="001A39D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usporiadateľov verejných kultúrnych podujatí a ich zmluvných partnerov a účastníkov (návštevníkov) verejných kultúrnych podujatí </w:t>
            </w:r>
          </w:p>
          <w:p w:rsidR="003668EE" w:rsidRDefault="003668EE" w:rsidP="001A39D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8EE">
              <w:rPr>
                <w:rFonts w:ascii="Times New Roman" w:hAnsi="Times New Roman"/>
                <w:sz w:val="20"/>
                <w:szCs w:val="20"/>
              </w:rPr>
              <w:t>príjemcov autorských odmien a odmien výkonných (reprodukčných) umelcov</w:t>
            </w:r>
          </w:p>
          <w:p w:rsidR="003B2B7B" w:rsidRDefault="003B2B7B" w:rsidP="001A39D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Literárneho fondu</w:t>
            </w:r>
          </w:p>
          <w:p w:rsidR="003B2B7B" w:rsidRDefault="003B2B7B" w:rsidP="001A39D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Hudobného fondu</w:t>
            </w:r>
          </w:p>
          <w:p w:rsidR="003B2B7B" w:rsidRDefault="003B2B7B" w:rsidP="001A39D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Fondu výtvarných umení</w:t>
            </w:r>
          </w:p>
          <w:p w:rsidR="003B2B7B" w:rsidRDefault="003B2B7B" w:rsidP="001A39D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B7B">
              <w:rPr>
                <w:rFonts w:ascii="Times New Roman" w:hAnsi="Times New Roman"/>
                <w:sz w:val="20"/>
                <w:szCs w:val="20"/>
              </w:rPr>
              <w:t>vysielate</w:t>
            </w:r>
            <w:r>
              <w:rPr>
                <w:rFonts w:ascii="Times New Roman" w:hAnsi="Times New Roman"/>
                <w:sz w:val="20"/>
                <w:szCs w:val="20"/>
              </w:rPr>
              <w:t>ľov</w:t>
            </w:r>
            <w:r w:rsidRPr="003B2B7B">
              <w:rPr>
                <w:rFonts w:ascii="Times New Roman" w:hAnsi="Times New Roman"/>
                <w:sz w:val="20"/>
                <w:szCs w:val="20"/>
              </w:rPr>
              <w:t xml:space="preserve"> rozhlasových programových služieb</w:t>
            </w:r>
          </w:p>
          <w:p w:rsidR="001A39D7" w:rsidRPr="003B2B7B" w:rsidRDefault="001A39D7" w:rsidP="001A39D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B7B">
              <w:rPr>
                <w:rFonts w:ascii="Times New Roman" w:hAnsi="Times New Roman"/>
                <w:sz w:val="20"/>
                <w:szCs w:val="20"/>
              </w:rPr>
              <w:t>Audiovizuálneho fondu</w:t>
            </w:r>
          </w:p>
          <w:p w:rsidR="001A39D7" w:rsidRPr="003B2B7B" w:rsidRDefault="001A39D7" w:rsidP="001A39D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B7B">
              <w:rPr>
                <w:rFonts w:ascii="Times New Roman" w:hAnsi="Times New Roman"/>
                <w:sz w:val="20"/>
                <w:szCs w:val="20"/>
              </w:rPr>
              <w:t>Fondu na podporu umenia</w:t>
            </w:r>
          </w:p>
          <w:p w:rsidR="001A39D7" w:rsidRPr="003B2B7B" w:rsidRDefault="001A39D7" w:rsidP="001A39D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B7B">
              <w:rPr>
                <w:rFonts w:ascii="Times New Roman" w:hAnsi="Times New Roman"/>
                <w:sz w:val="20"/>
                <w:szCs w:val="20"/>
              </w:rPr>
              <w:t>Fondu na podporu kultúry národnostných menšín</w:t>
            </w:r>
          </w:p>
          <w:p w:rsidR="00D93857" w:rsidRDefault="001A39D7" w:rsidP="003B2B7B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B7B">
              <w:rPr>
                <w:rFonts w:ascii="Times New Roman" w:hAnsi="Times New Roman"/>
                <w:sz w:val="20"/>
                <w:szCs w:val="20"/>
              </w:rPr>
              <w:t>žiadate</w:t>
            </w:r>
            <w:r w:rsidR="003B2B7B">
              <w:rPr>
                <w:rFonts w:ascii="Times New Roman" w:hAnsi="Times New Roman"/>
                <w:sz w:val="20"/>
                <w:szCs w:val="20"/>
              </w:rPr>
              <w:t>ľov</w:t>
            </w:r>
            <w:r w:rsidRPr="003B2B7B">
              <w:rPr>
                <w:rFonts w:ascii="Times New Roman" w:hAnsi="Times New Roman"/>
                <w:sz w:val="20"/>
                <w:szCs w:val="20"/>
              </w:rPr>
              <w:t xml:space="preserve"> o poskytnutie finančných prostriedkov z</w:t>
            </w:r>
            <w:r w:rsidR="003B2B7B">
              <w:rPr>
                <w:rFonts w:ascii="Times New Roman" w:hAnsi="Times New Roman"/>
                <w:sz w:val="20"/>
                <w:szCs w:val="20"/>
              </w:rPr>
              <w:t> Audiovizuálneho fondu, Fondu na podporu umenia a Fondu na podporu kultúry národnostných menšín</w:t>
            </w:r>
          </w:p>
          <w:p w:rsidR="00845596" w:rsidRDefault="00845596" w:rsidP="003B2B7B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žiadateľov o poskytnutie finančných prostriedkov z Literárneho fondu, Hudobného fondu a Fondu výtvarných umení</w:t>
            </w:r>
          </w:p>
          <w:p w:rsidR="003B2B7B" w:rsidRPr="003B2B7B" w:rsidRDefault="003B2B7B" w:rsidP="003B2B7B">
            <w:pPr>
              <w:ind w:left="360"/>
              <w:jc w:val="both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2A3A52" w:rsidRDefault="002A3A52" w:rsidP="007B71A4">
            <w:pPr>
              <w:rPr>
                <w:i/>
              </w:rPr>
            </w:pPr>
          </w:p>
          <w:p w:rsidR="001E3945" w:rsidRPr="00F25171" w:rsidRDefault="001A39D7" w:rsidP="00350CAB">
            <w:pPr>
              <w:jc w:val="both"/>
            </w:pPr>
            <w:r>
              <w:t>Pri vypracovaní návrhu zákona neboli zvažované žiadne alternatívne riešenia</w:t>
            </w:r>
            <w:r w:rsidR="001E3945" w:rsidRPr="00F25171">
              <w:t xml:space="preserve">. </w:t>
            </w:r>
          </w:p>
          <w:p w:rsidR="003819E8" w:rsidRPr="00DD4FF9" w:rsidRDefault="00F771B8" w:rsidP="005550B7">
            <w:pPr>
              <w:jc w:val="both"/>
            </w:pPr>
            <w:r>
              <w:t xml:space="preserve">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B82E78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B82E78" w:rsidRPr="00A179AE" w:rsidRDefault="00B82E78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2E78" w:rsidRPr="00A179AE" w:rsidRDefault="00D93857" w:rsidP="007B71A4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  <w:r w:rsidR="00B82E78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B82E78" w:rsidRPr="00A179AE" w:rsidRDefault="00D93857" w:rsidP="006F662B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  <w:r w:rsidRPr="00A179AE">
              <w:t xml:space="preserve">  </w:t>
            </w:r>
            <w:r w:rsidR="00B82E78" w:rsidRPr="00B82E78">
              <w:t>Nie</w:t>
            </w:r>
          </w:p>
        </w:tc>
      </w:tr>
      <w:tr w:rsidR="00B82E78" w:rsidRPr="00A179AE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B82E78" w:rsidRDefault="00B82E78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B82E78" w:rsidRPr="00A179AE" w:rsidRDefault="00B82E78" w:rsidP="007B71A4"/>
        </w:tc>
      </w:tr>
      <w:tr w:rsidR="00B82E78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B82E78" w:rsidRPr="00A179AE" w:rsidRDefault="00B82E78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R="00B82E78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B82E78" w:rsidRDefault="00B82E78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  <w:p w:rsidR="00B82E78" w:rsidRDefault="00B82E78" w:rsidP="007B71A4">
            <w:pPr>
              <w:rPr>
                <w:i/>
              </w:rPr>
            </w:pPr>
          </w:p>
          <w:p w:rsidR="00B82E78" w:rsidRPr="00A179AE" w:rsidRDefault="00B82E78" w:rsidP="007B71A4">
            <w:pPr>
              <w:rPr>
                <w:i/>
              </w:rPr>
            </w:pPr>
            <w:r w:rsidRPr="009931F5">
              <w:t>Materiál sa netýka transpozície práva EÚ.</w:t>
            </w:r>
          </w:p>
        </w:tc>
      </w:tr>
      <w:tr w:rsidR="00B82E78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2E78" w:rsidRPr="00A179AE" w:rsidRDefault="00B82E78" w:rsidP="007B71A4">
            <w:pPr>
              <w:jc w:val="center"/>
            </w:pPr>
          </w:p>
        </w:tc>
      </w:tr>
      <w:tr w:rsidR="00B82E78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B82E78" w:rsidRPr="00A179AE" w:rsidRDefault="00B82E78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>
              <w:rPr>
                <w:rFonts w:ascii="Times New Roman" w:hAnsi="Times New Roman"/>
                <w:b/>
              </w:rPr>
              <w:t>**</w:t>
            </w:r>
          </w:p>
        </w:tc>
      </w:tr>
      <w:tr w:rsidR="00B82E78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B82E78" w:rsidRPr="00A179AE" w:rsidRDefault="00B82E78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B82E78" w:rsidRPr="00A179AE" w:rsidRDefault="00B82E78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8E2492" w:rsidRPr="008E2492" w:rsidRDefault="008E2492" w:rsidP="001A39D7">
            <w:pPr>
              <w:jc w:val="both"/>
            </w:pPr>
          </w:p>
        </w:tc>
      </w:tr>
      <w:tr w:rsidR="00B82E78" w:rsidRPr="00A179AE" w:rsidTr="004C60B8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2E78" w:rsidRDefault="00B82E78" w:rsidP="004C60B8">
            <w:pPr>
              <w:ind w:left="142" w:hanging="142"/>
            </w:pPr>
          </w:p>
          <w:p w:rsidR="00B82E78" w:rsidRDefault="00B82E78" w:rsidP="004C60B8">
            <w:pPr>
              <w:ind w:left="142" w:hanging="142"/>
            </w:pPr>
          </w:p>
          <w:p w:rsidR="00B82E78" w:rsidRDefault="00B82E78" w:rsidP="004C60B8">
            <w:pPr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:rsidR="00B82E78" w:rsidRPr="00A179AE" w:rsidRDefault="00B82E78" w:rsidP="00F22831">
            <w:r>
              <w:t>** nepovinné</w:t>
            </w:r>
          </w:p>
        </w:tc>
      </w:tr>
      <w:tr w:rsidR="00B82E78" w:rsidRPr="00A179AE" w:rsidTr="004F6F1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B82E78" w:rsidRPr="00A179AE" w:rsidRDefault="00B82E78" w:rsidP="003501A1">
            <w:pPr>
              <w:rPr>
                <w:b/>
              </w:rPr>
            </w:pPr>
          </w:p>
        </w:tc>
      </w:tr>
      <w:tr w:rsidR="00B82E78" w:rsidRPr="00A179AE" w:rsidTr="004F6F1F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B82E78" w:rsidRPr="00FA2E0F" w:rsidRDefault="00B82E78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A2E0F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 w:rsidR="00B82E78" w:rsidRPr="00A179AE" w:rsidTr="004F6F1F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82E78" w:rsidRPr="00A179AE" w:rsidRDefault="00CB36FD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1A39D7" w:rsidP="007B71A4">
            <w:pPr>
              <w:jc w:val="center"/>
              <w:rPr>
                <w:b/>
              </w:rPr>
            </w:pPr>
            <w:r w:rsidRPr="00A36A2C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1A39D7" w:rsidP="00CB36FD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B82E78" w:rsidRPr="00A179AE" w:rsidTr="004F6F1F"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</w:tcPr>
          <w:p w:rsidR="00B82E78" w:rsidRPr="00A179AE" w:rsidRDefault="00B82E78" w:rsidP="007B71A4">
            <w:r w:rsidRPr="00A179AE"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82E78" w:rsidRPr="00A179AE" w:rsidRDefault="00B82E78" w:rsidP="007B71A4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r w:rsidRPr="00A179AE"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1A39D7" w:rsidP="007B71A4">
            <w:pPr>
              <w:jc w:val="center"/>
            </w:pPr>
            <w:r w:rsidRPr="00A36A2C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r w:rsidRPr="00A179AE"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1A39D7" w:rsidP="007B71A4">
            <w:pPr>
              <w:ind w:left="-107" w:right="-108"/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34"/>
            </w:pPr>
            <w:r w:rsidRPr="00A179AE">
              <w:t>Čiastočne</w:t>
            </w:r>
          </w:p>
        </w:tc>
      </w:tr>
      <w:tr w:rsidR="00B82E78" w:rsidRPr="00A179AE" w:rsidTr="004F6F1F">
        <w:tc>
          <w:tcPr>
            <w:tcW w:w="3812" w:type="dxa"/>
            <w:tcBorders>
              <w:top w:val="single" w:sz="4" w:space="0" w:color="000000" w:themeColor="text1"/>
              <w:bottom w:val="nil"/>
            </w:tcBorders>
            <w:shd w:val="clear" w:color="auto" w:fill="E2E2E2"/>
          </w:tcPr>
          <w:p w:rsidR="00B82E78" w:rsidRPr="00A179AE" w:rsidRDefault="00B82E78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82E78" w:rsidRPr="00A179AE" w:rsidRDefault="001A39D7" w:rsidP="006F662B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1A39D7" w:rsidP="007B71A4">
            <w:pPr>
              <w:jc w:val="center"/>
              <w:rPr>
                <w:b/>
              </w:rPr>
            </w:pPr>
            <w:r w:rsidRPr="00605E60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6F662B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B82E78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B82E78" w:rsidRPr="00A179AE" w:rsidRDefault="00B82E78" w:rsidP="007B71A4">
            <w:r w:rsidRPr="00A179AE"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right w:val="nil"/>
            </w:tcBorders>
          </w:tcPr>
          <w:p w:rsidR="00B82E78" w:rsidRPr="00A179AE" w:rsidRDefault="001A39D7" w:rsidP="006F662B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ind w:right="-108"/>
            </w:pPr>
            <w:r w:rsidRPr="00A179AE"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1A39D7" w:rsidP="007B71A4">
            <w:pPr>
              <w:jc w:val="center"/>
            </w:pPr>
            <w:r w:rsidRPr="00605E60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r w:rsidRPr="00A179AE"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6F662B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54"/>
            </w:pPr>
            <w:r w:rsidRPr="00A179AE">
              <w:t>Negatívne</w:t>
            </w:r>
          </w:p>
        </w:tc>
      </w:tr>
      <w:tr w:rsidR="00B82E78" w:rsidRPr="00A179AE" w:rsidTr="004F6F1F">
        <w:tc>
          <w:tcPr>
            <w:tcW w:w="3812" w:type="dxa"/>
            <w:tcBorders>
              <w:top w:val="single" w:sz="4" w:space="0" w:color="000000" w:themeColor="text1"/>
            </w:tcBorders>
            <w:shd w:val="clear" w:color="auto" w:fill="E2E2E2"/>
          </w:tcPr>
          <w:p w:rsidR="00B82E78" w:rsidRPr="00A179AE" w:rsidRDefault="00B82E78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B82E78" w:rsidRPr="00A179AE" w:rsidTr="004F6F1F">
        <w:tc>
          <w:tcPr>
            <w:tcW w:w="3812" w:type="dxa"/>
            <w:shd w:val="clear" w:color="auto" w:fill="E2E2E2"/>
          </w:tcPr>
          <w:p w:rsidR="00B82E78" w:rsidRPr="00A179AE" w:rsidRDefault="00B82E78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B82E78" w:rsidRPr="00A179AE" w:rsidTr="0045465B">
        <w:tc>
          <w:tcPr>
            <w:tcW w:w="3812" w:type="dxa"/>
            <w:shd w:val="clear" w:color="auto" w:fill="E2E2E2"/>
          </w:tcPr>
          <w:p w:rsidR="00B82E78" w:rsidRPr="00A179AE" w:rsidRDefault="00B82E78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82E78" w:rsidRPr="00A179AE" w:rsidRDefault="00B82E78" w:rsidP="007B71A4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82E78" w:rsidRPr="00A179AE" w:rsidRDefault="00B82E78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b/>
                <w:lang w:eastAsia="en-US"/>
              </w:rPr>
              <w:t>V</w:t>
            </w:r>
            <w:r w:rsidRPr="00127DAC">
              <w:rPr>
                <w:b/>
                <w:lang w:eastAsia="en-US"/>
              </w:rPr>
              <w:t>plyv</w:t>
            </w:r>
            <w:r>
              <w:rPr>
                <w:b/>
                <w:lang w:eastAsia="en-US"/>
              </w:rPr>
              <w:t>y</w:t>
            </w:r>
            <w:r w:rsidRPr="00127DAC">
              <w:rPr>
                <w:b/>
                <w:lang w:eastAsia="en-US"/>
              </w:rPr>
              <w:t xml:space="preserve"> na služby verejnej správy pre občana</w:t>
            </w:r>
            <w:r>
              <w:rPr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B82E78" w:rsidRPr="009634B3" w:rsidTr="00B83402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B82E78" w:rsidRPr="009634B3" w:rsidRDefault="00B82E78" w:rsidP="00B83402">
            <w:pPr>
              <w:ind w:left="196" w:hanging="196"/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B82E78" w:rsidRPr="00A179AE" w:rsidRDefault="00B82E78" w:rsidP="006F662B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B82E78" w:rsidRPr="00A179AE" w:rsidRDefault="00B82E78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82E78" w:rsidRPr="00A179AE" w:rsidRDefault="00B82E78" w:rsidP="00EB1608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82E78" w:rsidRPr="00A179AE" w:rsidRDefault="00B82E78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82E78" w:rsidRPr="00A179AE" w:rsidRDefault="00B82E78" w:rsidP="006F662B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B82E78" w:rsidRPr="00A179AE" w:rsidRDefault="00B82E78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B82E78" w:rsidRPr="009634B3" w:rsidTr="00B83402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B82E78" w:rsidRPr="009634B3" w:rsidRDefault="00B82E78" w:rsidP="00B83402">
            <w:pPr>
              <w:ind w:left="168" w:hanging="16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 w:rsidRPr="009634B3">
              <w:rPr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right w:val="nil"/>
            </w:tcBorders>
          </w:tcPr>
          <w:p w:rsidR="00B82E78" w:rsidRPr="00A179AE" w:rsidRDefault="00B82E78" w:rsidP="00EB1608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 w:rsidR="00B82E78" w:rsidRPr="00A179AE" w:rsidRDefault="00B82E78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B82E78" w:rsidRPr="00A179AE" w:rsidRDefault="00B82E78" w:rsidP="00EB1608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B82E78" w:rsidRPr="00A179AE" w:rsidRDefault="00B82E78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B82E78" w:rsidRPr="00A179AE" w:rsidRDefault="00B82E78" w:rsidP="00EB1608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</w:tcBorders>
          </w:tcPr>
          <w:p w:rsidR="00B82E78" w:rsidRPr="00A179AE" w:rsidRDefault="00B82E78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 w:themeColor="background1"/>
            </w:tcBorders>
          </w:tcPr>
          <w:p w:rsidR="004F6F1F" w:rsidRPr="007C1C9C" w:rsidRDefault="003668EE" w:rsidP="007C1C9C">
            <w:pPr>
              <w:rPr>
                <w:i/>
              </w:rPr>
            </w:pPr>
            <w:r>
              <w:rPr>
                <w:i/>
              </w:rPr>
              <w:t>Vplyv na podnikateľské prostredie je pozitívny aj negatívny súčasne, pri sčítaní týchto vplyvov ide o nulový vplyv</w:t>
            </w:r>
            <w:r w:rsidR="00C90F38">
              <w:rPr>
                <w:i/>
              </w:rPr>
              <w:t>, pričom pozitívna zmena sa potenciálne týka väčšej skupiny podnikateľov ako negatívna. Podrobnosti uvádza Analýza vplyvov na podnikateľské prostredie.</w:t>
            </w: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  <w:p w:rsidR="00255354" w:rsidRDefault="00255354">
            <w:pPr>
              <w:rPr>
                <w:i/>
              </w:rPr>
            </w:pPr>
          </w:p>
          <w:p w:rsidR="00255354" w:rsidRPr="00D13B6F" w:rsidRDefault="00F91294" w:rsidP="003C0E74">
            <w:pPr>
              <w:jc w:val="both"/>
              <w:rPr>
                <w:i/>
              </w:rPr>
            </w:pPr>
            <w:r>
              <w:t>JUDr. Anton Škreko, PhD., generálny riaditeľ sekcie médií, audiovízie a autorského práva MK SR, anton.skreko</w:t>
            </w:r>
            <w:r w:rsidR="00255354">
              <w:t>@culture.gov.sk</w:t>
            </w: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1B37FC" w:rsidRPr="00517327" w:rsidRDefault="001B37FC" w:rsidP="007C1C9C"/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Pr="00A179AE" w:rsidRDefault="003501A1" w:rsidP="007B71A4">
            <w:pPr>
              <w:rPr>
                <w:b/>
              </w:rPr>
            </w:pPr>
          </w:p>
          <w:p w:rsidR="00605E60" w:rsidRPr="00605E60" w:rsidRDefault="00605E60" w:rsidP="00605E60">
            <w:pPr>
              <w:suppressAutoHyphens/>
              <w:spacing w:line="100" w:lineRule="atLeast"/>
              <w:ind w:right="-2"/>
              <w:jc w:val="center"/>
              <w:rPr>
                <w:sz w:val="24"/>
                <w:lang w:eastAsia="ar-SA"/>
              </w:rPr>
            </w:pPr>
          </w:p>
          <w:p w:rsidR="00605E60" w:rsidRPr="00605E60" w:rsidRDefault="00605E60" w:rsidP="00605E6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pacing w:line="100" w:lineRule="atLeast"/>
              <w:ind w:right="-2"/>
              <w:jc w:val="center"/>
              <w:outlineLvl w:val="3"/>
              <w:rPr>
                <w:b/>
                <w:smallCaps/>
                <w:sz w:val="22"/>
                <w:lang w:eastAsia="ar-SA"/>
              </w:rPr>
            </w:pPr>
          </w:p>
          <w:p w:rsidR="00605E60" w:rsidRPr="003C0E74" w:rsidRDefault="00605E60" w:rsidP="00605E60">
            <w:pPr>
              <w:tabs>
                <w:tab w:val="center" w:pos="6379"/>
              </w:tabs>
              <w:suppressAutoHyphens/>
              <w:spacing w:line="100" w:lineRule="atLeast"/>
              <w:ind w:left="4536" w:right="-2"/>
              <w:jc w:val="center"/>
              <w:rPr>
                <w:bCs/>
                <w:lang w:eastAsia="ar-SA"/>
              </w:rPr>
            </w:pPr>
          </w:p>
          <w:p w:rsidR="003501A1" w:rsidRPr="003C0E74" w:rsidRDefault="003501A1" w:rsidP="007B71A4">
            <w:pPr>
              <w:rPr>
                <w:b/>
              </w:rPr>
            </w:pPr>
          </w:p>
          <w:p w:rsidR="003501A1" w:rsidRPr="003C0E74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CB3623" w:rsidRDefault="00CB3623"/>
    <w:sectPr w:rsidR="00CB3623" w:rsidSect="004C6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88" w:rsidRDefault="006F0488" w:rsidP="003501A1">
      <w:r>
        <w:separator/>
      </w:r>
    </w:p>
  </w:endnote>
  <w:endnote w:type="continuationSeparator" w:id="0">
    <w:p w:rsidR="006F0488" w:rsidRDefault="006F0488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88" w:rsidRDefault="006F0488" w:rsidP="003501A1">
      <w:r>
        <w:separator/>
      </w:r>
    </w:p>
  </w:footnote>
  <w:footnote w:type="continuationSeparator" w:id="0">
    <w:p w:rsidR="006F0488" w:rsidRDefault="006F0488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09E"/>
    <w:multiLevelType w:val="hybridMultilevel"/>
    <w:tmpl w:val="2C44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13A3D"/>
    <w:multiLevelType w:val="hybridMultilevel"/>
    <w:tmpl w:val="0CAEF530"/>
    <w:lvl w:ilvl="0" w:tplc="11AC4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C1208"/>
    <w:multiLevelType w:val="hybridMultilevel"/>
    <w:tmpl w:val="F02C88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3E91"/>
    <w:multiLevelType w:val="hybridMultilevel"/>
    <w:tmpl w:val="959AC300"/>
    <w:lvl w:ilvl="0" w:tplc="5C50D81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F2149"/>
    <w:multiLevelType w:val="hybridMultilevel"/>
    <w:tmpl w:val="34983028"/>
    <w:lvl w:ilvl="0" w:tplc="BD3E8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64922"/>
    <w:multiLevelType w:val="hybridMultilevel"/>
    <w:tmpl w:val="859E640A"/>
    <w:lvl w:ilvl="0" w:tplc="7A34A3CE">
      <w:numFmt w:val="bullet"/>
      <w:lvlText w:val="-"/>
      <w:lvlJc w:val="left"/>
      <w:pPr>
        <w:ind w:left="710" w:hanging="71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0380B"/>
    <w:rsid w:val="00035562"/>
    <w:rsid w:val="00036643"/>
    <w:rsid w:val="00036A60"/>
    <w:rsid w:val="00054E76"/>
    <w:rsid w:val="000639A3"/>
    <w:rsid w:val="000A15AE"/>
    <w:rsid w:val="000C5192"/>
    <w:rsid w:val="000D40AB"/>
    <w:rsid w:val="000E795B"/>
    <w:rsid w:val="00107F14"/>
    <w:rsid w:val="001144BF"/>
    <w:rsid w:val="0011693A"/>
    <w:rsid w:val="00127DAC"/>
    <w:rsid w:val="00136B96"/>
    <w:rsid w:val="00137406"/>
    <w:rsid w:val="00167EFF"/>
    <w:rsid w:val="00175FD8"/>
    <w:rsid w:val="001862CD"/>
    <w:rsid w:val="0019524D"/>
    <w:rsid w:val="001A1559"/>
    <w:rsid w:val="001A39D7"/>
    <w:rsid w:val="001B37FC"/>
    <w:rsid w:val="001D4BC7"/>
    <w:rsid w:val="001E3945"/>
    <w:rsid w:val="001F2964"/>
    <w:rsid w:val="00207686"/>
    <w:rsid w:val="00255354"/>
    <w:rsid w:val="00261AEB"/>
    <w:rsid w:val="00281000"/>
    <w:rsid w:val="00287D6A"/>
    <w:rsid w:val="002A3A52"/>
    <w:rsid w:val="002A49CB"/>
    <w:rsid w:val="002A7946"/>
    <w:rsid w:val="002C6062"/>
    <w:rsid w:val="003256CD"/>
    <w:rsid w:val="00331E46"/>
    <w:rsid w:val="003501A1"/>
    <w:rsid w:val="00350CAB"/>
    <w:rsid w:val="003604FF"/>
    <w:rsid w:val="00364F9D"/>
    <w:rsid w:val="003668EE"/>
    <w:rsid w:val="003724D7"/>
    <w:rsid w:val="00376134"/>
    <w:rsid w:val="003819E8"/>
    <w:rsid w:val="0039135F"/>
    <w:rsid w:val="0039217C"/>
    <w:rsid w:val="00395098"/>
    <w:rsid w:val="00396912"/>
    <w:rsid w:val="003A5BF7"/>
    <w:rsid w:val="003B2B7B"/>
    <w:rsid w:val="003C0E74"/>
    <w:rsid w:val="003C3E68"/>
    <w:rsid w:val="003C4893"/>
    <w:rsid w:val="003D1210"/>
    <w:rsid w:val="0040247B"/>
    <w:rsid w:val="00413AE6"/>
    <w:rsid w:val="00413E17"/>
    <w:rsid w:val="00414A4A"/>
    <w:rsid w:val="00422575"/>
    <w:rsid w:val="004257F3"/>
    <w:rsid w:val="00435E7E"/>
    <w:rsid w:val="0045465B"/>
    <w:rsid w:val="00475D21"/>
    <w:rsid w:val="00484E4A"/>
    <w:rsid w:val="004C2201"/>
    <w:rsid w:val="004C60B8"/>
    <w:rsid w:val="004C794A"/>
    <w:rsid w:val="004E49B2"/>
    <w:rsid w:val="004F6F1F"/>
    <w:rsid w:val="004F7D6F"/>
    <w:rsid w:val="00505E8C"/>
    <w:rsid w:val="00513F28"/>
    <w:rsid w:val="0051685B"/>
    <w:rsid w:val="00517327"/>
    <w:rsid w:val="00525732"/>
    <w:rsid w:val="00531644"/>
    <w:rsid w:val="00545625"/>
    <w:rsid w:val="005550B7"/>
    <w:rsid w:val="00570B48"/>
    <w:rsid w:val="005A7C67"/>
    <w:rsid w:val="005B7A8D"/>
    <w:rsid w:val="005C255B"/>
    <w:rsid w:val="00605E60"/>
    <w:rsid w:val="0061334E"/>
    <w:rsid w:val="00647EF3"/>
    <w:rsid w:val="00653ADA"/>
    <w:rsid w:val="00657F54"/>
    <w:rsid w:val="00683C15"/>
    <w:rsid w:val="00685B3D"/>
    <w:rsid w:val="0069637C"/>
    <w:rsid w:val="006B5CA4"/>
    <w:rsid w:val="006C3B7D"/>
    <w:rsid w:val="006F0488"/>
    <w:rsid w:val="006F662B"/>
    <w:rsid w:val="00703FA7"/>
    <w:rsid w:val="00710B55"/>
    <w:rsid w:val="00723836"/>
    <w:rsid w:val="00733D73"/>
    <w:rsid w:val="007435F0"/>
    <w:rsid w:val="0074410D"/>
    <w:rsid w:val="00756FCF"/>
    <w:rsid w:val="00771997"/>
    <w:rsid w:val="00774456"/>
    <w:rsid w:val="00782818"/>
    <w:rsid w:val="0079544A"/>
    <w:rsid w:val="007B71A4"/>
    <w:rsid w:val="007C1C9C"/>
    <w:rsid w:val="007C26E7"/>
    <w:rsid w:val="007C284B"/>
    <w:rsid w:val="008003CF"/>
    <w:rsid w:val="00845596"/>
    <w:rsid w:val="0085242D"/>
    <w:rsid w:val="00892C6E"/>
    <w:rsid w:val="00893BFE"/>
    <w:rsid w:val="008A1EB6"/>
    <w:rsid w:val="008A2A1E"/>
    <w:rsid w:val="008C1D51"/>
    <w:rsid w:val="008E0263"/>
    <w:rsid w:val="008E2492"/>
    <w:rsid w:val="00906FDA"/>
    <w:rsid w:val="00910D8B"/>
    <w:rsid w:val="00913981"/>
    <w:rsid w:val="0092599E"/>
    <w:rsid w:val="00946CE5"/>
    <w:rsid w:val="00947EB0"/>
    <w:rsid w:val="009634B3"/>
    <w:rsid w:val="00984318"/>
    <w:rsid w:val="009931F5"/>
    <w:rsid w:val="0099358E"/>
    <w:rsid w:val="009A70BA"/>
    <w:rsid w:val="009B215D"/>
    <w:rsid w:val="009C7973"/>
    <w:rsid w:val="00A134BC"/>
    <w:rsid w:val="00A15495"/>
    <w:rsid w:val="00A179AE"/>
    <w:rsid w:val="00A34F94"/>
    <w:rsid w:val="00A36A2C"/>
    <w:rsid w:val="00A379E9"/>
    <w:rsid w:val="00A642FC"/>
    <w:rsid w:val="00A76F9F"/>
    <w:rsid w:val="00AC2477"/>
    <w:rsid w:val="00AE61CF"/>
    <w:rsid w:val="00B002BA"/>
    <w:rsid w:val="00B0350C"/>
    <w:rsid w:val="00B06424"/>
    <w:rsid w:val="00B13096"/>
    <w:rsid w:val="00B14B2C"/>
    <w:rsid w:val="00B27BFE"/>
    <w:rsid w:val="00B35678"/>
    <w:rsid w:val="00B6165F"/>
    <w:rsid w:val="00B63DB4"/>
    <w:rsid w:val="00B65A86"/>
    <w:rsid w:val="00B82E78"/>
    <w:rsid w:val="00B83402"/>
    <w:rsid w:val="00B855EE"/>
    <w:rsid w:val="00B96CC1"/>
    <w:rsid w:val="00BC491E"/>
    <w:rsid w:val="00BC59D4"/>
    <w:rsid w:val="00BF3078"/>
    <w:rsid w:val="00BF4133"/>
    <w:rsid w:val="00BF652D"/>
    <w:rsid w:val="00C117AA"/>
    <w:rsid w:val="00C2385F"/>
    <w:rsid w:val="00C337AD"/>
    <w:rsid w:val="00C36046"/>
    <w:rsid w:val="00C72200"/>
    <w:rsid w:val="00C836B4"/>
    <w:rsid w:val="00C8373F"/>
    <w:rsid w:val="00C90F38"/>
    <w:rsid w:val="00C966E4"/>
    <w:rsid w:val="00CB3623"/>
    <w:rsid w:val="00CB36FD"/>
    <w:rsid w:val="00CC1C52"/>
    <w:rsid w:val="00CC4C08"/>
    <w:rsid w:val="00CE3361"/>
    <w:rsid w:val="00CE5C43"/>
    <w:rsid w:val="00CF3347"/>
    <w:rsid w:val="00D05FE4"/>
    <w:rsid w:val="00D13874"/>
    <w:rsid w:val="00D13B6F"/>
    <w:rsid w:val="00D14F26"/>
    <w:rsid w:val="00D37733"/>
    <w:rsid w:val="00D67CE9"/>
    <w:rsid w:val="00D75D35"/>
    <w:rsid w:val="00D84E67"/>
    <w:rsid w:val="00D93857"/>
    <w:rsid w:val="00DB0DE8"/>
    <w:rsid w:val="00DB4EE1"/>
    <w:rsid w:val="00DD4FF9"/>
    <w:rsid w:val="00DE2A12"/>
    <w:rsid w:val="00DF09DD"/>
    <w:rsid w:val="00E22D9F"/>
    <w:rsid w:val="00E318CE"/>
    <w:rsid w:val="00E42BDD"/>
    <w:rsid w:val="00E72671"/>
    <w:rsid w:val="00E87519"/>
    <w:rsid w:val="00E93299"/>
    <w:rsid w:val="00E95E14"/>
    <w:rsid w:val="00EB1608"/>
    <w:rsid w:val="00EB59E3"/>
    <w:rsid w:val="00EC49CA"/>
    <w:rsid w:val="00ED0D7B"/>
    <w:rsid w:val="00ED66C0"/>
    <w:rsid w:val="00EF466C"/>
    <w:rsid w:val="00F215BA"/>
    <w:rsid w:val="00F22831"/>
    <w:rsid w:val="00F25171"/>
    <w:rsid w:val="00F26FAD"/>
    <w:rsid w:val="00F32A06"/>
    <w:rsid w:val="00F55B3B"/>
    <w:rsid w:val="00F600E8"/>
    <w:rsid w:val="00F62771"/>
    <w:rsid w:val="00F771B8"/>
    <w:rsid w:val="00F8639B"/>
    <w:rsid w:val="00F91294"/>
    <w:rsid w:val="00F949F7"/>
    <w:rsid w:val="00FA2E0F"/>
    <w:rsid w:val="00FB202B"/>
    <w:rsid w:val="00FE4121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val="x-none"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uiPriority w:val="99"/>
    <w:semiHidden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11">
    <w:name w:val="Hlavička Char11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uiPriority w:val="99"/>
    <w:semiHidden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poznmkypodiarouChar3">
    <w:name w:val="Text poznámky pod čiarou Char3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2">
    <w:name w:val="Text poznámky pod čiarou Char2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ra">
    <w:name w:val="ra"/>
    <w:basedOn w:val="Predvolenpsmoodseku"/>
    <w:uiPriority w:val="99"/>
    <w:rsid w:val="008E0263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3">
    <w:name w:val="Predmet komentára Char3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2">
    <w:name w:val="Predmet komentára Char2"/>
    <w:basedOn w:val="Predvolenpsmoodseku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8E0263"/>
    <w:rPr>
      <w:rFonts w:ascii="Times New Roman" w:hAnsi="Times New Roman"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val="x-none"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uiPriority w:val="99"/>
    <w:semiHidden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11">
    <w:name w:val="Hlavička Char11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uiPriority w:val="99"/>
    <w:semiHidden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poznmkypodiarouChar3">
    <w:name w:val="Text poznámky pod čiarou Char3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2">
    <w:name w:val="Text poznámky pod čiarou Char2"/>
    <w:basedOn w:val="Predvolenpsmoodseku"/>
    <w:uiPriority w:val="99"/>
    <w:semiHidden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ra">
    <w:name w:val="ra"/>
    <w:basedOn w:val="Predvolenpsmoodseku"/>
    <w:uiPriority w:val="99"/>
    <w:rsid w:val="008E0263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3">
    <w:name w:val="Predmet komentára Char3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PredmetkomentraChar2">
    <w:name w:val="Predmet komentára Char2"/>
    <w:basedOn w:val="Predvolenpsmoodseku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8E0263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32DE-64B2-4F0E-B746-C87D18C2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Viktória  Knappová</cp:lastModifiedBy>
  <cp:revision>6</cp:revision>
  <dcterms:created xsi:type="dcterms:W3CDTF">2020-05-11T10:35:00Z</dcterms:created>
  <dcterms:modified xsi:type="dcterms:W3CDTF">2020-05-11T13:03:00Z</dcterms:modified>
</cp:coreProperties>
</file>