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FC63F0" w:rsidRDefault="007D5748" w:rsidP="00FC63F0">
      <w:pPr>
        <w:spacing w:after="0" w:line="240" w:lineRule="auto"/>
        <w:jc w:val="center"/>
        <w:rPr>
          <w:rFonts w:ascii="Times New Roman" w:hAnsi="Times New Roman"/>
          <w:b/>
          <w:bCs/>
          <w:lang w:eastAsia="sk-SK"/>
        </w:rPr>
      </w:pPr>
      <w:r w:rsidRPr="00FC63F0">
        <w:rPr>
          <w:rFonts w:ascii="Times New Roman" w:hAnsi="Times New Roman"/>
          <w:b/>
          <w:bCs/>
          <w:lang w:eastAsia="sk-SK"/>
        </w:rPr>
        <w:t>Analýza vplyvov na rozpočet verejnej správy,</w:t>
      </w:r>
    </w:p>
    <w:p w:rsidR="007D5748" w:rsidRPr="00FC63F0" w:rsidRDefault="007D5748" w:rsidP="00FC63F0">
      <w:pPr>
        <w:spacing w:after="0" w:line="240" w:lineRule="auto"/>
        <w:jc w:val="center"/>
        <w:rPr>
          <w:rFonts w:ascii="Times New Roman" w:hAnsi="Times New Roman"/>
          <w:b/>
          <w:bCs/>
          <w:lang w:eastAsia="sk-SK"/>
        </w:rPr>
      </w:pPr>
      <w:r w:rsidRPr="00FC63F0">
        <w:rPr>
          <w:rFonts w:ascii="Times New Roman" w:hAnsi="Times New Roman"/>
          <w:b/>
          <w:bCs/>
          <w:lang w:eastAsia="sk-SK"/>
        </w:rPr>
        <w:t>na zamestnanosť vo verejnej správe a financovanie návrhu</w:t>
      </w:r>
    </w:p>
    <w:p w:rsidR="00E963A3" w:rsidRPr="00FC63F0" w:rsidRDefault="00E963A3" w:rsidP="00FC63F0">
      <w:pPr>
        <w:spacing w:after="0" w:line="240" w:lineRule="auto"/>
        <w:jc w:val="both"/>
        <w:rPr>
          <w:rFonts w:ascii="Times New Roman" w:hAnsi="Times New Roman"/>
          <w:b/>
          <w:bCs/>
          <w:lang w:eastAsia="sk-SK"/>
        </w:rPr>
      </w:pPr>
    </w:p>
    <w:p w:rsidR="0051724E" w:rsidRPr="00FC63F0" w:rsidRDefault="00E963A3" w:rsidP="00FC63F0">
      <w:pPr>
        <w:spacing w:after="0" w:line="240" w:lineRule="auto"/>
        <w:jc w:val="both"/>
        <w:rPr>
          <w:rFonts w:ascii="Times New Roman" w:hAnsi="Times New Roman"/>
          <w:b/>
          <w:bCs/>
          <w:lang w:eastAsia="sk-SK"/>
        </w:rPr>
      </w:pPr>
      <w:r w:rsidRPr="00FC63F0">
        <w:rPr>
          <w:rFonts w:ascii="Times New Roman" w:hAnsi="Times New Roman"/>
          <w:b/>
          <w:bCs/>
          <w:lang w:eastAsia="sk-SK"/>
        </w:rPr>
        <w:t>2.1 Zhrnutie vplyvov na rozpočet verejnej správy v</w:t>
      </w:r>
      <w:r w:rsidR="0051724E" w:rsidRPr="00FC63F0">
        <w:rPr>
          <w:rFonts w:ascii="Times New Roman" w:hAnsi="Times New Roman"/>
          <w:b/>
          <w:bCs/>
          <w:lang w:eastAsia="sk-SK"/>
        </w:rPr>
        <w:t> </w:t>
      </w:r>
      <w:r w:rsidRPr="00FC63F0">
        <w:rPr>
          <w:rFonts w:ascii="Times New Roman" w:hAnsi="Times New Roman"/>
          <w:b/>
          <w:bCs/>
          <w:lang w:eastAsia="sk-SK"/>
        </w:rPr>
        <w:t>návrhu</w:t>
      </w:r>
    </w:p>
    <w:p w:rsidR="003E196D" w:rsidRPr="00FC63F0" w:rsidRDefault="003E196D" w:rsidP="00FC63F0">
      <w:pPr>
        <w:spacing w:after="0" w:line="240" w:lineRule="auto"/>
        <w:jc w:val="both"/>
        <w:rPr>
          <w:rFonts w:ascii="Times New Roman" w:hAnsi="Times New Roman"/>
          <w:b/>
          <w:bCs/>
          <w:lang w:eastAsia="sk-SK"/>
        </w:rPr>
      </w:pPr>
    </w:p>
    <w:p w:rsidR="00C14DCC" w:rsidRPr="00FC63F0" w:rsidRDefault="003E196D" w:rsidP="00FC63F0">
      <w:pPr>
        <w:spacing w:after="0" w:line="240" w:lineRule="auto"/>
        <w:jc w:val="both"/>
        <w:rPr>
          <w:rFonts w:ascii="Times New Roman" w:hAnsi="Times New Roman"/>
          <w:lang w:eastAsia="sk-SK"/>
        </w:rPr>
      </w:pPr>
      <w:r w:rsidRPr="00FC63F0">
        <w:rPr>
          <w:rFonts w:ascii="Times New Roman" w:hAnsi="Times New Roman"/>
          <w:lang w:eastAsia="sk-SK"/>
        </w:rPr>
        <w:t>Tabuľka č. 1</w:t>
      </w:r>
    </w:p>
    <w:tbl>
      <w:tblPr>
        <w:tblW w:w="9840" w:type="dxa"/>
        <w:tblCellMar>
          <w:left w:w="70" w:type="dxa"/>
          <w:right w:w="70" w:type="dxa"/>
        </w:tblCellMar>
        <w:tblLook w:val="04A0" w:firstRow="1" w:lastRow="0" w:firstColumn="1" w:lastColumn="0" w:noHBand="0" w:noVBand="1"/>
      </w:tblPr>
      <w:tblGrid>
        <w:gridCol w:w="5180"/>
        <w:gridCol w:w="1240"/>
        <w:gridCol w:w="900"/>
        <w:gridCol w:w="1340"/>
        <w:gridCol w:w="1180"/>
      </w:tblGrid>
      <w:tr w:rsidR="005114E0" w:rsidRPr="005114E0" w:rsidTr="005114E0">
        <w:trPr>
          <w:trHeight w:val="795"/>
        </w:trPr>
        <w:tc>
          <w:tcPr>
            <w:tcW w:w="51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5114E0" w:rsidRPr="005114E0" w:rsidRDefault="005114E0" w:rsidP="005114E0">
            <w:pPr>
              <w:spacing w:after="0" w:line="240" w:lineRule="auto"/>
              <w:jc w:val="center"/>
              <w:rPr>
                <w:rFonts w:ascii="Times New Roman" w:hAnsi="Times New Roman"/>
                <w:b/>
                <w:bCs/>
                <w:color w:val="000000"/>
                <w:lang w:eastAsia="sk-SK"/>
              </w:rPr>
            </w:pPr>
            <w:r w:rsidRPr="005114E0">
              <w:rPr>
                <w:rFonts w:ascii="Times New Roman" w:hAnsi="Times New Roman"/>
                <w:b/>
                <w:bCs/>
                <w:color w:val="000000"/>
                <w:lang w:eastAsia="sk-SK"/>
              </w:rPr>
              <w:t>Vplyvy na rozpočet verejnej správy</w:t>
            </w:r>
          </w:p>
        </w:tc>
        <w:tc>
          <w:tcPr>
            <w:tcW w:w="4660" w:type="dxa"/>
            <w:gridSpan w:val="4"/>
            <w:tcBorders>
              <w:top w:val="single" w:sz="8" w:space="0" w:color="auto"/>
              <w:left w:val="nil"/>
              <w:bottom w:val="single" w:sz="8" w:space="0" w:color="auto"/>
              <w:right w:val="single" w:sz="8" w:space="0" w:color="000000"/>
            </w:tcBorders>
            <w:shd w:val="clear" w:color="000000" w:fill="BFBFBF"/>
            <w:vAlign w:val="center"/>
            <w:hideMark/>
          </w:tcPr>
          <w:p w:rsidR="005114E0" w:rsidRPr="005114E0" w:rsidRDefault="005114E0" w:rsidP="005114E0">
            <w:pPr>
              <w:spacing w:after="0" w:line="240" w:lineRule="auto"/>
              <w:jc w:val="center"/>
              <w:rPr>
                <w:rFonts w:ascii="Times New Roman" w:hAnsi="Times New Roman"/>
                <w:b/>
                <w:bCs/>
                <w:color w:val="000000"/>
                <w:lang w:eastAsia="sk-SK"/>
              </w:rPr>
            </w:pPr>
            <w:r w:rsidRPr="005114E0">
              <w:rPr>
                <w:rFonts w:ascii="Times New Roman" w:hAnsi="Times New Roman"/>
                <w:b/>
                <w:bCs/>
                <w:color w:val="000000"/>
                <w:lang w:eastAsia="sk-SK"/>
              </w:rPr>
              <w:t xml:space="preserve">Vplyv na rozpočet verejnej správy v eurách </w:t>
            </w:r>
          </w:p>
        </w:tc>
      </w:tr>
      <w:tr w:rsidR="005114E0" w:rsidRPr="005114E0" w:rsidTr="005114E0">
        <w:trPr>
          <w:trHeight w:val="315"/>
        </w:trPr>
        <w:tc>
          <w:tcPr>
            <w:tcW w:w="5180" w:type="dxa"/>
            <w:vMerge/>
            <w:tcBorders>
              <w:top w:val="single" w:sz="8" w:space="0" w:color="auto"/>
              <w:left w:val="single" w:sz="8" w:space="0" w:color="auto"/>
              <w:bottom w:val="single" w:sz="8" w:space="0" w:color="000000"/>
              <w:right w:val="single" w:sz="8" w:space="0" w:color="auto"/>
            </w:tcBorders>
            <w:vAlign w:val="center"/>
            <w:hideMark/>
          </w:tcPr>
          <w:p w:rsidR="005114E0" w:rsidRPr="005114E0" w:rsidRDefault="005114E0" w:rsidP="005114E0">
            <w:pPr>
              <w:spacing w:after="0" w:line="240" w:lineRule="auto"/>
              <w:rPr>
                <w:rFonts w:ascii="Times New Roman" w:hAnsi="Times New Roman"/>
                <w:b/>
                <w:bCs/>
                <w:color w:val="000000"/>
                <w:lang w:eastAsia="sk-SK"/>
              </w:rPr>
            </w:pPr>
          </w:p>
        </w:tc>
        <w:tc>
          <w:tcPr>
            <w:tcW w:w="4660" w:type="dxa"/>
            <w:gridSpan w:val="4"/>
            <w:tcBorders>
              <w:top w:val="single" w:sz="8" w:space="0" w:color="auto"/>
              <w:left w:val="nil"/>
              <w:bottom w:val="single" w:sz="8" w:space="0" w:color="auto"/>
              <w:right w:val="single" w:sz="8" w:space="0" w:color="000000"/>
            </w:tcBorders>
            <w:shd w:val="clear" w:color="000000" w:fill="BFBFBF"/>
            <w:vAlign w:val="center"/>
            <w:hideMark/>
          </w:tcPr>
          <w:p w:rsidR="005114E0" w:rsidRPr="005114E0" w:rsidRDefault="005114E0" w:rsidP="005114E0">
            <w:pPr>
              <w:spacing w:after="0" w:line="240" w:lineRule="auto"/>
              <w:jc w:val="center"/>
              <w:rPr>
                <w:rFonts w:ascii="Times New Roman" w:hAnsi="Times New Roman"/>
                <w:b/>
                <w:bCs/>
                <w:color w:val="000000"/>
                <w:lang w:eastAsia="sk-SK"/>
              </w:rPr>
            </w:pPr>
            <w:r w:rsidRPr="005114E0">
              <w:rPr>
                <w:rFonts w:ascii="Times New Roman" w:hAnsi="Times New Roman"/>
                <w:b/>
                <w:bCs/>
                <w:color w:val="000000"/>
                <w:lang w:eastAsia="sk-SK"/>
              </w:rPr>
              <w:t> </w:t>
            </w:r>
          </w:p>
        </w:tc>
      </w:tr>
      <w:tr w:rsidR="005114E0" w:rsidRPr="005114E0" w:rsidTr="005114E0">
        <w:trPr>
          <w:trHeight w:val="315"/>
        </w:trPr>
        <w:tc>
          <w:tcPr>
            <w:tcW w:w="5180" w:type="dxa"/>
            <w:vMerge/>
            <w:tcBorders>
              <w:top w:val="single" w:sz="8" w:space="0" w:color="auto"/>
              <w:left w:val="single" w:sz="8" w:space="0" w:color="auto"/>
              <w:bottom w:val="single" w:sz="8" w:space="0" w:color="000000"/>
              <w:right w:val="single" w:sz="8" w:space="0" w:color="auto"/>
            </w:tcBorders>
            <w:vAlign w:val="center"/>
            <w:hideMark/>
          </w:tcPr>
          <w:p w:rsidR="005114E0" w:rsidRPr="005114E0" w:rsidRDefault="005114E0" w:rsidP="005114E0">
            <w:pPr>
              <w:spacing w:after="0" w:line="240" w:lineRule="auto"/>
              <w:rPr>
                <w:rFonts w:ascii="Times New Roman" w:hAnsi="Times New Roman"/>
                <w:b/>
                <w:bCs/>
                <w:color w:val="000000"/>
                <w:lang w:eastAsia="sk-SK"/>
              </w:rPr>
            </w:pPr>
          </w:p>
        </w:tc>
        <w:tc>
          <w:tcPr>
            <w:tcW w:w="1240" w:type="dxa"/>
            <w:tcBorders>
              <w:top w:val="nil"/>
              <w:left w:val="nil"/>
              <w:bottom w:val="single" w:sz="8" w:space="0" w:color="auto"/>
              <w:right w:val="single" w:sz="8" w:space="0" w:color="auto"/>
            </w:tcBorders>
            <w:shd w:val="clear" w:color="000000" w:fill="BFBFBF"/>
            <w:vAlign w:val="center"/>
            <w:hideMark/>
          </w:tcPr>
          <w:p w:rsidR="005114E0" w:rsidRPr="005114E0" w:rsidRDefault="005114E0" w:rsidP="005114E0">
            <w:pPr>
              <w:spacing w:after="0" w:line="240" w:lineRule="auto"/>
              <w:jc w:val="center"/>
              <w:rPr>
                <w:rFonts w:ascii="Times New Roman" w:hAnsi="Times New Roman"/>
                <w:b/>
                <w:bCs/>
                <w:color w:val="000000"/>
                <w:lang w:eastAsia="sk-SK"/>
              </w:rPr>
            </w:pPr>
            <w:r w:rsidRPr="005114E0">
              <w:rPr>
                <w:rFonts w:ascii="Times New Roman" w:hAnsi="Times New Roman"/>
                <w:b/>
                <w:bCs/>
                <w:color w:val="000000"/>
                <w:lang w:eastAsia="sk-SK"/>
              </w:rPr>
              <w:t>2 020</w:t>
            </w:r>
          </w:p>
        </w:tc>
        <w:tc>
          <w:tcPr>
            <w:tcW w:w="900" w:type="dxa"/>
            <w:tcBorders>
              <w:top w:val="nil"/>
              <w:left w:val="nil"/>
              <w:bottom w:val="single" w:sz="8" w:space="0" w:color="auto"/>
              <w:right w:val="single" w:sz="8" w:space="0" w:color="auto"/>
            </w:tcBorders>
            <w:shd w:val="clear" w:color="000000" w:fill="BFBFBF"/>
            <w:vAlign w:val="center"/>
            <w:hideMark/>
          </w:tcPr>
          <w:p w:rsidR="005114E0" w:rsidRPr="005114E0" w:rsidRDefault="005114E0" w:rsidP="005114E0">
            <w:pPr>
              <w:spacing w:after="0" w:line="240" w:lineRule="auto"/>
              <w:jc w:val="center"/>
              <w:rPr>
                <w:rFonts w:ascii="Times New Roman" w:hAnsi="Times New Roman"/>
                <w:b/>
                <w:bCs/>
                <w:color w:val="000000"/>
                <w:lang w:eastAsia="sk-SK"/>
              </w:rPr>
            </w:pPr>
            <w:r w:rsidRPr="005114E0">
              <w:rPr>
                <w:rFonts w:ascii="Times New Roman" w:hAnsi="Times New Roman"/>
                <w:b/>
                <w:bCs/>
                <w:color w:val="000000"/>
                <w:lang w:eastAsia="sk-SK"/>
              </w:rPr>
              <w:t>2 021</w:t>
            </w:r>
          </w:p>
        </w:tc>
        <w:tc>
          <w:tcPr>
            <w:tcW w:w="1340" w:type="dxa"/>
            <w:tcBorders>
              <w:top w:val="nil"/>
              <w:left w:val="nil"/>
              <w:bottom w:val="single" w:sz="8" w:space="0" w:color="auto"/>
              <w:right w:val="single" w:sz="8" w:space="0" w:color="auto"/>
            </w:tcBorders>
            <w:shd w:val="clear" w:color="000000" w:fill="BFBFBF"/>
            <w:vAlign w:val="center"/>
            <w:hideMark/>
          </w:tcPr>
          <w:p w:rsidR="005114E0" w:rsidRPr="005114E0" w:rsidRDefault="005114E0" w:rsidP="005114E0">
            <w:pPr>
              <w:spacing w:after="0" w:line="240" w:lineRule="auto"/>
              <w:jc w:val="center"/>
              <w:rPr>
                <w:rFonts w:ascii="Times New Roman" w:hAnsi="Times New Roman"/>
                <w:b/>
                <w:bCs/>
                <w:color w:val="000000"/>
                <w:lang w:eastAsia="sk-SK"/>
              </w:rPr>
            </w:pPr>
            <w:r w:rsidRPr="005114E0">
              <w:rPr>
                <w:rFonts w:ascii="Times New Roman" w:hAnsi="Times New Roman"/>
                <w:b/>
                <w:bCs/>
                <w:color w:val="000000"/>
                <w:lang w:eastAsia="sk-SK"/>
              </w:rPr>
              <w:t>2 022</w:t>
            </w:r>
          </w:p>
        </w:tc>
        <w:tc>
          <w:tcPr>
            <w:tcW w:w="1180" w:type="dxa"/>
            <w:tcBorders>
              <w:top w:val="nil"/>
              <w:left w:val="nil"/>
              <w:bottom w:val="single" w:sz="8" w:space="0" w:color="auto"/>
              <w:right w:val="single" w:sz="8" w:space="0" w:color="auto"/>
            </w:tcBorders>
            <w:shd w:val="clear" w:color="000000" w:fill="BFBFBF"/>
            <w:vAlign w:val="center"/>
            <w:hideMark/>
          </w:tcPr>
          <w:p w:rsidR="005114E0" w:rsidRPr="005114E0" w:rsidRDefault="005114E0" w:rsidP="005114E0">
            <w:pPr>
              <w:spacing w:after="0" w:line="240" w:lineRule="auto"/>
              <w:jc w:val="center"/>
              <w:rPr>
                <w:rFonts w:ascii="Times New Roman" w:hAnsi="Times New Roman"/>
                <w:b/>
                <w:bCs/>
                <w:color w:val="000000"/>
                <w:lang w:eastAsia="sk-SK"/>
              </w:rPr>
            </w:pPr>
            <w:r w:rsidRPr="005114E0">
              <w:rPr>
                <w:rFonts w:ascii="Times New Roman" w:hAnsi="Times New Roman"/>
                <w:b/>
                <w:bCs/>
                <w:color w:val="000000"/>
                <w:lang w:eastAsia="sk-SK"/>
              </w:rPr>
              <w:t>2 023</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000000" w:fill="C0C0C0"/>
            <w:noWrap/>
            <w:vAlign w:val="center"/>
            <w:hideMark/>
          </w:tcPr>
          <w:p w:rsidR="005114E0" w:rsidRPr="005114E0" w:rsidRDefault="005114E0" w:rsidP="005114E0">
            <w:pPr>
              <w:spacing w:after="0" w:line="240" w:lineRule="auto"/>
              <w:rPr>
                <w:rFonts w:ascii="Times New Roman" w:hAnsi="Times New Roman"/>
                <w:b/>
                <w:bCs/>
                <w:color w:val="000000"/>
                <w:lang w:eastAsia="sk-SK"/>
              </w:rPr>
            </w:pPr>
            <w:r w:rsidRPr="005114E0">
              <w:rPr>
                <w:rFonts w:ascii="Times New Roman" w:hAnsi="Times New Roman"/>
                <w:b/>
                <w:bCs/>
                <w:color w:val="000000"/>
                <w:lang w:eastAsia="sk-SK"/>
              </w:rPr>
              <w:t>Príjmy verejnej správy celkom</w:t>
            </w:r>
          </w:p>
        </w:tc>
        <w:tc>
          <w:tcPr>
            <w:tcW w:w="1240" w:type="dxa"/>
            <w:tcBorders>
              <w:top w:val="nil"/>
              <w:left w:val="nil"/>
              <w:bottom w:val="single" w:sz="8" w:space="0" w:color="auto"/>
              <w:right w:val="single" w:sz="8" w:space="0" w:color="auto"/>
            </w:tcBorders>
            <w:shd w:val="clear" w:color="000000" w:fill="C0C0C0"/>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900" w:type="dxa"/>
            <w:tcBorders>
              <w:top w:val="nil"/>
              <w:left w:val="nil"/>
              <w:bottom w:val="single" w:sz="8" w:space="0" w:color="auto"/>
              <w:right w:val="single" w:sz="8" w:space="0" w:color="auto"/>
            </w:tcBorders>
            <w:shd w:val="clear" w:color="000000" w:fill="C0C0C0"/>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1340" w:type="dxa"/>
            <w:tcBorders>
              <w:top w:val="nil"/>
              <w:left w:val="nil"/>
              <w:bottom w:val="single" w:sz="8" w:space="0" w:color="auto"/>
              <w:right w:val="single" w:sz="8" w:space="0" w:color="auto"/>
            </w:tcBorders>
            <w:shd w:val="clear" w:color="000000" w:fill="C0C0C0"/>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1180" w:type="dxa"/>
            <w:tcBorders>
              <w:top w:val="nil"/>
              <w:left w:val="nil"/>
              <w:bottom w:val="single" w:sz="8" w:space="0" w:color="auto"/>
              <w:right w:val="single" w:sz="8" w:space="0" w:color="auto"/>
            </w:tcBorders>
            <w:shd w:val="clear" w:color="000000" w:fill="C0C0C0"/>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color w:val="000000"/>
                <w:lang w:eastAsia="sk-SK"/>
              </w:rPr>
            </w:pPr>
            <w:r w:rsidRPr="005114E0">
              <w:rPr>
                <w:rFonts w:ascii="Times New Roman" w:hAnsi="Times New Roman"/>
                <w:color w:val="000000"/>
                <w:lang w:eastAsia="sk-SK"/>
              </w:rPr>
              <w:t>v tom: za každý subjekt verejnej správy zvlášť</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xml:space="preserve">z toho:  </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r>
      <w:tr w:rsidR="005114E0" w:rsidRPr="005114E0" w:rsidTr="005114E0">
        <w:trPr>
          <w:trHeight w:val="360"/>
        </w:trPr>
        <w:tc>
          <w:tcPr>
            <w:tcW w:w="5180" w:type="dxa"/>
            <w:tcBorders>
              <w:top w:val="nil"/>
              <w:left w:val="single" w:sz="8" w:space="0" w:color="auto"/>
              <w:bottom w:val="single" w:sz="8" w:space="0" w:color="auto"/>
              <w:right w:val="single" w:sz="8" w:space="0" w:color="auto"/>
            </w:tcBorders>
            <w:shd w:val="clear" w:color="auto" w:fill="auto"/>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xml:space="preserve">- vplyv na ŠR </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vplyv na obce</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vplyv na vyššie územné celky</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vplyv na Sociálnu poisťovňu</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vplyv na verejné zdravotné poistenie</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000000" w:fill="C0C0C0"/>
            <w:noWrap/>
            <w:vAlign w:val="center"/>
            <w:hideMark/>
          </w:tcPr>
          <w:p w:rsidR="005114E0" w:rsidRPr="005114E0" w:rsidRDefault="005114E0" w:rsidP="005114E0">
            <w:pPr>
              <w:spacing w:after="0" w:line="240" w:lineRule="auto"/>
              <w:rPr>
                <w:rFonts w:ascii="Times New Roman" w:hAnsi="Times New Roman"/>
                <w:b/>
                <w:bCs/>
                <w:color w:val="000000"/>
                <w:lang w:eastAsia="sk-SK"/>
              </w:rPr>
            </w:pPr>
            <w:r w:rsidRPr="005114E0">
              <w:rPr>
                <w:rFonts w:ascii="Times New Roman" w:hAnsi="Times New Roman"/>
                <w:b/>
                <w:bCs/>
                <w:color w:val="000000"/>
                <w:lang w:eastAsia="sk-SK"/>
              </w:rPr>
              <w:t>Výdavky verejnej správy celkom</w:t>
            </w:r>
          </w:p>
        </w:tc>
        <w:tc>
          <w:tcPr>
            <w:tcW w:w="1240" w:type="dxa"/>
            <w:tcBorders>
              <w:top w:val="nil"/>
              <w:left w:val="nil"/>
              <w:bottom w:val="single" w:sz="8" w:space="0" w:color="auto"/>
              <w:right w:val="single" w:sz="8" w:space="0" w:color="auto"/>
            </w:tcBorders>
            <w:shd w:val="clear" w:color="000000" w:fill="C0C0C0"/>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17 876 684</w:t>
            </w:r>
          </w:p>
        </w:tc>
        <w:tc>
          <w:tcPr>
            <w:tcW w:w="900" w:type="dxa"/>
            <w:tcBorders>
              <w:top w:val="nil"/>
              <w:left w:val="nil"/>
              <w:bottom w:val="single" w:sz="8" w:space="0" w:color="auto"/>
              <w:right w:val="single" w:sz="8" w:space="0" w:color="auto"/>
            </w:tcBorders>
            <w:shd w:val="clear" w:color="000000" w:fill="C0C0C0"/>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1340" w:type="dxa"/>
            <w:tcBorders>
              <w:top w:val="nil"/>
              <w:left w:val="nil"/>
              <w:bottom w:val="single" w:sz="8" w:space="0" w:color="auto"/>
              <w:right w:val="single" w:sz="8" w:space="0" w:color="auto"/>
            </w:tcBorders>
            <w:shd w:val="clear" w:color="000000" w:fill="C0C0C0"/>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1180" w:type="dxa"/>
            <w:tcBorders>
              <w:top w:val="nil"/>
              <w:left w:val="nil"/>
              <w:bottom w:val="single" w:sz="8" w:space="0" w:color="auto"/>
              <w:right w:val="single" w:sz="8" w:space="0" w:color="auto"/>
            </w:tcBorders>
            <w:shd w:val="clear" w:color="000000" w:fill="C0C0C0"/>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color w:val="000000"/>
                <w:lang w:eastAsia="sk-SK"/>
              </w:rPr>
            </w:pPr>
            <w:r w:rsidRPr="005114E0">
              <w:rPr>
                <w:rFonts w:ascii="Times New Roman" w:hAnsi="Times New Roman"/>
                <w:color w:val="000000"/>
                <w:lang w:eastAsia="sk-SK"/>
              </w:rPr>
              <w:t>v tom: za každý subjekt verejnej správy / program zvlášť</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xml:space="preserve">z toho: </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 </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 </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xml:space="preserve">- vplyv na ŠR </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Rozpočtové prostriedky v tom</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MZ SR / 07B0104 – rezidentský program</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-2 500 000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MZ SR / 07B0104 – bezdomovci</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392 300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xml:space="preserve">    EÚ zdroje</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xml:space="preserve">    spolufinancovanie</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vplyv na obce</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vplyv na vyššie územné celky</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xml:space="preserve"> - vplyv na verejné zdravotné poistenie z toho</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sz w:val="20"/>
                <w:szCs w:val="20"/>
                <w:lang w:eastAsia="sk-SK"/>
              </w:rPr>
            </w:pPr>
            <w:r w:rsidRPr="005114E0">
              <w:rPr>
                <w:rFonts w:ascii="Times New Roman" w:hAnsi="Times New Roman"/>
                <w:b/>
                <w:bCs/>
                <w:i/>
                <w:iCs/>
                <w:color w:val="000000"/>
                <w:sz w:val="20"/>
                <w:szCs w:val="20"/>
                <w:lang w:eastAsia="sk-SK"/>
              </w:rPr>
              <w:t>epidemiologická ambulancia</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12 972 256</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sz w:val="20"/>
                <w:szCs w:val="20"/>
                <w:lang w:eastAsia="sk-SK"/>
              </w:rPr>
            </w:pPr>
            <w:r w:rsidRPr="005114E0">
              <w:rPr>
                <w:rFonts w:ascii="Times New Roman" w:hAnsi="Times New Roman"/>
                <w:b/>
                <w:bCs/>
                <w:i/>
                <w:iCs/>
                <w:color w:val="000000"/>
                <w:sz w:val="20"/>
                <w:szCs w:val="20"/>
                <w:lang w:eastAsia="sk-SK"/>
              </w:rPr>
              <w:t>dopravná zdravotná služba</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672 000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sz w:val="20"/>
                <w:szCs w:val="20"/>
                <w:lang w:eastAsia="sk-SK"/>
              </w:rPr>
            </w:pPr>
            <w:r w:rsidRPr="005114E0">
              <w:rPr>
                <w:rFonts w:ascii="Times New Roman" w:hAnsi="Times New Roman"/>
                <w:b/>
                <w:bCs/>
                <w:i/>
                <w:iCs/>
                <w:color w:val="000000"/>
                <w:sz w:val="20"/>
                <w:szCs w:val="20"/>
                <w:lang w:eastAsia="sk-SK"/>
              </w:rPr>
              <w:t>mobilné odberové miesto formou výjazdovej služby</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2 687 328</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sz w:val="20"/>
                <w:szCs w:val="20"/>
                <w:lang w:eastAsia="sk-SK"/>
              </w:rPr>
            </w:pPr>
            <w:r w:rsidRPr="005114E0">
              <w:rPr>
                <w:rFonts w:ascii="Times New Roman" w:hAnsi="Times New Roman"/>
                <w:b/>
                <w:bCs/>
                <w:i/>
                <w:iCs/>
                <w:color w:val="000000"/>
                <w:sz w:val="20"/>
                <w:szCs w:val="20"/>
                <w:lang w:eastAsia="sk-SK"/>
              </w:rPr>
              <w:t>odber biologického materiálu</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3 600 000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sz w:val="20"/>
                <w:szCs w:val="20"/>
                <w:lang w:eastAsia="sk-SK"/>
              </w:rPr>
            </w:pPr>
            <w:r w:rsidRPr="005114E0">
              <w:rPr>
                <w:rFonts w:ascii="Times New Roman" w:hAnsi="Times New Roman"/>
                <w:b/>
                <w:bCs/>
                <w:i/>
                <w:iCs/>
                <w:color w:val="000000"/>
                <w:sz w:val="20"/>
                <w:szCs w:val="20"/>
                <w:lang w:eastAsia="sk-SK"/>
              </w:rPr>
              <w:t>úhrad za rýchlotest</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52 800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rPr>
                <w:rFonts w:ascii="Times New Roman" w:hAnsi="Times New Roman"/>
                <w:b/>
                <w:bCs/>
                <w:color w:val="000000"/>
                <w:lang w:eastAsia="sk-SK"/>
              </w:rPr>
            </w:pPr>
            <w:r w:rsidRPr="005114E0">
              <w:rPr>
                <w:rFonts w:ascii="Times New Roman" w:hAnsi="Times New Roman"/>
                <w:b/>
                <w:bCs/>
                <w:color w:val="000000"/>
                <w:lang w:eastAsia="sk-SK"/>
              </w:rPr>
              <w:t xml:space="preserve">Vplyv na počet zamestnancov </w:t>
            </w:r>
          </w:p>
        </w:tc>
        <w:tc>
          <w:tcPr>
            <w:tcW w:w="1240" w:type="dxa"/>
            <w:tcBorders>
              <w:top w:val="nil"/>
              <w:left w:val="nil"/>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1340" w:type="dxa"/>
            <w:tcBorders>
              <w:top w:val="nil"/>
              <w:left w:val="nil"/>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1180" w:type="dxa"/>
            <w:tcBorders>
              <w:top w:val="nil"/>
              <w:left w:val="nil"/>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vplyv na ŠR</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vplyv na obce</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vplyv na vyššie územné celky</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vplyv na Sociálnu poisťovňu</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rPr>
                <w:rFonts w:ascii="Times New Roman" w:hAnsi="Times New Roman"/>
                <w:b/>
                <w:bCs/>
                <w:color w:val="000000"/>
                <w:lang w:eastAsia="sk-SK"/>
              </w:rPr>
            </w:pPr>
            <w:r w:rsidRPr="005114E0">
              <w:rPr>
                <w:rFonts w:ascii="Times New Roman" w:hAnsi="Times New Roman"/>
                <w:b/>
                <w:bCs/>
                <w:color w:val="000000"/>
                <w:lang w:eastAsia="sk-SK"/>
              </w:rPr>
              <w:t>Vplyv na mzdové výdavky</w:t>
            </w:r>
          </w:p>
        </w:tc>
        <w:tc>
          <w:tcPr>
            <w:tcW w:w="1240" w:type="dxa"/>
            <w:tcBorders>
              <w:top w:val="nil"/>
              <w:left w:val="nil"/>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1340" w:type="dxa"/>
            <w:tcBorders>
              <w:top w:val="nil"/>
              <w:left w:val="nil"/>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1180" w:type="dxa"/>
            <w:tcBorders>
              <w:top w:val="nil"/>
              <w:left w:val="nil"/>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vplyv na ŠR</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lastRenderedPageBreak/>
              <w:t>- vplyv na obce</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 vplyv na vyššie územné celky</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rPr>
                <w:rFonts w:ascii="Times New Roman" w:hAnsi="Times New Roman"/>
                <w:b/>
                <w:bCs/>
                <w:color w:val="000000"/>
                <w:lang w:eastAsia="sk-SK"/>
              </w:rPr>
            </w:pPr>
            <w:r w:rsidRPr="005114E0">
              <w:rPr>
                <w:rFonts w:ascii="Times New Roman" w:hAnsi="Times New Roman"/>
                <w:b/>
                <w:bCs/>
                <w:color w:val="000000"/>
                <w:lang w:eastAsia="sk-SK"/>
              </w:rPr>
              <w:t>Financovanie zabezpečené v rozpočte</w:t>
            </w:r>
          </w:p>
        </w:tc>
        <w:tc>
          <w:tcPr>
            <w:tcW w:w="1240" w:type="dxa"/>
            <w:tcBorders>
              <w:top w:val="nil"/>
              <w:left w:val="nil"/>
              <w:bottom w:val="single" w:sz="8" w:space="0" w:color="auto"/>
              <w:right w:val="single" w:sz="8" w:space="0" w:color="auto"/>
            </w:tcBorders>
            <w:shd w:val="clear" w:color="000000" w:fill="C0C0C0"/>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17 876 684</w:t>
            </w:r>
          </w:p>
        </w:tc>
        <w:tc>
          <w:tcPr>
            <w:tcW w:w="900" w:type="dxa"/>
            <w:tcBorders>
              <w:top w:val="nil"/>
              <w:left w:val="nil"/>
              <w:bottom w:val="single" w:sz="8" w:space="0" w:color="auto"/>
              <w:right w:val="single" w:sz="8" w:space="0" w:color="auto"/>
            </w:tcBorders>
            <w:shd w:val="clear" w:color="000000" w:fill="C0C0C0"/>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 </w:t>
            </w:r>
          </w:p>
        </w:tc>
        <w:tc>
          <w:tcPr>
            <w:tcW w:w="1340" w:type="dxa"/>
            <w:tcBorders>
              <w:top w:val="nil"/>
              <w:left w:val="nil"/>
              <w:bottom w:val="single" w:sz="8" w:space="0" w:color="auto"/>
              <w:right w:val="single" w:sz="8" w:space="0" w:color="auto"/>
            </w:tcBorders>
            <w:shd w:val="clear" w:color="000000" w:fill="C0C0C0"/>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 </w:t>
            </w:r>
          </w:p>
        </w:tc>
        <w:tc>
          <w:tcPr>
            <w:tcW w:w="1180" w:type="dxa"/>
            <w:tcBorders>
              <w:top w:val="nil"/>
              <w:left w:val="nil"/>
              <w:bottom w:val="single" w:sz="8" w:space="0" w:color="auto"/>
              <w:right w:val="single" w:sz="8" w:space="0" w:color="auto"/>
            </w:tcBorders>
            <w:shd w:val="clear" w:color="000000" w:fill="C0C0C0"/>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 </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b/>
                <w:bCs/>
                <w:i/>
                <w:iCs/>
                <w:color w:val="000000"/>
                <w:lang w:eastAsia="sk-SK"/>
              </w:rPr>
            </w:pPr>
            <w:r w:rsidRPr="005114E0">
              <w:rPr>
                <w:rFonts w:ascii="Times New Roman" w:hAnsi="Times New Roman"/>
                <w:b/>
                <w:bCs/>
                <w:i/>
                <w:iCs/>
                <w:color w:val="000000"/>
                <w:lang w:eastAsia="sk-SK"/>
              </w:rPr>
              <w:t>z toho:</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color w:val="000000"/>
                <w:lang w:eastAsia="sk-SK"/>
              </w:rPr>
            </w:pPr>
            <w:r w:rsidRPr="005114E0">
              <w:rPr>
                <w:rFonts w:ascii="Times New Roman" w:hAnsi="Times New Roman"/>
                <w:color w:val="000000"/>
                <w:lang w:eastAsia="sk-SK"/>
              </w:rPr>
              <w:t>-vplyv na štátny rozpočet</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17 876 684</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color w:val="000000"/>
                <w:lang w:eastAsia="sk-SK"/>
              </w:rPr>
            </w:pPr>
            <w:r w:rsidRPr="005114E0">
              <w:rPr>
                <w:rFonts w:ascii="Times New Roman" w:hAnsi="Times New Roman"/>
                <w:color w:val="000000"/>
                <w:lang w:eastAsia="sk-SK"/>
              </w:rPr>
              <w:t>- vplyv na obce</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color w:val="000000"/>
                <w:lang w:eastAsia="sk-SK"/>
              </w:rPr>
            </w:pPr>
            <w:r w:rsidRPr="005114E0">
              <w:rPr>
                <w:rFonts w:ascii="Times New Roman" w:hAnsi="Times New Roman"/>
                <w:color w:val="000000"/>
                <w:lang w:eastAsia="sk-SK"/>
              </w:rPr>
              <w:t>- vplyv na vyššie územné celky</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rPr>
                <w:rFonts w:ascii="Times New Roman" w:hAnsi="Times New Roman"/>
                <w:color w:val="000000"/>
                <w:lang w:eastAsia="sk-SK"/>
              </w:rPr>
            </w:pPr>
            <w:r w:rsidRPr="005114E0">
              <w:rPr>
                <w:rFonts w:ascii="Times New Roman" w:hAnsi="Times New Roman"/>
                <w:color w:val="000000"/>
                <w:lang w:eastAsia="sk-SK"/>
              </w:rPr>
              <w:t>- vplyv na verejné zdravotné poistenie</w:t>
            </w:r>
          </w:p>
        </w:tc>
        <w:tc>
          <w:tcPr>
            <w:tcW w:w="12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90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34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c>
          <w:tcPr>
            <w:tcW w:w="1180" w:type="dxa"/>
            <w:tcBorders>
              <w:top w:val="nil"/>
              <w:left w:val="nil"/>
              <w:bottom w:val="single" w:sz="8" w:space="0" w:color="auto"/>
              <w:right w:val="single" w:sz="8" w:space="0" w:color="auto"/>
            </w:tcBorders>
            <w:shd w:val="clear" w:color="auto" w:fill="auto"/>
            <w:noWrap/>
            <w:vAlign w:val="center"/>
            <w:hideMark/>
          </w:tcPr>
          <w:p w:rsidR="005114E0" w:rsidRPr="005114E0" w:rsidRDefault="005114E0" w:rsidP="005114E0">
            <w:pPr>
              <w:spacing w:after="0" w:line="240" w:lineRule="auto"/>
              <w:jc w:val="right"/>
              <w:rPr>
                <w:rFonts w:ascii="Times New Roman" w:hAnsi="Times New Roman"/>
                <w:color w:val="000000"/>
                <w:lang w:eastAsia="sk-SK"/>
              </w:rPr>
            </w:pPr>
            <w:r w:rsidRPr="005114E0">
              <w:rPr>
                <w:rFonts w:ascii="Times New Roman" w:hAnsi="Times New Roman"/>
                <w:color w:val="000000"/>
                <w:lang w:eastAsia="sk-SK"/>
              </w:rPr>
              <w:t> </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rPr>
                <w:rFonts w:ascii="Times New Roman" w:hAnsi="Times New Roman"/>
                <w:b/>
                <w:bCs/>
                <w:color w:val="000000"/>
                <w:lang w:eastAsia="sk-SK"/>
              </w:rPr>
            </w:pPr>
            <w:r w:rsidRPr="005114E0">
              <w:rPr>
                <w:rFonts w:ascii="Times New Roman" w:hAnsi="Times New Roman"/>
                <w:b/>
                <w:bCs/>
                <w:color w:val="000000"/>
                <w:lang w:eastAsia="sk-SK"/>
              </w:rPr>
              <w:t>Iné ako rozpočtové zdroje</w:t>
            </w:r>
          </w:p>
        </w:tc>
        <w:tc>
          <w:tcPr>
            <w:tcW w:w="1240" w:type="dxa"/>
            <w:tcBorders>
              <w:top w:val="nil"/>
              <w:left w:val="nil"/>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900" w:type="dxa"/>
            <w:tcBorders>
              <w:top w:val="nil"/>
              <w:left w:val="nil"/>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1340" w:type="dxa"/>
            <w:tcBorders>
              <w:top w:val="nil"/>
              <w:left w:val="nil"/>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1180" w:type="dxa"/>
            <w:tcBorders>
              <w:top w:val="nil"/>
              <w:left w:val="nil"/>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r>
      <w:tr w:rsidR="005114E0" w:rsidRPr="005114E0" w:rsidTr="005114E0">
        <w:trPr>
          <w:trHeight w:val="315"/>
        </w:trPr>
        <w:tc>
          <w:tcPr>
            <w:tcW w:w="5180" w:type="dxa"/>
            <w:tcBorders>
              <w:top w:val="nil"/>
              <w:left w:val="single" w:sz="8" w:space="0" w:color="auto"/>
              <w:bottom w:val="single" w:sz="8" w:space="0" w:color="auto"/>
              <w:right w:val="single" w:sz="8" w:space="0" w:color="auto"/>
            </w:tcBorders>
            <w:shd w:val="clear" w:color="000000" w:fill="A6A6A6"/>
            <w:noWrap/>
            <w:vAlign w:val="center"/>
            <w:hideMark/>
          </w:tcPr>
          <w:p w:rsidR="005114E0" w:rsidRPr="005114E0" w:rsidRDefault="005114E0" w:rsidP="005114E0">
            <w:pPr>
              <w:spacing w:after="0" w:line="240" w:lineRule="auto"/>
              <w:rPr>
                <w:rFonts w:ascii="Times New Roman" w:hAnsi="Times New Roman"/>
                <w:b/>
                <w:bCs/>
                <w:color w:val="000000"/>
                <w:lang w:eastAsia="sk-SK"/>
              </w:rPr>
            </w:pPr>
            <w:r w:rsidRPr="005114E0">
              <w:rPr>
                <w:rFonts w:ascii="Times New Roman" w:hAnsi="Times New Roman"/>
                <w:b/>
                <w:bCs/>
                <w:color w:val="000000"/>
                <w:lang w:eastAsia="sk-SK"/>
              </w:rPr>
              <w:t>Rozpočtovo nekrytý vplyv / úspora</w:t>
            </w:r>
          </w:p>
        </w:tc>
        <w:tc>
          <w:tcPr>
            <w:tcW w:w="1240" w:type="dxa"/>
            <w:tcBorders>
              <w:top w:val="nil"/>
              <w:left w:val="nil"/>
              <w:bottom w:val="single" w:sz="8" w:space="0" w:color="auto"/>
              <w:right w:val="single" w:sz="8" w:space="0" w:color="auto"/>
            </w:tcBorders>
            <w:shd w:val="clear" w:color="000000" w:fill="BFBFBF"/>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17 876 684</w:t>
            </w:r>
          </w:p>
        </w:tc>
        <w:tc>
          <w:tcPr>
            <w:tcW w:w="900" w:type="dxa"/>
            <w:tcBorders>
              <w:top w:val="nil"/>
              <w:left w:val="nil"/>
              <w:bottom w:val="single" w:sz="8" w:space="0" w:color="auto"/>
              <w:right w:val="single" w:sz="8" w:space="0" w:color="auto"/>
            </w:tcBorders>
            <w:shd w:val="clear" w:color="000000" w:fill="C0C0C0"/>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1340" w:type="dxa"/>
            <w:tcBorders>
              <w:top w:val="nil"/>
              <w:left w:val="nil"/>
              <w:bottom w:val="single" w:sz="8" w:space="0" w:color="auto"/>
              <w:right w:val="single" w:sz="8" w:space="0" w:color="auto"/>
            </w:tcBorders>
            <w:shd w:val="clear" w:color="000000" w:fill="C0C0C0"/>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c>
          <w:tcPr>
            <w:tcW w:w="1180" w:type="dxa"/>
            <w:tcBorders>
              <w:top w:val="nil"/>
              <w:left w:val="nil"/>
              <w:bottom w:val="single" w:sz="8" w:space="0" w:color="auto"/>
              <w:right w:val="single" w:sz="8" w:space="0" w:color="auto"/>
            </w:tcBorders>
            <w:shd w:val="clear" w:color="000000" w:fill="C0C0C0"/>
            <w:noWrap/>
            <w:vAlign w:val="center"/>
            <w:hideMark/>
          </w:tcPr>
          <w:p w:rsidR="005114E0" w:rsidRPr="005114E0" w:rsidRDefault="005114E0" w:rsidP="005114E0">
            <w:pPr>
              <w:spacing w:after="0" w:line="240" w:lineRule="auto"/>
              <w:jc w:val="right"/>
              <w:rPr>
                <w:rFonts w:ascii="Times New Roman" w:hAnsi="Times New Roman"/>
                <w:b/>
                <w:bCs/>
                <w:color w:val="000000"/>
                <w:lang w:eastAsia="sk-SK"/>
              </w:rPr>
            </w:pPr>
            <w:r w:rsidRPr="005114E0">
              <w:rPr>
                <w:rFonts w:ascii="Times New Roman" w:hAnsi="Times New Roman"/>
                <w:b/>
                <w:bCs/>
                <w:color w:val="000000"/>
                <w:lang w:eastAsia="sk-SK"/>
              </w:rPr>
              <w:t>0</w:t>
            </w:r>
          </w:p>
        </w:tc>
      </w:tr>
    </w:tbl>
    <w:p w:rsidR="00103E05" w:rsidRPr="00FC63F0" w:rsidRDefault="00103E05" w:rsidP="00FC63F0">
      <w:pPr>
        <w:spacing w:after="0" w:line="240" w:lineRule="auto"/>
        <w:jc w:val="both"/>
        <w:rPr>
          <w:rFonts w:ascii="Times New Roman" w:hAnsi="Times New Roman"/>
          <w:lang w:eastAsia="sk-SK"/>
        </w:rPr>
      </w:pPr>
    </w:p>
    <w:p w:rsidR="00103E05" w:rsidRPr="00FC63F0" w:rsidRDefault="00103E05" w:rsidP="00FC63F0">
      <w:pPr>
        <w:spacing w:after="0" w:line="240" w:lineRule="auto"/>
        <w:jc w:val="both"/>
        <w:rPr>
          <w:rFonts w:ascii="Times New Roman" w:hAnsi="Times New Roman"/>
          <w:lang w:eastAsia="sk-SK"/>
        </w:rPr>
      </w:pPr>
    </w:p>
    <w:p w:rsidR="009A17EA" w:rsidRPr="00FC63F0" w:rsidRDefault="007273C7" w:rsidP="00FC63F0">
      <w:pPr>
        <w:spacing w:after="0" w:line="240" w:lineRule="auto"/>
        <w:jc w:val="both"/>
        <w:rPr>
          <w:rFonts w:ascii="Times New Roman" w:hAnsi="Times New Roman"/>
          <w:b/>
          <w:bCs/>
          <w:lang w:eastAsia="sk-SK"/>
        </w:rPr>
      </w:pPr>
      <w:r w:rsidRPr="00FC63F0">
        <w:rPr>
          <w:rFonts w:ascii="Times New Roman" w:hAnsi="Times New Roman"/>
          <w:b/>
          <w:bCs/>
          <w:lang w:eastAsia="sk-SK"/>
        </w:rPr>
        <w:t xml:space="preserve">                                                                                                                                   </w:t>
      </w:r>
      <w:r w:rsidR="009A17EA" w:rsidRPr="00FC63F0">
        <w:rPr>
          <w:rFonts w:ascii="Times New Roman" w:hAnsi="Times New Roman"/>
          <w:b/>
          <w:bCs/>
          <w:lang w:eastAsia="sk-SK"/>
        </w:rPr>
        <w:t xml:space="preserve">                            </w:t>
      </w:r>
      <w:r w:rsidR="00866FE4" w:rsidRPr="00FC63F0">
        <w:rPr>
          <w:rFonts w:ascii="Times New Roman" w:hAnsi="Times New Roman"/>
          <w:b/>
          <w:bCs/>
          <w:lang w:eastAsia="sk-SK"/>
        </w:rPr>
        <w:t xml:space="preserve"> </w:t>
      </w:r>
    </w:p>
    <w:p w:rsidR="007D5748" w:rsidRPr="00FC63F0" w:rsidRDefault="007D5748" w:rsidP="00FC63F0">
      <w:pPr>
        <w:spacing w:after="0" w:line="240" w:lineRule="auto"/>
        <w:jc w:val="both"/>
        <w:rPr>
          <w:rFonts w:ascii="Times New Roman" w:hAnsi="Times New Roman"/>
          <w:b/>
          <w:bCs/>
          <w:lang w:eastAsia="sk-SK"/>
        </w:rPr>
      </w:pPr>
      <w:r w:rsidRPr="00FC63F0">
        <w:rPr>
          <w:rFonts w:ascii="Times New Roman" w:hAnsi="Times New Roman"/>
          <w:b/>
          <w:bCs/>
          <w:lang w:eastAsia="sk-SK"/>
        </w:rPr>
        <w:t>2.1.1. Financovanie návrhu - Návrh na riešenie úbytku príjmov alebo zvýšených výdavkov podľa § 33 ods. 1 zákona č. 523/2004 Z. z. o rozpočtových pravidlách verejnej správy:</w:t>
      </w:r>
    </w:p>
    <w:p w:rsidR="007D5748" w:rsidRPr="00FC63F0" w:rsidRDefault="007D5748" w:rsidP="00FC63F0">
      <w:pPr>
        <w:spacing w:after="0" w:line="240" w:lineRule="auto"/>
        <w:jc w:val="both"/>
        <w:rPr>
          <w:rFonts w:ascii="Times New Roman" w:hAnsi="Times New Roman"/>
          <w:b/>
          <w:bCs/>
          <w:lang w:eastAsia="sk-SK"/>
        </w:rPr>
      </w:pPr>
    </w:p>
    <w:p w:rsidR="00656F4B" w:rsidRPr="00FC63F0" w:rsidRDefault="00656F4B" w:rsidP="00FC63F0">
      <w:pPr>
        <w:spacing w:after="0" w:line="240" w:lineRule="auto"/>
        <w:jc w:val="both"/>
        <w:rPr>
          <w:rFonts w:ascii="Times New Roman" w:hAnsi="Times New Roman"/>
          <w:b/>
          <w:bCs/>
          <w:lang w:eastAsia="sk-SK"/>
        </w:rPr>
      </w:pPr>
    </w:p>
    <w:p w:rsidR="002D7EF7" w:rsidRPr="00FC63F0" w:rsidRDefault="008E25DF" w:rsidP="00FC63F0">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Cs/>
          <w:lang w:eastAsia="sk-SK"/>
        </w:rPr>
      </w:pPr>
      <w:r w:rsidRPr="00FC63F0">
        <w:rPr>
          <w:rFonts w:ascii="Times New Roman" w:hAnsi="Times New Roman"/>
          <w:bCs/>
          <w:lang w:eastAsia="sk-SK"/>
        </w:rPr>
        <w:t xml:space="preserve">Financovanie návrhu </w:t>
      </w:r>
      <w:r w:rsidR="00246984" w:rsidRPr="00FC63F0">
        <w:rPr>
          <w:rFonts w:ascii="Times New Roman" w:hAnsi="Times New Roman"/>
          <w:bCs/>
          <w:lang w:eastAsia="sk-SK"/>
        </w:rPr>
        <w:t xml:space="preserve">ohľadom osôb, ktoré nie sú zúčastnené na verejnom zdravotnom poistení, </w:t>
      </w:r>
      <w:r w:rsidRPr="00FC63F0">
        <w:rPr>
          <w:rFonts w:ascii="Times New Roman" w:hAnsi="Times New Roman"/>
          <w:bCs/>
          <w:lang w:eastAsia="sk-SK"/>
        </w:rPr>
        <w:t xml:space="preserve">bude zabezpečené v rámci rozpočtu </w:t>
      </w:r>
      <w:r w:rsidR="00FD039D" w:rsidRPr="00FC63F0">
        <w:rPr>
          <w:rFonts w:ascii="Times New Roman" w:hAnsi="Times New Roman"/>
          <w:bCs/>
          <w:lang w:eastAsia="sk-SK"/>
        </w:rPr>
        <w:t>Ministerstva zdravotníctva SR</w:t>
      </w:r>
      <w:r w:rsidR="007F30EB" w:rsidRPr="00FC63F0">
        <w:rPr>
          <w:rFonts w:ascii="Times New Roman" w:hAnsi="Times New Roman"/>
          <w:bCs/>
          <w:lang w:eastAsia="sk-SK"/>
        </w:rPr>
        <w:t>.</w:t>
      </w:r>
    </w:p>
    <w:p w:rsidR="007F30EB" w:rsidRPr="00FC63F0" w:rsidRDefault="007F30EB" w:rsidP="00FC63F0">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Cs/>
          <w:lang w:eastAsia="sk-SK"/>
        </w:rPr>
      </w:pPr>
      <w:r w:rsidRPr="00FC63F0">
        <w:rPr>
          <w:rFonts w:ascii="Times New Roman" w:hAnsi="Times New Roman"/>
          <w:bCs/>
          <w:lang w:eastAsia="sk-SK"/>
        </w:rPr>
        <w:t xml:space="preserve">Predložený návrh zákona </w:t>
      </w:r>
      <w:r w:rsidR="00246984" w:rsidRPr="00FC63F0">
        <w:rPr>
          <w:rFonts w:ascii="Times New Roman" w:hAnsi="Times New Roman"/>
          <w:bCs/>
          <w:lang w:eastAsia="sk-SK"/>
        </w:rPr>
        <w:t xml:space="preserve">ohľadom rezidentského štúdia </w:t>
      </w:r>
      <w:r w:rsidRPr="00FC63F0">
        <w:rPr>
          <w:rFonts w:ascii="Times New Roman" w:hAnsi="Times New Roman"/>
          <w:bCs/>
          <w:lang w:eastAsia="sk-SK"/>
        </w:rPr>
        <w:t>predpokladá v roku 2020 úsporu verejných prostriedkov vo výške 2 500 000 eur.</w:t>
      </w:r>
      <w:r w:rsidR="00073BA9" w:rsidRPr="00FC63F0">
        <w:rPr>
          <w:rFonts w:ascii="Times New Roman" w:hAnsi="Times New Roman"/>
        </w:rPr>
        <w:t xml:space="preserve"> </w:t>
      </w:r>
      <w:r w:rsidR="00073BA9" w:rsidRPr="00FC63F0">
        <w:rPr>
          <w:rFonts w:ascii="Times New Roman" w:hAnsi="Times New Roman"/>
          <w:bCs/>
          <w:lang w:eastAsia="sk-SK"/>
        </w:rPr>
        <w:t xml:space="preserve">Predpokladá sa zriadenie </w:t>
      </w:r>
      <w:r w:rsidR="00C92D63" w:rsidRPr="00FC63F0">
        <w:rPr>
          <w:rFonts w:ascii="Times New Roman" w:hAnsi="Times New Roman"/>
          <w:bCs/>
          <w:lang w:eastAsia="sk-SK"/>
        </w:rPr>
        <w:t>epidemiologických ambulancií, alebo premenu pevnej ambulantnej pohotovostnej služby dočasne za epidemiologické ambulancie a zriadenie mobilných odberových miest. Počet takýchto epidemiologických ambulancií, počet zmenených pevných ambulantných pohotovostných služieb alebo počet mobilných odberových miest bude stanovovať Regionálny úrad verejného zdravotníctva a MZSR podľa epidemiologickej situácie v</w:t>
      </w:r>
      <w:r w:rsidR="00C92D63" w:rsidRPr="00FC63F0">
        <w:rPr>
          <w:rFonts w:ascii="Times New Roman" w:hAnsi="Times New Roman"/>
          <w:color w:val="000000"/>
        </w:rPr>
        <w:t xml:space="preserve"> súvislosti s mimoriadnou situáciou COVID-19. P</w:t>
      </w:r>
      <w:r w:rsidR="00073BA9" w:rsidRPr="00FC63F0">
        <w:rPr>
          <w:rFonts w:ascii="Times New Roman" w:hAnsi="Times New Roman"/>
          <w:bCs/>
          <w:lang w:eastAsia="sk-SK"/>
        </w:rPr>
        <w:t>evná cena</w:t>
      </w:r>
      <w:r w:rsidR="00246984" w:rsidRPr="00FC63F0">
        <w:rPr>
          <w:rFonts w:ascii="Times New Roman" w:hAnsi="Times New Roman"/>
          <w:bCs/>
          <w:lang w:eastAsia="sk-SK"/>
        </w:rPr>
        <w:t xml:space="preserve"> niektorých zdravotných výkonov</w:t>
      </w:r>
      <w:r w:rsidR="00073BA9" w:rsidRPr="00FC63F0">
        <w:rPr>
          <w:rFonts w:ascii="Times New Roman" w:hAnsi="Times New Roman"/>
          <w:bCs/>
          <w:lang w:eastAsia="sk-SK"/>
        </w:rPr>
        <w:t xml:space="preserve"> </w:t>
      </w:r>
      <w:r w:rsidR="00C92D63" w:rsidRPr="00FC63F0">
        <w:rPr>
          <w:rFonts w:ascii="Times New Roman" w:hAnsi="Times New Roman"/>
          <w:bCs/>
          <w:lang w:eastAsia="sk-SK"/>
        </w:rPr>
        <w:t>je stanovená priamo v zákone</w:t>
      </w:r>
      <w:r w:rsidR="00073BA9" w:rsidRPr="00FC63F0">
        <w:rPr>
          <w:rFonts w:ascii="Times New Roman" w:hAnsi="Times New Roman"/>
          <w:bCs/>
          <w:lang w:eastAsia="sk-SK"/>
        </w:rPr>
        <w:t>. V tejto súvislosti sa predpokladá nárast výdavkov zo zdrojov verejného zdravotného poistenia.</w:t>
      </w:r>
      <w:r w:rsidR="00C92D63" w:rsidRPr="00FC63F0">
        <w:rPr>
          <w:rFonts w:ascii="Times New Roman" w:hAnsi="Times New Roman"/>
          <w:bCs/>
          <w:lang w:eastAsia="sk-SK"/>
        </w:rPr>
        <w:t xml:space="preserve"> V súvislosti s nemožnosťou stanoviť presný počet ambulancií </w:t>
      </w:r>
      <w:r w:rsidR="00073BA9" w:rsidRPr="00FC63F0">
        <w:rPr>
          <w:rFonts w:ascii="Times New Roman" w:hAnsi="Times New Roman"/>
          <w:bCs/>
          <w:lang w:eastAsia="sk-SK"/>
        </w:rPr>
        <w:t xml:space="preserve"> nie je možné </w:t>
      </w:r>
      <w:r w:rsidR="00C92D63" w:rsidRPr="00FC63F0">
        <w:rPr>
          <w:rFonts w:ascii="Times New Roman" w:hAnsi="Times New Roman"/>
          <w:bCs/>
          <w:lang w:eastAsia="sk-SK"/>
        </w:rPr>
        <w:t xml:space="preserve">zadefinovať </w:t>
      </w:r>
      <w:r w:rsidR="00B1226E" w:rsidRPr="00FC63F0">
        <w:rPr>
          <w:rFonts w:ascii="Times New Roman" w:hAnsi="Times New Roman"/>
          <w:bCs/>
          <w:lang w:eastAsia="sk-SK"/>
        </w:rPr>
        <w:t xml:space="preserve">dostatočne </w:t>
      </w:r>
      <w:r w:rsidR="00C92D63" w:rsidRPr="00FC63F0">
        <w:rPr>
          <w:rFonts w:ascii="Times New Roman" w:hAnsi="Times New Roman"/>
          <w:bCs/>
          <w:lang w:eastAsia="sk-SK"/>
        </w:rPr>
        <w:t>predpokladaný vplyv</w:t>
      </w:r>
      <w:r w:rsidR="00B1226E" w:rsidRPr="00FC63F0">
        <w:rPr>
          <w:rFonts w:ascii="Times New Roman" w:hAnsi="Times New Roman"/>
          <w:bCs/>
          <w:lang w:eastAsia="sk-SK"/>
        </w:rPr>
        <w:t>.</w:t>
      </w:r>
    </w:p>
    <w:p w:rsidR="007F30EB" w:rsidRPr="00FC63F0" w:rsidRDefault="007F30EB" w:rsidP="00FC63F0">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bCs/>
          <w:lang w:eastAsia="sk-SK"/>
        </w:rPr>
      </w:pPr>
    </w:p>
    <w:p w:rsidR="00656F4B" w:rsidRPr="00FC63F0" w:rsidRDefault="00656F4B" w:rsidP="00FC63F0">
      <w:pPr>
        <w:spacing w:after="0" w:line="240" w:lineRule="auto"/>
        <w:jc w:val="both"/>
        <w:rPr>
          <w:rFonts w:ascii="Times New Roman" w:hAnsi="Times New Roman"/>
          <w:b/>
          <w:bCs/>
          <w:lang w:eastAsia="sk-SK"/>
        </w:rPr>
      </w:pPr>
    </w:p>
    <w:p w:rsidR="007D5748" w:rsidRPr="00FC63F0" w:rsidRDefault="007D5748" w:rsidP="00FC63F0">
      <w:pPr>
        <w:spacing w:after="0" w:line="240" w:lineRule="auto"/>
        <w:jc w:val="both"/>
        <w:rPr>
          <w:rFonts w:ascii="Times New Roman" w:hAnsi="Times New Roman"/>
          <w:b/>
          <w:bCs/>
          <w:lang w:eastAsia="sk-SK"/>
        </w:rPr>
      </w:pPr>
      <w:r w:rsidRPr="00FC63F0">
        <w:rPr>
          <w:rFonts w:ascii="Times New Roman" w:hAnsi="Times New Roman"/>
          <w:b/>
          <w:bCs/>
          <w:lang w:eastAsia="sk-SK"/>
        </w:rPr>
        <w:t>2.2. Popis a charakteristika návrhu</w:t>
      </w:r>
    </w:p>
    <w:p w:rsidR="002439B0" w:rsidRPr="00FC63F0" w:rsidRDefault="00176F52" w:rsidP="00FC63F0">
      <w:pPr>
        <w:spacing w:after="0" w:line="240" w:lineRule="auto"/>
        <w:jc w:val="both"/>
        <w:rPr>
          <w:rFonts w:ascii="Times New Roman" w:hAnsi="Times New Roman"/>
          <w:b/>
          <w:bCs/>
          <w:lang w:eastAsia="sk-SK"/>
        </w:rPr>
      </w:pPr>
      <w:r w:rsidRPr="00FC63F0">
        <w:rPr>
          <w:rFonts w:ascii="Times New Roman" w:hAnsi="Times New Roman"/>
          <w:b/>
          <w:bCs/>
          <w:lang w:eastAsia="sk-SK"/>
        </w:rPr>
        <w:t>2.2.1. Popis návrhu:</w:t>
      </w:r>
    </w:p>
    <w:p w:rsidR="00C53D12" w:rsidRPr="00FC63F0" w:rsidRDefault="00C53D12" w:rsidP="00FC63F0">
      <w:pPr>
        <w:spacing w:after="0" w:line="240" w:lineRule="auto"/>
        <w:jc w:val="both"/>
        <w:rPr>
          <w:rFonts w:ascii="Times New Roman" w:hAnsi="Times New Roman"/>
          <w:color w:val="000000"/>
        </w:rPr>
      </w:pPr>
    </w:p>
    <w:p w:rsidR="003E596D" w:rsidRPr="00FC63F0" w:rsidRDefault="003E596D" w:rsidP="00FC63F0">
      <w:pPr>
        <w:spacing w:after="0" w:line="240" w:lineRule="auto"/>
        <w:jc w:val="both"/>
        <w:rPr>
          <w:rFonts w:ascii="Times New Roman" w:hAnsi="Times New Roman"/>
          <w:color w:val="000000"/>
        </w:rPr>
      </w:pPr>
      <w:r w:rsidRPr="00FC63F0">
        <w:rPr>
          <w:rFonts w:ascii="Times New Roman" w:hAnsi="Times New Roman"/>
          <w:color w:val="000000"/>
        </w:rPr>
        <w:t xml:space="preserve">V súvislosti s ohrozením verejného zdravia z dôvodu ochorenia COVID-19 spôsobeným korona vírusom zákon upravuje niektoré opatrenia a postupy v oblastiach, ktoré sú vo vecnej pôsobnosti Ministerstva zdravotníctva Slovenskej republiky. </w:t>
      </w:r>
    </w:p>
    <w:p w:rsidR="003E596D" w:rsidRPr="00FC63F0" w:rsidRDefault="003E596D" w:rsidP="00FC63F0">
      <w:pPr>
        <w:spacing w:after="0" w:line="240" w:lineRule="auto"/>
        <w:jc w:val="both"/>
        <w:rPr>
          <w:rFonts w:ascii="Times New Roman" w:hAnsi="Times New Roman"/>
          <w:color w:val="000000"/>
        </w:rPr>
      </w:pPr>
    </w:p>
    <w:p w:rsidR="00C92D63" w:rsidRPr="00FC63F0" w:rsidRDefault="00C92D63" w:rsidP="00FC63F0">
      <w:pPr>
        <w:spacing w:after="0" w:line="240" w:lineRule="auto"/>
        <w:jc w:val="both"/>
        <w:rPr>
          <w:rFonts w:ascii="Times New Roman" w:hAnsi="Times New Roman"/>
          <w:b/>
          <w:color w:val="000000"/>
          <w:u w:val="single"/>
        </w:rPr>
      </w:pPr>
      <w:r w:rsidRPr="00FC63F0">
        <w:rPr>
          <w:rFonts w:ascii="Times New Roman" w:hAnsi="Times New Roman"/>
          <w:b/>
          <w:color w:val="000000"/>
          <w:u w:val="single"/>
        </w:rPr>
        <w:t xml:space="preserve">Čl. I – zákon č. 578/2004 Z. z. </w:t>
      </w:r>
    </w:p>
    <w:p w:rsidR="00C92D63" w:rsidRPr="00FC63F0" w:rsidRDefault="00C92D63" w:rsidP="00FC63F0">
      <w:pPr>
        <w:spacing w:after="0" w:line="240" w:lineRule="auto"/>
        <w:jc w:val="both"/>
        <w:rPr>
          <w:rFonts w:ascii="Times New Roman" w:hAnsi="Times New Roman"/>
          <w:b/>
          <w:color w:val="000000"/>
        </w:rPr>
      </w:pPr>
      <w:r w:rsidRPr="00FC63F0">
        <w:rPr>
          <w:rFonts w:ascii="Times New Roman" w:hAnsi="Times New Roman"/>
          <w:b/>
          <w:color w:val="000000"/>
        </w:rPr>
        <w:t>Mobilné odberové miesta</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Navrhovanou úpravou sa rozširuje definícia poskytovateľa zdravotnej starostlivosti. Novým poskytovateľom zdravotnej starostlivosti bude aj taký poskytovateľ zdravotnej starostlivosti, ktorý vznikne na základe rozhodnutia Regionálneho úradu verejného zdravotníctva o nariadení vytvorenia mobilného odberového miesta. Cieľom tejto úpravy je v súvislosti s mimoriadnou situáciou COVID-19 vytvoriť pružne samostatného poskytovateľa zdravotnej starostlivosti, ktorý bude vykonávať odbery biologického materiálu.</w:t>
      </w:r>
    </w:p>
    <w:p w:rsidR="00C92D63" w:rsidRPr="00FC63F0" w:rsidRDefault="00C92D63" w:rsidP="00FC63F0">
      <w:pPr>
        <w:spacing w:after="0" w:line="240" w:lineRule="auto"/>
        <w:jc w:val="both"/>
        <w:rPr>
          <w:rFonts w:ascii="Times New Roman" w:hAnsi="Times New Roman"/>
          <w:b/>
          <w:color w:val="000000"/>
        </w:rPr>
      </w:pPr>
      <w:r w:rsidRPr="00FC63F0">
        <w:rPr>
          <w:rFonts w:ascii="Times New Roman" w:hAnsi="Times New Roman"/>
          <w:b/>
          <w:color w:val="000000"/>
        </w:rPr>
        <w:t>Epidemiologická ambulancia</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Taktiež sa navrhuje zriadiť epidemiologickú ambulanciu na zabezpečenie poskytovania zdravotnej starostlivosti osobám, ktoré majú diagnostikova</w:t>
      </w:r>
      <w:r w:rsidR="00622021" w:rsidRPr="00FC63F0">
        <w:rPr>
          <w:rFonts w:ascii="Times New Roman" w:hAnsi="Times New Roman"/>
          <w:color w:val="000000"/>
        </w:rPr>
        <w:t>ť</w:t>
      </w:r>
      <w:r w:rsidRPr="00FC63F0">
        <w:rPr>
          <w:rFonts w:ascii="Times New Roman" w:hAnsi="Times New Roman"/>
          <w:color w:val="000000"/>
        </w:rPr>
        <w:t xml:space="preserve"> ochorenie COVID-19 spôsobeným korona vírusom a</w:t>
      </w:r>
      <w:r w:rsidR="00622021" w:rsidRPr="00FC63F0">
        <w:rPr>
          <w:rFonts w:ascii="Times New Roman" w:hAnsi="Times New Roman"/>
          <w:color w:val="000000"/>
        </w:rPr>
        <w:t> zabraňujú tak nákaze</w:t>
      </w:r>
      <w:r w:rsidRPr="00FC63F0">
        <w:rPr>
          <w:rFonts w:ascii="Times New Roman" w:hAnsi="Times New Roman"/>
          <w:color w:val="000000"/>
        </w:rPr>
        <w:t xml:space="preserve"> zdravých osôb. Ak to bude samosprávny kraj považovať za efektívnejšie alebo z iných dôvodov nebude môcť požiadať sám o vydanie povolenia na prevádzkovanie epidemiologickej ambulancie a zároveň vyhodnotí, že zriadenie epidemiologickej ambulancie je z hľadiska ochrany zdravia a manažmentu pacientov na území samosprávneho kraja nevyhnutné, môže požiadať ministerstvo zdravotníctva, aby vydalo rozhodnutie, ktorým </w:t>
      </w:r>
      <w:r w:rsidRPr="00FC63F0">
        <w:rPr>
          <w:rFonts w:ascii="Times New Roman" w:hAnsi="Times New Roman"/>
          <w:color w:val="000000"/>
        </w:rPr>
        <w:lastRenderedPageBreak/>
        <w:t xml:space="preserve">sa zabezpečí, aby činnosť </w:t>
      </w:r>
      <w:bookmarkStart w:id="0" w:name="_GoBack"/>
      <w:bookmarkEnd w:id="0"/>
      <w:r w:rsidRPr="00FC63F0">
        <w:rPr>
          <w:rFonts w:ascii="Times New Roman" w:hAnsi="Times New Roman"/>
          <w:color w:val="000000"/>
        </w:rPr>
        <w:t>epidemiologickej ambulancie dočasne vykonával držiteľ povolenia na prevádzkovanie ambulantnej pohotovostnej služby. Využijú sa tým existujúce štruktúry, priestory a materiálno technické vybavenie.</w:t>
      </w:r>
    </w:p>
    <w:p w:rsidR="00C92D63" w:rsidRPr="00FC63F0" w:rsidRDefault="00C92D63" w:rsidP="00FC63F0">
      <w:pPr>
        <w:spacing w:after="0" w:line="240" w:lineRule="auto"/>
        <w:jc w:val="both"/>
        <w:rPr>
          <w:rFonts w:ascii="Times New Roman" w:hAnsi="Times New Roman"/>
          <w:b/>
          <w:color w:val="000000"/>
        </w:rPr>
      </w:pPr>
      <w:r w:rsidRPr="00FC63F0">
        <w:rPr>
          <w:rFonts w:ascii="Times New Roman" w:hAnsi="Times New Roman"/>
          <w:b/>
          <w:color w:val="000000"/>
        </w:rPr>
        <w:t>Dočasná odborná stáž, štátny jazyk a vzdelávanie zdravotníckych pracovníkov</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Cieľom predloženého návrhu je dočasne zjednodušiť preukazovanie splnenia podmienky ovládania štátneho jazyka u cudzinca na výkon zdravotníckeho povolania formou predloženia čestného vyhlásenia o ovládaní štátneho jazyka v rozsahu nevyhnutnom na výkon zdravotníckeho povolania ako alternatívy podľa § 55 zákona č. 422/2015 Z. z., ktorou je rozhodnutie o overení ovládania štátneho jazyka vydanom Ministerstvom zdravotníctva Slovenskej republiky, štátna jazyková skúška zo štátneho jazyka alebo z jazyka, ktorý spĺňa požiadavku základnej zrozumiteľnosti. Cieľom navrhovanej právnej úpravy je zabránenie možným komplikáciám v rámci ďalšieho vzdelávania zdravotníckych pracovníkov, ktoré by vznikli vzdelávacím ustanovizniam a poskytovateľom zdravotnej starostlivosti počas krízovej situácie. Avšak vzhľadom na akútnu potrebu zdravotníckeho personálu v zdravotníckych zariadeniach v tomto čase považujeme za potrebné, aby zdravotnícki pracovníci, ktorý majú splnené všetky požiadavky mali možnosť štúdium ukončiť. Dočasne sa pozastavuje plnenie povinnosti ďalšieho vzdelávania zdravotníckych pracovníkov ako aj následný proces jeho hodnotenia a s týmto procesom súvisiace lehoty. Upravujú sa podmienky realizácie rezidentského štúdia. Zavádza sa inštitút dočasnej odbornej stáže pre občanov z tretích štátov a občanov členských štátov pre výkon odborných pracovných činností v rozsahu praxe lekára pri poskytovaní zdravotnej starostlivosti. Potreba zavedenia inštitútu odbornej stáže vzišla z nedostatku pracovníkov v zdravotníctve počas výnimočnej situácie, pandémie ochorenia COVID-19. Výkon stáže môže vykonávať iba osoba, ktorá má uznaný doklad o vzdelaní (diplom), a vykonávať činností pod priamym dohľadom.</w:t>
      </w:r>
    </w:p>
    <w:p w:rsidR="00C92D63" w:rsidRPr="00FC63F0" w:rsidRDefault="00C92D63" w:rsidP="00FC63F0">
      <w:pPr>
        <w:spacing w:after="0" w:line="240" w:lineRule="auto"/>
        <w:jc w:val="both"/>
        <w:rPr>
          <w:rFonts w:ascii="Times New Roman" w:hAnsi="Times New Roman"/>
          <w:b/>
          <w:color w:val="000000"/>
        </w:rPr>
      </w:pPr>
      <w:r w:rsidRPr="00FC63F0">
        <w:rPr>
          <w:rFonts w:ascii="Times New Roman" w:hAnsi="Times New Roman"/>
          <w:b/>
          <w:color w:val="000000"/>
        </w:rPr>
        <w:t>Dopravná zdravotná služba</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Poskytovateľovi, ktorý prevádzkuje ambulanciu dopravnej zdravotnej služby sa ustanovuje nová povinnosť počas výnimočného stavu, núdzového stavu alebo mimoriadnej situácie a to prepraviť zdravotníckeho pracovníka za účelom odberu biologického materiálu osobe alebo prepraviť osobu s prihliadnutím na jej zdravotný stav a okolnosti na miesto určené operačným strediskom tiesňového volania záchrannej zdravotnej služby, ak takúto prepravu nie je možné vykonať ambulanciou záchrannej zdravotnej služby z dôvodu jej vyťaženosti. Táto povinnosť sa ustanovuje z dôvodu pružnosti zabezpečiť prepravu osobe na možnosť vykonania odberu biologického materiálu alebo osobu na odber prepraviť v súvislosti s pandémiou choroby COVID-19.</w:t>
      </w:r>
    </w:p>
    <w:p w:rsidR="00C92D63" w:rsidRPr="00FC63F0" w:rsidRDefault="00C92D63" w:rsidP="00FC63F0">
      <w:pPr>
        <w:spacing w:after="0" w:line="240" w:lineRule="auto"/>
        <w:jc w:val="both"/>
        <w:rPr>
          <w:rFonts w:ascii="Times New Roman" w:hAnsi="Times New Roman"/>
          <w:color w:val="000000"/>
        </w:rPr>
      </w:pPr>
    </w:p>
    <w:p w:rsidR="00C92D63" w:rsidRPr="00FC63F0" w:rsidRDefault="00C92D63" w:rsidP="00FC63F0">
      <w:pPr>
        <w:spacing w:after="0" w:line="240" w:lineRule="auto"/>
        <w:jc w:val="both"/>
        <w:rPr>
          <w:rFonts w:ascii="Times New Roman" w:hAnsi="Times New Roman"/>
          <w:b/>
          <w:color w:val="000000"/>
          <w:u w:val="single"/>
        </w:rPr>
      </w:pPr>
      <w:r w:rsidRPr="00FC63F0">
        <w:rPr>
          <w:rFonts w:ascii="Times New Roman" w:hAnsi="Times New Roman"/>
          <w:b/>
          <w:color w:val="000000"/>
          <w:u w:val="single"/>
        </w:rPr>
        <w:t xml:space="preserve">Čl. II – zákon č. 576/2004 Z. z. </w:t>
      </w:r>
    </w:p>
    <w:p w:rsidR="00C92D63" w:rsidRPr="00FC63F0" w:rsidRDefault="00C92D63" w:rsidP="00FC63F0">
      <w:pPr>
        <w:spacing w:after="0" w:line="240" w:lineRule="auto"/>
        <w:jc w:val="both"/>
        <w:rPr>
          <w:rFonts w:ascii="Times New Roman" w:hAnsi="Times New Roman"/>
          <w:b/>
          <w:color w:val="000000"/>
        </w:rPr>
      </w:pPr>
      <w:r w:rsidRPr="00FC63F0">
        <w:rPr>
          <w:rFonts w:ascii="Times New Roman" w:hAnsi="Times New Roman"/>
          <w:b/>
          <w:color w:val="000000"/>
        </w:rPr>
        <w:t>Hospodárska mobilizácia</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V prípade vyhlásenia výnimočného stavu, núdzového stavu alebo mimoriadnej situácie podľa ústavného zákona č. 227/2002 Z. z. sa hospodárska činnosť poskytovateľov zdravotnej starostlivosti v postavení subjektu hospodárskej mobilizácie obmedzuje z dôvodu zabezpečenia opatrení hospodárskej mobilizácie podľa zákona č. 179/2011 Z. z. Navrhuje sa, aby poskytovanie zdravotnej starostlivosti subjektov v postavení subjektu hospodárskej mobilizácie bolo považované za nehospodársku činnosť, vzhľadom k tomu, že ide o obmedzenie štandardnej hospodárskej činnosti subjektov poskytujúcich zdravotnú starostlivosť. Zároveň táto zmena nemá žiadny vplyv na obchod.</w:t>
      </w:r>
    </w:p>
    <w:p w:rsidR="00C92D63" w:rsidRPr="00FC63F0" w:rsidRDefault="00C92D63" w:rsidP="00FC63F0">
      <w:pPr>
        <w:spacing w:after="0" w:line="240" w:lineRule="auto"/>
        <w:jc w:val="both"/>
        <w:rPr>
          <w:rFonts w:ascii="Times New Roman" w:hAnsi="Times New Roman"/>
          <w:b/>
          <w:color w:val="000000"/>
        </w:rPr>
      </w:pPr>
      <w:r w:rsidRPr="00FC63F0">
        <w:rPr>
          <w:rFonts w:ascii="Times New Roman" w:hAnsi="Times New Roman"/>
          <w:b/>
          <w:color w:val="000000"/>
        </w:rPr>
        <w:t>Telemedicína</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 xml:space="preserve">Navrhuje sa doplnenie možnosti poskytovať ambulantnú starostlivosť vo forme konzultácií prostredníctvom elektronických komunikácií bez prítomnosti pacienta. Prax ukazuje, že je bežné poskytovanie konzultácií telefonicky alebo e-mailom (prostredníctvom iných elektronických komunikácií), avšak tie nemajú dnes oporu v zákone (napr. overovanie výsledkov cez telefón, konzultácia zdravotného stavu a pod.). Podmienkou pre poskytnutie zdravotnej starostlivosti touto formou bude overenie totožnosti a poistného vzťahu poistenca s jeho príslušnou zdravotnou poisťovňou zo strany poskytovateľa zdravotnej starostlivosti. Úhrada tohto zdravotného výkonu sa bude dohadovať medzi zdravotnou poisťovňou s poskytovateľom zdravotnej starostlivosti v zmluve o poskytovaní zdravotnej starostlivosti, kde bude v takom prípade povinnosťou dohodnúť aj proces overenia totožnosti a poistného vzťahu poistenca priamo zdravotnou poisťovňou.  </w:t>
      </w:r>
    </w:p>
    <w:p w:rsidR="00C92D63" w:rsidRPr="00FC63F0" w:rsidRDefault="00C92D63" w:rsidP="00FC63F0">
      <w:pPr>
        <w:spacing w:after="0" w:line="240" w:lineRule="auto"/>
        <w:jc w:val="both"/>
        <w:rPr>
          <w:rFonts w:ascii="Times New Roman" w:hAnsi="Times New Roman"/>
          <w:color w:val="000000"/>
        </w:rPr>
      </w:pPr>
    </w:p>
    <w:p w:rsidR="00C92D63" w:rsidRPr="00FC63F0" w:rsidRDefault="00C92D63" w:rsidP="00FC63F0">
      <w:pPr>
        <w:spacing w:after="0" w:line="240" w:lineRule="auto"/>
        <w:jc w:val="both"/>
        <w:rPr>
          <w:rFonts w:ascii="Times New Roman" w:hAnsi="Times New Roman"/>
          <w:b/>
          <w:color w:val="000000"/>
          <w:u w:val="single"/>
        </w:rPr>
      </w:pPr>
      <w:r w:rsidRPr="00FC63F0">
        <w:rPr>
          <w:rFonts w:ascii="Times New Roman" w:hAnsi="Times New Roman"/>
          <w:b/>
          <w:color w:val="000000"/>
          <w:u w:val="single"/>
        </w:rPr>
        <w:t xml:space="preserve">Čl. III – zákona č. 577/2004 Z. z. </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 xml:space="preserve">Navrhuje sa, aby bol od úhrady spoluúčasti za jeden kilometer jazdy oslobodený zdravotnícky pracovník, ktorého prepravuje ambulancia dopravnej zdravotnej služby na miesto určené Operačným strediskom tiesňového volania záchrannej zdravotnej služby za účelom odberu biologického materiálu v súvislosti s </w:t>
      </w:r>
      <w:r w:rsidRPr="00FC63F0">
        <w:rPr>
          <w:rFonts w:ascii="Times New Roman" w:hAnsi="Times New Roman"/>
          <w:color w:val="000000"/>
        </w:rPr>
        <w:lastRenderedPageBreak/>
        <w:t>pandémiou choroby COVID-19. Navrhuje sa umožniť, aby mohol pacient absolvovať kúpeľnú starostlivosť po skončení krízovej situácie, aj keď už uplynula lehota, ktorá pre danú kúpeľnú starostlivosť vyplýva z indikačných obmedzení. Potrebu absolvovať kúpeľnú starostlivosť ale musí potvrdiť lekár, ktorý je oprávnený návrh na kúpeľnú starostlivosť  podať. Nepôjde o nový návrh, ale o potvrdenie potreby kúpeľnú starostlivosť absolvovať, opätovné potvrdenie zo strany zdravotnej poisťovne by sa teda nemalo vyžadovať, ak bolo pred tým dané. Pri chronických ochoreniach nebude potrebné potvrdenie vystavovať, v indikácii totiž ani nie je uvedené časové obmedzenie.</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Vzhľadom na skutočnosť, že počas krízovej situácie bola obmedzená dostupnosť zubno-lekárskej starostlivosti, pre rok 2021 sa nebude vyžadovať absolvovanie preventívnej prehliadky za rok 2020 na účel úhrady za liečbu zubného kazu.</w:t>
      </w:r>
    </w:p>
    <w:p w:rsidR="00C92D63" w:rsidRPr="00FC63F0" w:rsidRDefault="00C92D63" w:rsidP="00FC63F0">
      <w:pPr>
        <w:spacing w:after="0" w:line="240" w:lineRule="auto"/>
        <w:jc w:val="both"/>
        <w:rPr>
          <w:rFonts w:ascii="Times New Roman" w:hAnsi="Times New Roman"/>
          <w:color w:val="000000"/>
        </w:rPr>
      </w:pPr>
    </w:p>
    <w:p w:rsidR="00C92D63" w:rsidRPr="00FC63F0" w:rsidRDefault="00C92D63" w:rsidP="00FC63F0">
      <w:pPr>
        <w:spacing w:after="0" w:line="240" w:lineRule="auto"/>
        <w:jc w:val="both"/>
        <w:rPr>
          <w:rFonts w:ascii="Times New Roman" w:hAnsi="Times New Roman"/>
          <w:b/>
          <w:color w:val="000000"/>
          <w:u w:val="single"/>
        </w:rPr>
      </w:pPr>
      <w:r w:rsidRPr="00FC63F0">
        <w:rPr>
          <w:rFonts w:ascii="Times New Roman" w:hAnsi="Times New Roman"/>
          <w:b/>
          <w:color w:val="000000"/>
          <w:u w:val="single"/>
        </w:rPr>
        <w:t xml:space="preserve">Čl. IV – zákon č. 579/2004 Z. z. </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 xml:space="preserve">Operačnému stredisku tiesňového volania sa ustanovuje nová kompetencia počas výnimočného stavu, núdzového stavu alebo mimoriadnej situácie a to vydať pokyn ambulancii dopravnej zdravotnej služby na prepravu  zdravotníckeho pracovníka za účelom odberu biologického materiálu osobe alebo prepravu osoby s prihliadnutím na jej zdravotný stav a okolnosti na miesto určené operačným strediskom, ak takúto prepravu nie je možné vykonať ambulanciou záchrannej zdravotnej služby z dôvodu jej vyťaženosti. </w:t>
      </w:r>
    </w:p>
    <w:p w:rsidR="00C92D63" w:rsidRPr="00FC63F0" w:rsidRDefault="00C92D63" w:rsidP="00FC63F0">
      <w:pPr>
        <w:spacing w:after="0" w:line="240" w:lineRule="auto"/>
        <w:jc w:val="both"/>
        <w:rPr>
          <w:rFonts w:ascii="Times New Roman" w:hAnsi="Times New Roman"/>
          <w:color w:val="000000"/>
        </w:rPr>
      </w:pPr>
    </w:p>
    <w:p w:rsidR="00C92D63" w:rsidRPr="00FC63F0" w:rsidRDefault="00C92D63" w:rsidP="00FC63F0">
      <w:pPr>
        <w:spacing w:after="0" w:line="240" w:lineRule="auto"/>
        <w:jc w:val="both"/>
        <w:rPr>
          <w:rFonts w:ascii="Times New Roman" w:hAnsi="Times New Roman"/>
          <w:b/>
          <w:color w:val="000000"/>
          <w:u w:val="single"/>
        </w:rPr>
      </w:pPr>
      <w:r w:rsidRPr="00FC63F0">
        <w:rPr>
          <w:rFonts w:ascii="Times New Roman" w:hAnsi="Times New Roman"/>
          <w:b/>
          <w:color w:val="000000"/>
          <w:u w:val="single"/>
        </w:rPr>
        <w:t>Čl. V – zákon č. 580/2004 Z. z.</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V súčasnej mimoriadnej situácii viacerí zamestnávatelia pristúpili k mnohým opatreniam na udržanie zamestnanosti, vrátane dočasného zníženia mzdy zamestnancov. Cieľom navrhovanej úpravy je, aby v stanovenom období pre takýchto zamestnancov zostala zachovaná účasť na verejnom zdravotnom poistení.</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Doposiaľ platná právna úprava vyžaduje pre prihlášky na verejné zdravotné poistenie ich písomnú formu a podpis osoby, ktorá prihlášku podáva (resp. osôb, ktoré sú oprávnené na jej podanie). Navrhuje sa elektronické podanie prihlášky.</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 xml:space="preserve">V období platnosti mimoriadnych opatrení sa pozastavuje oznamovanie porušení oznamovacích povinností poistenca a platiteľa poistného na Úrad a predpisovanie pokút za tieto porušenia. </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Vzhľadom k potrebe plynulého poskytovania a uhrádzania zdravotnej starostlivosti pre všetky osoby v populácii s cieľom zamedziť šíreniu nákazlivých chorôb sa v období platnosti mimoriadnych opatrení ruší obmedzenie na uhrádzanie iba neodkladnej zdravotnej starostlivosti pre dlžníkov, ktorí sa stali dlžníkmi počas krízovej situácie.</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Vzhľadom k potrebe plynulého poskytovania a uhrádzania zdravotnej starostlivosti pre všetky osoby v populácii s cieľom zamedziť šíreniu nákazlivých chorôb sa v období platnosti mimoriadnych opatrení zabezpečuje uhrádzanie zdravotnej starostlivosti, poskytnutej aj osobám bez účasti na systéme verejného zdravotného poistenia.</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Navrhuje sa, aby sa dočasne neuplatňovala lehota na vydanie preukazu poistenca 10 pracovných dní odo dňa potvrdenia prihlášky. V prípade ak by prišlo k poskytovaniu zdravotnej starostlivosti je potrebné, aby sa mohol poistenec preukázať preukazom poistenca príslušnej ZP buď prostredníctvom mobilnej aplikácie alebo rodným číslom, za predpokladu, že nevlastní doklad totožnosti s čipom.</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Lehota na odvolanie sa platiteľa poistného voči výkazu nedoplatkov, ak by mala uplynúť počas platnosti mimoriadnych opatrení, sa predlžuje do ôsmeho dňa po skončení týchto opatrení.</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Vzhľadom na uzatvorenie mnohých prevádzok podnikateľov, uzatvoreniu škôl a škôlok následnou starostlivosťou o deti rodinnými príslušníkmi, ktorí z tohto dôvodu ošetrujú člena rodiny, dochádza k výpadkom príjmov od ekonomicko-aktívneho obyvateľstva, čím sa zdravotné poisťovne môžu dostať do finančných problémov. Preto sa navrhuje preddavok platený štátom navýšiť podľa situácie aká sa v zdravotných poisťovniach vyskytne aj nad sumu určenú zákonom v§ 16 ods. 2 písm. e).</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Vzhľadom k posunu termínu na podávanie daňových priznaní za rok 2019 do 30. júna 2020 je potrebné primerane posunúť aj termín na vykonanie ročného zúčtovania poistného ako aj ročného zúčtovania plateného štátom.</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 xml:space="preserve">V prípade ak je osoba v karanténe nemá možnosť si tento preukaz vyzdvihnúť a preto je potrebné zabezpečiť aj elektronickú verziu preukazu pre prípady, ak osoby v karanténe nevlastnia doklad totožnosti s čipom. V prípade ak by prišlo k poskytovaniu zdravotnej starostlivosti je potrebné, aby sa mohol poistenec preukázať preukazom poistenca príslušnej zdravotnej poisťovne buď prostredníctvom mobilnej aplikácie, alebo uvedením svojho rodného čísla. </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lastRenderedPageBreak/>
        <w:t>Určuje sa možnosť odloženia oznamovacích povinností poistencov a platiteľov poistného (okrem povinnosti vykazovať preddavky na poistné) do 8 dní po skončení obdobia, v ktorom platia mimoriadne opatrenia. Ak budú oznamovacie povinnosti, ktoré mali byť splnené v období trvania mimoriadnych opatrení  splnené v termíne do 8 dní po skončení tohto obdobia, nebude možné sankcionovať poistencov a platiteľov poistného za oneskorené splnenie týchto povinností.</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 xml:space="preserve">Zároveň v období platnosti mimoriadnych opatrení nebude môcť zdravotná poisťovňa pristúpiť k predpisu poistného ako samoplatiteľovi takej osobe, ktorá si nesplní v tomto období oznamovaciu povinnosť; možnosť predpisu tohto poistného po skončení tohto obdobia, ak si táto osoba nesplní oznamovaciu povinnosť ani dodatočne, nie je dotknutá. </w:t>
      </w:r>
    </w:p>
    <w:p w:rsidR="00C92D63" w:rsidRPr="00FC63F0" w:rsidRDefault="00C92D63" w:rsidP="00FC63F0">
      <w:pPr>
        <w:spacing w:after="0" w:line="240" w:lineRule="auto"/>
        <w:jc w:val="both"/>
        <w:rPr>
          <w:rFonts w:ascii="Times New Roman" w:hAnsi="Times New Roman"/>
          <w:color w:val="000000"/>
        </w:rPr>
      </w:pPr>
    </w:p>
    <w:p w:rsidR="00C92D63" w:rsidRPr="00FC63F0" w:rsidRDefault="00C92D63" w:rsidP="00FC63F0">
      <w:pPr>
        <w:spacing w:after="0" w:line="240" w:lineRule="auto"/>
        <w:jc w:val="both"/>
        <w:rPr>
          <w:rFonts w:ascii="Times New Roman" w:hAnsi="Times New Roman"/>
          <w:b/>
          <w:color w:val="000000"/>
          <w:u w:val="single"/>
        </w:rPr>
      </w:pPr>
      <w:r w:rsidRPr="00FC63F0">
        <w:rPr>
          <w:rFonts w:ascii="Times New Roman" w:hAnsi="Times New Roman"/>
          <w:b/>
          <w:color w:val="000000"/>
          <w:u w:val="single"/>
        </w:rPr>
        <w:t>Čl. V</w:t>
      </w:r>
      <w:r w:rsidR="003E596D" w:rsidRPr="00FC63F0">
        <w:rPr>
          <w:rFonts w:ascii="Times New Roman" w:hAnsi="Times New Roman"/>
          <w:b/>
          <w:color w:val="000000"/>
          <w:u w:val="single"/>
        </w:rPr>
        <w:t>I</w:t>
      </w:r>
      <w:r w:rsidRPr="00FC63F0">
        <w:rPr>
          <w:rFonts w:ascii="Times New Roman" w:hAnsi="Times New Roman"/>
          <w:b/>
          <w:color w:val="000000"/>
          <w:u w:val="single"/>
        </w:rPr>
        <w:t xml:space="preserve"> – zákon č. 581/2004 Z. z.</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Držitelia povolenia na prevádzkovanie mobilných odberových miest a držitelia povolenia na prevádzkovanie epidemiologických ambulancií nebudú vykonávať komerčnú činnosť ale budú poskytovať zdravotnú starostlivosť primárne pacientom, pri ktorých má byť z pohľadu rizika ochorenia COVID-19 hradená zdravotná starostlivosť z verejného zdravotného poistenia. Z tohto dôvodu sa ustanovuje rozsah povinnosti uzatvárať zmluvy so zdravotnými poisťovňami.</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V dôsledku krízovej situácie dochádza k obmedzovaniu plánovanej zdravotnej starostlivosti s cieľom zabezpečiť bezproblémové poskytovanie zdravotnej starostlivosti v súvislosti s ochorením COVID-19. Z tohto dôvodu sa navrhuje v krízovom období neuplatňovať ustanovenia o minimálnej naplnenosti siete pre odborných lekárov. Povinnosť uzatvárať zmluvu s každým poskytovateľom všeobecnej ambulantnej zdravotnej starostlivosti a lekárenskej starostlivosti nie je týmto dotknutá.</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V čase mimoriadnej situácie alebo núdzového stavu je pre obidve zmluvné strany obmedzená možnosť rokovať o predĺžení zmluvných podmienok a zmluvy, pričom povinnosť poisťovne zabezpečiť dostupnú a kvalitnú zdravotnú starostlivosť prostredníctvom zmluvných vzťahov trvá. Toto opatrenie smeruje k zabezpečeniu ekonomickej udržateľnosti situácie pre obe zmluvné strany.</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 xml:space="preserve">V súčasnosti dochádza v Slovenskej republike, v Európskej únii, ako aj v celom svete k šíreniu ochorenia COVID-19, ktoré ohrozuje verejné zdravie. Dňa 11.3.2020 bola Svetovou zdravotníckou organizáciu (WHO) vyhlásená pandémia koronavírusového ochorenia COVID-19. Na zabránenie šírenia tohto ochorenia je potrebné v najväčšej možnej miere eliminovať osobný kontakt ľudí, odbúrať byrokraciu a elektronizovať procesy  v zdravotných poisťovniach, rovnako ako aj v celom sektore zdravotníctva. Na základe v súčasnosti platnej legislatívy nemožno jednoznačne konštatovať obvyklosť použitia mechanických prostriedkov pri podpise zmlúv o poskytovaní zdravotnej starostlivosti, a teda či v zmysle § 40, ods. 3 zákona č. 40/1964 Zb. Občianskeho zákonníka je takto podpísaná zmluva o poskytovaní zdravotnej starostlivosti platná. Zavedením tejto legislatívnej úpravy možno urýchliť a zefektívniť proces uzatvárania zmlúv o poskytovaní zdravotnej starostlivosti a flexibilnejšie reagovať na potreby zmien týchto zmlúv, ktoré vyvoláva šírenie ochorenia COVID-19. Tento legislatívny návrh je zároveň jedným z nástrojov, ktorý účinne pomôže eliminovať šírenie ochorenia COVID-19 tým, že sa obmedzí osobný kontakt zmluvných strán. </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 xml:space="preserve">V súvislosti so zavedením možnosti poskytnutia zdravotnej starostlivosti formou elektronickej konzultácie je potrebné, aby si poskytovatelia zdravotnej starostlivosti a zdravotné poisťovne vytvorili mechanizmus na overovanie totožnosti pacientov, ktorým sa bude zdravotná starostlivosť takto poskytovať. </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Vzhľadom k špecifickej situácii poskytovateľov zdravotnej starostlivosti v čase krízovej situácie, kedy sa dočasne obmedzilo poskytovanie odkladnej špecializovanej zdravotnej starostlivosti a s cieľom zabezpečiť financovanie tejto časti segmentu poskytovateľov zdravotnej starostlivosti sa navrhuje umožniť aj paušálna platba alebo preddavková platba.</w:t>
      </w:r>
    </w:p>
    <w:p w:rsidR="00C92D63" w:rsidRPr="00FC63F0" w:rsidRDefault="00C92D63" w:rsidP="00FC63F0">
      <w:pPr>
        <w:spacing w:after="0" w:line="240" w:lineRule="auto"/>
        <w:jc w:val="both"/>
        <w:rPr>
          <w:rFonts w:ascii="Times New Roman" w:hAnsi="Times New Roman"/>
          <w:color w:val="000000"/>
        </w:rPr>
      </w:pPr>
    </w:p>
    <w:p w:rsidR="00C92D63" w:rsidRPr="00FC63F0" w:rsidRDefault="00C92D63" w:rsidP="00FC63F0">
      <w:pPr>
        <w:spacing w:after="0" w:line="240" w:lineRule="auto"/>
        <w:jc w:val="both"/>
        <w:rPr>
          <w:rFonts w:ascii="Times New Roman" w:hAnsi="Times New Roman"/>
          <w:b/>
          <w:color w:val="000000"/>
          <w:u w:val="single"/>
        </w:rPr>
      </w:pPr>
      <w:r w:rsidRPr="00FC63F0">
        <w:rPr>
          <w:rFonts w:ascii="Times New Roman" w:hAnsi="Times New Roman"/>
          <w:b/>
          <w:color w:val="000000"/>
          <w:u w:val="single"/>
        </w:rPr>
        <w:t>K čl. VII (zákon č. 355/2007 Z. z.)</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 xml:space="preserve">V súvislosti aktuálnou mimoriadnu situáciu a vyhlásením núdzového stavu v súvislosti s pandémiou COVID-19 sa navrhuje regionálnym úradom verejného zdravotníctva ustanoviť nová kompetencia a to vydávať povolenie počas krízovej situácie na prevádzkovanie mobilného odberového miesta, v ktorom sa budú odoberať vzorky na vyšetrenie </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 xml:space="preserve">Ustanovujú sa náležitosti, na základe ktorých môže regionálny úrad verejného zdravotníctva v súvislosti s krízovou situáciou rozhodnutím nariadiť držiteľovi povolenia na prevádzkovanie všeobecnej nemocnice, držiteľovi povolenia na prevádzkovanie špecializovanej nemocnice alebo držiteľovi povolenia na prevádzkovanie zariadenia spoločných a vyšetrovacích zložiek vytvorenie mobilného odberového miesta. Z dôvodu potreby rýchleho konania sa navrhuje, že takéto rozhodnutie nahrádza povolenie. Zároveň sa navrhuje </w:t>
      </w:r>
      <w:r w:rsidRPr="00FC63F0">
        <w:rPr>
          <w:rFonts w:ascii="Times New Roman" w:hAnsi="Times New Roman"/>
          <w:color w:val="000000"/>
        </w:rPr>
        <w:lastRenderedPageBreak/>
        <w:t>takémuto poskytovateľovi zdravotnej starostlivosti povinnosť mobilné odberové miesto vytvoriť do siedmich pracovných dní od doručenia rozhodnutia. Rozhodnutie sa považuje za doručené v deň nasledujúci po dni jeho zverejnenia na webovom sídle regionálneho úradu verejného zdravotníctva, pričom na takéto rozhodnutie sa nevzťahuje správny poriadok a nie je voči nemu prípustné odvolanie.</w:t>
      </w:r>
    </w:p>
    <w:p w:rsidR="00C92D63" w:rsidRPr="00FC63F0" w:rsidRDefault="00C92D63" w:rsidP="00FC63F0">
      <w:pPr>
        <w:spacing w:after="0" w:line="240" w:lineRule="auto"/>
        <w:jc w:val="both"/>
        <w:rPr>
          <w:rFonts w:ascii="Times New Roman" w:hAnsi="Times New Roman"/>
          <w:color w:val="000000"/>
        </w:rPr>
      </w:pPr>
    </w:p>
    <w:p w:rsidR="00FC63F0" w:rsidRDefault="00FC63F0" w:rsidP="00FC63F0">
      <w:pPr>
        <w:spacing w:after="0" w:line="240" w:lineRule="auto"/>
        <w:jc w:val="both"/>
        <w:rPr>
          <w:rFonts w:ascii="Times New Roman" w:hAnsi="Times New Roman"/>
          <w:b/>
          <w:color w:val="000000"/>
          <w:u w:val="single"/>
        </w:rPr>
      </w:pPr>
    </w:p>
    <w:p w:rsidR="00FC63F0" w:rsidRDefault="00FC63F0" w:rsidP="00FC63F0">
      <w:pPr>
        <w:spacing w:after="0" w:line="240" w:lineRule="auto"/>
        <w:jc w:val="both"/>
        <w:rPr>
          <w:rFonts w:ascii="Times New Roman" w:hAnsi="Times New Roman"/>
          <w:b/>
          <w:color w:val="000000"/>
          <w:u w:val="single"/>
        </w:rPr>
      </w:pPr>
    </w:p>
    <w:p w:rsidR="00C92D63" w:rsidRPr="00FC63F0" w:rsidRDefault="00C92D63" w:rsidP="00FC63F0">
      <w:pPr>
        <w:spacing w:after="0" w:line="240" w:lineRule="auto"/>
        <w:jc w:val="both"/>
        <w:rPr>
          <w:rFonts w:ascii="Times New Roman" w:hAnsi="Times New Roman"/>
          <w:b/>
          <w:color w:val="000000"/>
          <w:u w:val="single"/>
        </w:rPr>
      </w:pPr>
      <w:r w:rsidRPr="00FC63F0">
        <w:rPr>
          <w:rFonts w:ascii="Times New Roman" w:hAnsi="Times New Roman"/>
          <w:b/>
          <w:color w:val="000000"/>
          <w:u w:val="single"/>
        </w:rPr>
        <w:t>K čl. VIII (zákon č. 362/2011 Z. z.)</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Navrhovaná úprava má za cieľ odstrániť akékoľvek pochybnosti o tom, či Ministerstvo zdravotníctva Slovenskej republiky môže obstarať lieky a zdravotnícke pomôcky tak, aby sa to nepovažovalo za nedovolené zaobchádzanie s liekmi a zdravotníckymi pomôckami.</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 xml:space="preserve">Navrhovaná právna úprava rovnako reaguje na aktuálnu mimoriadnu situáciu a vyhlásenie núdzového stavu v zdravotníctve a umožňuje lekárovi alebo vysokoškolsky vzdelanej sestre predpísať pacientovi humánny liek, zdravotnícku pomôcku alebo dietetickú potravinu „na diaľku“ prostredníctvom preskripčného záznamu bez dodržania preskripčných a indikačných obmedzení, ako aj pracovno-právnych vzťahov k poskytovateľovi zdravotnej starostlivosti. Musí však ísť o humánny liek, zdravotnícku pomôcku alebo dietetickú potravinu, ktorú pacient už predtým užíval, teda mu bola predpísaná jeho predpisujúcim lekárom. Zároveň tak môže ošetrujúci zdravotnícky pracovník predpísať humánny liek, zdravotnícku pomôcku alebo dietetickú potravinu len v obmedzenom množstve a to v počte balení potrebných na liečbu pacienta v trvaní najviac na dobu 30 dní. Zámerom je umožniť inému zdravotníckemu pracovníkovi (napr. inému lekárovi, prípadne sestre pracujúcej v ambulancii predpisujúceho lekára) predpísať elektronický recept pacientovi  v čase, keď tento úkon nemôže vykonať jeho predpisujúci lekár sám, či už z dôvodu jeho vlastnej choroby alebo karantény, prípadne jeho povolania do služby u iného poskytovateľa zdravotnej starostlivosti. Takto predpísaný liek, zdravotnícka pomôcka alebo dietetická potravina je uhrádzaná na základe verejného zdravotného poistenia. </w:t>
      </w:r>
    </w:p>
    <w:p w:rsidR="00C92D63" w:rsidRPr="00FC63F0" w:rsidRDefault="00C92D63" w:rsidP="00FC63F0">
      <w:pPr>
        <w:spacing w:after="0" w:line="240" w:lineRule="auto"/>
        <w:jc w:val="both"/>
        <w:rPr>
          <w:rFonts w:ascii="Times New Roman" w:hAnsi="Times New Roman"/>
          <w:color w:val="000000"/>
        </w:rPr>
      </w:pPr>
    </w:p>
    <w:p w:rsidR="00C92D63" w:rsidRPr="00FC63F0" w:rsidRDefault="00C92D63" w:rsidP="00FC63F0">
      <w:pPr>
        <w:spacing w:after="0" w:line="240" w:lineRule="auto"/>
        <w:jc w:val="both"/>
        <w:rPr>
          <w:rFonts w:ascii="Times New Roman" w:hAnsi="Times New Roman"/>
          <w:b/>
          <w:color w:val="000000"/>
          <w:u w:val="single"/>
        </w:rPr>
      </w:pPr>
      <w:r w:rsidRPr="00FC63F0">
        <w:rPr>
          <w:rFonts w:ascii="Times New Roman" w:hAnsi="Times New Roman"/>
          <w:b/>
          <w:color w:val="000000"/>
          <w:u w:val="single"/>
        </w:rPr>
        <w:t>K čl. IX (zákon č. 363/2011 Z. z.)</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Dôvodom navrhovanej úpravy je aktuálna Covid-19 pandémia a vznik problému s dostupnosťou liekov na slovenskom trhu pre konečných spotrebiteľov. Prijatie niektorých rozhodnutí z podnetu Ministerstva zdravotníctva Slovenskej republiky by generovalo neúnosné doplatky pre pacientov, nedostupnosť niektorých liekov a neposkytovanie zdravotnej starostlivosti v dôsledku nedostupnosti liekov. Týmto ustanovením bude možné dosiahnuť dostupnosť liekov porovnateľnú s predchádzajúcim obdobím a zároveň finančný dopad by zostal bez zmien  v porovnaní s predchádzajúcim obdobím.</w:t>
      </w:r>
    </w:p>
    <w:p w:rsidR="00C92D63" w:rsidRPr="00FC63F0" w:rsidRDefault="00C92D63" w:rsidP="00FC63F0">
      <w:pPr>
        <w:spacing w:after="0" w:line="240" w:lineRule="auto"/>
        <w:jc w:val="both"/>
        <w:rPr>
          <w:rFonts w:ascii="Times New Roman" w:hAnsi="Times New Roman"/>
          <w:color w:val="000000"/>
        </w:rPr>
      </w:pPr>
    </w:p>
    <w:p w:rsidR="001E7C6B" w:rsidRPr="00FC63F0" w:rsidRDefault="001E7C6B" w:rsidP="00FC63F0">
      <w:pPr>
        <w:spacing w:after="0" w:line="240" w:lineRule="auto"/>
        <w:jc w:val="both"/>
        <w:rPr>
          <w:rFonts w:ascii="Times New Roman" w:hAnsi="Times New Roman"/>
          <w:b/>
          <w:color w:val="000000"/>
          <w:u w:val="single"/>
        </w:rPr>
      </w:pPr>
    </w:p>
    <w:p w:rsidR="00C92D63" w:rsidRPr="00FC63F0" w:rsidRDefault="00C92D63" w:rsidP="00FC63F0">
      <w:pPr>
        <w:spacing w:after="0" w:line="240" w:lineRule="auto"/>
        <w:jc w:val="both"/>
        <w:rPr>
          <w:rFonts w:ascii="Times New Roman" w:hAnsi="Times New Roman"/>
          <w:b/>
          <w:color w:val="000000"/>
          <w:u w:val="single"/>
        </w:rPr>
      </w:pPr>
      <w:r w:rsidRPr="00FC63F0">
        <w:rPr>
          <w:rFonts w:ascii="Times New Roman" w:hAnsi="Times New Roman"/>
          <w:b/>
          <w:color w:val="000000"/>
          <w:u w:val="single"/>
        </w:rPr>
        <w:t>K čl. X (zákon č. 153/2013 Z. z.)</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Navrhuje sa rozšírenie prístupu zdravotníckeho pracovníka záchrannej zdravotnej služby k údajom z elektronickej zdravotnej knihy osoby o údaje. Aplikačná prax ukázala, že je potrebné, aby mal tento zdravotnícky pracovník prístup k elektronickým záznamom o poskytnutej ambulantnej starostlivosti a záznamov o poskytnutej urgentnej starostlivosti, teda k ambulantným správam z vyšetrenia a k správam o poskytnutí urgentnej zdravotnej starostlivosti, a to za posledných 12 mesiacov. Z dôvodu zosúladenia časového obdobia prístupu k novým záznamom s platnou úpravou prístupu k elektronickým záznamom o prepustení osoby z ústavnej zdravotnej starostlivosti sa navrhuje predĺženie obdobia prístupu k týmto záznamom zo šiestich na 12 mesiacov. Dôvodom je aj zosúladenie s maximálnou dĺžkou platnosti viacnásobného elektronického receptu – preskripčného záznamu s poznámkou „REPETATUR“, ktorá je tiež 12 mesiacov.</w:t>
      </w:r>
    </w:p>
    <w:p w:rsidR="00C92D63" w:rsidRPr="00FC63F0" w:rsidRDefault="00C92D63" w:rsidP="00FC63F0">
      <w:pPr>
        <w:spacing w:after="0" w:line="240" w:lineRule="auto"/>
        <w:jc w:val="both"/>
        <w:rPr>
          <w:rFonts w:ascii="Times New Roman" w:hAnsi="Times New Roman"/>
          <w:color w:val="000000"/>
        </w:rPr>
      </w:pPr>
    </w:p>
    <w:p w:rsidR="00C92D63" w:rsidRPr="00FC63F0" w:rsidRDefault="00C92D63" w:rsidP="00FC63F0">
      <w:pPr>
        <w:spacing w:after="0" w:line="240" w:lineRule="auto"/>
        <w:jc w:val="both"/>
        <w:rPr>
          <w:rFonts w:ascii="Times New Roman" w:hAnsi="Times New Roman"/>
          <w:b/>
          <w:color w:val="000000"/>
          <w:u w:val="single"/>
        </w:rPr>
      </w:pPr>
      <w:r w:rsidRPr="00FC63F0">
        <w:rPr>
          <w:rFonts w:ascii="Times New Roman" w:hAnsi="Times New Roman"/>
          <w:b/>
          <w:color w:val="000000"/>
          <w:u w:val="single"/>
        </w:rPr>
        <w:t>K čl. XI (zákon č. 69/2020 Z. z.)</w:t>
      </w:r>
    </w:p>
    <w:p w:rsidR="00C92D63" w:rsidRPr="00FC63F0" w:rsidRDefault="00C92D63" w:rsidP="00FC63F0">
      <w:pPr>
        <w:spacing w:after="0" w:line="240" w:lineRule="auto"/>
        <w:jc w:val="both"/>
        <w:rPr>
          <w:rFonts w:ascii="Times New Roman" w:hAnsi="Times New Roman"/>
          <w:color w:val="000000"/>
        </w:rPr>
      </w:pPr>
      <w:r w:rsidRPr="00FC63F0">
        <w:rPr>
          <w:rFonts w:ascii="Times New Roman" w:hAnsi="Times New Roman"/>
          <w:color w:val="000000"/>
        </w:rPr>
        <w:t xml:space="preserve">Navrhuje sa splnomocňovacie ustanovenie na vydanie všeobecne záväzného právneho predpisu, ktorý ustanoví Ministerstvo zdravotníctva Slovenskej republiky. Predmetom takéhoto všeobecne záväzného právneho predpisu je určiť zdravotné dôvody t. j. výnimku, aby osoba ktorá napr. má oslabenú imunitu alebo iný zdravotný problém mohla zakúpiť osobné ochranné prostriedky. </w:t>
      </w:r>
    </w:p>
    <w:p w:rsidR="00C92D63" w:rsidRPr="00FC63F0" w:rsidRDefault="00C92D63" w:rsidP="00FC63F0">
      <w:pPr>
        <w:spacing w:after="0" w:line="240" w:lineRule="auto"/>
        <w:jc w:val="both"/>
        <w:rPr>
          <w:rFonts w:ascii="Times New Roman" w:hAnsi="Times New Roman"/>
          <w:color w:val="000000"/>
        </w:rPr>
      </w:pPr>
    </w:p>
    <w:p w:rsidR="007D5748" w:rsidRPr="00FC63F0" w:rsidRDefault="007D5748" w:rsidP="00FC63F0">
      <w:pPr>
        <w:spacing w:after="0" w:line="240" w:lineRule="auto"/>
        <w:jc w:val="both"/>
        <w:rPr>
          <w:rFonts w:ascii="Times New Roman" w:hAnsi="Times New Roman"/>
          <w:b/>
          <w:bCs/>
          <w:lang w:eastAsia="sk-SK"/>
        </w:rPr>
      </w:pPr>
      <w:r w:rsidRPr="00FC63F0">
        <w:rPr>
          <w:rFonts w:ascii="Times New Roman" w:hAnsi="Times New Roman"/>
          <w:b/>
          <w:bCs/>
          <w:lang w:eastAsia="sk-SK"/>
        </w:rPr>
        <w:t>2.2.2. Charakteristika návrhu:</w:t>
      </w:r>
    </w:p>
    <w:p w:rsidR="007D5748" w:rsidRPr="00FC63F0" w:rsidRDefault="007D5748" w:rsidP="00FC63F0">
      <w:pPr>
        <w:spacing w:after="0" w:line="240" w:lineRule="auto"/>
        <w:jc w:val="both"/>
        <w:rPr>
          <w:rFonts w:ascii="Times New Roman" w:hAnsi="Times New Roman"/>
          <w:lang w:eastAsia="sk-SK"/>
        </w:rPr>
      </w:pPr>
    </w:p>
    <w:p w:rsidR="007D5748" w:rsidRPr="00FC63F0" w:rsidRDefault="007D5748" w:rsidP="00FC63F0">
      <w:pPr>
        <w:spacing w:after="0" w:line="240" w:lineRule="auto"/>
        <w:jc w:val="both"/>
        <w:rPr>
          <w:rFonts w:ascii="Times New Roman" w:hAnsi="Times New Roman"/>
          <w:lang w:eastAsia="sk-SK"/>
        </w:rPr>
      </w:pPr>
      <w:r w:rsidRPr="00FC63F0">
        <w:rPr>
          <w:rFonts w:ascii="Times New Roman" w:hAnsi="Times New Roman"/>
          <w:b/>
          <w:bdr w:val="single" w:sz="4" w:space="0" w:color="auto"/>
          <w:lang w:eastAsia="sk-SK"/>
        </w:rPr>
        <w:t xml:space="preserve">  </w:t>
      </w:r>
      <w:r w:rsidR="00373484" w:rsidRPr="00FC63F0">
        <w:rPr>
          <w:rFonts w:ascii="Times New Roman" w:hAnsi="Times New Roman"/>
          <w:b/>
          <w:bdr w:val="single" w:sz="4" w:space="0" w:color="auto"/>
          <w:lang w:eastAsia="sk-SK"/>
        </w:rPr>
        <w:t xml:space="preserve"> </w:t>
      </w:r>
      <w:r w:rsidR="000616B3" w:rsidRPr="00FC63F0">
        <w:rPr>
          <w:rFonts w:ascii="Times New Roman" w:hAnsi="Times New Roman"/>
          <w:b/>
          <w:bdr w:val="single" w:sz="4" w:space="0" w:color="auto"/>
          <w:lang w:eastAsia="sk-SK"/>
        </w:rPr>
        <w:t xml:space="preserve"> </w:t>
      </w:r>
      <w:r w:rsidR="00373484" w:rsidRPr="00FC63F0">
        <w:rPr>
          <w:rFonts w:ascii="Times New Roman" w:hAnsi="Times New Roman"/>
          <w:b/>
          <w:bdr w:val="single" w:sz="4" w:space="0" w:color="auto"/>
          <w:lang w:eastAsia="sk-SK"/>
        </w:rPr>
        <w:t xml:space="preserve"> </w:t>
      </w:r>
      <w:r w:rsidRPr="00FC63F0">
        <w:rPr>
          <w:rFonts w:ascii="Times New Roman" w:hAnsi="Times New Roman"/>
          <w:b/>
          <w:lang w:eastAsia="sk-SK"/>
        </w:rPr>
        <w:t xml:space="preserve">  </w:t>
      </w:r>
      <w:r w:rsidRPr="00FC63F0">
        <w:rPr>
          <w:rFonts w:ascii="Times New Roman" w:hAnsi="Times New Roman"/>
          <w:lang w:eastAsia="sk-SK"/>
        </w:rPr>
        <w:t>zmena sadzby</w:t>
      </w:r>
    </w:p>
    <w:p w:rsidR="007D5748" w:rsidRPr="00FC63F0" w:rsidRDefault="007D5748" w:rsidP="00FC63F0">
      <w:pPr>
        <w:spacing w:after="0" w:line="240" w:lineRule="auto"/>
        <w:jc w:val="both"/>
        <w:rPr>
          <w:rFonts w:ascii="Times New Roman" w:hAnsi="Times New Roman"/>
          <w:lang w:eastAsia="sk-SK"/>
        </w:rPr>
      </w:pPr>
      <w:r w:rsidRPr="00FC63F0">
        <w:rPr>
          <w:rFonts w:ascii="Times New Roman" w:hAnsi="Times New Roman"/>
          <w:bdr w:val="single" w:sz="4" w:space="0" w:color="auto"/>
          <w:lang w:eastAsia="sk-SK"/>
        </w:rPr>
        <w:t xml:space="preserve"> </w:t>
      </w:r>
      <w:r w:rsidR="009C576C" w:rsidRPr="00FC63F0">
        <w:rPr>
          <w:rFonts w:ascii="Times New Roman" w:hAnsi="Times New Roman"/>
          <w:bdr w:val="single" w:sz="4" w:space="0" w:color="auto"/>
          <w:lang w:eastAsia="sk-SK"/>
        </w:rPr>
        <w:t xml:space="preserve"> </w:t>
      </w:r>
      <w:r w:rsidR="00A8219A" w:rsidRPr="00FC63F0">
        <w:rPr>
          <w:rFonts w:ascii="Times New Roman" w:hAnsi="Times New Roman"/>
          <w:bdr w:val="single" w:sz="4" w:space="0" w:color="auto"/>
          <w:lang w:eastAsia="sk-SK"/>
        </w:rPr>
        <w:t xml:space="preserve">   </w:t>
      </w:r>
      <w:r w:rsidRPr="00FC63F0">
        <w:rPr>
          <w:rFonts w:ascii="Times New Roman" w:hAnsi="Times New Roman"/>
          <w:lang w:eastAsia="sk-SK"/>
        </w:rPr>
        <w:t xml:space="preserve">  zmena v nároku</w:t>
      </w:r>
    </w:p>
    <w:p w:rsidR="007D5748" w:rsidRPr="00FC63F0" w:rsidRDefault="009C576C" w:rsidP="00FC63F0">
      <w:pPr>
        <w:spacing w:after="0" w:line="240" w:lineRule="auto"/>
        <w:jc w:val="both"/>
        <w:rPr>
          <w:rFonts w:ascii="Times New Roman" w:hAnsi="Times New Roman"/>
          <w:lang w:eastAsia="sk-SK"/>
        </w:rPr>
      </w:pPr>
      <w:r w:rsidRPr="00FC63F0">
        <w:rPr>
          <w:rFonts w:ascii="Times New Roman" w:hAnsi="Times New Roman"/>
          <w:bdr w:val="single" w:sz="4" w:space="0" w:color="auto"/>
          <w:lang w:eastAsia="sk-SK"/>
        </w:rPr>
        <w:lastRenderedPageBreak/>
        <w:t xml:space="preserve">  </w:t>
      </w:r>
      <w:r w:rsidR="00FD039D" w:rsidRPr="00FC63F0">
        <w:rPr>
          <w:rFonts w:ascii="Times New Roman" w:hAnsi="Times New Roman"/>
          <w:bdr w:val="single" w:sz="4" w:space="0" w:color="auto"/>
          <w:lang w:eastAsia="sk-SK"/>
        </w:rPr>
        <w:t xml:space="preserve">  </w:t>
      </w:r>
      <w:r w:rsidR="007D5748" w:rsidRPr="00FC63F0">
        <w:rPr>
          <w:rFonts w:ascii="Times New Roman" w:hAnsi="Times New Roman"/>
          <w:bdr w:val="single" w:sz="4" w:space="0" w:color="auto"/>
          <w:lang w:eastAsia="sk-SK"/>
        </w:rPr>
        <w:t xml:space="preserve"> </w:t>
      </w:r>
      <w:r w:rsidR="007D5748" w:rsidRPr="00FC63F0">
        <w:rPr>
          <w:rFonts w:ascii="Times New Roman" w:hAnsi="Times New Roman"/>
          <w:lang w:eastAsia="sk-SK"/>
        </w:rPr>
        <w:t xml:space="preserve">  nová služba alebo nariadenie (alebo ich zrušenie)</w:t>
      </w:r>
    </w:p>
    <w:p w:rsidR="007D5748" w:rsidRPr="00FC63F0" w:rsidRDefault="00373484" w:rsidP="00FC63F0">
      <w:pPr>
        <w:spacing w:after="0" w:line="240" w:lineRule="auto"/>
        <w:jc w:val="both"/>
        <w:rPr>
          <w:rFonts w:ascii="Times New Roman" w:hAnsi="Times New Roman"/>
          <w:lang w:eastAsia="sk-SK"/>
        </w:rPr>
      </w:pPr>
      <w:r w:rsidRPr="00FC63F0">
        <w:rPr>
          <w:rFonts w:ascii="Times New Roman" w:hAnsi="Times New Roman"/>
          <w:bdr w:val="single" w:sz="4" w:space="0" w:color="auto"/>
          <w:lang w:eastAsia="sk-SK"/>
        </w:rPr>
        <w:t xml:space="preserve"> </w:t>
      </w:r>
      <w:r w:rsidR="00A8219A" w:rsidRPr="00FC63F0">
        <w:rPr>
          <w:rFonts w:ascii="Times New Roman" w:hAnsi="Times New Roman"/>
          <w:bdr w:val="single" w:sz="4" w:space="0" w:color="auto"/>
          <w:lang w:eastAsia="sk-SK"/>
        </w:rPr>
        <w:t xml:space="preserve">X </w:t>
      </w:r>
      <w:r w:rsidR="007D5748" w:rsidRPr="00FC63F0">
        <w:rPr>
          <w:rFonts w:ascii="Times New Roman" w:hAnsi="Times New Roman"/>
          <w:bdr w:val="single" w:sz="4" w:space="0" w:color="auto"/>
          <w:lang w:eastAsia="sk-SK"/>
        </w:rPr>
        <w:t xml:space="preserve"> </w:t>
      </w:r>
      <w:r w:rsidR="007D5748" w:rsidRPr="00FC63F0">
        <w:rPr>
          <w:rFonts w:ascii="Times New Roman" w:hAnsi="Times New Roman"/>
          <w:lang w:eastAsia="sk-SK"/>
        </w:rPr>
        <w:t xml:space="preserve">  kombinovaný návrh</w:t>
      </w:r>
    </w:p>
    <w:p w:rsidR="007D5748" w:rsidRPr="00FC63F0" w:rsidRDefault="007D5748" w:rsidP="00FC63F0">
      <w:pPr>
        <w:spacing w:after="0" w:line="240" w:lineRule="auto"/>
        <w:jc w:val="both"/>
        <w:rPr>
          <w:rFonts w:ascii="Times New Roman" w:hAnsi="Times New Roman"/>
          <w:lang w:eastAsia="sk-SK"/>
        </w:rPr>
      </w:pPr>
      <w:r w:rsidRPr="00FC63F0">
        <w:rPr>
          <w:rFonts w:ascii="Times New Roman" w:hAnsi="Times New Roman"/>
          <w:bdr w:val="single" w:sz="4" w:space="0" w:color="auto"/>
          <w:lang w:eastAsia="sk-SK"/>
        </w:rPr>
        <w:t xml:space="preserve">     </w:t>
      </w:r>
      <w:r w:rsidRPr="00FC63F0">
        <w:rPr>
          <w:rFonts w:ascii="Times New Roman" w:hAnsi="Times New Roman"/>
          <w:lang w:eastAsia="sk-SK"/>
        </w:rPr>
        <w:t xml:space="preserve">  iné </w:t>
      </w:r>
    </w:p>
    <w:p w:rsidR="007D5748" w:rsidRPr="00FC63F0" w:rsidRDefault="007D5748" w:rsidP="00FC63F0">
      <w:pPr>
        <w:spacing w:after="0" w:line="240" w:lineRule="auto"/>
        <w:jc w:val="both"/>
        <w:rPr>
          <w:rFonts w:ascii="Times New Roman" w:hAnsi="Times New Roman"/>
          <w:lang w:eastAsia="sk-SK"/>
        </w:rPr>
      </w:pPr>
    </w:p>
    <w:p w:rsidR="007D5748" w:rsidRPr="00FC63F0" w:rsidRDefault="007D5748" w:rsidP="00FC63F0">
      <w:pPr>
        <w:spacing w:after="0" w:line="240" w:lineRule="auto"/>
        <w:jc w:val="both"/>
        <w:rPr>
          <w:rFonts w:ascii="Times New Roman" w:hAnsi="Times New Roman"/>
          <w:lang w:eastAsia="sk-SK"/>
        </w:rPr>
      </w:pPr>
      <w:r w:rsidRPr="00FC63F0">
        <w:rPr>
          <w:rFonts w:ascii="Times New Roman" w:hAnsi="Times New Roman"/>
          <w:b/>
          <w:bCs/>
          <w:lang w:eastAsia="sk-SK"/>
        </w:rPr>
        <w:t>2.2.3. Predpoklady vývoja objemu aktivít:</w:t>
      </w:r>
    </w:p>
    <w:p w:rsidR="007D5748" w:rsidRPr="00FC63F0" w:rsidRDefault="007D5748" w:rsidP="00FC63F0">
      <w:pPr>
        <w:spacing w:after="0" w:line="240" w:lineRule="auto"/>
        <w:jc w:val="both"/>
        <w:rPr>
          <w:rFonts w:ascii="Times New Roman" w:hAnsi="Times New Roman"/>
          <w:lang w:eastAsia="sk-SK"/>
        </w:rPr>
      </w:pPr>
    </w:p>
    <w:p w:rsidR="00B51A21" w:rsidRPr="00FC63F0" w:rsidRDefault="00AD7A6C" w:rsidP="00FC63F0">
      <w:pPr>
        <w:spacing w:after="0" w:line="240" w:lineRule="auto"/>
        <w:jc w:val="both"/>
        <w:rPr>
          <w:rFonts w:ascii="Times New Roman" w:hAnsi="Times New Roman"/>
          <w:color w:val="000000"/>
        </w:rPr>
      </w:pPr>
      <w:r w:rsidRPr="00FC63F0">
        <w:rPr>
          <w:rFonts w:ascii="Times New Roman" w:hAnsi="Times New Roman"/>
          <w:color w:val="000000"/>
        </w:rPr>
        <w:t xml:space="preserve">Navrhované zmeny si vyžiadajú </w:t>
      </w:r>
      <w:r w:rsidR="00FD039D" w:rsidRPr="00FC63F0">
        <w:rPr>
          <w:rFonts w:ascii="Times New Roman" w:hAnsi="Times New Roman"/>
          <w:color w:val="000000"/>
        </w:rPr>
        <w:t>zvýšenie nákladov na štátny rozpočet počas mimoriadnej situácie</w:t>
      </w:r>
      <w:r w:rsidR="004418D6" w:rsidRPr="00FC63F0">
        <w:rPr>
          <w:rFonts w:ascii="Times New Roman" w:hAnsi="Times New Roman"/>
          <w:color w:val="000000"/>
        </w:rPr>
        <w:t>.</w:t>
      </w:r>
      <w:r w:rsidR="006144D0" w:rsidRPr="00FC63F0">
        <w:rPr>
          <w:rFonts w:ascii="Times New Roman" w:hAnsi="Times New Roman"/>
          <w:color w:val="000000"/>
        </w:rPr>
        <w:t xml:space="preserve"> </w:t>
      </w:r>
      <w:r w:rsidR="00981B3A" w:rsidRPr="00FC63F0">
        <w:rPr>
          <w:rFonts w:ascii="Times New Roman" w:hAnsi="Times New Roman"/>
          <w:color w:val="000000"/>
        </w:rPr>
        <w:t xml:space="preserve"> </w:t>
      </w:r>
    </w:p>
    <w:p w:rsidR="009028C0" w:rsidRPr="00FC63F0" w:rsidRDefault="009028C0" w:rsidP="00FC63F0">
      <w:pPr>
        <w:spacing w:after="0" w:line="240" w:lineRule="auto"/>
        <w:jc w:val="both"/>
        <w:rPr>
          <w:rFonts w:ascii="Times New Roman" w:hAnsi="Times New Roman"/>
          <w:color w:val="000000"/>
        </w:rPr>
      </w:pPr>
    </w:p>
    <w:p w:rsidR="00D57829" w:rsidRPr="00FC63F0" w:rsidRDefault="007D5748" w:rsidP="00FC63F0">
      <w:pPr>
        <w:spacing w:after="0" w:line="240" w:lineRule="auto"/>
        <w:jc w:val="both"/>
        <w:rPr>
          <w:rFonts w:ascii="Times New Roman" w:hAnsi="Times New Roman"/>
          <w:b/>
          <w:bCs/>
          <w:lang w:eastAsia="sk-SK"/>
        </w:rPr>
      </w:pPr>
      <w:r w:rsidRPr="00FC63F0">
        <w:rPr>
          <w:rFonts w:ascii="Times New Roman" w:hAnsi="Times New Roman"/>
          <w:b/>
          <w:bCs/>
          <w:lang w:eastAsia="sk-SK"/>
        </w:rPr>
        <w:t xml:space="preserve">2.2.4. </w:t>
      </w:r>
      <w:r w:rsidR="00D57829" w:rsidRPr="00FC63F0">
        <w:rPr>
          <w:rFonts w:ascii="Times New Roman" w:hAnsi="Times New Roman"/>
          <w:b/>
          <w:bCs/>
          <w:lang w:eastAsia="sk-SK"/>
        </w:rPr>
        <w:t>Výpočty vplyvov celkovo</w:t>
      </w:r>
    </w:p>
    <w:p w:rsidR="008E59EB" w:rsidRPr="00FC63F0" w:rsidRDefault="008E59EB" w:rsidP="00FC63F0">
      <w:pPr>
        <w:autoSpaceDE w:val="0"/>
        <w:autoSpaceDN w:val="0"/>
        <w:adjustRightInd w:val="0"/>
        <w:spacing w:after="0" w:line="240" w:lineRule="auto"/>
        <w:jc w:val="both"/>
        <w:rPr>
          <w:rFonts w:ascii="Times New Roman" w:hAnsi="Times New Roman"/>
          <w:bCs/>
        </w:rPr>
      </w:pPr>
    </w:p>
    <w:p w:rsidR="00246984" w:rsidRPr="00FC63F0" w:rsidRDefault="00246984" w:rsidP="00FC63F0">
      <w:pPr>
        <w:spacing w:after="0" w:line="240" w:lineRule="auto"/>
        <w:jc w:val="both"/>
        <w:rPr>
          <w:rFonts w:ascii="Times New Roman" w:hAnsi="Times New Roman"/>
        </w:rPr>
      </w:pPr>
      <w:r w:rsidRPr="00FC63F0">
        <w:rPr>
          <w:rFonts w:ascii="Times New Roman" w:hAnsi="Times New Roman"/>
          <w:lang w:eastAsia="sk-SK"/>
        </w:rPr>
        <w:t>Návrh zákona r</w:t>
      </w:r>
      <w:r w:rsidRPr="00FC63F0">
        <w:rPr>
          <w:rFonts w:ascii="Times New Roman" w:hAnsi="Times New Roman"/>
          <w:iCs/>
        </w:rPr>
        <w:t xml:space="preserve">eflektuje súčasnú situáciu </w:t>
      </w:r>
      <w:r w:rsidRPr="00FC63F0">
        <w:rPr>
          <w:rFonts w:ascii="Times New Roman" w:hAnsi="Times New Roman"/>
        </w:rPr>
        <w:t>týkajúcu sa akútneho respiračného syndrómu spôsobeného novým koronavírusom 2019-nCoV, ktorý spôsobuje ochorenie COVID-19.</w:t>
      </w:r>
    </w:p>
    <w:p w:rsidR="00246984" w:rsidRPr="00FC63F0" w:rsidRDefault="00246984" w:rsidP="00FC63F0">
      <w:pPr>
        <w:autoSpaceDE w:val="0"/>
        <w:autoSpaceDN w:val="0"/>
        <w:adjustRightInd w:val="0"/>
        <w:spacing w:after="0" w:line="240" w:lineRule="auto"/>
        <w:jc w:val="both"/>
        <w:rPr>
          <w:rFonts w:ascii="Times New Roman" w:hAnsi="Times New Roman"/>
          <w:bCs/>
        </w:rPr>
      </w:pPr>
    </w:p>
    <w:p w:rsidR="00DF69FA" w:rsidRPr="00FC63F0" w:rsidRDefault="00DF69FA" w:rsidP="00FC63F0">
      <w:pPr>
        <w:spacing w:after="0" w:line="240" w:lineRule="auto"/>
        <w:jc w:val="both"/>
        <w:rPr>
          <w:rFonts w:ascii="Times New Roman" w:hAnsi="Times New Roman"/>
          <w:b/>
          <w:color w:val="000000"/>
          <w:u w:val="single"/>
        </w:rPr>
      </w:pPr>
      <w:r w:rsidRPr="00FC63F0">
        <w:rPr>
          <w:rFonts w:ascii="Times New Roman" w:hAnsi="Times New Roman"/>
          <w:b/>
          <w:color w:val="000000"/>
          <w:u w:val="single"/>
        </w:rPr>
        <w:t xml:space="preserve">Zákon č. 578/2004 Z. z. </w:t>
      </w:r>
    </w:p>
    <w:p w:rsidR="00DF69FA" w:rsidRPr="00FC63F0" w:rsidRDefault="00DF69FA" w:rsidP="00FC63F0">
      <w:pPr>
        <w:spacing w:after="0" w:line="240" w:lineRule="auto"/>
        <w:jc w:val="both"/>
        <w:rPr>
          <w:rFonts w:ascii="Times New Roman" w:hAnsi="Times New Roman"/>
          <w:b/>
          <w:color w:val="000000"/>
        </w:rPr>
      </w:pPr>
      <w:r w:rsidRPr="00FC63F0">
        <w:rPr>
          <w:rFonts w:ascii="Times New Roman" w:hAnsi="Times New Roman"/>
          <w:b/>
          <w:color w:val="000000"/>
        </w:rPr>
        <w:t>Rezidentské štúdium</w:t>
      </w:r>
    </w:p>
    <w:p w:rsidR="00DF69FA" w:rsidRPr="00FC63F0" w:rsidRDefault="00DF69FA" w:rsidP="00FC63F0">
      <w:pPr>
        <w:spacing w:after="0" w:line="240" w:lineRule="auto"/>
        <w:ind w:firstLine="708"/>
        <w:jc w:val="both"/>
        <w:rPr>
          <w:rFonts w:ascii="Times New Roman" w:eastAsia="Calibri" w:hAnsi="Times New Roman"/>
          <w:bCs/>
          <w:lang w:eastAsia="sk-SK"/>
        </w:rPr>
      </w:pPr>
      <w:r w:rsidRPr="00FC63F0">
        <w:rPr>
          <w:rFonts w:ascii="Times New Roman" w:eastAsia="Calibri" w:hAnsi="Times New Roman"/>
          <w:bCs/>
          <w:lang w:eastAsia="sk-SK"/>
        </w:rPr>
        <w:t xml:space="preserve">Predložený návrh zákona predpokladá v roku 2020 úsporu verejných prostriedkov </w:t>
      </w:r>
      <w:r w:rsidRPr="00FC63F0">
        <w:rPr>
          <w:rFonts w:ascii="Times New Roman" w:eastAsia="Calibri" w:hAnsi="Times New Roman"/>
          <w:bCs/>
          <w:lang w:eastAsia="sk-SK"/>
        </w:rPr>
        <w:br/>
        <w:t>vo výške 2 500 000,00 eur. V odhadovanom výpočte bola zohľadnená polročná dĺžka nefinancovania rezidentského štúdia vrátane miezd rezidentov a odmien školiteľov.</w:t>
      </w:r>
    </w:p>
    <w:p w:rsidR="00DF69FA" w:rsidRPr="00FC63F0" w:rsidRDefault="00DF69FA" w:rsidP="00FC63F0">
      <w:pPr>
        <w:spacing w:after="0" w:line="240" w:lineRule="auto"/>
        <w:jc w:val="both"/>
        <w:rPr>
          <w:rFonts w:ascii="Times New Roman" w:hAnsi="Times New Roman"/>
        </w:rPr>
      </w:pPr>
    </w:p>
    <w:p w:rsidR="00246984" w:rsidRPr="00FC63F0" w:rsidRDefault="00246984" w:rsidP="00FC63F0">
      <w:pPr>
        <w:tabs>
          <w:tab w:val="left" w:pos="1080"/>
        </w:tabs>
        <w:spacing w:after="0" w:line="240" w:lineRule="auto"/>
        <w:jc w:val="both"/>
        <w:rPr>
          <w:rFonts w:ascii="Times New Roman" w:hAnsi="Times New Roman"/>
          <w:lang w:eastAsia="sk-SK"/>
        </w:rPr>
      </w:pPr>
      <w:r w:rsidRPr="00FC63F0">
        <w:rPr>
          <w:rFonts w:ascii="Times New Roman" w:hAnsi="Times New Roman"/>
          <w:lang w:eastAsia="sk-SK"/>
        </w:rPr>
        <w:t>V súvislosti s novými povinnosťami a sankciami sa nepredpokladajú zvýšené príjmy, vzhľadom ku skutočnosti, že sa predpokladá dodržiavanie novo ustanovených povinností.</w:t>
      </w:r>
    </w:p>
    <w:p w:rsidR="00246984" w:rsidRPr="00FC63F0" w:rsidRDefault="00246984" w:rsidP="00FC63F0">
      <w:pPr>
        <w:spacing w:after="0" w:line="240" w:lineRule="auto"/>
        <w:jc w:val="both"/>
        <w:rPr>
          <w:rFonts w:ascii="Times New Roman" w:hAnsi="Times New Roman"/>
        </w:rPr>
      </w:pPr>
    </w:p>
    <w:p w:rsidR="003E596D" w:rsidRPr="00FC63F0" w:rsidRDefault="003E596D" w:rsidP="00FC63F0">
      <w:pPr>
        <w:spacing w:after="0" w:line="240" w:lineRule="auto"/>
        <w:jc w:val="both"/>
        <w:rPr>
          <w:rFonts w:ascii="Times New Roman" w:hAnsi="Times New Roman"/>
          <w:b/>
          <w:color w:val="000000"/>
          <w:u w:val="single"/>
        </w:rPr>
      </w:pPr>
      <w:r w:rsidRPr="00FC63F0">
        <w:rPr>
          <w:rFonts w:ascii="Times New Roman" w:hAnsi="Times New Roman"/>
          <w:b/>
          <w:color w:val="000000"/>
          <w:u w:val="single"/>
        </w:rPr>
        <w:t>Zákon č. 580/2004 Z. z.</w:t>
      </w:r>
    </w:p>
    <w:p w:rsidR="003E596D" w:rsidRPr="00FC63F0" w:rsidRDefault="003E596D" w:rsidP="00FC63F0">
      <w:pPr>
        <w:spacing w:after="0" w:line="240" w:lineRule="auto"/>
        <w:jc w:val="both"/>
        <w:rPr>
          <w:rFonts w:ascii="Times New Roman" w:hAnsi="Times New Roman"/>
          <w:color w:val="000000"/>
        </w:rPr>
      </w:pPr>
      <w:r w:rsidRPr="00FC63F0">
        <w:rPr>
          <w:rFonts w:ascii="Times New Roman" w:hAnsi="Times New Roman"/>
          <w:color w:val="000000"/>
        </w:rPr>
        <w:t>Základným cieľom úpravy zákona je odstrániť prekážky, ktoré by bránili poskytovateľom zdravotnej starostlivosti sústrediť sa predovšetkým na pacientov s ochorením COVID-19. Ďalej ide o úpravu zákonných ustanovení, ktorých cieľom je zmiernenie negatívnych vplyvov v súvislosti s vyhlásením mimoriadnej situácie uznesením vlády SR č. 111 z 11. marca 2020 podľa § 8 zákona Národnej rady Slovenskej republiky č. 42/1994 Z. z. o civilnej ochrane obyvateľstva v znení neskorších predpisov a vyhlásením núdzového stavu uznesením vlády SR č. 114 z 15. marca 2020 z dôvodu ochorenia COVID-19 spôsobeným korona vírusom SARSCoV-2 na území Slovenskej republiky. Zároveň sa v nadväznosti s vyhlásenou mimoriadnou situáciou navrhuje odložiť termín plnenia niektorých zákonných povinností fyzických a právnických osôb.</w:t>
      </w:r>
    </w:p>
    <w:p w:rsidR="003E596D" w:rsidRPr="00FC63F0" w:rsidRDefault="003E596D" w:rsidP="00FC63F0">
      <w:pPr>
        <w:spacing w:after="0" w:line="240" w:lineRule="auto"/>
        <w:jc w:val="both"/>
        <w:rPr>
          <w:rFonts w:ascii="Times New Roman" w:hAnsi="Times New Roman"/>
          <w:color w:val="000000"/>
        </w:rPr>
      </w:pPr>
    </w:p>
    <w:p w:rsidR="003E596D" w:rsidRPr="00FC63F0" w:rsidRDefault="003E596D" w:rsidP="00FC63F0">
      <w:pPr>
        <w:spacing w:after="0" w:line="240" w:lineRule="auto"/>
        <w:jc w:val="both"/>
        <w:rPr>
          <w:rFonts w:ascii="Times New Roman" w:hAnsi="Times New Roman"/>
          <w:color w:val="000000"/>
        </w:rPr>
      </w:pPr>
      <w:r w:rsidRPr="00FC63F0">
        <w:rPr>
          <w:rFonts w:ascii="Times New Roman" w:hAnsi="Times New Roman"/>
          <w:color w:val="000000"/>
        </w:rPr>
        <w:t xml:space="preserve">Negatívny vplyv na rozpočet verejnej správy by malo mať ustanovenie čl. </w:t>
      </w:r>
      <w:r w:rsidR="00246984" w:rsidRPr="00FC63F0">
        <w:rPr>
          <w:rFonts w:ascii="Times New Roman" w:hAnsi="Times New Roman"/>
          <w:color w:val="000000"/>
        </w:rPr>
        <w:t>V</w:t>
      </w:r>
      <w:r w:rsidRPr="00FC63F0">
        <w:rPr>
          <w:rFonts w:ascii="Times New Roman" w:hAnsi="Times New Roman"/>
          <w:color w:val="000000"/>
        </w:rPr>
        <w:t xml:space="preserve"> zákona, § 38ev ods. 9, podľa ktorého na úhradu zdravotnej starostlivosti v súvislosti s ochorením COVID-19, ktorá bola v krízovej situácii poskytnutá osobe, ktorá nie je verejne zdravotne poistená a vymáhanie úhrady od tejto osoby je spojené s nadmernými ťažkosťami, sa vzťahuje postup ustanovený v § 9 ods. 4 až 6 zákona č. 580/2004 Z. z., t. j. náklady na zdravotnú starostlivosť, ktoré vznikli pri poskytnutí neodkladnej starostlivosti uhradí Ministerstvo zdravotníctva Slovenskej republiky.</w:t>
      </w:r>
    </w:p>
    <w:p w:rsidR="003E596D" w:rsidRPr="00FC63F0" w:rsidRDefault="003E596D" w:rsidP="00FC63F0">
      <w:pPr>
        <w:spacing w:after="0" w:line="240" w:lineRule="auto"/>
        <w:jc w:val="both"/>
        <w:rPr>
          <w:rFonts w:ascii="Times New Roman" w:hAnsi="Times New Roman"/>
          <w:bCs/>
          <w:lang w:eastAsia="sk-SK"/>
        </w:rPr>
      </w:pPr>
      <w:r w:rsidRPr="00FC63F0">
        <w:rPr>
          <w:rFonts w:ascii="Times New Roman" w:hAnsi="Times New Roman"/>
          <w:bCs/>
          <w:lang w:eastAsia="sk-SK"/>
        </w:rPr>
        <w:t>Vzhľadom k potrebe plynulého poskytovania a uhrádzania zdravotnej starostlivosti pre všetky osoby v populácii s cieľom zamedziť šíreniu nákazlivých chorôb sa v období platnosti mimoriadnych opatrení zabezpečí uhrádzanie zdravotnej starostlivosti, poskytnutej aj osobám bez účasti na systéme verejného zdravotného poistenia.</w:t>
      </w:r>
    </w:p>
    <w:p w:rsidR="003E596D" w:rsidRPr="00FC63F0" w:rsidRDefault="003E596D" w:rsidP="00FC63F0">
      <w:pPr>
        <w:spacing w:after="0" w:line="240" w:lineRule="auto"/>
        <w:jc w:val="both"/>
        <w:rPr>
          <w:rFonts w:ascii="Times New Roman" w:hAnsi="Times New Roman"/>
          <w:bCs/>
          <w:lang w:eastAsia="sk-SK"/>
        </w:rPr>
      </w:pPr>
      <w:r w:rsidRPr="00FC63F0">
        <w:rPr>
          <w:rFonts w:ascii="Times New Roman" w:hAnsi="Times New Roman"/>
          <w:bCs/>
          <w:lang w:eastAsia="sk-SK"/>
        </w:rPr>
        <w:t>Dôvodom takejto úpravy je zabezpečiť bezproblémové poskytovanie zdravotnej starostlivosti pre všetky osoby v populácii behom pandémie tak, aby nebola v prípade neposkytnutia zdravotnej starostlivosti nepoisteným osobám následne ohrozená celá populácia.</w:t>
      </w:r>
    </w:p>
    <w:p w:rsidR="003E596D" w:rsidRPr="00FC63F0" w:rsidRDefault="003E596D" w:rsidP="00FC63F0">
      <w:pPr>
        <w:spacing w:after="0" w:line="240" w:lineRule="auto"/>
        <w:jc w:val="both"/>
        <w:rPr>
          <w:rFonts w:ascii="Times New Roman" w:hAnsi="Times New Roman"/>
          <w:lang w:eastAsia="sk-SK"/>
        </w:rPr>
      </w:pPr>
      <w:r w:rsidRPr="00FC63F0">
        <w:rPr>
          <w:rFonts w:ascii="Times New Roman" w:hAnsi="Times New Roman"/>
          <w:bCs/>
          <w:lang w:eastAsia="sk-SK"/>
        </w:rPr>
        <w:t>Zároveň sa Slovenská republika ratifikáciou Medzinárodných zdravotníckych predpisov (</w:t>
      </w:r>
      <w:hyperlink r:id="rId13" w:history="1">
        <w:r w:rsidRPr="00FC63F0">
          <w:rPr>
            <w:rStyle w:val="Hypertextovprepojenie"/>
            <w:rFonts w:ascii="Times New Roman" w:hAnsi="Times New Roman"/>
            <w:bCs/>
            <w:lang w:eastAsia="sk-SK"/>
          </w:rPr>
          <w:t>https://www.who.int/csr/ihr/WHA58-en.pdf</w:t>
        </w:r>
      </w:hyperlink>
      <w:r w:rsidRPr="00FC63F0">
        <w:rPr>
          <w:rFonts w:ascii="Times New Roman" w:hAnsi="Times New Roman"/>
          <w:lang w:eastAsia="sk-SK"/>
        </w:rPr>
        <w:t xml:space="preserve"> ) zaviazala uplatňovať tieto predpisy v praxi. V súlade s článkom 40 týchto predpisov je potrebné zabezpečiť pre cestujúce osoby aj úhradu nákladov pri uplatnení požiadavky na izoláciu alebo karanténu.</w:t>
      </w:r>
    </w:p>
    <w:p w:rsidR="003E596D" w:rsidRPr="00FC63F0" w:rsidRDefault="003E596D" w:rsidP="00FC63F0">
      <w:pPr>
        <w:spacing w:after="0" w:line="240" w:lineRule="auto"/>
        <w:jc w:val="both"/>
        <w:rPr>
          <w:rFonts w:ascii="Times New Roman" w:hAnsi="Times New Roman"/>
          <w:lang w:eastAsia="sk-SK"/>
        </w:rPr>
      </w:pPr>
    </w:p>
    <w:p w:rsidR="003E596D" w:rsidRPr="00FC63F0" w:rsidRDefault="003E596D" w:rsidP="00FC63F0">
      <w:pPr>
        <w:spacing w:after="0" w:line="240" w:lineRule="auto"/>
        <w:jc w:val="both"/>
        <w:rPr>
          <w:rFonts w:ascii="Times New Roman" w:hAnsi="Times New Roman"/>
          <w:lang w:eastAsia="sk-SK"/>
        </w:rPr>
      </w:pPr>
      <w:r w:rsidRPr="00FC63F0">
        <w:rPr>
          <w:rFonts w:ascii="Times New Roman" w:hAnsi="Times New Roman"/>
          <w:lang w:eastAsia="sk-SK"/>
        </w:rPr>
        <w:t>Ďalšie časti návrhu nemajú priamy vplyv na rozpočet verejnej správy.</w:t>
      </w:r>
    </w:p>
    <w:p w:rsidR="003E596D" w:rsidRPr="00FC63F0" w:rsidRDefault="003E596D" w:rsidP="00FC63F0">
      <w:pPr>
        <w:spacing w:after="0" w:line="240" w:lineRule="auto"/>
        <w:jc w:val="both"/>
        <w:rPr>
          <w:rFonts w:ascii="Times New Roman" w:hAnsi="Times New Roman"/>
          <w:bCs/>
          <w:lang w:eastAsia="sk-SK"/>
        </w:rPr>
      </w:pPr>
      <w:r w:rsidRPr="00FC63F0">
        <w:rPr>
          <w:rFonts w:ascii="Times New Roman" w:hAnsi="Times New Roman"/>
          <w:bCs/>
          <w:lang w:eastAsia="sk-SK"/>
        </w:rPr>
        <w:t xml:space="preserve">Ustanovenie čl. </w:t>
      </w:r>
      <w:r w:rsidR="00246984" w:rsidRPr="00FC63F0">
        <w:rPr>
          <w:rFonts w:ascii="Times New Roman" w:hAnsi="Times New Roman"/>
          <w:bCs/>
          <w:lang w:eastAsia="sk-SK"/>
        </w:rPr>
        <w:t>V</w:t>
      </w:r>
      <w:r w:rsidRPr="00FC63F0">
        <w:rPr>
          <w:rFonts w:ascii="Times New Roman" w:hAnsi="Times New Roman"/>
          <w:bCs/>
          <w:lang w:eastAsia="sk-SK"/>
        </w:rPr>
        <w:t xml:space="preserve"> zákona, § 38ev ods. 1 (nárok na účasť na systéme verejného zdravotného poistenia v krízovom období aj pre osoby, ktoré prestávajú spĺňať podmienku účasti podľa § 3 ods. 3 písm. a) zákona č. 580/2004 Z. z.) z pohľadu vplyvu na rozpočet verejnej správy sa javí ako neutrálne. Tieto osoby budú mať nárok na úhradu zdravotne starostlivosti poskytovanej počas krízového stavu (zvýšenie výdavkov verejnej </w:t>
      </w:r>
      <w:r w:rsidRPr="00FC63F0">
        <w:rPr>
          <w:rFonts w:ascii="Times New Roman" w:hAnsi="Times New Roman"/>
          <w:bCs/>
          <w:lang w:eastAsia="sk-SK"/>
        </w:rPr>
        <w:lastRenderedPageBreak/>
        <w:t>správy) pričom zároveň bude za tieto osoby odvádzané poistné (zvýšenie príjmov verejnej správy). Vzhľadom k skutočnosti, že sa jedná iba o osoby, ktoré podmienku existencie zárobkovej činnosti spĺňajú plynule aj v minulosti (nejde o nové vstupy do systému zdravotného poistenia), je tým aj vylúčený prípadný špekulatívny vstup cez toto ustanovenie zákona.</w:t>
      </w:r>
    </w:p>
    <w:p w:rsidR="003E596D" w:rsidRPr="00FC63F0" w:rsidRDefault="003E596D" w:rsidP="00FC63F0">
      <w:pPr>
        <w:spacing w:after="0" w:line="240" w:lineRule="auto"/>
        <w:jc w:val="both"/>
        <w:rPr>
          <w:rFonts w:ascii="Times New Roman" w:hAnsi="Times New Roman"/>
          <w:bCs/>
          <w:lang w:eastAsia="sk-SK"/>
        </w:rPr>
      </w:pPr>
    </w:p>
    <w:p w:rsidR="003E596D" w:rsidRPr="00FC63F0" w:rsidRDefault="003E596D" w:rsidP="00FC63F0">
      <w:pPr>
        <w:spacing w:after="0" w:line="240" w:lineRule="auto"/>
        <w:jc w:val="both"/>
        <w:rPr>
          <w:rFonts w:ascii="Times New Roman" w:hAnsi="Times New Roman"/>
          <w:bCs/>
          <w:lang w:eastAsia="sk-SK"/>
        </w:rPr>
      </w:pPr>
      <w:r w:rsidRPr="00FC63F0">
        <w:rPr>
          <w:rFonts w:ascii="Times New Roman" w:hAnsi="Times New Roman"/>
          <w:bCs/>
          <w:lang w:eastAsia="sk-SK"/>
        </w:rPr>
        <w:t xml:space="preserve">Ustanovenie čl. </w:t>
      </w:r>
      <w:r w:rsidR="00246984" w:rsidRPr="00FC63F0">
        <w:rPr>
          <w:rFonts w:ascii="Times New Roman" w:hAnsi="Times New Roman"/>
          <w:bCs/>
          <w:lang w:eastAsia="sk-SK"/>
        </w:rPr>
        <w:t xml:space="preserve">V </w:t>
      </w:r>
      <w:r w:rsidRPr="00FC63F0">
        <w:rPr>
          <w:rFonts w:ascii="Times New Roman" w:hAnsi="Times New Roman"/>
          <w:bCs/>
          <w:lang w:eastAsia="sk-SK"/>
        </w:rPr>
        <w:t>zákona, § 38ev ods. 4 (poskytovanie zdravotnej starostlivosti v plnom rozsahu pre ktoré sa počas krízy stali dlžníkmi) tiež nie je posúdené ako opatrenie s vplyvom na rozpočet verejnej správy. Uvedené ustanovenie zdravotnej starostlivosti neslúži ako nástroj na šetrenie prostriedkov zdravotnej poisťovne ale ako jeden z nástrojov, podporujúcich platobnú disciplínu platiteľov poistného a vymáhanie nedoplatkov. Zároveň je predpoklad, že po úhrade nedoplatku by bola táto zdravotná starostlivosť poskytnutá a uhradená v plnej výške, teda jej prípadná úhrada v čase krízovej situácie nemôže byť pokladaná za úhradu nad rozsah existujúcich zdrojov verejného zdravotného poistenia.</w:t>
      </w:r>
    </w:p>
    <w:p w:rsidR="003E596D" w:rsidRPr="00FC63F0" w:rsidRDefault="003E596D" w:rsidP="00FC63F0">
      <w:pPr>
        <w:spacing w:after="0" w:line="240" w:lineRule="auto"/>
        <w:jc w:val="both"/>
        <w:rPr>
          <w:rFonts w:ascii="Times New Roman" w:hAnsi="Times New Roman"/>
          <w:bCs/>
          <w:lang w:eastAsia="sk-SK"/>
        </w:rPr>
      </w:pPr>
      <w:r w:rsidRPr="00FC63F0">
        <w:rPr>
          <w:rFonts w:ascii="Times New Roman" w:hAnsi="Times New Roman"/>
          <w:bCs/>
          <w:lang w:eastAsia="sk-SK"/>
        </w:rPr>
        <w:t xml:space="preserve">Neuplatňovanie tejto formy vymáhania poistného v krízovom období má za cieľ </w:t>
      </w:r>
      <w:r w:rsidRPr="00FC63F0">
        <w:rPr>
          <w:rFonts w:ascii="Times New Roman" w:hAnsi="Times New Roman"/>
          <w:bCs/>
          <w:shd w:val="clear" w:color="auto" w:fill="FFFFFF"/>
        </w:rPr>
        <w:t>zamedziť šíreniu nákazlivých chorôb (prostredníctvom osôb, ktoré by inak zdravotnú starostlivosť v plnom rozsahu nedostali) v rámci celej populácie.</w:t>
      </w:r>
    </w:p>
    <w:p w:rsidR="003E596D" w:rsidRPr="00FC63F0" w:rsidRDefault="003E596D" w:rsidP="00FC63F0">
      <w:pPr>
        <w:spacing w:after="0" w:line="240" w:lineRule="auto"/>
        <w:jc w:val="both"/>
        <w:rPr>
          <w:rFonts w:ascii="Times New Roman" w:hAnsi="Times New Roman"/>
          <w:bCs/>
          <w:lang w:eastAsia="sk-SK"/>
        </w:rPr>
      </w:pPr>
    </w:p>
    <w:p w:rsidR="00246984" w:rsidRPr="00FC63F0" w:rsidRDefault="00246984" w:rsidP="00FC63F0">
      <w:pPr>
        <w:spacing w:after="0" w:line="240" w:lineRule="auto"/>
        <w:jc w:val="both"/>
        <w:rPr>
          <w:rFonts w:ascii="Times New Roman" w:hAnsi="Times New Roman"/>
          <w:b/>
          <w:color w:val="000000"/>
        </w:rPr>
      </w:pPr>
      <w:r w:rsidRPr="00FC63F0">
        <w:rPr>
          <w:rFonts w:ascii="Times New Roman" w:hAnsi="Times New Roman"/>
          <w:b/>
          <w:color w:val="000000"/>
        </w:rPr>
        <w:t>Postup výpočtu pri odhade počtu nepoistených osôb a odhade ceny zdravotnej starostlivosti</w:t>
      </w:r>
    </w:p>
    <w:p w:rsidR="00FD039D" w:rsidRPr="00FC63F0" w:rsidRDefault="00FD039D" w:rsidP="00FC63F0">
      <w:pPr>
        <w:spacing w:after="0" w:line="240" w:lineRule="auto"/>
        <w:jc w:val="both"/>
        <w:rPr>
          <w:rFonts w:ascii="Times New Roman" w:hAnsi="Times New Roman"/>
          <w:color w:val="000000"/>
        </w:rPr>
      </w:pPr>
      <w:r w:rsidRPr="00FC63F0">
        <w:rPr>
          <w:rFonts w:ascii="Times New Roman" w:hAnsi="Times New Roman"/>
          <w:color w:val="000000"/>
        </w:rPr>
        <w:t xml:space="preserve">Odhadovaný počet nepoistených osôb, ktorým bude poskytnutá zdravotná starostlivosť v súvislosti s ochorením COVID-19: </w:t>
      </w:r>
      <w:r w:rsidRPr="00FC63F0">
        <w:rPr>
          <w:rFonts w:ascii="Times New Roman" w:hAnsi="Times New Roman"/>
          <w:b/>
          <w:color w:val="000000"/>
        </w:rPr>
        <w:t>1000 osôb</w:t>
      </w:r>
    </w:p>
    <w:p w:rsidR="00FD039D" w:rsidRPr="00FC63F0" w:rsidRDefault="00FD039D" w:rsidP="00FC63F0">
      <w:pPr>
        <w:spacing w:after="0" w:line="240" w:lineRule="auto"/>
        <w:jc w:val="both"/>
        <w:rPr>
          <w:rFonts w:ascii="Times New Roman" w:hAnsi="Times New Roman"/>
          <w:color w:val="000000"/>
        </w:rPr>
      </w:pPr>
    </w:p>
    <w:p w:rsidR="00FD039D" w:rsidRPr="00FC63F0" w:rsidRDefault="00FD039D" w:rsidP="00FC63F0">
      <w:pPr>
        <w:spacing w:after="0" w:line="240" w:lineRule="auto"/>
        <w:jc w:val="both"/>
        <w:rPr>
          <w:rFonts w:ascii="Times New Roman" w:hAnsi="Times New Roman"/>
          <w:color w:val="000000"/>
        </w:rPr>
      </w:pPr>
      <w:r w:rsidRPr="00FC63F0">
        <w:rPr>
          <w:rFonts w:ascii="Times New Roman" w:hAnsi="Times New Roman"/>
          <w:color w:val="000000"/>
        </w:rPr>
        <w:t>Z toho:</w:t>
      </w:r>
    </w:p>
    <w:p w:rsidR="00FD039D" w:rsidRPr="00FC63F0" w:rsidRDefault="005A118C" w:rsidP="00FC63F0">
      <w:pPr>
        <w:spacing w:after="0" w:line="240" w:lineRule="auto"/>
        <w:jc w:val="both"/>
        <w:rPr>
          <w:rFonts w:ascii="Times New Roman" w:hAnsi="Times New Roman"/>
          <w:color w:val="000000"/>
        </w:rPr>
      </w:pPr>
      <w:r w:rsidRPr="00FC63F0">
        <w:rPr>
          <w:rFonts w:ascii="Times New Roman" w:hAnsi="Times New Roman"/>
          <w:color w:val="000000"/>
        </w:rPr>
        <w:t>počet osôb, riešených ambulantne (92,57%): 926 osôb</w:t>
      </w:r>
    </w:p>
    <w:p w:rsidR="00FD039D" w:rsidRPr="00FC63F0" w:rsidRDefault="00FD039D" w:rsidP="00FC63F0">
      <w:pPr>
        <w:spacing w:after="0" w:line="240" w:lineRule="auto"/>
        <w:jc w:val="both"/>
        <w:rPr>
          <w:rFonts w:ascii="Times New Roman" w:hAnsi="Times New Roman"/>
          <w:color w:val="000000"/>
        </w:rPr>
      </w:pPr>
      <w:r w:rsidRPr="00FC63F0">
        <w:rPr>
          <w:rFonts w:ascii="Times New Roman" w:hAnsi="Times New Roman"/>
          <w:color w:val="000000"/>
        </w:rPr>
        <w:t xml:space="preserve">počet osôb, vyžadujúci hospitalizáciu  </w:t>
      </w:r>
      <w:r w:rsidR="005A118C" w:rsidRPr="00FC63F0">
        <w:rPr>
          <w:rFonts w:ascii="Times New Roman" w:hAnsi="Times New Roman"/>
          <w:color w:val="000000"/>
        </w:rPr>
        <w:t>(7,43%): 74 osôb</w:t>
      </w:r>
    </w:p>
    <w:p w:rsidR="005A118C" w:rsidRPr="00FC63F0" w:rsidRDefault="005A118C" w:rsidP="00FC63F0">
      <w:pPr>
        <w:pStyle w:val="Odsekzoznamu"/>
        <w:numPr>
          <w:ilvl w:val="0"/>
          <w:numId w:val="27"/>
        </w:numPr>
        <w:spacing w:after="0" w:line="240" w:lineRule="auto"/>
        <w:jc w:val="both"/>
        <w:rPr>
          <w:rFonts w:ascii="Times New Roman" w:hAnsi="Times New Roman"/>
          <w:color w:val="000000"/>
          <w:lang w:val="sk-SK"/>
        </w:rPr>
      </w:pPr>
      <w:r w:rsidRPr="00FC63F0">
        <w:rPr>
          <w:rFonts w:ascii="Times New Roman" w:hAnsi="Times New Roman"/>
          <w:color w:val="000000"/>
          <w:lang w:val="sk-SK"/>
        </w:rPr>
        <w:t>bez pľúcnej ventilácie (85%): 63 osôb</w:t>
      </w:r>
    </w:p>
    <w:p w:rsidR="005A118C" w:rsidRPr="00FC63F0" w:rsidRDefault="005A118C" w:rsidP="00FC63F0">
      <w:pPr>
        <w:pStyle w:val="Odsekzoznamu"/>
        <w:numPr>
          <w:ilvl w:val="0"/>
          <w:numId w:val="27"/>
        </w:numPr>
        <w:spacing w:after="0" w:line="240" w:lineRule="auto"/>
        <w:jc w:val="both"/>
        <w:rPr>
          <w:rFonts w:ascii="Times New Roman" w:hAnsi="Times New Roman"/>
          <w:color w:val="000000"/>
          <w:lang w:val="sk-SK"/>
        </w:rPr>
      </w:pPr>
      <w:r w:rsidRPr="00FC63F0">
        <w:rPr>
          <w:rFonts w:ascii="Times New Roman" w:hAnsi="Times New Roman"/>
          <w:color w:val="000000"/>
          <w:lang w:val="sk-SK"/>
        </w:rPr>
        <w:t>s pľúcnou ventiláciou (15%): 11 osôb</w:t>
      </w:r>
    </w:p>
    <w:p w:rsidR="005A118C" w:rsidRPr="00FC63F0" w:rsidRDefault="005A118C" w:rsidP="00FC63F0">
      <w:pPr>
        <w:spacing w:after="0" w:line="240" w:lineRule="auto"/>
        <w:jc w:val="both"/>
        <w:rPr>
          <w:rFonts w:ascii="Times New Roman" w:hAnsi="Times New Roman"/>
          <w:color w:val="000000"/>
        </w:rPr>
      </w:pPr>
      <w:r w:rsidRPr="00FC63F0">
        <w:rPr>
          <w:rFonts w:ascii="Times New Roman" w:hAnsi="Times New Roman"/>
          <w:color w:val="000000"/>
        </w:rPr>
        <w:t>Náklady:</w:t>
      </w:r>
    </w:p>
    <w:p w:rsidR="005A118C" w:rsidRPr="00FC63F0" w:rsidRDefault="005A118C" w:rsidP="00FC63F0">
      <w:pPr>
        <w:spacing w:after="0" w:line="240" w:lineRule="auto"/>
        <w:jc w:val="both"/>
        <w:rPr>
          <w:rFonts w:ascii="Times New Roman" w:hAnsi="Times New Roman"/>
          <w:color w:val="000000"/>
        </w:rPr>
      </w:pPr>
    </w:p>
    <w:p w:rsidR="005A118C" w:rsidRPr="00FC63F0" w:rsidRDefault="005A118C" w:rsidP="00FC63F0">
      <w:pPr>
        <w:spacing w:after="0" w:line="240" w:lineRule="auto"/>
        <w:jc w:val="both"/>
        <w:rPr>
          <w:rFonts w:ascii="Times New Roman" w:hAnsi="Times New Roman"/>
          <w:color w:val="000000"/>
        </w:rPr>
      </w:pPr>
      <w:r w:rsidRPr="00FC63F0">
        <w:rPr>
          <w:rFonts w:ascii="Times New Roman" w:hAnsi="Times New Roman"/>
          <w:color w:val="000000"/>
        </w:rPr>
        <w:t>zdravotná starostlivosť bez hospitalizácie</w:t>
      </w:r>
      <w:r w:rsidR="004228ED" w:rsidRPr="00FC63F0">
        <w:rPr>
          <w:rFonts w:ascii="Times New Roman" w:hAnsi="Times New Roman"/>
          <w:color w:val="000000"/>
        </w:rPr>
        <w:t xml:space="preserve"> s testom na Covid-19</w:t>
      </w:r>
      <w:r w:rsidRPr="00FC63F0">
        <w:rPr>
          <w:rFonts w:ascii="Times New Roman" w:hAnsi="Times New Roman"/>
          <w:color w:val="000000"/>
        </w:rPr>
        <w:t>: 50 eur x 926 osôb = 46 300 eur</w:t>
      </w:r>
    </w:p>
    <w:p w:rsidR="00625330" w:rsidRPr="00FC63F0" w:rsidRDefault="005A118C" w:rsidP="00FC63F0">
      <w:pPr>
        <w:spacing w:after="0" w:line="240" w:lineRule="auto"/>
        <w:jc w:val="both"/>
        <w:rPr>
          <w:rFonts w:ascii="Times New Roman" w:hAnsi="Times New Roman"/>
          <w:color w:val="000000"/>
        </w:rPr>
      </w:pPr>
      <w:r w:rsidRPr="00FC63F0">
        <w:rPr>
          <w:rFonts w:ascii="Times New Roman" w:hAnsi="Times New Roman"/>
          <w:color w:val="000000"/>
        </w:rPr>
        <w:t xml:space="preserve">zdravotná starostlivosť – hospitalizácia bez </w:t>
      </w:r>
      <w:r w:rsidR="00625330" w:rsidRPr="00FC63F0">
        <w:rPr>
          <w:rFonts w:ascii="Times New Roman" w:hAnsi="Times New Roman"/>
          <w:color w:val="000000"/>
        </w:rPr>
        <w:t>pľúcnej</w:t>
      </w:r>
      <w:r w:rsidRPr="00FC63F0">
        <w:rPr>
          <w:rFonts w:ascii="Times New Roman" w:hAnsi="Times New Roman"/>
          <w:color w:val="000000"/>
        </w:rPr>
        <w:t xml:space="preserve"> ventilácie: </w:t>
      </w:r>
      <w:r w:rsidR="001E7C6B" w:rsidRPr="00FC63F0">
        <w:rPr>
          <w:rFonts w:ascii="Times New Roman" w:hAnsi="Times New Roman"/>
          <w:color w:val="000000"/>
        </w:rPr>
        <w:t>2000</w:t>
      </w:r>
      <w:r w:rsidRPr="00FC63F0">
        <w:rPr>
          <w:rFonts w:ascii="Times New Roman" w:hAnsi="Times New Roman"/>
          <w:color w:val="000000"/>
        </w:rPr>
        <w:t xml:space="preserve"> eur x 63 osôb = </w:t>
      </w:r>
      <w:r w:rsidR="001E7C6B" w:rsidRPr="00FC63F0">
        <w:rPr>
          <w:rFonts w:ascii="Times New Roman" w:hAnsi="Times New Roman"/>
          <w:color w:val="000000"/>
        </w:rPr>
        <w:t>126 000</w:t>
      </w:r>
      <w:r w:rsidR="00625330" w:rsidRPr="00FC63F0">
        <w:rPr>
          <w:rFonts w:ascii="Times New Roman" w:hAnsi="Times New Roman"/>
          <w:color w:val="000000"/>
        </w:rPr>
        <w:t xml:space="preserve"> eur</w:t>
      </w:r>
    </w:p>
    <w:p w:rsidR="00625330" w:rsidRPr="00FC63F0" w:rsidRDefault="00625330" w:rsidP="00FC63F0">
      <w:pPr>
        <w:spacing w:after="0" w:line="240" w:lineRule="auto"/>
        <w:jc w:val="both"/>
        <w:rPr>
          <w:rFonts w:ascii="Times New Roman" w:hAnsi="Times New Roman"/>
          <w:color w:val="000000"/>
        </w:rPr>
      </w:pPr>
      <w:r w:rsidRPr="00FC63F0">
        <w:rPr>
          <w:rFonts w:ascii="Times New Roman" w:hAnsi="Times New Roman"/>
          <w:color w:val="000000"/>
        </w:rPr>
        <w:t xml:space="preserve">zdravotná starostlivosť – hospitalizácia s pľúcnou ventiláciou: </w:t>
      </w:r>
      <w:r w:rsidR="001E7C6B" w:rsidRPr="00FC63F0">
        <w:rPr>
          <w:rFonts w:ascii="Times New Roman" w:hAnsi="Times New Roman"/>
          <w:color w:val="000000"/>
        </w:rPr>
        <w:t>20</w:t>
      </w:r>
      <w:r w:rsidRPr="00FC63F0">
        <w:rPr>
          <w:rFonts w:ascii="Times New Roman" w:hAnsi="Times New Roman"/>
          <w:color w:val="000000"/>
        </w:rPr>
        <w:t xml:space="preserve"> 000 eur x 11 osôb = </w:t>
      </w:r>
      <w:r w:rsidR="001E7C6B" w:rsidRPr="00FC63F0">
        <w:rPr>
          <w:rFonts w:ascii="Times New Roman" w:hAnsi="Times New Roman"/>
          <w:color w:val="000000"/>
        </w:rPr>
        <w:t xml:space="preserve">220 </w:t>
      </w:r>
      <w:r w:rsidR="004228ED" w:rsidRPr="00FC63F0">
        <w:rPr>
          <w:rFonts w:ascii="Times New Roman" w:hAnsi="Times New Roman"/>
          <w:color w:val="000000"/>
        </w:rPr>
        <w:t>000</w:t>
      </w:r>
      <w:r w:rsidRPr="00FC63F0">
        <w:rPr>
          <w:rFonts w:ascii="Times New Roman" w:hAnsi="Times New Roman"/>
          <w:color w:val="000000"/>
        </w:rPr>
        <w:t xml:space="preserve"> eur</w:t>
      </w:r>
    </w:p>
    <w:p w:rsidR="00625330" w:rsidRPr="00FC63F0" w:rsidRDefault="00625330" w:rsidP="00FC63F0">
      <w:pPr>
        <w:spacing w:after="0" w:line="240" w:lineRule="auto"/>
        <w:jc w:val="both"/>
        <w:rPr>
          <w:rFonts w:ascii="Times New Roman" w:hAnsi="Times New Roman"/>
          <w:color w:val="000000"/>
        </w:rPr>
      </w:pPr>
    </w:p>
    <w:p w:rsidR="00625330" w:rsidRPr="00FC63F0" w:rsidRDefault="00625330" w:rsidP="00FC63F0">
      <w:pPr>
        <w:spacing w:after="0" w:line="240" w:lineRule="auto"/>
        <w:jc w:val="both"/>
        <w:rPr>
          <w:rFonts w:ascii="Times New Roman" w:hAnsi="Times New Roman"/>
          <w:color w:val="000000"/>
        </w:rPr>
      </w:pPr>
      <w:r w:rsidRPr="00FC63F0">
        <w:rPr>
          <w:rFonts w:ascii="Times New Roman" w:hAnsi="Times New Roman"/>
          <w:color w:val="000000"/>
        </w:rPr>
        <w:t xml:space="preserve">Odhadované náklady celkom: </w:t>
      </w:r>
      <w:r w:rsidR="005B0CFB" w:rsidRPr="00FC63F0">
        <w:rPr>
          <w:rFonts w:ascii="Times New Roman" w:hAnsi="Times New Roman"/>
          <w:color w:val="000000"/>
        </w:rPr>
        <w:t>392 300</w:t>
      </w:r>
      <w:r w:rsidR="004228ED" w:rsidRPr="00FC63F0">
        <w:rPr>
          <w:rFonts w:ascii="Times New Roman" w:hAnsi="Times New Roman"/>
          <w:color w:val="000000"/>
        </w:rPr>
        <w:t xml:space="preserve"> </w:t>
      </w:r>
      <w:r w:rsidRPr="00FC63F0">
        <w:rPr>
          <w:rFonts w:ascii="Times New Roman" w:hAnsi="Times New Roman"/>
          <w:color w:val="000000"/>
        </w:rPr>
        <w:t>eur.</w:t>
      </w:r>
    </w:p>
    <w:p w:rsidR="005A118C" w:rsidRPr="00FC63F0" w:rsidRDefault="005A118C" w:rsidP="00FC63F0">
      <w:pPr>
        <w:spacing w:after="0" w:line="240" w:lineRule="auto"/>
        <w:jc w:val="both"/>
        <w:rPr>
          <w:rFonts w:ascii="Times New Roman" w:hAnsi="Times New Roman"/>
          <w:color w:val="000000"/>
        </w:rPr>
      </w:pPr>
    </w:p>
    <w:p w:rsidR="005A118C" w:rsidRPr="00FC63F0" w:rsidRDefault="005A118C" w:rsidP="00FC63F0">
      <w:pPr>
        <w:spacing w:after="0" w:line="240" w:lineRule="auto"/>
        <w:jc w:val="both"/>
        <w:rPr>
          <w:rFonts w:ascii="Times New Roman" w:hAnsi="Times New Roman"/>
          <w:color w:val="000000"/>
        </w:rPr>
      </w:pPr>
    </w:p>
    <w:p w:rsidR="00F1266C" w:rsidRPr="00FC63F0" w:rsidRDefault="00403ECB" w:rsidP="00FC63F0">
      <w:pPr>
        <w:spacing w:after="0" w:line="240" w:lineRule="auto"/>
        <w:jc w:val="both"/>
        <w:rPr>
          <w:rFonts w:ascii="Times New Roman" w:hAnsi="Times New Roman"/>
          <w:b/>
          <w:color w:val="000000"/>
          <w:u w:val="single"/>
        </w:rPr>
      </w:pPr>
      <w:r w:rsidRPr="00FC63F0">
        <w:rPr>
          <w:rFonts w:ascii="Times New Roman" w:hAnsi="Times New Roman"/>
          <w:b/>
          <w:color w:val="000000"/>
          <w:u w:val="single"/>
        </w:rPr>
        <w:t xml:space="preserve">Zákon č. 581/2004 Z. z. </w:t>
      </w:r>
    </w:p>
    <w:p w:rsidR="00246984" w:rsidRPr="00FC63F0" w:rsidRDefault="00403ECB" w:rsidP="00FC63F0">
      <w:pPr>
        <w:pStyle w:val="m6140993598232482001msolistparagraph"/>
        <w:spacing w:before="0" w:beforeAutospacing="0" w:after="0" w:afterAutospacing="0"/>
        <w:jc w:val="both"/>
        <w:rPr>
          <w:sz w:val="22"/>
          <w:szCs w:val="22"/>
        </w:rPr>
      </w:pPr>
      <w:r w:rsidRPr="00FC63F0">
        <w:rPr>
          <w:sz w:val="22"/>
          <w:szCs w:val="22"/>
        </w:rPr>
        <w:t xml:space="preserve">Vzhľadom na situáciu v súvislosti s ochorením Covid-19 sa ustanovuje výška úhrady niektorých výkonov. </w:t>
      </w:r>
    </w:p>
    <w:p w:rsidR="00246984" w:rsidRPr="00FC63F0" w:rsidRDefault="00246984" w:rsidP="00FC63F0">
      <w:pPr>
        <w:pStyle w:val="m6140993598232482001msolistparagraph"/>
        <w:spacing w:before="0" w:beforeAutospacing="0" w:after="0" w:afterAutospacing="0"/>
        <w:jc w:val="both"/>
        <w:rPr>
          <w:sz w:val="22"/>
          <w:szCs w:val="22"/>
        </w:rPr>
      </w:pPr>
    </w:p>
    <w:p w:rsidR="00731304" w:rsidRPr="00731304" w:rsidRDefault="00731304" w:rsidP="00FC63F0">
      <w:pPr>
        <w:pStyle w:val="m6140993598232482001msolistparagraph"/>
        <w:spacing w:before="0" w:beforeAutospacing="0" w:after="0" w:afterAutospacing="0"/>
        <w:jc w:val="both"/>
        <w:rPr>
          <w:b/>
          <w:sz w:val="22"/>
          <w:szCs w:val="22"/>
          <w:u w:val="single"/>
        </w:rPr>
      </w:pPr>
      <w:r w:rsidRPr="00731304">
        <w:rPr>
          <w:b/>
          <w:sz w:val="22"/>
          <w:szCs w:val="22"/>
          <w:u w:val="single"/>
        </w:rPr>
        <w:t>Epidemiologické ambulancie</w:t>
      </w:r>
    </w:p>
    <w:p w:rsidR="00403ECB" w:rsidRPr="00FC63F0" w:rsidRDefault="00403ECB" w:rsidP="00FC63F0">
      <w:pPr>
        <w:pStyle w:val="m6140993598232482001msolistparagraph"/>
        <w:spacing w:before="0" w:beforeAutospacing="0" w:after="0" w:afterAutospacing="0"/>
        <w:jc w:val="both"/>
        <w:rPr>
          <w:sz w:val="22"/>
          <w:szCs w:val="22"/>
          <w:shd w:val="clear" w:color="auto" w:fill="FFFFFF"/>
        </w:rPr>
      </w:pPr>
      <w:r w:rsidRPr="00FC63F0">
        <w:rPr>
          <w:sz w:val="22"/>
          <w:szCs w:val="22"/>
        </w:rPr>
        <w:t xml:space="preserve">Pre epidemiologické ambulancie a pre </w:t>
      </w:r>
      <w:r w:rsidRPr="00FC63F0">
        <w:rPr>
          <w:sz w:val="22"/>
          <w:szCs w:val="22"/>
          <w:shd w:val="clear" w:color="auto" w:fill="FFFFFF"/>
        </w:rPr>
        <w:t xml:space="preserve">ambulancie pevnej ambulantnej pohotovostnej služby, ktorej bolo vydané rozhodnutie o dočasnej zmene povolenia na prevádzkovanie ambulancie pevnej ambulantnej pohotovostnej služby je stanovená paušálna úhrada vo výške 11 836 eur mesačne na jednu ambulanciu. </w:t>
      </w:r>
    </w:p>
    <w:p w:rsidR="00246984" w:rsidRPr="00FC63F0" w:rsidRDefault="00246984" w:rsidP="00FC63F0">
      <w:pPr>
        <w:pStyle w:val="m6140993598232482001msolistparagraph"/>
        <w:spacing w:before="0" w:beforeAutospacing="0" w:after="0" w:afterAutospacing="0"/>
        <w:jc w:val="both"/>
        <w:rPr>
          <w:sz w:val="22"/>
          <w:szCs w:val="22"/>
          <w:shd w:val="clear" w:color="auto" w:fill="FFFFFF"/>
        </w:rPr>
      </w:pPr>
    </w:p>
    <w:p w:rsidR="00246984" w:rsidRPr="00FC63F0" w:rsidRDefault="00246984" w:rsidP="00FC63F0">
      <w:pPr>
        <w:pStyle w:val="Odsekzoznamu"/>
        <w:numPr>
          <w:ilvl w:val="0"/>
          <w:numId w:val="30"/>
        </w:numPr>
        <w:spacing w:after="0" w:line="240" w:lineRule="auto"/>
        <w:jc w:val="both"/>
        <w:rPr>
          <w:rFonts w:ascii="Times New Roman" w:hAnsi="Times New Roman"/>
          <w:b/>
          <w:lang w:val="sk-SK"/>
        </w:rPr>
      </w:pPr>
      <w:r w:rsidRPr="00FC63F0">
        <w:rPr>
          <w:rFonts w:ascii="Times New Roman" w:hAnsi="Times New Roman"/>
          <w:b/>
          <w:lang w:val="sk-SK"/>
        </w:rPr>
        <w:t>výška paušálnej úhrady za poskytovanie zdravotnej starostlivosti v epidemiologickej ambulancii</w:t>
      </w:r>
    </w:p>
    <w:p w:rsidR="00246984" w:rsidRPr="00FC63F0" w:rsidRDefault="00246984" w:rsidP="00FC63F0">
      <w:pPr>
        <w:spacing w:after="0" w:line="240" w:lineRule="auto"/>
        <w:rPr>
          <w:rFonts w:ascii="Times New Roman" w:hAnsi="Times New Roman"/>
        </w:rPr>
      </w:pPr>
    </w:p>
    <w:p w:rsidR="00246984" w:rsidRPr="00FC63F0" w:rsidRDefault="00246984" w:rsidP="00FC63F0">
      <w:pPr>
        <w:spacing w:after="0" w:line="240" w:lineRule="auto"/>
        <w:rPr>
          <w:rFonts w:ascii="Times New Roman" w:hAnsi="Times New Roman"/>
        </w:rPr>
      </w:pPr>
      <w:r w:rsidRPr="00FC63F0">
        <w:rPr>
          <w:rFonts w:ascii="Times New Roman" w:hAnsi="Times New Roman"/>
        </w:rPr>
        <w:t>Výška paušálnej úhrady sa stanovuje na sumu 11 836 eur mesačne.</w:t>
      </w:r>
      <w:r w:rsidR="00B45FF2" w:rsidRPr="00FC63F0">
        <w:rPr>
          <w:rFonts w:ascii="Times New Roman" w:hAnsi="Times New Roman"/>
        </w:rPr>
        <w:t xml:space="preserve"> Suma pozostáva so mzdy lekára vo výške 12 eur na hodinu, mzdy sestry vo výške 6 eur na hodinu, spolu so zákonnými príplatkami (vrátane príplatku za sťažený výkon práce) a režijnými nákladmi. Výška paušálnej úhrady určená pre ambulantnú pohotovostnú službu vo výške 9800 eur bola zvýšená o príplatok za sťažený výkon.</w:t>
      </w:r>
    </w:p>
    <w:p w:rsidR="00246984" w:rsidRPr="00FC63F0" w:rsidRDefault="00B45FF2" w:rsidP="00FC63F0">
      <w:pPr>
        <w:spacing w:after="0" w:line="240" w:lineRule="auto"/>
        <w:rPr>
          <w:rFonts w:ascii="Times New Roman" w:hAnsi="Times New Roman"/>
        </w:rPr>
      </w:pPr>
      <w:r w:rsidRPr="00FC63F0">
        <w:rPr>
          <w:rFonts w:ascii="Times New Roman" w:hAnsi="Times New Roman"/>
        </w:rPr>
        <w:t>Maximálny</w:t>
      </w:r>
      <w:r w:rsidR="00246984" w:rsidRPr="00FC63F0">
        <w:rPr>
          <w:rFonts w:ascii="Times New Roman" w:hAnsi="Times New Roman"/>
        </w:rPr>
        <w:t xml:space="preserve"> počet epidemiologických ambulancií v SR:</w:t>
      </w:r>
      <w:r w:rsidR="00F869D0">
        <w:rPr>
          <w:rFonts w:ascii="Times New Roman" w:hAnsi="Times New Roman"/>
        </w:rPr>
        <w:tab/>
      </w:r>
      <w:r w:rsidR="00F869D0">
        <w:rPr>
          <w:rFonts w:ascii="Times New Roman" w:hAnsi="Times New Roman"/>
        </w:rPr>
        <w:tab/>
      </w:r>
      <w:r w:rsidR="00246984" w:rsidRPr="00FC63F0">
        <w:rPr>
          <w:rFonts w:ascii="Times New Roman" w:hAnsi="Times New Roman"/>
        </w:rPr>
        <w:t>137</w:t>
      </w:r>
    </w:p>
    <w:p w:rsidR="00246984" w:rsidRDefault="00246984" w:rsidP="00FC63F0">
      <w:pPr>
        <w:spacing w:after="0" w:line="240" w:lineRule="auto"/>
        <w:rPr>
          <w:rFonts w:ascii="Times New Roman" w:hAnsi="Times New Roman"/>
        </w:rPr>
      </w:pPr>
      <w:r w:rsidRPr="00FC63F0">
        <w:rPr>
          <w:rFonts w:ascii="Times New Roman" w:hAnsi="Times New Roman"/>
        </w:rPr>
        <w:t xml:space="preserve">Mesačný dopad na rozpočet verejného zdravotného poistenia: </w:t>
      </w:r>
      <w:r w:rsidR="00F869D0">
        <w:rPr>
          <w:rFonts w:ascii="Times New Roman" w:hAnsi="Times New Roman"/>
        </w:rPr>
        <w:tab/>
      </w:r>
      <w:r w:rsidRPr="00FC63F0">
        <w:rPr>
          <w:rFonts w:ascii="Times New Roman" w:hAnsi="Times New Roman"/>
        </w:rPr>
        <w:t>11 836 x 137 = 1 621 532 eur</w:t>
      </w:r>
    </w:p>
    <w:p w:rsidR="00F869D0" w:rsidRPr="00FC63F0" w:rsidRDefault="00F869D0" w:rsidP="00FC63F0">
      <w:pPr>
        <w:spacing w:after="0" w:line="240" w:lineRule="auto"/>
        <w:rPr>
          <w:rFonts w:ascii="Times New Roman" w:hAnsi="Times New Roman"/>
        </w:rPr>
      </w:pPr>
      <w:r>
        <w:rPr>
          <w:rFonts w:ascii="Times New Roman" w:hAnsi="Times New Roman"/>
        </w:rPr>
        <w:t>Dopad za rok 2020: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C63F0">
        <w:rPr>
          <w:rFonts w:ascii="Times New Roman" w:hAnsi="Times New Roman"/>
        </w:rPr>
        <w:t>1 621</w:t>
      </w:r>
      <w:r>
        <w:rPr>
          <w:rFonts w:ascii="Times New Roman" w:hAnsi="Times New Roman"/>
        </w:rPr>
        <w:t> </w:t>
      </w:r>
      <w:r w:rsidRPr="00FC63F0">
        <w:rPr>
          <w:rFonts w:ascii="Times New Roman" w:hAnsi="Times New Roman"/>
        </w:rPr>
        <w:t>532</w:t>
      </w:r>
      <w:r>
        <w:rPr>
          <w:rFonts w:ascii="Times New Roman" w:hAnsi="Times New Roman"/>
        </w:rPr>
        <w:t xml:space="preserve"> x 8 = </w:t>
      </w:r>
      <w:r w:rsidRPr="00F869D0">
        <w:rPr>
          <w:rFonts w:ascii="Times New Roman" w:hAnsi="Times New Roman"/>
        </w:rPr>
        <w:t>12</w:t>
      </w:r>
      <w:r>
        <w:rPr>
          <w:rFonts w:ascii="Times New Roman" w:hAnsi="Times New Roman"/>
        </w:rPr>
        <w:t> </w:t>
      </w:r>
      <w:r w:rsidRPr="00F869D0">
        <w:rPr>
          <w:rFonts w:ascii="Times New Roman" w:hAnsi="Times New Roman"/>
        </w:rPr>
        <w:t>972</w:t>
      </w:r>
      <w:r>
        <w:rPr>
          <w:rFonts w:ascii="Times New Roman" w:hAnsi="Times New Roman"/>
        </w:rPr>
        <w:t> </w:t>
      </w:r>
      <w:r w:rsidRPr="00F869D0">
        <w:rPr>
          <w:rFonts w:ascii="Times New Roman" w:hAnsi="Times New Roman"/>
        </w:rPr>
        <w:t>256</w:t>
      </w:r>
      <w:r>
        <w:rPr>
          <w:rFonts w:ascii="Times New Roman" w:hAnsi="Times New Roman"/>
        </w:rPr>
        <w:t xml:space="preserve"> eur</w:t>
      </w:r>
    </w:p>
    <w:p w:rsidR="00246984" w:rsidRPr="00FC63F0" w:rsidRDefault="00246984" w:rsidP="00FC63F0">
      <w:pPr>
        <w:pStyle w:val="m6140993598232482001msolistparagraph"/>
        <w:spacing w:before="0" w:beforeAutospacing="0" w:after="0" w:afterAutospacing="0"/>
        <w:jc w:val="both"/>
        <w:rPr>
          <w:sz w:val="22"/>
          <w:szCs w:val="22"/>
          <w:shd w:val="clear" w:color="auto" w:fill="FFFFFF"/>
        </w:rPr>
      </w:pPr>
    </w:p>
    <w:p w:rsidR="00731304" w:rsidRPr="00731304" w:rsidRDefault="00731304" w:rsidP="00FC63F0">
      <w:pPr>
        <w:pStyle w:val="m6140993598232482001msolistparagraph"/>
        <w:spacing w:before="0" w:beforeAutospacing="0" w:after="0" w:afterAutospacing="0"/>
        <w:jc w:val="both"/>
        <w:rPr>
          <w:b/>
          <w:sz w:val="22"/>
          <w:szCs w:val="22"/>
          <w:u w:val="single"/>
          <w:shd w:val="clear" w:color="auto" w:fill="FFFFFF"/>
        </w:rPr>
      </w:pPr>
      <w:r w:rsidRPr="00731304">
        <w:rPr>
          <w:b/>
          <w:sz w:val="22"/>
          <w:szCs w:val="22"/>
          <w:u w:val="single"/>
          <w:shd w:val="clear" w:color="auto" w:fill="FFFFFF"/>
        </w:rPr>
        <w:t>Dopravná zdravotná služba</w:t>
      </w:r>
    </w:p>
    <w:p w:rsidR="00403ECB" w:rsidRPr="00FC63F0" w:rsidRDefault="00403ECB" w:rsidP="00FC63F0">
      <w:pPr>
        <w:pStyle w:val="m6140993598232482001msolistparagraph"/>
        <w:spacing w:before="0" w:beforeAutospacing="0" w:after="0" w:afterAutospacing="0"/>
        <w:jc w:val="both"/>
        <w:rPr>
          <w:sz w:val="22"/>
          <w:szCs w:val="22"/>
        </w:rPr>
      </w:pPr>
      <w:r w:rsidRPr="00FC63F0">
        <w:rPr>
          <w:sz w:val="22"/>
          <w:szCs w:val="22"/>
          <w:shd w:val="clear" w:color="auto" w:fill="FFFFFF"/>
        </w:rPr>
        <w:t xml:space="preserve">Pre dopravnú zdravotnú službu, ktorá bude zabezpečovať prepravu zdravotníckeho pracovníka za účelom odberu biologického materiálu – odobratie steru z nosa a hrdla alebo prepravu osoby na miesto určené </w:t>
      </w:r>
      <w:r w:rsidRPr="00FC63F0">
        <w:rPr>
          <w:sz w:val="22"/>
          <w:szCs w:val="22"/>
          <w:shd w:val="clear" w:color="auto" w:fill="FFFFFF"/>
        </w:rPr>
        <w:lastRenderedPageBreak/>
        <w:t>operačným strediskom tiesňového volania záchrannej zdravotnej služby, sa za jeden kilometer jazdy stanovuje suma vo výške 0,70 eura. Pre účely vykázania pre zdravotnú poisťovňu sa použije typ prevozu COVI, skutočný počet kilometrov so zdravotným pracovníkom; počet kilometrov bez zdravotníckeho pracovníka sa nevykazuje.</w:t>
      </w:r>
      <w:r w:rsidRPr="00FC63F0">
        <w:rPr>
          <w:sz w:val="22"/>
          <w:szCs w:val="22"/>
        </w:rPr>
        <w:t xml:space="preserve"> Pre tento nový typ prevozu nie je potrebné upravovať metodické usmernenie úradu; zdravotné poisťovne si to dohodnú priamo s poskytovateľom zdravotnej starostlivosti. </w:t>
      </w:r>
    </w:p>
    <w:p w:rsidR="00246984" w:rsidRPr="00FC63F0" w:rsidRDefault="00246984" w:rsidP="00FC63F0">
      <w:pPr>
        <w:pStyle w:val="m6140993598232482001msolistparagraph"/>
        <w:spacing w:before="0" w:beforeAutospacing="0" w:after="0" w:afterAutospacing="0"/>
        <w:jc w:val="both"/>
        <w:rPr>
          <w:sz w:val="22"/>
          <w:szCs w:val="22"/>
        </w:rPr>
      </w:pPr>
    </w:p>
    <w:p w:rsidR="00246984" w:rsidRPr="00FC63F0" w:rsidRDefault="00246984" w:rsidP="00FC63F0">
      <w:pPr>
        <w:pStyle w:val="Odsekzoznamu"/>
        <w:numPr>
          <w:ilvl w:val="0"/>
          <w:numId w:val="30"/>
        </w:numPr>
        <w:spacing w:after="0" w:line="240" w:lineRule="auto"/>
        <w:jc w:val="both"/>
        <w:rPr>
          <w:rFonts w:ascii="Times New Roman" w:hAnsi="Times New Roman"/>
          <w:b/>
          <w:lang w:val="sk-SK"/>
        </w:rPr>
      </w:pPr>
      <w:r w:rsidRPr="00FC63F0">
        <w:rPr>
          <w:rFonts w:ascii="Times New Roman" w:hAnsi="Times New Roman"/>
          <w:b/>
          <w:lang w:val="sk-SK"/>
        </w:rPr>
        <w:t>výška úhrady za jeden kilometer jazdy dopravnej zdravotnej službe za prepravu zdravotníckeho pracovníka za účelom odberu biologického materiálu</w:t>
      </w:r>
    </w:p>
    <w:p w:rsidR="00246984" w:rsidRPr="00FC63F0" w:rsidRDefault="00246984" w:rsidP="00FC63F0">
      <w:pPr>
        <w:spacing w:after="0" w:line="240" w:lineRule="auto"/>
        <w:rPr>
          <w:rFonts w:ascii="Times New Roman" w:hAnsi="Times New Roman"/>
        </w:rPr>
      </w:pPr>
    </w:p>
    <w:p w:rsidR="00246984" w:rsidRPr="00FC63F0" w:rsidRDefault="00246984" w:rsidP="00FC63F0">
      <w:pPr>
        <w:spacing w:after="0" w:line="240" w:lineRule="auto"/>
        <w:rPr>
          <w:rFonts w:ascii="Times New Roman" w:hAnsi="Times New Roman"/>
        </w:rPr>
      </w:pPr>
      <w:r w:rsidRPr="00FC63F0">
        <w:rPr>
          <w:rFonts w:ascii="Times New Roman" w:hAnsi="Times New Roman"/>
        </w:rPr>
        <w:t>Výška úhrady za 1 km jazdy: 0,70 eur</w:t>
      </w:r>
    </w:p>
    <w:p w:rsidR="00246984" w:rsidRPr="00FC63F0" w:rsidRDefault="00246984" w:rsidP="00FC63F0">
      <w:pPr>
        <w:spacing w:after="0" w:line="240" w:lineRule="auto"/>
        <w:rPr>
          <w:rFonts w:ascii="Times New Roman" w:hAnsi="Times New Roman"/>
        </w:rPr>
      </w:pPr>
      <w:r w:rsidRPr="00FC63F0">
        <w:rPr>
          <w:rFonts w:ascii="Times New Roman" w:hAnsi="Times New Roman"/>
        </w:rPr>
        <w:t>Odhadovaný počet výjazdov v SR denne: 100</w:t>
      </w:r>
    </w:p>
    <w:p w:rsidR="00246984" w:rsidRPr="00FC63F0" w:rsidRDefault="00246984" w:rsidP="00FC63F0">
      <w:pPr>
        <w:spacing w:after="0" w:line="240" w:lineRule="auto"/>
        <w:rPr>
          <w:rFonts w:ascii="Times New Roman" w:hAnsi="Times New Roman"/>
        </w:rPr>
      </w:pPr>
      <w:r w:rsidRPr="00FC63F0">
        <w:rPr>
          <w:rFonts w:ascii="Times New Roman" w:hAnsi="Times New Roman"/>
        </w:rPr>
        <w:t>Odhadovaný počet prejazdených km pri jednom výjazde: 40 km (uvažujeme s priemernou vzdialenosťou 20 km od osoby, u ktorej je potrebné vykonať odber) (šofér a vezie zdravotníckeho pracovníka)</w:t>
      </w:r>
    </w:p>
    <w:p w:rsidR="00246984" w:rsidRPr="00FC63F0" w:rsidRDefault="00246984" w:rsidP="00FC63F0">
      <w:pPr>
        <w:spacing w:after="0" w:line="240" w:lineRule="auto"/>
        <w:rPr>
          <w:rFonts w:ascii="Times New Roman" w:hAnsi="Times New Roman"/>
        </w:rPr>
      </w:pPr>
      <w:r w:rsidRPr="00FC63F0">
        <w:rPr>
          <w:rFonts w:ascii="Times New Roman" w:hAnsi="Times New Roman"/>
        </w:rPr>
        <w:t xml:space="preserve">Odhadnutý denný dopad na rozpočet verejného zdravotného poistenia: </w:t>
      </w:r>
      <w:r w:rsidR="00F869D0">
        <w:rPr>
          <w:rFonts w:ascii="Times New Roman" w:hAnsi="Times New Roman"/>
        </w:rPr>
        <w:tab/>
      </w:r>
      <w:r w:rsidRPr="00FC63F0">
        <w:rPr>
          <w:rFonts w:ascii="Times New Roman" w:hAnsi="Times New Roman"/>
        </w:rPr>
        <w:t>0,7</w:t>
      </w:r>
      <w:r w:rsidR="00F869D0">
        <w:rPr>
          <w:rFonts w:ascii="Times New Roman" w:hAnsi="Times New Roman"/>
        </w:rPr>
        <w:t>0</w:t>
      </w:r>
      <w:r w:rsidRPr="00FC63F0">
        <w:rPr>
          <w:rFonts w:ascii="Times New Roman" w:hAnsi="Times New Roman"/>
        </w:rPr>
        <w:t xml:space="preserve"> x 40 x 100 = 2 880 eur</w:t>
      </w:r>
    </w:p>
    <w:p w:rsidR="00246984" w:rsidRPr="00FC63F0" w:rsidRDefault="00246984" w:rsidP="00FC63F0">
      <w:pPr>
        <w:spacing w:after="0" w:line="240" w:lineRule="auto"/>
        <w:rPr>
          <w:rFonts w:ascii="Times New Roman" w:hAnsi="Times New Roman"/>
        </w:rPr>
      </w:pPr>
      <w:r w:rsidRPr="00FC63F0">
        <w:rPr>
          <w:rFonts w:ascii="Times New Roman" w:hAnsi="Times New Roman"/>
        </w:rPr>
        <w:t xml:space="preserve">Mesačný dopad na rozpočet verejného zdravotného poistenia: </w:t>
      </w:r>
      <w:r w:rsidR="00F869D0">
        <w:rPr>
          <w:rFonts w:ascii="Times New Roman" w:hAnsi="Times New Roman"/>
        </w:rPr>
        <w:tab/>
      </w:r>
      <w:r w:rsidR="00F869D0">
        <w:rPr>
          <w:rFonts w:ascii="Times New Roman" w:hAnsi="Times New Roman"/>
        </w:rPr>
        <w:tab/>
      </w:r>
      <w:r w:rsidRPr="00FC63F0">
        <w:rPr>
          <w:rFonts w:ascii="Times New Roman" w:hAnsi="Times New Roman"/>
        </w:rPr>
        <w:t>2 880 x 30 = 8</w:t>
      </w:r>
      <w:r w:rsidR="00F869D0">
        <w:rPr>
          <w:rFonts w:ascii="Times New Roman" w:hAnsi="Times New Roman"/>
        </w:rPr>
        <w:t>4</w:t>
      </w:r>
      <w:r w:rsidRPr="00FC63F0">
        <w:rPr>
          <w:rFonts w:ascii="Times New Roman" w:hAnsi="Times New Roman"/>
        </w:rPr>
        <w:t xml:space="preserve"> </w:t>
      </w:r>
      <w:r w:rsidR="00F869D0">
        <w:rPr>
          <w:rFonts w:ascii="Times New Roman" w:hAnsi="Times New Roman"/>
        </w:rPr>
        <w:t>0</w:t>
      </w:r>
      <w:r w:rsidRPr="00FC63F0">
        <w:rPr>
          <w:rFonts w:ascii="Times New Roman" w:hAnsi="Times New Roman"/>
        </w:rPr>
        <w:t>00 eur</w:t>
      </w:r>
    </w:p>
    <w:p w:rsidR="00F869D0" w:rsidRPr="00FC63F0" w:rsidRDefault="00F869D0" w:rsidP="00F869D0">
      <w:pPr>
        <w:spacing w:after="0" w:line="240" w:lineRule="auto"/>
        <w:rPr>
          <w:rFonts w:ascii="Times New Roman" w:hAnsi="Times New Roman"/>
        </w:rPr>
      </w:pPr>
      <w:r>
        <w:rPr>
          <w:rFonts w:ascii="Times New Roman" w:hAnsi="Times New Roman"/>
        </w:rPr>
        <w:t>Dopad za rok 2020: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C63F0">
        <w:rPr>
          <w:rFonts w:ascii="Times New Roman" w:hAnsi="Times New Roman"/>
        </w:rPr>
        <w:t>8</w:t>
      </w:r>
      <w:r>
        <w:rPr>
          <w:rFonts w:ascii="Times New Roman" w:hAnsi="Times New Roman"/>
        </w:rPr>
        <w:t>4 0</w:t>
      </w:r>
      <w:r w:rsidRPr="00FC63F0">
        <w:rPr>
          <w:rFonts w:ascii="Times New Roman" w:hAnsi="Times New Roman"/>
        </w:rPr>
        <w:t xml:space="preserve">00 </w:t>
      </w:r>
      <w:r>
        <w:rPr>
          <w:rFonts w:ascii="Times New Roman" w:hAnsi="Times New Roman"/>
        </w:rPr>
        <w:t xml:space="preserve">x 8 = </w:t>
      </w:r>
      <w:r w:rsidRPr="00F869D0">
        <w:rPr>
          <w:rFonts w:ascii="Times New Roman" w:hAnsi="Times New Roman"/>
        </w:rPr>
        <w:t>672</w:t>
      </w:r>
      <w:r>
        <w:rPr>
          <w:rFonts w:ascii="Times New Roman" w:hAnsi="Times New Roman"/>
        </w:rPr>
        <w:t xml:space="preserve"> </w:t>
      </w:r>
      <w:r w:rsidRPr="00F869D0">
        <w:rPr>
          <w:rFonts w:ascii="Times New Roman" w:hAnsi="Times New Roman"/>
        </w:rPr>
        <w:t>000</w:t>
      </w:r>
      <w:r>
        <w:rPr>
          <w:rFonts w:ascii="Times New Roman" w:hAnsi="Times New Roman"/>
        </w:rPr>
        <w:t xml:space="preserve"> eur</w:t>
      </w:r>
    </w:p>
    <w:p w:rsidR="00246984" w:rsidRPr="00FC63F0" w:rsidRDefault="00246984" w:rsidP="00FC63F0">
      <w:pPr>
        <w:pStyle w:val="m6140993598232482001msolistparagraph"/>
        <w:spacing w:before="0" w:beforeAutospacing="0" w:after="0" w:afterAutospacing="0"/>
        <w:jc w:val="both"/>
        <w:rPr>
          <w:sz w:val="22"/>
          <w:szCs w:val="22"/>
        </w:rPr>
      </w:pPr>
    </w:p>
    <w:p w:rsidR="00403ECB" w:rsidRPr="00FC63F0" w:rsidRDefault="00403ECB" w:rsidP="00FC63F0">
      <w:pPr>
        <w:pStyle w:val="m6140993598232482001msolistparagraph"/>
        <w:spacing w:before="0" w:beforeAutospacing="0" w:after="0" w:afterAutospacing="0"/>
        <w:jc w:val="both"/>
        <w:rPr>
          <w:sz w:val="22"/>
          <w:szCs w:val="22"/>
        </w:rPr>
      </w:pPr>
    </w:p>
    <w:p w:rsidR="00403ECB" w:rsidRPr="00FC63F0" w:rsidRDefault="00EB097E" w:rsidP="00FC63F0">
      <w:pPr>
        <w:spacing w:after="0" w:line="240" w:lineRule="auto"/>
        <w:jc w:val="both"/>
        <w:rPr>
          <w:rFonts w:ascii="Times New Roman" w:hAnsi="Times New Roman"/>
          <w:b/>
          <w:color w:val="000000"/>
          <w:u w:val="single"/>
        </w:rPr>
      </w:pPr>
      <w:r>
        <w:rPr>
          <w:rFonts w:ascii="Times New Roman" w:hAnsi="Times New Roman"/>
          <w:b/>
          <w:color w:val="000000"/>
          <w:u w:val="single"/>
        </w:rPr>
        <w:t>Mobilné odberové miesto formou výjazdovej služby</w:t>
      </w:r>
    </w:p>
    <w:p w:rsidR="00F869D0" w:rsidRPr="00FC63F0" w:rsidRDefault="00F869D0" w:rsidP="00F869D0">
      <w:pPr>
        <w:pStyle w:val="m6140993598232482001msolistparagraph"/>
        <w:spacing w:before="0" w:beforeAutospacing="0" w:after="0" w:afterAutospacing="0"/>
        <w:jc w:val="both"/>
        <w:rPr>
          <w:sz w:val="22"/>
          <w:szCs w:val="22"/>
        </w:rPr>
      </w:pPr>
      <w:r w:rsidRPr="00FC63F0">
        <w:rPr>
          <w:sz w:val="22"/>
          <w:szCs w:val="22"/>
        </w:rPr>
        <w:t xml:space="preserve">Pre poskytovateľa zdravotnej starostlivosti, ktorý je držiteľom povolenia na </w:t>
      </w:r>
      <w:r w:rsidRPr="00FC63F0">
        <w:rPr>
          <w:sz w:val="22"/>
          <w:szCs w:val="22"/>
          <w:shd w:val="clear" w:color="auto" w:fill="FFFFFF"/>
        </w:rPr>
        <w:t>prevádzkovanie</w:t>
      </w:r>
      <w:r w:rsidRPr="00FC63F0">
        <w:rPr>
          <w:sz w:val="22"/>
          <w:szCs w:val="22"/>
        </w:rPr>
        <w:t xml:space="preserve"> </w:t>
      </w:r>
      <w:r w:rsidRPr="00FC63F0">
        <w:rPr>
          <w:sz w:val="22"/>
          <w:szCs w:val="22"/>
          <w:shd w:val="clear" w:color="auto" w:fill="FFFFFF"/>
        </w:rPr>
        <w:t>mobilného odberového miesta</w:t>
      </w:r>
      <w:r w:rsidRPr="00FC63F0">
        <w:rPr>
          <w:sz w:val="22"/>
          <w:szCs w:val="22"/>
        </w:rPr>
        <w:t xml:space="preserve">, </w:t>
      </w:r>
      <w:r w:rsidRPr="00FC63F0">
        <w:rPr>
          <w:sz w:val="22"/>
          <w:szCs w:val="22"/>
          <w:shd w:val="clear" w:color="auto" w:fill="FFFFFF"/>
        </w:rPr>
        <w:t xml:space="preserve">ktorý bude vykonávať odber biologického materiálu formou výjazdovej služby, sa za jeden kilometer </w:t>
      </w:r>
      <w:r w:rsidRPr="00FC63F0">
        <w:rPr>
          <w:sz w:val="22"/>
          <w:szCs w:val="22"/>
        </w:rPr>
        <w:t>jazdy stanovuje suma vo výške 0,903</w:t>
      </w:r>
      <w:r w:rsidRPr="00FC63F0">
        <w:rPr>
          <w:sz w:val="22"/>
          <w:szCs w:val="22"/>
          <w:shd w:val="clear" w:color="auto" w:fill="FFFFFF"/>
        </w:rPr>
        <w:t> eura. Pre účely vykázania pre zdravotnú poisťovňu sa použije typ prevozu COVM, skutočný počet kilometrov so zdravotným pracovníkom; počet km bez zdravotníckeho pracovníka sa nevykazuje.</w:t>
      </w:r>
    </w:p>
    <w:p w:rsidR="00403ECB" w:rsidRPr="00FC63F0" w:rsidRDefault="00403ECB" w:rsidP="00FC63F0">
      <w:pPr>
        <w:spacing w:after="0" w:line="240" w:lineRule="auto"/>
        <w:rPr>
          <w:rFonts w:ascii="Times New Roman" w:hAnsi="Times New Roman"/>
        </w:rPr>
      </w:pPr>
    </w:p>
    <w:p w:rsidR="00403ECB" w:rsidRPr="00FC63F0" w:rsidRDefault="00403ECB" w:rsidP="00FC63F0">
      <w:pPr>
        <w:pStyle w:val="Odsekzoznamu"/>
        <w:numPr>
          <w:ilvl w:val="0"/>
          <w:numId w:val="30"/>
        </w:numPr>
        <w:spacing w:after="0" w:line="240" w:lineRule="auto"/>
        <w:jc w:val="both"/>
        <w:rPr>
          <w:rFonts w:ascii="Times New Roman" w:hAnsi="Times New Roman"/>
          <w:b/>
          <w:lang w:val="sk-SK"/>
        </w:rPr>
      </w:pPr>
      <w:r w:rsidRPr="00FC63F0">
        <w:rPr>
          <w:rFonts w:ascii="Times New Roman" w:hAnsi="Times New Roman"/>
          <w:b/>
          <w:lang w:val="sk-SK"/>
        </w:rPr>
        <w:t>výška úhrady za jeden kilometer jazdy poskytovateľovi mobilného odberového miesta (MOM) ktorý vykonáva odber biologického materiálu formou návštevnej služby</w:t>
      </w:r>
    </w:p>
    <w:p w:rsidR="00403ECB" w:rsidRPr="00FC63F0" w:rsidRDefault="00403ECB" w:rsidP="00FC63F0">
      <w:pPr>
        <w:spacing w:after="0" w:line="240" w:lineRule="auto"/>
        <w:rPr>
          <w:rFonts w:ascii="Times New Roman" w:hAnsi="Times New Roman"/>
        </w:rPr>
      </w:pPr>
    </w:p>
    <w:p w:rsidR="00403ECB" w:rsidRPr="00FC63F0" w:rsidRDefault="00403ECB" w:rsidP="00FC63F0">
      <w:pPr>
        <w:spacing w:after="0" w:line="240" w:lineRule="auto"/>
        <w:rPr>
          <w:rFonts w:ascii="Times New Roman" w:hAnsi="Times New Roman"/>
        </w:rPr>
      </w:pPr>
      <w:r w:rsidRPr="00FC63F0">
        <w:rPr>
          <w:rFonts w:ascii="Times New Roman" w:hAnsi="Times New Roman"/>
        </w:rPr>
        <w:t xml:space="preserve">Výška úhrady za 1 km </w:t>
      </w:r>
      <w:r w:rsidRPr="00EB097E">
        <w:rPr>
          <w:rFonts w:ascii="Times New Roman" w:hAnsi="Times New Roman"/>
        </w:rPr>
        <w:t>jazdy: 0,</w:t>
      </w:r>
      <w:r w:rsidR="00EB097E" w:rsidRPr="00EB097E">
        <w:rPr>
          <w:rFonts w:ascii="Times New Roman" w:hAnsi="Times New Roman"/>
        </w:rPr>
        <w:t>903</w:t>
      </w:r>
      <w:r w:rsidRPr="00EB097E">
        <w:rPr>
          <w:rFonts w:ascii="Times New Roman" w:hAnsi="Times New Roman"/>
        </w:rPr>
        <w:t xml:space="preserve"> eur</w:t>
      </w:r>
    </w:p>
    <w:p w:rsidR="00403ECB" w:rsidRPr="00FC63F0" w:rsidRDefault="00403ECB" w:rsidP="00FC63F0">
      <w:pPr>
        <w:spacing w:after="0" w:line="240" w:lineRule="auto"/>
        <w:rPr>
          <w:rFonts w:ascii="Times New Roman" w:hAnsi="Times New Roman"/>
        </w:rPr>
      </w:pPr>
      <w:r w:rsidRPr="00FC63F0">
        <w:rPr>
          <w:rFonts w:ascii="Times New Roman" w:hAnsi="Times New Roman"/>
        </w:rPr>
        <w:t xml:space="preserve">Odhadovaný počet prevádzkovateľov MOM: 62 </w:t>
      </w:r>
    </w:p>
    <w:p w:rsidR="00403ECB" w:rsidRPr="00FC63F0" w:rsidRDefault="00403ECB" w:rsidP="00FC63F0">
      <w:pPr>
        <w:spacing w:after="0" w:line="240" w:lineRule="auto"/>
        <w:rPr>
          <w:rFonts w:ascii="Times New Roman" w:hAnsi="Times New Roman"/>
        </w:rPr>
      </w:pPr>
      <w:r w:rsidRPr="00FC63F0">
        <w:rPr>
          <w:rFonts w:ascii="Times New Roman" w:hAnsi="Times New Roman"/>
        </w:rPr>
        <w:t>Odhadovaný denný počet výjazdov na jedno MOM: 2</w:t>
      </w:r>
    </w:p>
    <w:p w:rsidR="00403ECB" w:rsidRPr="00FC63F0" w:rsidRDefault="00403ECB" w:rsidP="00FC63F0">
      <w:pPr>
        <w:spacing w:after="0" w:line="240" w:lineRule="auto"/>
        <w:rPr>
          <w:rFonts w:ascii="Times New Roman" w:hAnsi="Times New Roman"/>
        </w:rPr>
      </w:pPr>
      <w:r w:rsidRPr="00FC63F0">
        <w:rPr>
          <w:rFonts w:ascii="Times New Roman" w:hAnsi="Times New Roman"/>
        </w:rPr>
        <w:t>Odhadovaný počet prejazdených km pri jednom výjazde: 100 km (uvažujeme s priemernou vzdialenosťou 50 km od osoby, alebo skupiny osôb /sociálne vylúčená komunita, karanténne stredisko, domov sociálnych služieb, obec v ktorej sa zistilo lokálne ohnisko.../ u ktorej je potrebné vykonať odber) (vykryť má náklady na personál), záchranka prerobená, na základe codvid passu</w:t>
      </w:r>
    </w:p>
    <w:p w:rsidR="00403ECB" w:rsidRPr="00FC63F0" w:rsidRDefault="00403ECB" w:rsidP="00FC63F0">
      <w:pPr>
        <w:spacing w:after="0" w:line="240" w:lineRule="auto"/>
        <w:rPr>
          <w:rFonts w:ascii="Times New Roman" w:hAnsi="Times New Roman"/>
        </w:rPr>
      </w:pPr>
      <w:r w:rsidRPr="00FC63F0">
        <w:rPr>
          <w:rFonts w:ascii="Times New Roman" w:hAnsi="Times New Roman"/>
        </w:rPr>
        <w:t xml:space="preserve">Odhadnutý denný dopad na rozpočet verejného zdravotného poistenia: </w:t>
      </w:r>
      <w:r w:rsidR="00EB097E">
        <w:rPr>
          <w:rFonts w:ascii="Times New Roman" w:hAnsi="Times New Roman"/>
        </w:rPr>
        <w:tab/>
        <w:t>0,903</w:t>
      </w:r>
      <w:r w:rsidRPr="00FC63F0">
        <w:rPr>
          <w:rFonts w:ascii="Times New Roman" w:hAnsi="Times New Roman"/>
        </w:rPr>
        <w:t xml:space="preserve"> x 100 x 2 x 62 = </w:t>
      </w:r>
      <w:r w:rsidR="00EB097E" w:rsidRPr="00EB097E">
        <w:rPr>
          <w:rFonts w:ascii="Times New Roman" w:hAnsi="Times New Roman"/>
        </w:rPr>
        <w:t>11</w:t>
      </w:r>
      <w:r w:rsidR="00EB097E">
        <w:rPr>
          <w:rFonts w:ascii="Times New Roman" w:hAnsi="Times New Roman"/>
        </w:rPr>
        <w:t xml:space="preserve"> </w:t>
      </w:r>
      <w:r w:rsidR="00EB097E" w:rsidRPr="00EB097E">
        <w:rPr>
          <w:rFonts w:ascii="Times New Roman" w:hAnsi="Times New Roman"/>
        </w:rPr>
        <w:t>197,2</w:t>
      </w:r>
      <w:r w:rsidRPr="00FC63F0">
        <w:rPr>
          <w:rFonts w:ascii="Times New Roman" w:hAnsi="Times New Roman"/>
        </w:rPr>
        <w:t xml:space="preserve"> eur</w:t>
      </w:r>
    </w:p>
    <w:p w:rsidR="00403ECB" w:rsidRPr="00FC63F0" w:rsidRDefault="00403ECB" w:rsidP="00FC63F0">
      <w:pPr>
        <w:spacing w:after="0" w:line="240" w:lineRule="auto"/>
        <w:rPr>
          <w:rFonts w:ascii="Times New Roman" w:hAnsi="Times New Roman"/>
        </w:rPr>
      </w:pPr>
      <w:r w:rsidRPr="00FC63F0">
        <w:rPr>
          <w:rFonts w:ascii="Times New Roman" w:hAnsi="Times New Roman"/>
        </w:rPr>
        <w:t xml:space="preserve">Mesačný dopad na rozpočet verejného zdravotného poistenia: </w:t>
      </w:r>
      <w:r w:rsidR="00EB097E">
        <w:rPr>
          <w:rFonts w:ascii="Times New Roman" w:hAnsi="Times New Roman"/>
        </w:rPr>
        <w:tab/>
      </w:r>
      <w:r w:rsidR="00EB097E">
        <w:rPr>
          <w:rFonts w:ascii="Times New Roman" w:hAnsi="Times New Roman"/>
        </w:rPr>
        <w:tab/>
      </w:r>
      <w:r w:rsidR="00EB097E" w:rsidRPr="00EB097E">
        <w:rPr>
          <w:rFonts w:ascii="Times New Roman" w:hAnsi="Times New Roman"/>
        </w:rPr>
        <w:t>11</w:t>
      </w:r>
      <w:r w:rsidR="00EB097E">
        <w:rPr>
          <w:rFonts w:ascii="Times New Roman" w:hAnsi="Times New Roman"/>
        </w:rPr>
        <w:t xml:space="preserve"> </w:t>
      </w:r>
      <w:r w:rsidR="00EB097E" w:rsidRPr="00EB097E">
        <w:rPr>
          <w:rFonts w:ascii="Times New Roman" w:hAnsi="Times New Roman"/>
        </w:rPr>
        <w:t>197,2</w:t>
      </w:r>
      <w:r w:rsidR="00EB097E" w:rsidRPr="00FC63F0">
        <w:rPr>
          <w:rFonts w:ascii="Times New Roman" w:hAnsi="Times New Roman"/>
        </w:rPr>
        <w:t xml:space="preserve"> </w:t>
      </w:r>
      <w:r w:rsidRPr="00FC63F0">
        <w:rPr>
          <w:rFonts w:ascii="Times New Roman" w:hAnsi="Times New Roman"/>
        </w:rPr>
        <w:t xml:space="preserve">x 30 = </w:t>
      </w:r>
      <w:r w:rsidR="00EB097E" w:rsidRPr="00EB097E">
        <w:rPr>
          <w:rFonts w:ascii="Times New Roman" w:hAnsi="Times New Roman"/>
        </w:rPr>
        <w:t>335</w:t>
      </w:r>
      <w:r w:rsidR="00EB097E">
        <w:rPr>
          <w:rFonts w:ascii="Times New Roman" w:hAnsi="Times New Roman"/>
        </w:rPr>
        <w:t xml:space="preserve"> </w:t>
      </w:r>
      <w:r w:rsidR="00EB097E" w:rsidRPr="00EB097E">
        <w:rPr>
          <w:rFonts w:ascii="Times New Roman" w:hAnsi="Times New Roman"/>
        </w:rPr>
        <w:t>916</w:t>
      </w:r>
      <w:r w:rsidRPr="00FC63F0">
        <w:rPr>
          <w:rFonts w:ascii="Times New Roman" w:hAnsi="Times New Roman"/>
        </w:rPr>
        <w:t xml:space="preserve"> eur</w:t>
      </w:r>
    </w:p>
    <w:p w:rsidR="00F869D0" w:rsidRPr="00FC63F0" w:rsidRDefault="00F869D0" w:rsidP="00F869D0">
      <w:pPr>
        <w:spacing w:after="0" w:line="240" w:lineRule="auto"/>
        <w:rPr>
          <w:rFonts w:ascii="Times New Roman" w:hAnsi="Times New Roman"/>
        </w:rPr>
      </w:pPr>
      <w:r>
        <w:rPr>
          <w:rFonts w:ascii="Times New Roman" w:hAnsi="Times New Roman"/>
        </w:rPr>
        <w:t>Dopad za rok 2020: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B097E" w:rsidRPr="00EB097E">
        <w:rPr>
          <w:rFonts w:ascii="Times New Roman" w:hAnsi="Times New Roman"/>
        </w:rPr>
        <w:t>335</w:t>
      </w:r>
      <w:r w:rsidR="00EB097E">
        <w:rPr>
          <w:rFonts w:ascii="Times New Roman" w:hAnsi="Times New Roman"/>
        </w:rPr>
        <w:t> </w:t>
      </w:r>
      <w:r w:rsidR="00EB097E" w:rsidRPr="00EB097E">
        <w:rPr>
          <w:rFonts w:ascii="Times New Roman" w:hAnsi="Times New Roman"/>
        </w:rPr>
        <w:t>916</w:t>
      </w:r>
      <w:r w:rsidR="00EB097E" w:rsidRPr="00FC63F0">
        <w:rPr>
          <w:rFonts w:ascii="Times New Roman" w:hAnsi="Times New Roman"/>
        </w:rPr>
        <w:t xml:space="preserve"> </w:t>
      </w:r>
      <w:r>
        <w:rPr>
          <w:rFonts w:ascii="Times New Roman" w:hAnsi="Times New Roman"/>
        </w:rPr>
        <w:t xml:space="preserve">x 8 = </w:t>
      </w:r>
      <w:r w:rsidR="00EB097E" w:rsidRPr="00EB097E">
        <w:rPr>
          <w:rFonts w:ascii="Times New Roman" w:hAnsi="Times New Roman"/>
        </w:rPr>
        <w:t>2</w:t>
      </w:r>
      <w:r w:rsidR="00EB097E">
        <w:rPr>
          <w:rFonts w:ascii="Times New Roman" w:hAnsi="Times New Roman"/>
        </w:rPr>
        <w:t> </w:t>
      </w:r>
      <w:r w:rsidR="00EB097E" w:rsidRPr="00EB097E">
        <w:rPr>
          <w:rFonts w:ascii="Times New Roman" w:hAnsi="Times New Roman"/>
        </w:rPr>
        <w:t>687</w:t>
      </w:r>
      <w:r w:rsidR="00EB097E">
        <w:rPr>
          <w:rFonts w:ascii="Times New Roman" w:hAnsi="Times New Roman"/>
        </w:rPr>
        <w:t xml:space="preserve"> </w:t>
      </w:r>
      <w:r w:rsidR="00EB097E" w:rsidRPr="00EB097E">
        <w:rPr>
          <w:rFonts w:ascii="Times New Roman" w:hAnsi="Times New Roman"/>
        </w:rPr>
        <w:t>328</w:t>
      </w:r>
      <w:r>
        <w:rPr>
          <w:rFonts w:ascii="Times New Roman" w:hAnsi="Times New Roman"/>
        </w:rPr>
        <w:t xml:space="preserve"> eur</w:t>
      </w:r>
    </w:p>
    <w:p w:rsidR="00F869D0" w:rsidRDefault="00F869D0" w:rsidP="00FC63F0">
      <w:pPr>
        <w:pStyle w:val="Odsekzoznamu"/>
        <w:spacing w:after="0" w:line="240" w:lineRule="auto"/>
        <w:rPr>
          <w:rFonts w:ascii="Times New Roman" w:hAnsi="Times New Roman"/>
          <w:lang w:val="sk-SK"/>
        </w:rPr>
      </w:pPr>
    </w:p>
    <w:p w:rsidR="00EB097E" w:rsidRPr="00EB097E" w:rsidRDefault="00EB097E" w:rsidP="00F869D0">
      <w:pPr>
        <w:pStyle w:val="m6140993598232482001msolistparagraph"/>
        <w:spacing w:before="0" w:beforeAutospacing="0" w:after="0" w:afterAutospacing="0"/>
        <w:jc w:val="both"/>
        <w:rPr>
          <w:b/>
          <w:sz w:val="22"/>
          <w:szCs w:val="22"/>
          <w:u w:val="single"/>
          <w:shd w:val="clear" w:color="auto" w:fill="FFFFFF"/>
        </w:rPr>
      </w:pPr>
      <w:r w:rsidRPr="00EB097E">
        <w:rPr>
          <w:b/>
          <w:sz w:val="22"/>
          <w:szCs w:val="22"/>
          <w:u w:val="single"/>
          <w:shd w:val="clear" w:color="auto" w:fill="FFFFFF"/>
        </w:rPr>
        <w:t>Odber biologického</w:t>
      </w:r>
      <w:r>
        <w:rPr>
          <w:b/>
          <w:sz w:val="22"/>
          <w:szCs w:val="22"/>
          <w:u w:val="single"/>
          <w:shd w:val="clear" w:color="auto" w:fill="FFFFFF"/>
        </w:rPr>
        <w:t xml:space="preserve"> </w:t>
      </w:r>
      <w:r w:rsidRPr="00EB097E">
        <w:rPr>
          <w:b/>
          <w:sz w:val="22"/>
          <w:szCs w:val="22"/>
          <w:u w:val="single"/>
          <w:shd w:val="clear" w:color="auto" w:fill="FFFFFF"/>
        </w:rPr>
        <w:t>materiálu</w:t>
      </w:r>
    </w:p>
    <w:p w:rsidR="00F869D0" w:rsidRPr="00FC63F0" w:rsidRDefault="00F869D0" w:rsidP="00F869D0">
      <w:pPr>
        <w:pStyle w:val="m6140993598232482001msolistparagraph"/>
        <w:spacing w:before="0" w:beforeAutospacing="0" w:after="0" w:afterAutospacing="0"/>
        <w:jc w:val="both"/>
        <w:rPr>
          <w:sz w:val="22"/>
          <w:szCs w:val="22"/>
          <w:shd w:val="clear" w:color="auto" w:fill="FFFFFF"/>
        </w:rPr>
      </w:pPr>
      <w:r w:rsidRPr="00FC63F0">
        <w:rPr>
          <w:sz w:val="22"/>
          <w:szCs w:val="22"/>
          <w:shd w:val="clear" w:color="auto" w:fill="FFFFFF"/>
        </w:rPr>
        <w:t>Pre poskytovateľa zdravotnej starostlivosti sa stanovuje výška úhrady zdravotnej poisťovne za odber biologického materiálu</w:t>
      </w:r>
      <w:r w:rsidRPr="00FC63F0">
        <w:rPr>
          <w:sz w:val="22"/>
          <w:szCs w:val="22"/>
        </w:rPr>
        <w:t> </w:t>
      </w:r>
      <w:r w:rsidRPr="00FC63F0">
        <w:rPr>
          <w:sz w:val="22"/>
          <w:szCs w:val="22"/>
          <w:shd w:val="clear" w:color="auto" w:fill="FFFFFF"/>
        </w:rPr>
        <w:t xml:space="preserve">tri eurá, ak odberový set dodá regionálny úrad verejného zdravotníctva, pričom cena nezahŕňa odberový set; ak odberový set dodá zariadenie spoločných zložiek, odber biologického materiálu uhrádza poskytovateľovi zdravotnej starostlivosti zariadenie spoločných zložiek. Poskytovateľ zdravotnej starostlivosti - lekár špecialista vykazuje odber biologického materiálu pod kódom zdravotného výkonu </w:t>
      </w:r>
    </w:p>
    <w:p w:rsidR="00F869D0" w:rsidRPr="00FC63F0" w:rsidRDefault="00F869D0" w:rsidP="00F869D0">
      <w:pPr>
        <w:pStyle w:val="m6140993598232482001msolistparagraph"/>
        <w:spacing w:before="0" w:beforeAutospacing="0" w:after="0" w:afterAutospacing="0"/>
        <w:jc w:val="both"/>
        <w:rPr>
          <w:sz w:val="22"/>
          <w:szCs w:val="22"/>
          <w:shd w:val="clear" w:color="auto" w:fill="FFFFFF"/>
        </w:rPr>
      </w:pPr>
      <w:r w:rsidRPr="00FC63F0">
        <w:rPr>
          <w:sz w:val="22"/>
          <w:szCs w:val="22"/>
          <w:shd w:val="clear" w:color="auto" w:fill="FFFFFF"/>
        </w:rPr>
        <w:t xml:space="preserve">299b odber a odoslanie biologického materiálu na bakteriologické, sérologické, mykologické,  virologické a parazitologické vyšetrenie pri dôvodnom podozrení na infekčné ochorenie vrátane dezinfekcie. </w:t>
      </w:r>
    </w:p>
    <w:p w:rsidR="00F869D0" w:rsidRPr="00FC63F0" w:rsidRDefault="00F869D0" w:rsidP="00F869D0">
      <w:pPr>
        <w:pStyle w:val="m6140993598232482001msolistparagraph"/>
        <w:spacing w:before="0" w:beforeAutospacing="0" w:after="0" w:afterAutospacing="0"/>
        <w:jc w:val="both"/>
        <w:rPr>
          <w:sz w:val="22"/>
          <w:szCs w:val="22"/>
          <w:shd w:val="clear" w:color="auto" w:fill="FFFFFF"/>
        </w:rPr>
      </w:pPr>
      <w:r w:rsidRPr="00FC63F0">
        <w:rPr>
          <w:sz w:val="22"/>
          <w:szCs w:val="22"/>
          <w:shd w:val="clear" w:color="auto" w:fill="FFFFFF"/>
        </w:rPr>
        <w:t>Ak odber vykoná sestra agentúry domácej ošetrovateľskej starostlivosti, vykazuje odber biologického materiálu pod kódom zdravotného výkonu 3436. Zvážanie odberov od poskytovateľov zdravotnej starostlivosti zabezpečuje zariadenie spoločných zložiek.</w:t>
      </w:r>
    </w:p>
    <w:p w:rsidR="00F869D0" w:rsidRPr="00FC63F0" w:rsidRDefault="00F869D0" w:rsidP="00F869D0">
      <w:pPr>
        <w:pStyle w:val="m6140993598232482001msolistparagraph"/>
        <w:spacing w:before="0" w:beforeAutospacing="0" w:after="0" w:afterAutospacing="0"/>
        <w:jc w:val="both"/>
        <w:rPr>
          <w:sz w:val="22"/>
          <w:szCs w:val="22"/>
          <w:shd w:val="clear" w:color="auto" w:fill="FFFFFF"/>
        </w:rPr>
      </w:pPr>
      <w:r w:rsidRPr="00FC63F0">
        <w:rPr>
          <w:sz w:val="22"/>
          <w:szCs w:val="22"/>
          <w:shd w:val="clear" w:color="auto" w:fill="FFFFFF"/>
        </w:rPr>
        <w:t xml:space="preserve"> </w:t>
      </w:r>
      <w:r w:rsidRPr="00FC63F0" w:rsidDel="003E0E98">
        <w:rPr>
          <w:sz w:val="22"/>
          <w:szCs w:val="22"/>
          <w:shd w:val="clear" w:color="auto" w:fill="FFFFFF"/>
        </w:rPr>
        <w:t xml:space="preserve"> </w:t>
      </w:r>
    </w:p>
    <w:p w:rsidR="00403ECB" w:rsidRPr="00EB097E" w:rsidRDefault="00403ECB" w:rsidP="00FC63F0">
      <w:pPr>
        <w:pStyle w:val="Odsekzoznamu"/>
        <w:numPr>
          <w:ilvl w:val="0"/>
          <w:numId w:val="30"/>
        </w:numPr>
        <w:spacing w:after="0" w:line="240" w:lineRule="auto"/>
        <w:jc w:val="both"/>
        <w:rPr>
          <w:rFonts w:ascii="Times New Roman" w:hAnsi="Times New Roman"/>
          <w:b/>
          <w:lang w:val="sk-SK"/>
        </w:rPr>
      </w:pPr>
      <w:r w:rsidRPr="00EB097E">
        <w:rPr>
          <w:rFonts w:ascii="Times New Roman" w:hAnsi="Times New Roman"/>
          <w:b/>
          <w:lang w:val="sk-SK"/>
        </w:rPr>
        <w:t>výška úhrady zdravotnej poisťovne za odber biologického materiálu na zistenie ochorenia COVID-19 poskytovateľovi aj sestrám bez odberových setov</w:t>
      </w:r>
    </w:p>
    <w:p w:rsidR="00403ECB" w:rsidRPr="00EB097E" w:rsidRDefault="00403ECB" w:rsidP="00FC63F0">
      <w:pPr>
        <w:spacing w:after="0" w:line="240" w:lineRule="auto"/>
        <w:rPr>
          <w:rFonts w:ascii="Times New Roman" w:hAnsi="Times New Roman"/>
        </w:rPr>
      </w:pPr>
    </w:p>
    <w:p w:rsidR="00403ECB" w:rsidRPr="00EB097E" w:rsidRDefault="00EB097E" w:rsidP="00FC63F0">
      <w:pPr>
        <w:spacing w:after="0" w:line="240" w:lineRule="auto"/>
        <w:rPr>
          <w:rFonts w:ascii="Times New Roman" w:hAnsi="Times New Roman"/>
        </w:rPr>
      </w:pPr>
      <w:r>
        <w:rPr>
          <w:rFonts w:ascii="Times New Roman" w:hAnsi="Times New Roman"/>
        </w:rPr>
        <w:t>Výška úhrady za 1 odber: 3</w:t>
      </w:r>
      <w:r w:rsidR="00403ECB" w:rsidRPr="00EB097E">
        <w:rPr>
          <w:rFonts w:ascii="Times New Roman" w:hAnsi="Times New Roman"/>
        </w:rPr>
        <w:t xml:space="preserve"> eurá</w:t>
      </w:r>
    </w:p>
    <w:p w:rsidR="00403ECB" w:rsidRPr="00EB097E" w:rsidRDefault="00403ECB" w:rsidP="00FC63F0">
      <w:pPr>
        <w:spacing w:after="0" w:line="240" w:lineRule="auto"/>
        <w:rPr>
          <w:rFonts w:ascii="Times New Roman" w:hAnsi="Times New Roman"/>
        </w:rPr>
      </w:pPr>
      <w:r w:rsidRPr="00EB097E">
        <w:rPr>
          <w:rFonts w:ascii="Times New Roman" w:hAnsi="Times New Roman"/>
        </w:rPr>
        <w:lastRenderedPageBreak/>
        <w:t>Odhadovaný počet odberov v SR denne: 5 000</w:t>
      </w:r>
    </w:p>
    <w:p w:rsidR="00403ECB" w:rsidRPr="00EB097E" w:rsidRDefault="00403ECB" w:rsidP="00FC63F0">
      <w:pPr>
        <w:spacing w:after="0" w:line="240" w:lineRule="auto"/>
        <w:rPr>
          <w:rFonts w:ascii="Times New Roman" w:hAnsi="Times New Roman"/>
        </w:rPr>
      </w:pPr>
      <w:r w:rsidRPr="00EB097E">
        <w:rPr>
          <w:rFonts w:ascii="Times New Roman" w:hAnsi="Times New Roman"/>
        </w:rPr>
        <w:t xml:space="preserve">Odhadnutý denný dopad na rozpočet verejného zdravotného poistenia: </w:t>
      </w:r>
      <w:r w:rsidR="00EB097E">
        <w:rPr>
          <w:rFonts w:ascii="Times New Roman" w:hAnsi="Times New Roman"/>
        </w:rPr>
        <w:tab/>
      </w:r>
      <w:r w:rsidRPr="00EB097E">
        <w:rPr>
          <w:rFonts w:ascii="Times New Roman" w:hAnsi="Times New Roman"/>
        </w:rPr>
        <w:t>3 x 5 000 = 15 000 eur</w:t>
      </w:r>
    </w:p>
    <w:p w:rsidR="00403ECB" w:rsidRDefault="00403ECB" w:rsidP="00FC63F0">
      <w:pPr>
        <w:spacing w:after="0" w:line="240" w:lineRule="auto"/>
        <w:rPr>
          <w:rFonts w:ascii="Times New Roman" w:hAnsi="Times New Roman"/>
        </w:rPr>
      </w:pPr>
      <w:r w:rsidRPr="00EB097E">
        <w:rPr>
          <w:rFonts w:ascii="Times New Roman" w:hAnsi="Times New Roman"/>
        </w:rPr>
        <w:t xml:space="preserve">Mesačný dopad na rozpočet verejného zdravotného poistenia: </w:t>
      </w:r>
      <w:r w:rsidR="00EB097E">
        <w:rPr>
          <w:rFonts w:ascii="Times New Roman" w:hAnsi="Times New Roman"/>
        </w:rPr>
        <w:tab/>
      </w:r>
      <w:r w:rsidR="00EB097E">
        <w:rPr>
          <w:rFonts w:ascii="Times New Roman" w:hAnsi="Times New Roman"/>
        </w:rPr>
        <w:tab/>
      </w:r>
      <w:r w:rsidRPr="00EB097E">
        <w:rPr>
          <w:rFonts w:ascii="Times New Roman" w:hAnsi="Times New Roman"/>
        </w:rPr>
        <w:t>15 000 x 30 = 450 000 eur</w:t>
      </w:r>
    </w:p>
    <w:p w:rsidR="00EB097E" w:rsidRPr="00FC63F0" w:rsidRDefault="00EB097E" w:rsidP="00EB097E">
      <w:pPr>
        <w:spacing w:after="0" w:line="240" w:lineRule="auto"/>
        <w:rPr>
          <w:rFonts w:ascii="Times New Roman" w:hAnsi="Times New Roman"/>
        </w:rPr>
      </w:pPr>
      <w:r>
        <w:rPr>
          <w:rFonts w:ascii="Times New Roman" w:hAnsi="Times New Roman"/>
        </w:rPr>
        <w:t>Dopad za rok 2020: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B097E">
        <w:rPr>
          <w:rFonts w:ascii="Times New Roman" w:hAnsi="Times New Roman"/>
        </w:rPr>
        <w:t xml:space="preserve">450 000 </w:t>
      </w:r>
      <w:r>
        <w:rPr>
          <w:rFonts w:ascii="Times New Roman" w:hAnsi="Times New Roman"/>
        </w:rPr>
        <w:t xml:space="preserve">x 8 = </w:t>
      </w:r>
      <w:r w:rsidRPr="00EB097E">
        <w:rPr>
          <w:rFonts w:ascii="Times New Roman" w:hAnsi="Times New Roman"/>
        </w:rPr>
        <w:t>3</w:t>
      </w:r>
      <w:r>
        <w:rPr>
          <w:rFonts w:ascii="Times New Roman" w:hAnsi="Times New Roman"/>
        </w:rPr>
        <w:t> </w:t>
      </w:r>
      <w:r w:rsidRPr="00EB097E">
        <w:rPr>
          <w:rFonts w:ascii="Times New Roman" w:hAnsi="Times New Roman"/>
        </w:rPr>
        <w:t>600</w:t>
      </w:r>
      <w:r>
        <w:rPr>
          <w:rFonts w:ascii="Times New Roman" w:hAnsi="Times New Roman"/>
        </w:rPr>
        <w:t xml:space="preserve"> </w:t>
      </w:r>
      <w:r w:rsidRPr="00EB097E">
        <w:rPr>
          <w:rFonts w:ascii="Times New Roman" w:hAnsi="Times New Roman"/>
        </w:rPr>
        <w:t>000</w:t>
      </w:r>
      <w:r>
        <w:rPr>
          <w:rFonts w:ascii="Times New Roman" w:hAnsi="Times New Roman"/>
        </w:rPr>
        <w:t xml:space="preserve"> eur</w:t>
      </w:r>
    </w:p>
    <w:p w:rsidR="00EB097E" w:rsidRPr="00FC63F0" w:rsidRDefault="00EB097E" w:rsidP="00FC63F0">
      <w:pPr>
        <w:spacing w:after="0" w:line="240" w:lineRule="auto"/>
        <w:rPr>
          <w:rFonts w:ascii="Times New Roman" w:hAnsi="Times New Roman"/>
        </w:rPr>
      </w:pPr>
    </w:p>
    <w:p w:rsidR="00403ECB" w:rsidRDefault="00403ECB" w:rsidP="00FC63F0">
      <w:pPr>
        <w:spacing w:after="0" w:line="240" w:lineRule="auto"/>
        <w:rPr>
          <w:rFonts w:ascii="Times New Roman" w:hAnsi="Times New Roman"/>
        </w:rPr>
      </w:pPr>
    </w:p>
    <w:p w:rsidR="00EB097E" w:rsidRPr="00EB097E" w:rsidRDefault="00EB097E" w:rsidP="00F869D0">
      <w:pPr>
        <w:spacing w:after="0" w:line="240" w:lineRule="auto"/>
        <w:jc w:val="both"/>
        <w:rPr>
          <w:rFonts w:ascii="Times New Roman" w:hAnsi="Times New Roman"/>
          <w:b/>
          <w:u w:val="single"/>
        </w:rPr>
      </w:pPr>
      <w:r w:rsidRPr="00EB097E">
        <w:rPr>
          <w:rFonts w:ascii="Times New Roman" w:hAnsi="Times New Roman"/>
          <w:b/>
          <w:u w:val="single"/>
        </w:rPr>
        <w:t>Úhrada za rýchlotest</w:t>
      </w:r>
    </w:p>
    <w:p w:rsidR="00F869D0" w:rsidRPr="00FC63F0" w:rsidRDefault="00F869D0" w:rsidP="00F869D0">
      <w:pPr>
        <w:spacing w:after="0" w:line="240" w:lineRule="auto"/>
        <w:jc w:val="both"/>
        <w:rPr>
          <w:rFonts w:ascii="Times New Roman" w:hAnsi="Times New Roman"/>
          <w:highlight w:val="yellow"/>
          <w:shd w:val="clear" w:color="auto" w:fill="FFFFFF"/>
        </w:rPr>
      </w:pPr>
      <w:r w:rsidRPr="00FC63F0">
        <w:rPr>
          <w:rFonts w:ascii="Times New Roman" w:hAnsi="Times New Roman"/>
        </w:rPr>
        <w:t>V</w:t>
      </w:r>
      <w:r w:rsidRPr="00FC63F0">
        <w:rPr>
          <w:rFonts w:ascii="Times New Roman" w:hAnsi="Times New Roman"/>
          <w:shd w:val="clear" w:color="auto" w:fill="FFFFFF"/>
        </w:rPr>
        <w:t xml:space="preserve">ýška úhrady zdravotnej poisťovne pre poskytovateľa zdravotnej starostlivosti, ktorý je držiteľom povolenia na prevádzkovanie agentúry domácej ošetrovateľskej starostlivosti, mobilného odberového miesta alebo zariadeniu sociálnej služby, ktoré má zmluvu so zdravotnou poisťovňou, za vyhodnotenie COVID-19 IgM/IgG rýchleho diagnostického kazetového imunochromatografického testu, sa stanovuje na sumu </w:t>
      </w:r>
      <w:r w:rsidRPr="00FC63F0">
        <w:rPr>
          <w:rFonts w:ascii="Times New Roman" w:hAnsi="Times New Roman"/>
        </w:rPr>
        <w:t>je 2,20 eura za vyhodnotenie testu.</w:t>
      </w:r>
      <w:r w:rsidRPr="00FC63F0">
        <w:rPr>
          <w:rFonts w:ascii="Times New Roman" w:hAnsi="Times New Roman"/>
          <w:shd w:val="clear" w:color="auto" w:fill="FFFFFF"/>
        </w:rPr>
        <w:t xml:space="preserve"> Výsledky rýchleho testu sa majú reportovať do národného referenčného centra úradu verejného zdravotného poistenia a ak vyjde pozitívny test, vykoná sa aj odber biologického materiálu. V súvislosti s testovaním v domovoch sociálnych služieb si agentúra domácej ošetrovateľskej starostlivosti môže vykázať výkon návšteva </w:t>
      </w:r>
      <w:r w:rsidRPr="00FC63F0">
        <w:rPr>
          <w:rFonts w:ascii="Times New Roman" w:hAnsi="Times New Roman"/>
        </w:rPr>
        <w:t xml:space="preserve">pod kódom 3441 jeden krát, výkon  3434 za odber kapilárnej krvi s diagnózou  U07.1 – potvrdená infekcia COVID-19 alebo U07.2 – podozrenie z infekcie COVID-19. </w:t>
      </w:r>
    </w:p>
    <w:p w:rsidR="00F869D0" w:rsidRPr="00FC63F0" w:rsidRDefault="00F869D0" w:rsidP="00F869D0">
      <w:pPr>
        <w:pStyle w:val="Odsekzoznamu"/>
        <w:spacing w:after="0" w:line="240" w:lineRule="auto"/>
        <w:rPr>
          <w:rFonts w:ascii="Times New Roman" w:hAnsi="Times New Roman"/>
          <w:lang w:val="sk-SK"/>
        </w:rPr>
      </w:pPr>
    </w:p>
    <w:p w:rsidR="00F869D0" w:rsidRPr="00FC63F0" w:rsidRDefault="00F869D0" w:rsidP="00FC63F0">
      <w:pPr>
        <w:spacing w:after="0" w:line="240" w:lineRule="auto"/>
        <w:rPr>
          <w:rFonts w:ascii="Times New Roman" w:hAnsi="Times New Roman"/>
        </w:rPr>
      </w:pPr>
    </w:p>
    <w:p w:rsidR="00403ECB" w:rsidRPr="00FC63F0" w:rsidRDefault="00403ECB" w:rsidP="00FC63F0">
      <w:pPr>
        <w:pStyle w:val="Odsekzoznamu"/>
        <w:numPr>
          <w:ilvl w:val="0"/>
          <w:numId w:val="30"/>
        </w:numPr>
        <w:spacing w:after="0" w:line="240" w:lineRule="auto"/>
        <w:jc w:val="both"/>
        <w:rPr>
          <w:rFonts w:ascii="Times New Roman" w:hAnsi="Times New Roman"/>
          <w:b/>
          <w:lang w:val="sk-SK"/>
        </w:rPr>
      </w:pPr>
      <w:r w:rsidRPr="00FC63F0">
        <w:rPr>
          <w:rFonts w:ascii="Times New Roman" w:hAnsi="Times New Roman"/>
          <w:b/>
          <w:lang w:val="sk-SK"/>
        </w:rPr>
        <w:t>výška úhrady poskytovateľovi ADOS za vyhodnotenie rýchlotestu a evidencia výsledku testu</w:t>
      </w:r>
    </w:p>
    <w:p w:rsidR="00403ECB" w:rsidRPr="00FC63F0" w:rsidRDefault="00403ECB" w:rsidP="00FC63F0">
      <w:pPr>
        <w:spacing w:after="0" w:line="240" w:lineRule="auto"/>
        <w:rPr>
          <w:rFonts w:ascii="Times New Roman" w:hAnsi="Times New Roman"/>
        </w:rPr>
      </w:pPr>
    </w:p>
    <w:p w:rsidR="00403ECB" w:rsidRPr="00FC63F0" w:rsidRDefault="00403ECB" w:rsidP="00FC63F0">
      <w:pPr>
        <w:spacing w:after="0" w:line="240" w:lineRule="auto"/>
        <w:rPr>
          <w:rFonts w:ascii="Times New Roman" w:hAnsi="Times New Roman"/>
        </w:rPr>
      </w:pPr>
      <w:r w:rsidRPr="00FC63F0">
        <w:rPr>
          <w:rFonts w:ascii="Times New Roman" w:hAnsi="Times New Roman"/>
        </w:rPr>
        <w:t xml:space="preserve">Výška úhrady za vyhodnotenie: </w:t>
      </w:r>
      <w:r w:rsidR="00EB097E">
        <w:rPr>
          <w:rFonts w:ascii="Times New Roman" w:hAnsi="Times New Roman"/>
        </w:rPr>
        <w:t>2,2</w:t>
      </w:r>
      <w:r w:rsidRPr="00FC63F0">
        <w:rPr>
          <w:rFonts w:ascii="Times New Roman" w:hAnsi="Times New Roman"/>
        </w:rPr>
        <w:t xml:space="preserve"> eur</w:t>
      </w:r>
    </w:p>
    <w:p w:rsidR="00403ECB" w:rsidRPr="00FC63F0" w:rsidRDefault="00403ECB" w:rsidP="00FC63F0">
      <w:pPr>
        <w:spacing w:after="0" w:line="240" w:lineRule="auto"/>
        <w:rPr>
          <w:rFonts w:ascii="Times New Roman" w:hAnsi="Times New Roman"/>
        </w:rPr>
      </w:pPr>
      <w:r w:rsidRPr="00FC63F0">
        <w:rPr>
          <w:rFonts w:ascii="Times New Roman" w:hAnsi="Times New Roman"/>
        </w:rPr>
        <w:t>Odhadovaný počet vyhodnotení v ADOS denne: 100</w:t>
      </w:r>
    </w:p>
    <w:p w:rsidR="00403ECB" w:rsidRPr="00FC63F0" w:rsidRDefault="00403ECB" w:rsidP="00FC63F0">
      <w:pPr>
        <w:spacing w:after="0" w:line="240" w:lineRule="auto"/>
        <w:rPr>
          <w:rFonts w:ascii="Times New Roman" w:hAnsi="Times New Roman"/>
        </w:rPr>
      </w:pPr>
      <w:r w:rsidRPr="00FC63F0">
        <w:rPr>
          <w:rFonts w:ascii="Times New Roman" w:hAnsi="Times New Roman"/>
        </w:rPr>
        <w:t xml:space="preserve">Odhadnutý denný dopad na rozpočet verejného zdravotného poistenia: </w:t>
      </w:r>
      <w:r w:rsidR="00EB097E">
        <w:rPr>
          <w:rFonts w:ascii="Times New Roman" w:hAnsi="Times New Roman"/>
        </w:rPr>
        <w:tab/>
        <w:t>2,2</w:t>
      </w:r>
      <w:r w:rsidR="002C60AE">
        <w:rPr>
          <w:rFonts w:ascii="Times New Roman" w:hAnsi="Times New Roman"/>
        </w:rPr>
        <w:t xml:space="preserve"> x 100 = 22</w:t>
      </w:r>
      <w:r w:rsidRPr="00FC63F0">
        <w:rPr>
          <w:rFonts w:ascii="Times New Roman" w:hAnsi="Times New Roman"/>
        </w:rPr>
        <w:t>0 eur</w:t>
      </w:r>
    </w:p>
    <w:p w:rsidR="00403ECB" w:rsidRPr="00FC63F0" w:rsidRDefault="00403ECB" w:rsidP="00FC63F0">
      <w:pPr>
        <w:spacing w:after="0" w:line="240" w:lineRule="auto"/>
        <w:rPr>
          <w:rFonts w:ascii="Times New Roman" w:hAnsi="Times New Roman"/>
        </w:rPr>
      </w:pPr>
      <w:r w:rsidRPr="00FC63F0">
        <w:rPr>
          <w:rFonts w:ascii="Times New Roman" w:hAnsi="Times New Roman"/>
        </w:rPr>
        <w:t xml:space="preserve">Mesačný dopad na rozpočet verejného zdravotného poistenia: </w:t>
      </w:r>
      <w:r w:rsidR="00EB097E">
        <w:rPr>
          <w:rFonts w:ascii="Times New Roman" w:hAnsi="Times New Roman"/>
        </w:rPr>
        <w:tab/>
      </w:r>
      <w:r w:rsidR="00EB097E">
        <w:rPr>
          <w:rFonts w:ascii="Times New Roman" w:hAnsi="Times New Roman"/>
        </w:rPr>
        <w:tab/>
      </w:r>
      <w:r w:rsidR="002C60AE">
        <w:rPr>
          <w:rFonts w:ascii="Times New Roman" w:hAnsi="Times New Roman"/>
        </w:rPr>
        <w:t>220</w:t>
      </w:r>
      <w:r w:rsidRPr="00FC63F0">
        <w:rPr>
          <w:rFonts w:ascii="Times New Roman" w:hAnsi="Times New Roman"/>
        </w:rPr>
        <w:t xml:space="preserve"> x 30 = </w:t>
      </w:r>
      <w:r w:rsidR="002C60AE">
        <w:rPr>
          <w:rFonts w:ascii="Times New Roman" w:hAnsi="Times New Roman"/>
        </w:rPr>
        <w:t>6 600</w:t>
      </w:r>
      <w:r w:rsidRPr="00FC63F0">
        <w:rPr>
          <w:rFonts w:ascii="Times New Roman" w:hAnsi="Times New Roman"/>
        </w:rPr>
        <w:t xml:space="preserve"> eur</w:t>
      </w:r>
    </w:p>
    <w:p w:rsidR="00EB097E" w:rsidRPr="00FC63F0" w:rsidRDefault="00EB097E" w:rsidP="00EB097E">
      <w:pPr>
        <w:spacing w:after="0" w:line="240" w:lineRule="auto"/>
        <w:rPr>
          <w:rFonts w:ascii="Times New Roman" w:hAnsi="Times New Roman"/>
        </w:rPr>
      </w:pPr>
      <w:r>
        <w:rPr>
          <w:rFonts w:ascii="Times New Roman" w:hAnsi="Times New Roman"/>
        </w:rPr>
        <w:t>Dopad za rok 2020: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C60AE">
        <w:rPr>
          <w:rFonts w:ascii="Times New Roman" w:hAnsi="Times New Roman"/>
        </w:rPr>
        <w:t>6 600</w:t>
      </w:r>
      <w:r w:rsidRPr="00EB097E">
        <w:rPr>
          <w:rFonts w:ascii="Times New Roman" w:hAnsi="Times New Roman"/>
        </w:rPr>
        <w:t xml:space="preserve"> </w:t>
      </w:r>
      <w:r>
        <w:rPr>
          <w:rFonts w:ascii="Times New Roman" w:hAnsi="Times New Roman"/>
        </w:rPr>
        <w:t xml:space="preserve">x 8 = </w:t>
      </w:r>
      <w:r w:rsidR="002C60AE" w:rsidRPr="002C60AE">
        <w:rPr>
          <w:rFonts w:ascii="Times New Roman" w:hAnsi="Times New Roman"/>
        </w:rPr>
        <w:t>52</w:t>
      </w:r>
      <w:r w:rsidR="002C60AE">
        <w:rPr>
          <w:rFonts w:ascii="Times New Roman" w:hAnsi="Times New Roman"/>
        </w:rPr>
        <w:t> </w:t>
      </w:r>
      <w:r w:rsidR="002C60AE" w:rsidRPr="002C60AE">
        <w:rPr>
          <w:rFonts w:ascii="Times New Roman" w:hAnsi="Times New Roman"/>
        </w:rPr>
        <w:t>800</w:t>
      </w:r>
      <w:r w:rsidR="002C60AE">
        <w:rPr>
          <w:rFonts w:ascii="Times New Roman" w:hAnsi="Times New Roman"/>
        </w:rPr>
        <w:t xml:space="preserve"> </w:t>
      </w:r>
      <w:r>
        <w:rPr>
          <w:rFonts w:ascii="Times New Roman" w:hAnsi="Times New Roman"/>
        </w:rPr>
        <w:t>eur</w:t>
      </w:r>
    </w:p>
    <w:p w:rsidR="00403ECB" w:rsidRPr="00FC63F0" w:rsidRDefault="00403ECB" w:rsidP="00FC63F0">
      <w:pPr>
        <w:spacing w:after="0" w:line="240" w:lineRule="auto"/>
        <w:rPr>
          <w:rFonts w:ascii="Times New Roman" w:hAnsi="Times New Roman"/>
        </w:rPr>
      </w:pPr>
    </w:p>
    <w:p w:rsidR="00403ECB" w:rsidRPr="00FC63F0" w:rsidRDefault="00403ECB" w:rsidP="00FC63F0">
      <w:pPr>
        <w:spacing w:after="0" w:line="240" w:lineRule="auto"/>
        <w:rPr>
          <w:rFonts w:ascii="Times New Roman" w:hAnsi="Times New Roman"/>
        </w:rPr>
      </w:pPr>
    </w:p>
    <w:p w:rsidR="00403ECB" w:rsidRPr="00FC63F0" w:rsidRDefault="00403ECB" w:rsidP="00FC63F0">
      <w:pPr>
        <w:spacing w:after="0" w:line="240" w:lineRule="auto"/>
        <w:rPr>
          <w:rFonts w:ascii="Times New Roman" w:hAnsi="Times New Roman"/>
        </w:rPr>
      </w:pPr>
    </w:p>
    <w:p w:rsidR="00403ECB" w:rsidRPr="00FC63F0" w:rsidRDefault="00403ECB" w:rsidP="00FC63F0">
      <w:pPr>
        <w:spacing w:after="0" w:line="240" w:lineRule="auto"/>
        <w:rPr>
          <w:rFonts w:ascii="Times New Roman" w:hAnsi="Times New Roman"/>
        </w:rPr>
      </w:pPr>
    </w:p>
    <w:p w:rsidR="00403ECB" w:rsidRPr="00FC63F0" w:rsidRDefault="00403ECB" w:rsidP="00FC63F0">
      <w:pPr>
        <w:spacing w:after="0" w:line="240" w:lineRule="auto"/>
        <w:rPr>
          <w:rFonts w:ascii="Times New Roman" w:hAnsi="Times New Roman"/>
        </w:rPr>
      </w:pPr>
    </w:p>
    <w:p w:rsidR="00403ECB" w:rsidRPr="00FC63F0" w:rsidRDefault="00403ECB" w:rsidP="00FC63F0">
      <w:pPr>
        <w:spacing w:after="0" w:line="240" w:lineRule="auto"/>
        <w:jc w:val="both"/>
        <w:rPr>
          <w:rFonts w:ascii="Times New Roman" w:hAnsi="Times New Roman"/>
          <w:color w:val="000000"/>
        </w:rPr>
      </w:pPr>
    </w:p>
    <w:p w:rsidR="009D2FC7" w:rsidRPr="00FC63F0" w:rsidRDefault="009D2FC7" w:rsidP="00FC63F0">
      <w:pPr>
        <w:spacing w:after="0" w:line="240" w:lineRule="auto"/>
        <w:jc w:val="both"/>
        <w:rPr>
          <w:rFonts w:ascii="Times New Roman" w:hAnsi="Times New Roman"/>
          <w:color w:val="000000"/>
        </w:rPr>
        <w:sectPr w:rsidR="009D2FC7" w:rsidRPr="00FC63F0" w:rsidSect="00FD039D">
          <w:headerReference w:type="even" r:id="rId14"/>
          <w:footerReference w:type="even" r:id="rId15"/>
          <w:footerReference w:type="default" r:id="rId16"/>
          <w:headerReference w:type="first" r:id="rId17"/>
          <w:footerReference w:type="first" r:id="rId18"/>
          <w:pgSz w:w="11906" w:h="16838"/>
          <w:pgMar w:top="1440" w:right="1080" w:bottom="1440" w:left="1080" w:header="709" w:footer="709" w:gutter="0"/>
          <w:pgNumType w:start="1"/>
          <w:cols w:space="708"/>
          <w:docGrid w:linePitch="360"/>
        </w:sectPr>
      </w:pPr>
    </w:p>
    <w:p w:rsidR="00656F4B" w:rsidRPr="00FC63F0" w:rsidRDefault="00656F4B" w:rsidP="00FC63F0">
      <w:pPr>
        <w:tabs>
          <w:tab w:val="num" w:pos="1080"/>
        </w:tabs>
        <w:spacing w:after="0" w:line="240" w:lineRule="auto"/>
        <w:jc w:val="both"/>
        <w:rPr>
          <w:rFonts w:ascii="Times New Roman" w:hAnsi="Times New Roman"/>
          <w:bCs/>
        </w:rPr>
      </w:pPr>
      <w:r w:rsidRPr="00FC63F0">
        <w:rPr>
          <w:rFonts w:ascii="Times New Roman" w:hAnsi="Times New Roman"/>
          <w:bCs/>
        </w:rPr>
        <w:lastRenderedPageBreak/>
        <w:t xml:space="preserve">Tabuľka č. 3 </w:t>
      </w:r>
    </w:p>
    <w:tbl>
      <w:tblPr>
        <w:tblpPr w:leftFromText="141" w:rightFromText="141" w:horzAnchor="margin" w:tblpXSpec="center" w:tblpY="533"/>
        <w:tblW w:w="11122" w:type="dxa"/>
        <w:tblCellMar>
          <w:left w:w="70" w:type="dxa"/>
          <w:right w:w="70" w:type="dxa"/>
        </w:tblCellMar>
        <w:tblLook w:val="0000" w:firstRow="0" w:lastRow="0" w:firstColumn="0" w:lastColumn="0" w:noHBand="0" w:noVBand="0"/>
      </w:tblPr>
      <w:tblGrid>
        <w:gridCol w:w="3946"/>
        <w:gridCol w:w="1196"/>
        <w:gridCol w:w="1196"/>
        <w:gridCol w:w="1196"/>
        <w:gridCol w:w="1196"/>
        <w:gridCol w:w="2392"/>
      </w:tblGrid>
      <w:tr w:rsidR="00BB7F52" w:rsidRPr="00FC63F0" w:rsidTr="00BB7F52">
        <w:trPr>
          <w:cantSplit/>
          <w:trHeight w:val="206"/>
        </w:trPr>
        <w:tc>
          <w:tcPr>
            <w:tcW w:w="3946"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Príjmy (v eurách)</w:t>
            </w:r>
          </w:p>
        </w:tc>
        <w:tc>
          <w:tcPr>
            <w:tcW w:w="4784" w:type="dxa"/>
            <w:gridSpan w:val="4"/>
            <w:tcBorders>
              <w:top w:val="single" w:sz="4" w:space="0" w:color="auto"/>
              <w:left w:val="nil"/>
              <w:bottom w:val="single" w:sz="4" w:space="0" w:color="auto"/>
              <w:right w:val="single" w:sz="4" w:space="0" w:color="auto"/>
            </w:tcBorders>
            <w:shd w:val="clear" w:color="auto" w:fill="BFBFBF"/>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Vplyv na rozpočet verejnej správy</w:t>
            </w:r>
          </w:p>
        </w:tc>
        <w:tc>
          <w:tcPr>
            <w:tcW w:w="2392"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poznámka</w:t>
            </w:r>
          </w:p>
        </w:tc>
      </w:tr>
      <w:tr w:rsidR="00BB7F52" w:rsidRPr="00FC63F0" w:rsidTr="00BB7F52">
        <w:trPr>
          <w:cantSplit/>
          <w:trHeight w:val="206"/>
        </w:trPr>
        <w:tc>
          <w:tcPr>
            <w:tcW w:w="3946" w:type="dxa"/>
            <w:vMerge/>
            <w:tcBorders>
              <w:top w:val="single" w:sz="4" w:space="0" w:color="auto"/>
              <w:left w:val="single" w:sz="4" w:space="0" w:color="auto"/>
              <w:bottom w:val="single" w:sz="4" w:space="0" w:color="auto"/>
              <w:right w:val="single" w:sz="4" w:space="0" w:color="auto"/>
            </w:tcBorders>
            <w:vAlign w:val="center"/>
          </w:tcPr>
          <w:p w:rsidR="00BB7F52" w:rsidRPr="00FC63F0" w:rsidRDefault="00BB7F52" w:rsidP="00FC63F0">
            <w:pPr>
              <w:spacing w:after="0" w:line="240" w:lineRule="auto"/>
              <w:jc w:val="both"/>
              <w:rPr>
                <w:rFonts w:ascii="Times New Roman" w:hAnsi="Times New Roman"/>
                <w:b/>
                <w:bCs/>
                <w:color w:val="FFFFFF"/>
              </w:rPr>
            </w:pPr>
          </w:p>
        </w:tc>
        <w:tc>
          <w:tcPr>
            <w:tcW w:w="1196" w:type="dxa"/>
            <w:tcBorders>
              <w:top w:val="nil"/>
              <w:left w:val="nil"/>
              <w:bottom w:val="single" w:sz="4" w:space="0" w:color="auto"/>
              <w:right w:val="single" w:sz="4" w:space="0" w:color="auto"/>
            </w:tcBorders>
            <w:shd w:val="clear" w:color="auto" w:fill="BFBFBF"/>
          </w:tcPr>
          <w:p w:rsidR="00BB7F52"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2020</w:t>
            </w:r>
          </w:p>
        </w:tc>
        <w:tc>
          <w:tcPr>
            <w:tcW w:w="1196" w:type="dxa"/>
            <w:tcBorders>
              <w:top w:val="nil"/>
              <w:left w:val="nil"/>
              <w:bottom w:val="single" w:sz="4" w:space="0" w:color="auto"/>
              <w:right w:val="single" w:sz="4" w:space="0" w:color="auto"/>
            </w:tcBorders>
            <w:shd w:val="clear" w:color="auto" w:fill="BFBFBF"/>
          </w:tcPr>
          <w:p w:rsidR="00BB7F52"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2021</w:t>
            </w:r>
          </w:p>
        </w:tc>
        <w:tc>
          <w:tcPr>
            <w:tcW w:w="1196" w:type="dxa"/>
            <w:tcBorders>
              <w:top w:val="nil"/>
              <w:left w:val="nil"/>
              <w:bottom w:val="single" w:sz="4" w:space="0" w:color="auto"/>
              <w:right w:val="single" w:sz="4" w:space="0" w:color="auto"/>
            </w:tcBorders>
            <w:shd w:val="clear" w:color="auto" w:fill="BFBFBF"/>
          </w:tcPr>
          <w:p w:rsidR="00BB7F52"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2022</w:t>
            </w:r>
          </w:p>
        </w:tc>
        <w:tc>
          <w:tcPr>
            <w:tcW w:w="1196" w:type="dxa"/>
            <w:tcBorders>
              <w:top w:val="nil"/>
              <w:left w:val="nil"/>
              <w:bottom w:val="single" w:sz="4" w:space="0" w:color="auto"/>
              <w:right w:val="single" w:sz="4" w:space="0" w:color="auto"/>
            </w:tcBorders>
            <w:shd w:val="clear" w:color="auto" w:fill="BFBFBF"/>
          </w:tcPr>
          <w:p w:rsidR="00BB7F52"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2023</w:t>
            </w:r>
          </w:p>
        </w:tc>
        <w:tc>
          <w:tcPr>
            <w:tcW w:w="2392" w:type="dxa"/>
            <w:vMerge/>
            <w:tcBorders>
              <w:top w:val="single" w:sz="4" w:space="0" w:color="auto"/>
              <w:left w:val="single" w:sz="4" w:space="0" w:color="auto"/>
              <w:bottom w:val="single" w:sz="4" w:space="0" w:color="auto"/>
              <w:right w:val="single" w:sz="4" w:space="0" w:color="auto"/>
            </w:tcBorders>
            <w:vAlign w:val="center"/>
          </w:tcPr>
          <w:p w:rsidR="00BB7F52" w:rsidRPr="00FC63F0" w:rsidRDefault="00BB7F52" w:rsidP="00FC63F0">
            <w:pPr>
              <w:spacing w:after="0" w:line="240" w:lineRule="auto"/>
              <w:jc w:val="both"/>
              <w:rPr>
                <w:rFonts w:ascii="Times New Roman" w:hAnsi="Times New Roman"/>
                <w:b/>
                <w:bCs/>
                <w:color w:val="FFFFFF"/>
              </w:rPr>
            </w:pPr>
          </w:p>
        </w:tc>
      </w:tr>
      <w:tr w:rsidR="00BB7F52" w:rsidRPr="00FC63F0" w:rsidTr="00BB7F52">
        <w:trPr>
          <w:trHeight w:val="206"/>
        </w:trPr>
        <w:tc>
          <w:tcPr>
            <w:tcW w:w="3946" w:type="dxa"/>
            <w:tcBorders>
              <w:top w:val="nil"/>
              <w:left w:val="single" w:sz="4" w:space="0" w:color="auto"/>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vertAlign w:val="superscript"/>
              </w:rPr>
            </w:pPr>
            <w:r w:rsidRPr="00FC63F0">
              <w:rPr>
                <w:rFonts w:ascii="Times New Roman" w:hAnsi="Times New Roman"/>
                <w:b/>
                <w:bCs/>
              </w:rPr>
              <w:t>Daňové príjmy (100)</w:t>
            </w:r>
            <w:r w:rsidRPr="00FC63F0">
              <w:rPr>
                <w:rFonts w:ascii="Times New Roman" w:hAnsi="Times New Roman"/>
                <w:b/>
                <w:bCs/>
                <w:vertAlign w:val="superscript"/>
              </w:rPr>
              <w:t>1</w:t>
            </w: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2392" w:type="dxa"/>
            <w:tcBorders>
              <w:top w:val="nil"/>
              <w:left w:val="nil"/>
              <w:bottom w:val="single" w:sz="4" w:space="0" w:color="auto"/>
              <w:right w:val="single" w:sz="4" w:space="0" w:color="auto"/>
            </w:tcBorders>
            <w:noWrap/>
            <w:vAlign w:val="bottom"/>
          </w:tcPr>
          <w:p w:rsidR="00BB7F52" w:rsidRPr="00FC63F0" w:rsidRDefault="00BB7F52" w:rsidP="00FC63F0">
            <w:pPr>
              <w:spacing w:after="0" w:line="240" w:lineRule="auto"/>
              <w:jc w:val="both"/>
              <w:rPr>
                <w:rFonts w:ascii="Times New Roman" w:hAnsi="Times New Roman"/>
              </w:rPr>
            </w:pPr>
            <w:r w:rsidRPr="00FC63F0">
              <w:rPr>
                <w:rFonts w:ascii="Times New Roman" w:hAnsi="Times New Roman"/>
              </w:rPr>
              <w:t> </w:t>
            </w:r>
          </w:p>
        </w:tc>
      </w:tr>
      <w:tr w:rsidR="00BB7F52" w:rsidRPr="00FC63F0" w:rsidTr="00BB7F52">
        <w:trPr>
          <w:trHeight w:val="206"/>
        </w:trPr>
        <w:tc>
          <w:tcPr>
            <w:tcW w:w="3946" w:type="dxa"/>
            <w:tcBorders>
              <w:top w:val="nil"/>
              <w:left w:val="single" w:sz="4" w:space="0" w:color="auto"/>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Nedaňové príjmy (200)</w:t>
            </w:r>
            <w:r w:rsidRPr="00FC63F0">
              <w:rPr>
                <w:rFonts w:ascii="Times New Roman" w:hAnsi="Times New Roman"/>
                <w:b/>
                <w:bCs/>
                <w:vertAlign w:val="superscript"/>
              </w:rPr>
              <w:t>1</w:t>
            </w: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2392" w:type="dxa"/>
            <w:tcBorders>
              <w:top w:val="nil"/>
              <w:left w:val="nil"/>
              <w:bottom w:val="single" w:sz="4" w:space="0" w:color="auto"/>
              <w:right w:val="single" w:sz="4" w:space="0" w:color="auto"/>
            </w:tcBorders>
            <w:noWrap/>
            <w:vAlign w:val="bottom"/>
          </w:tcPr>
          <w:p w:rsidR="00BB7F52" w:rsidRPr="00FC63F0" w:rsidRDefault="00BB7F52" w:rsidP="00FC63F0">
            <w:pPr>
              <w:spacing w:after="0" w:line="240" w:lineRule="auto"/>
              <w:jc w:val="both"/>
              <w:rPr>
                <w:rFonts w:ascii="Times New Roman" w:hAnsi="Times New Roman"/>
              </w:rPr>
            </w:pPr>
            <w:r w:rsidRPr="00FC63F0">
              <w:rPr>
                <w:rFonts w:ascii="Times New Roman" w:hAnsi="Times New Roman"/>
              </w:rPr>
              <w:t> </w:t>
            </w:r>
          </w:p>
        </w:tc>
      </w:tr>
      <w:tr w:rsidR="00BB7F52" w:rsidRPr="00FC63F0" w:rsidTr="00BB7F52">
        <w:trPr>
          <w:trHeight w:val="206"/>
        </w:trPr>
        <w:tc>
          <w:tcPr>
            <w:tcW w:w="3946" w:type="dxa"/>
            <w:tcBorders>
              <w:top w:val="nil"/>
              <w:left w:val="single" w:sz="4" w:space="0" w:color="auto"/>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Granty a transfery (300)</w:t>
            </w:r>
            <w:r w:rsidRPr="00FC63F0">
              <w:rPr>
                <w:rFonts w:ascii="Times New Roman" w:hAnsi="Times New Roman"/>
                <w:b/>
                <w:bCs/>
                <w:vertAlign w:val="superscript"/>
              </w:rPr>
              <w:t>1</w:t>
            </w: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p>
        </w:tc>
        <w:tc>
          <w:tcPr>
            <w:tcW w:w="2392" w:type="dxa"/>
            <w:tcBorders>
              <w:top w:val="nil"/>
              <w:left w:val="nil"/>
              <w:bottom w:val="single" w:sz="4" w:space="0" w:color="auto"/>
              <w:right w:val="single" w:sz="4" w:space="0" w:color="auto"/>
            </w:tcBorders>
            <w:noWrap/>
            <w:vAlign w:val="bottom"/>
          </w:tcPr>
          <w:p w:rsidR="00BB7F52" w:rsidRPr="00FC63F0" w:rsidRDefault="00BB7F52" w:rsidP="00FC63F0">
            <w:pPr>
              <w:spacing w:after="0" w:line="240" w:lineRule="auto"/>
              <w:jc w:val="both"/>
              <w:rPr>
                <w:rFonts w:ascii="Times New Roman" w:hAnsi="Times New Roman"/>
              </w:rPr>
            </w:pPr>
            <w:r w:rsidRPr="00FC63F0">
              <w:rPr>
                <w:rFonts w:ascii="Times New Roman" w:hAnsi="Times New Roman"/>
              </w:rPr>
              <w:t> </w:t>
            </w:r>
          </w:p>
        </w:tc>
      </w:tr>
      <w:tr w:rsidR="00BB7F52" w:rsidRPr="00FC63F0" w:rsidTr="00BB7F52">
        <w:trPr>
          <w:trHeight w:val="206"/>
        </w:trPr>
        <w:tc>
          <w:tcPr>
            <w:tcW w:w="3946" w:type="dxa"/>
            <w:tcBorders>
              <w:top w:val="nil"/>
              <w:left w:val="single" w:sz="4" w:space="0" w:color="auto"/>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Príjmy z transakcií s finančnými aktívami a finančnými pasívami (400)</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2392" w:type="dxa"/>
            <w:tcBorders>
              <w:top w:val="nil"/>
              <w:left w:val="nil"/>
              <w:bottom w:val="single" w:sz="4" w:space="0" w:color="auto"/>
              <w:right w:val="single" w:sz="4" w:space="0" w:color="auto"/>
            </w:tcBorders>
            <w:noWrap/>
            <w:vAlign w:val="bottom"/>
          </w:tcPr>
          <w:p w:rsidR="00BB7F52" w:rsidRPr="00FC63F0" w:rsidRDefault="00BB7F52" w:rsidP="00FC63F0">
            <w:pPr>
              <w:spacing w:after="0" w:line="240" w:lineRule="auto"/>
              <w:jc w:val="both"/>
              <w:rPr>
                <w:rFonts w:ascii="Times New Roman" w:hAnsi="Times New Roman"/>
              </w:rPr>
            </w:pPr>
            <w:r w:rsidRPr="00FC63F0">
              <w:rPr>
                <w:rFonts w:ascii="Times New Roman" w:hAnsi="Times New Roman"/>
              </w:rPr>
              <w:t> </w:t>
            </w:r>
          </w:p>
        </w:tc>
      </w:tr>
      <w:tr w:rsidR="00BB7F52" w:rsidRPr="00FC63F0" w:rsidTr="00BB7F52">
        <w:trPr>
          <w:trHeight w:val="206"/>
        </w:trPr>
        <w:tc>
          <w:tcPr>
            <w:tcW w:w="3946" w:type="dxa"/>
            <w:tcBorders>
              <w:top w:val="nil"/>
              <w:left w:val="single" w:sz="4" w:space="0" w:color="auto"/>
              <w:bottom w:val="single" w:sz="4" w:space="0" w:color="auto"/>
              <w:right w:val="single" w:sz="4" w:space="0" w:color="auto"/>
            </w:tcBorders>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Prijaté úvery, pôžičky a návratné finančné výpomoci (500)</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1196" w:type="dxa"/>
            <w:tcBorders>
              <w:top w:val="nil"/>
              <w:left w:val="nil"/>
              <w:bottom w:val="single" w:sz="4" w:space="0" w:color="auto"/>
              <w:right w:val="single" w:sz="4" w:space="0" w:color="auto"/>
            </w:tcBorders>
            <w:shd w:val="clear" w:color="auto" w:fill="FFFF99"/>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 </w:t>
            </w:r>
          </w:p>
        </w:tc>
        <w:tc>
          <w:tcPr>
            <w:tcW w:w="2392" w:type="dxa"/>
            <w:tcBorders>
              <w:top w:val="nil"/>
              <w:left w:val="nil"/>
              <w:bottom w:val="single" w:sz="4" w:space="0" w:color="auto"/>
              <w:right w:val="single" w:sz="4" w:space="0" w:color="auto"/>
            </w:tcBorders>
            <w:noWrap/>
            <w:vAlign w:val="bottom"/>
          </w:tcPr>
          <w:p w:rsidR="00BB7F52" w:rsidRPr="00FC63F0" w:rsidRDefault="00BB7F52" w:rsidP="00FC63F0">
            <w:pPr>
              <w:spacing w:after="0" w:line="240" w:lineRule="auto"/>
              <w:jc w:val="both"/>
              <w:rPr>
                <w:rFonts w:ascii="Times New Roman" w:hAnsi="Times New Roman"/>
              </w:rPr>
            </w:pPr>
            <w:r w:rsidRPr="00FC63F0">
              <w:rPr>
                <w:rFonts w:ascii="Times New Roman" w:hAnsi="Times New Roman"/>
              </w:rPr>
              <w:t> </w:t>
            </w:r>
          </w:p>
        </w:tc>
      </w:tr>
      <w:tr w:rsidR="00BB7F52" w:rsidRPr="00FC63F0" w:rsidTr="00BB7F52">
        <w:trPr>
          <w:trHeight w:val="206"/>
        </w:trPr>
        <w:tc>
          <w:tcPr>
            <w:tcW w:w="3946" w:type="dxa"/>
            <w:tcBorders>
              <w:top w:val="nil"/>
              <w:left w:val="single" w:sz="4" w:space="0" w:color="auto"/>
              <w:bottom w:val="single" w:sz="4" w:space="0" w:color="auto"/>
              <w:right w:val="single" w:sz="4" w:space="0" w:color="auto"/>
            </w:tcBorders>
            <w:shd w:val="clear" w:color="auto" w:fill="BFBFBF"/>
          </w:tcPr>
          <w:p w:rsidR="00BB7F52" w:rsidRPr="00FC63F0" w:rsidRDefault="00BB7F52" w:rsidP="00FC63F0">
            <w:pPr>
              <w:spacing w:after="0" w:line="240" w:lineRule="auto"/>
              <w:jc w:val="both"/>
              <w:rPr>
                <w:rFonts w:ascii="Times New Roman" w:hAnsi="Times New Roman"/>
                <w:b/>
                <w:bCs/>
              </w:rPr>
            </w:pPr>
            <w:r w:rsidRPr="00FC63F0">
              <w:rPr>
                <w:rFonts w:ascii="Times New Roman" w:hAnsi="Times New Roman"/>
                <w:b/>
                <w:bCs/>
              </w:rPr>
              <w:t>Dopad na príjmy verejnej správy celkom</w:t>
            </w:r>
          </w:p>
        </w:tc>
        <w:tc>
          <w:tcPr>
            <w:tcW w:w="1196" w:type="dxa"/>
            <w:tcBorders>
              <w:top w:val="nil"/>
              <w:left w:val="nil"/>
              <w:bottom w:val="single" w:sz="4" w:space="0" w:color="auto"/>
              <w:right w:val="single" w:sz="4" w:space="0" w:color="auto"/>
            </w:tcBorders>
            <w:shd w:val="clear" w:color="auto" w:fill="BFBFBF"/>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shd w:val="clear" w:color="auto" w:fill="BFBFBF"/>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shd w:val="clear" w:color="auto" w:fill="BFBFBF"/>
          </w:tcPr>
          <w:p w:rsidR="00BB7F52" w:rsidRPr="00FC63F0" w:rsidRDefault="00BB7F52" w:rsidP="00FC63F0">
            <w:pPr>
              <w:spacing w:after="0" w:line="240" w:lineRule="auto"/>
              <w:jc w:val="both"/>
              <w:rPr>
                <w:rFonts w:ascii="Times New Roman" w:hAnsi="Times New Roman"/>
                <w:b/>
                <w:bCs/>
              </w:rPr>
            </w:pPr>
          </w:p>
        </w:tc>
        <w:tc>
          <w:tcPr>
            <w:tcW w:w="1196" w:type="dxa"/>
            <w:tcBorders>
              <w:top w:val="nil"/>
              <w:left w:val="nil"/>
              <w:bottom w:val="single" w:sz="4" w:space="0" w:color="auto"/>
              <w:right w:val="single" w:sz="4" w:space="0" w:color="auto"/>
            </w:tcBorders>
            <w:shd w:val="clear" w:color="auto" w:fill="BFBFBF"/>
          </w:tcPr>
          <w:p w:rsidR="00BB7F52" w:rsidRPr="00FC63F0" w:rsidRDefault="00BB7F52" w:rsidP="00FC63F0">
            <w:pPr>
              <w:spacing w:after="0" w:line="240" w:lineRule="auto"/>
              <w:jc w:val="both"/>
              <w:rPr>
                <w:rFonts w:ascii="Times New Roman" w:hAnsi="Times New Roman"/>
                <w:b/>
                <w:bCs/>
              </w:rPr>
            </w:pPr>
          </w:p>
        </w:tc>
        <w:tc>
          <w:tcPr>
            <w:tcW w:w="2392" w:type="dxa"/>
            <w:tcBorders>
              <w:top w:val="nil"/>
              <w:left w:val="nil"/>
              <w:bottom w:val="single" w:sz="4" w:space="0" w:color="auto"/>
              <w:right w:val="single" w:sz="4" w:space="0" w:color="auto"/>
            </w:tcBorders>
            <w:shd w:val="clear" w:color="auto" w:fill="BFBFBF"/>
            <w:noWrap/>
            <w:vAlign w:val="bottom"/>
          </w:tcPr>
          <w:p w:rsidR="00BB7F52" w:rsidRPr="00FC63F0" w:rsidRDefault="00BB7F52" w:rsidP="00FC63F0">
            <w:pPr>
              <w:spacing w:after="0" w:line="240" w:lineRule="auto"/>
              <w:jc w:val="both"/>
              <w:rPr>
                <w:rFonts w:ascii="Times New Roman" w:hAnsi="Times New Roman"/>
              </w:rPr>
            </w:pPr>
            <w:r w:rsidRPr="00FC63F0">
              <w:rPr>
                <w:rFonts w:ascii="Times New Roman" w:hAnsi="Times New Roman"/>
              </w:rPr>
              <w:t> </w:t>
            </w:r>
          </w:p>
        </w:tc>
      </w:tr>
    </w:tbl>
    <w:p w:rsidR="00B801F3" w:rsidRPr="00FC63F0" w:rsidRDefault="00B801F3"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BB7F52" w:rsidRPr="00FC63F0" w:rsidRDefault="00BB7F52" w:rsidP="00FC63F0">
      <w:pPr>
        <w:tabs>
          <w:tab w:val="num" w:pos="1080"/>
        </w:tabs>
        <w:spacing w:after="0" w:line="240" w:lineRule="auto"/>
        <w:jc w:val="both"/>
        <w:rPr>
          <w:rFonts w:ascii="Times New Roman" w:hAnsi="Times New Roman"/>
          <w:bCs/>
        </w:rPr>
      </w:pPr>
    </w:p>
    <w:p w:rsidR="00656F4B" w:rsidRPr="00FC63F0" w:rsidRDefault="00656F4B" w:rsidP="00FC63F0">
      <w:pPr>
        <w:tabs>
          <w:tab w:val="num" w:pos="1080"/>
        </w:tabs>
        <w:spacing w:after="0" w:line="240" w:lineRule="auto"/>
        <w:jc w:val="both"/>
        <w:rPr>
          <w:rFonts w:ascii="Times New Roman" w:hAnsi="Times New Roman"/>
          <w:bCs/>
        </w:rPr>
      </w:pPr>
      <w:r w:rsidRPr="00FC63F0">
        <w:rPr>
          <w:rFonts w:ascii="Times New Roman" w:hAnsi="Times New Roman"/>
          <w:bCs/>
        </w:rPr>
        <w:t>1 –  príjmy rozpísať až do položiek platnej ekonomickej klasifikácie</w:t>
      </w:r>
    </w:p>
    <w:p w:rsidR="00656F4B" w:rsidRPr="00FC63F0" w:rsidRDefault="00656F4B" w:rsidP="00FC63F0">
      <w:pPr>
        <w:tabs>
          <w:tab w:val="num" w:pos="1080"/>
        </w:tabs>
        <w:spacing w:after="0" w:line="240" w:lineRule="auto"/>
        <w:jc w:val="both"/>
        <w:rPr>
          <w:rFonts w:ascii="Times New Roman" w:hAnsi="Times New Roman"/>
          <w:b/>
          <w:bCs/>
        </w:rPr>
      </w:pPr>
      <w:r w:rsidRPr="00FC63F0">
        <w:rPr>
          <w:rFonts w:ascii="Times New Roman" w:hAnsi="Times New Roman"/>
          <w:b/>
          <w:bCs/>
        </w:rPr>
        <w:t>Poznámka:</w:t>
      </w:r>
    </w:p>
    <w:p w:rsidR="00656F4B" w:rsidRPr="00FC63F0" w:rsidRDefault="00656F4B" w:rsidP="00FC63F0">
      <w:pPr>
        <w:tabs>
          <w:tab w:val="num" w:pos="1080"/>
        </w:tabs>
        <w:spacing w:after="0" w:line="240" w:lineRule="auto"/>
        <w:jc w:val="both"/>
        <w:rPr>
          <w:rFonts w:ascii="Times New Roman" w:hAnsi="Times New Roman"/>
          <w:bCs/>
        </w:rPr>
      </w:pPr>
      <w:r w:rsidRPr="00FC63F0">
        <w:rPr>
          <w:rFonts w:ascii="Times New Roman" w:hAnsi="Times New Roman"/>
          <w:bCs/>
        </w:rPr>
        <w:t>Ak sa vplyv týka viacerých subjektov verejnej správy, vypĺňa sa samostatná tabuľka za každý subjekt.</w:t>
      </w:r>
    </w:p>
    <w:p w:rsidR="00656F4B" w:rsidRPr="00FC63F0" w:rsidRDefault="00656F4B" w:rsidP="00FC63F0">
      <w:pPr>
        <w:tabs>
          <w:tab w:val="num" w:pos="1080"/>
        </w:tabs>
        <w:spacing w:after="0" w:line="240" w:lineRule="auto"/>
        <w:ind w:right="-578"/>
        <w:jc w:val="both"/>
        <w:rPr>
          <w:rFonts w:ascii="Times New Roman" w:hAnsi="Times New Roman"/>
          <w:bCs/>
        </w:rPr>
      </w:pPr>
    </w:p>
    <w:p w:rsidR="00656F4B" w:rsidRPr="00FC63F0" w:rsidRDefault="00656F4B" w:rsidP="00FC63F0">
      <w:pPr>
        <w:tabs>
          <w:tab w:val="num" w:pos="1080"/>
        </w:tabs>
        <w:spacing w:after="0" w:line="240" w:lineRule="auto"/>
        <w:ind w:right="-32"/>
        <w:jc w:val="both"/>
        <w:rPr>
          <w:rFonts w:ascii="Times New Roman" w:hAnsi="Times New Roman"/>
          <w:bCs/>
        </w:rPr>
      </w:pPr>
      <w:r w:rsidRPr="00FC63F0">
        <w:rPr>
          <w:rFonts w:ascii="Times New Roman" w:hAnsi="Times New Roman"/>
          <w:bCs/>
        </w:rPr>
        <w:t xml:space="preserve">Tabuľka č. 4 </w:t>
      </w:r>
    </w:p>
    <w:p w:rsidR="00656F4B" w:rsidRPr="00FC63F0" w:rsidRDefault="00656F4B" w:rsidP="00FC63F0">
      <w:pPr>
        <w:tabs>
          <w:tab w:val="num" w:pos="1080"/>
        </w:tabs>
        <w:spacing w:after="0" w:line="240" w:lineRule="auto"/>
        <w:jc w:val="both"/>
        <w:rPr>
          <w:rFonts w:ascii="Times New Roman" w:hAnsi="Times New Roman"/>
          <w:bCs/>
        </w:rPr>
      </w:pPr>
    </w:p>
    <w:tbl>
      <w:tblPr>
        <w:tblpPr w:leftFromText="141" w:rightFromText="141" w:vertAnchor="text" w:horzAnchor="page" w:tblpX="629" w:tblpY="2"/>
        <w:tblW w:w="12469" w:type="dxa"/>
        <w:tblCellMar>
          <w:left w:w="70" w:type="dxa"/>
          <w:right w:w="70" w:type="dxa"/>
        </w:tblCellMar>
        <w:tblLook w:val="0000" w:firstRow="0" w:lastRow="0" w:firstColumn="0" w:lastColumn="0" w:noHBand="0" w:noVBand="0"/>
      </w:tblPr>
      <w:tblGrid>
        <w:gridCol w:w="4815"/>
        <w:gridCol w:w="1152"/>
        <w:gridCol w:w="1067"/>
        <w:gridCol w:w="1067"/>
        <w:gridCol w:w="1068"/>
        <w:gridCol w:w="3300"/>
      </w:tblGrid>
      <w:tr w:rsidR="00656F4B" w:rsidRPr="00FC63F0" w:rsidTr="00762B0D">
        <w:trPr>
          <w:cantSplit/>
          <w:trHeight w:val="229"/>
        </w:trPr>
        <w:tc>
          <w:tcPr>
            <w:tcW w:w="4815"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Výdavky (v eurách)</w:t>
            </w:r>
          </w:p>
        </w:tc>
        <w:tc>
          <w:tcPr>
            <w:tcW w:w="4354" w:type="dxa"/>
            <w:gridSpan w:val="4"/>
            <w:tcBorders>
              <w:top w:val="single" w:sz="4" w:space="0" w:color="auto"/>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Vplyv na rozpočet verejnej správy</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poznámka</w:t>
            </w:r>
          </w:p>
        </w:tc>
      </w:tr>
      <w:tr w:rsidR="00656F4B" w:rsidRPr="00FC63F0" w:rsidTr="00762B0D">
        <w:trPr>
          <w:cantSplit/>
          <w:trHeight w:val="229"/>
        </w:trPr>
        <w:tc>
          <w:tcPr>
            <w:tcW w:w="4815" w:type="dxa"/>
            <w:vMerge/>
            <w:tcBorders>
              <w:top w:val="single" w:sz="4" w:space="0" w:color="auto"/>
              <w:left w:val="single" w:sz="4" w:space="0" w:color="auto"/>
              <w:bottom w:val="single" w:sz="4" w:space="0" w:color="000000"/>
              <w:right w:val="single" w:sz="4" w:space="0" w:color="auto"/>
            </w:tcBorders>
            <w:vAlign w:val="center"/>
          </w:tcPr>
          <w:p w:rsidR="00656F4B" w:rsidRPr="00FC63F0" w:rsidRDefault="00656F4B" w:rsidP="00FC63F0">
            <w:pPr>
              <w:spacing w:after="0" w:line="240" w:lineRule="auto"/>
              <w:jc w:val="both"/>
              <w:rPr>
                <w:rFonts w:ascii="Times New Roman" w:hAnsi="Times New Roman"/>
                <w:b/>
                <w:bCs/>
                <w:color w:val="FFFFFF"/>
              </w:rPr>
            </w:pPr>
          </w:p>
        </w:tc>
        <w:tc>
          <w:tcPr>
            <w:tcW w:w="1152" w:type="dxa"/>
            <w:tcBorders>
              <w:top w:val="nil"/>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2019</w:t>
            </w:r>
          </w:p>
        </w:tc>
        <w:tc>
          <w:tcPr>
            <w:tcW w:w="1067" w:type="dxa"/>
            <w:tcBorders>
              <w:top w:val="nil"/>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2020</w:t>
            </w:r>
          </w:p>
        </w:tc>
        <w:tc>
          <w:tcPr>
            <w:tcW w:w="1067" w:type="dxa"/>
            <w:tcBorders>
              <w:top w:val="nil"/>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2021</w:t>
            </w:r>
          </w:p>
        </w:tc>
        <w:tc>
          <w:tcPr>
            <w:tcW w:w="1068" w:type="dxa"/>
            <w:tcBorders>
              <w:top w:val="nil"/>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2022</w:t>
            </w:r>
          </w:p>
        </w:tc>
        <w:tc>
          <w:tcPr>
            <w:tcW w:w="3300" w:type="dxa"/>
            <w:vMerge/>
            <w:tcBorders>
              <w:top w:val="single" w:sz="4" w:space="0" w:color="auto"/>
              <w:left w:val="single" w:sz="4" w:space="0" w:color="auto"/>
              <w:bottom w:val="single" w:sz="4" w:space="0" w:color="auto"/>
              <w:right w:val="single" w:sz="4" w:space="0" w:color="auto"/>
            </w:tcBorders>
            <w:vAlign w:val="center"/>
          </w:tcPr>
          <w:p w:rsidR="00656F4B" w:rsidRPr="00FC63F0" w:rsidRDefault="00656F4B" w:rsidP="00FC63F0">
            <w:pPr>
              <w:spacing w:after="0" w:line="240" w:lineRule="auto"/>
              <w:jc w:val="both"/>
              <w:rPr>
                <w:rFonts w:ascii="Times New Roman" w:hAnsi="Times New Roman"/>
                <w:b/>
                <w:bCs/>
                <w:color w:val="FFFFFF"/>
              </w:rPr>
            </w:pPr>
          </w:p>
        </w:tc>
      </w:tr>
      <w:tr w:rsidR="00656F4B" w:rsidRPr="00FC63F0" w:rsidTr="00762B0D">
        <w:trPr>
          <w:trHeight w:val="229"/>
        </w:trPr>
        <w:tc>
          <w:tcPr>
            <w:tcW w:w="4815"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Bežné výdavky (600)</w:t>
            </w:r>
          </w:p>
        </w:tc>
        <w:tc>
          <w:tcPr>
            <w:tcW w:w="1152"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068"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3300" w:type="dxa"/>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762B0D">
        <w:trPr>
          <w:trHeight w:val="229"/>
        </w:trPr>
        <w:tc>
          <w:tcPr>
            <w:tcW w:w="4815"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xml:space="preserve">  Mzdy, platy, služobné príjmy a ostatné osobné vyrovnania (610)</w:t>
            </w:r>
          </w:p>
        </w:tc>
        <w:tc>
          <w:tcPr>
            <w:tcW w:w="1152"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8"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3300" w:type="dxa"/>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762B0D">
        <w:trPr>
          <w:trHeight w:val="229"/>
        </w:trPr>
        <w:tc>
          <w:tcPr>
            <w:tcW w:w="4815"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vertAlign w:val="superscript"/>
              </w:rPr>
            </w:pPr>
            <w:r w:rsidRPr="00FC63F0">
              <w:rPr>
                <w:rFonts w:ascii="Times New Roman" w:hAnsi="Times New Roman"/>
              </w:rPr>
              <w:t xml:space="preserve">  Poistné a príspevok do poisťovní (620)</w:t>
            </w:r>
          </w:p>
        </w:tc>
        <w:tc>
          <w:tcPr>
            <w:tcW w:w="1152"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8"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3300" w:type="dxa"/>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C732DA" w:rsidRPr="00FC63F0" w:rsidTr="008E25DF">
        <w:trPr>
          <w:trHeight w:val="229"/>
        </w:trPr>
        <w:tc>
          <w:tcPr>
            <w:tcW w:w="4815" w:type="dxa"/>
            <w:tcBorders>
              <w:top w:val="nil"/>
              <w:left w:val="single" w:sz="4" w:space="0" w:color="auto"/>
              <w:bottom w:val="single" w:sz="4" w:space="0" w:color="auto"/>
              <w:right w:val="single" w:sz="4" w:space="0" w:color="auto"/>
            </w:tcBorders>
          </w:tcPr>
          <w:p w:rsidR="00C732DA" w:rsidRPr="00FC63F0" w:rsidRDefault="00C732DA" w:rsidP="00FC63F0">
            <w:pPr>
              <w:spacing w:after="0" w:line="240" w:lineRule="auto"/>
              <w:jc w:val="both"/>
              <w:rPr>
                <w:rFonts w:ascii="Times New Roman" w:hAnsi="Times New Roman"/>
                <w:vertAlign w:val="superscript"/>
              </w:rPr>
            </w:pPr>
            <w:r w:rsidRPr="00FC63F0">
              <w:rPr>
                <w:rFonts w:ascii="Times New Roman" w:hAnsi="Times New Roman"/>
              </w:rPr>
              <w:t xml:space="preserve">  Tovary a služby (630)</w:t>
            </w:r>
            <w:r w:rsidRPr="00FC63F0">
              <w:rPr>
                <w:rFonts w:ascii="Times New Roman" w:hAnsi="Times New Roman"/>
                <w:vertAlign w:val="superscript"/>
              </w:rPr>
              <w:t>2</w:t>
            </w:r>
          </w:p>
        </w:tc>
        <w:tc>
          <w:tcPr>
            <w:tcW w:w="1152" w:type="dxa"/>
            <w:tcBorders>
              <w:top w:val="nil"/>
              <w:left w:val="nil"/>
              <w:bottom w:val="single" w:sz="8" w:space="0" w:color="auto"/>
              <w:right w:val="single" w:sz="8" w:space="0" w:color="auto"/>
            </w:tcBorders>
            <w:shd w:val="clear" w:color="auto" w:fill="auto"/>
          </w:tcPr>
          <w:p w:rsidR="002C60AE" w:rsidRPr="002C60AE" w:rsidRDefault="002C60AE" w:rsidP="002C60AE">
            <w:pPr>
              <w:jc w:val="both"/>
              <w:rPr>
                <w:rFonts w:ascii="Times New Roman" w:hAnsi="Times New Roman"/>
                <w:color w:val="000000"/>
              </w:rPr>
            </w:pPr>
            <w:r w:rsidRPr="002C60AE">
              <w:rPr>
                <w:rFonts w:ascii="Times New Roman" w:hAnsi="Times New Roman"/>
                <w:color w:val="000000"/>
              </w:rPr>
              <w:t>17 876 684</w:t>
            </w:r>
          </w:p>
          <w:p w:rsidR="00C732DA" w:rsidRPr="00FC63F0" w:rsidRDefault="00C732DA"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shd w:val="clear" w:color="auto" w:fill="auto"/>
            <w:vAlign w:val="center"/>
          </w:tcPr>
          <w:p w:rsidR="00C732DA" w:rsidRPr="00FC63F0" w:rsidRDefault="00C732DA"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shd w:val="clear" w:color="auto" w:fill="auto"/>
            <w:vAlign w:val="center"/>
          </w:tcPr>
          <w:p w:rsidR="00C732DA" w:rsidRPr="00FC63F0" w:rsidRDefault="00C732DA" w:rsidP="00FC63F0">
            <w:pPr>
              <w:spacing w:after="0" w:line="240" w:lineRule="auto"/>
              <w:jc w:val="both"/>
              <w:rPr>
                <w:rFonts w:ascii="Times New Roman" w:hAnsi="Times New Roman"/>
              </w:rPr>
            </w:pPr>
          </w:p>
        </w:tc>
        <w:tc>
          <w:tcPr>
            <w:tcW w:w="1068" w:type="dxa"/>
            <w:tcBorders>
              <w:top w:val="nil"/>
              <w:left w:val="nil"/>
              <w:bottom w:val="single" w:sz="4" w:space="0" w:color="auto"/>
              <w:right w:val="single" w:sz="4" w:space="0" w:color="auto"/>
            </w:tcBorders>
            <w:shd w:val="clear" w:color="auto" w:fill="auto"/>
            <w:vAlign w:val="center"/>
          </w:tcPr>
          <w:p w:rsidR="00C732DA" w:rsidRPr="00FC63F0" w:rsidRDefault="00C732DA" w:rsidP="00FC63F0">
            <w:pPr>
              <w:spacing w:after="0" w:line="240" w:lineRule="auto"/>
              <w:jc w:val="both"/>
              <w:rPr>
                <w:rFonts w:ascii="Times New Roman" w:hAnsi="Times New Roman"/>
              </w:rPr>
            </w:pPr>
          </w:p>
        </w:tc>
        <w:tc>
          <w:tcPr>
            <w:tcW w:w="3300" w:type="dxa"/>
            <w:tcBorders>
              <w:top w:val="nil"/>
              <w:left w:val="nil"/>
              <w:bottom w:val="single" w:sz="4" w:space="0" w:color="auto"/>
              <w:right w:val="single" w:sz="4" w:space="0" w:color="auto"/>
            </w:tcBorders>
            <w:noWrap/>
            <w:vAlign w:val="bottom"/>
          </w:tcPr>
          <w:p w:rsidR="00C732DA" w:rsidRPr="00FC63F0" w:rsidRDefault="00C732DA" w:rsidP="00FC63F0">
            <w:pPr>
              <w:spacing w:after="0" w:line="240" w:lineRule="auto"/>
              <w:jc w:val="both"/>
              <w:rPr>
                <w:rFonts w:ascii="Times New Roman" w:hAnsi="Times New Roman"/>
              </w:rPr>
            </w:pPr>
            <w:r w:rsidRPr="00FC63F0">
              <w:rPr>
                <w:rFonts w:ascii="Times New Roman" w:hAnsi="Times New Roman"/>
              </w:rPr>
              <w:t xml:space="preserve">úhrady </w:t>
            </w:r>
            <w:r w:rsidR="00FD039D" w:rsidRPr="00FC63F0">
              <w:rPr>
                <w:rFonts w:ascii="Times New Roman" w:hAnsi="Times New Roman"/>
              </w:rPr>
              <w:t>zdravotnej starostlivosti v súvislosti s ochorením COVID-19 poskytnutej nepoisteným osobám</w:t>
            </w:r>
            <w:r w:rsidRPr="00FC63F0">
              <w:rPr>
                <w:rFonts w:ascii="Times New Roman" w:hAnsi="Times New Roman"/>
              </w:rPr>
              <w:t xml:space="preserve"> </w:t>
            </w:r>
          </w:p>
        </w:tc>
      </w:tr>
      <w:tr w:rsidR="00656F4B" w:rsidRPr="00FC63F0" w:rsidTr="00762B0D">
        <w:trPr>
          <w:trHeight w:val="229"/>
        </w:trPr>
        <w:tc>
          <w:tcPr>
            <w:tcW w:w="4815"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xml:space="preserve">  Bežné transfery (640)</w:t>
            </w:r>
            <w:r w:rsidRPr="00FC63F0">
              <w:rPr>
                <w:rFonts w:ascii="Times New Roman" w:hAnsi="Times New Roman"/>
                <w:vertAlign w:val="superscript"/>
              </w:rPr>
              <w:t>2</w:t>
            </w:r>
          </w:p>
        </w:tc>
        <w:tc>
          <w:tcPr>
            <w:tcW w:w="1152"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8"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3300" w:type="dxa"/>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762B0D">
        <w:trPr>
          <w:trHeight w:val="229"/>
        </w:trPr>
        <w:tc>
          <w:tcPr>
            <w:tcW w:w="4815" w:type="dxa"/>
            <w:tcBorders>
              <w:top w:val="nil"/>
              <w:left w:val="single" w:sz="4" w:space="0" w:color="auto"/>
              <w:bottom w:val="single" w:sz="4" w:space="0" w:color="auto"/>
              <w:right w:val="single" w:sz="4" w:space="0" w:color="auto"/>
            </w:tcBorders>
            <w:vAlign w:val="center"/>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xml:space="preserve">  Splácanie úrokov a ostatné platby súvisiace s  úverom, pôžičkou, návratnou finančnou výpomocou a finančným prenájmom (650)</w:t>
            </w:r>
            <w:r w:rsidRPr="00FC63F0">
              <w:rPr>
                <w:rFonts w:ascii="Times New Roman" w:hAnsi="Times New Roman"/>
                <w:vertAlign w:val="superscript"/>
              </w:rPr>
              <w:t>2</w:t>
            </w:r>
          </w:p>
        </w:tc>
        <w:tc>
          <w:tcPr>
            <w:tcW w:w="1152"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8"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3300" w:type="dxa"/>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p>
        </w:tc>
      </w:tr>
      <w:tr w:rsidR="00656F4B" w:rsidRPr="00FC63F0" w:rsidTr="00762B0D">
        <w:trPr>
          <w:trHeight w:val="229"/>
        </w:trPr>
        <w:tc>
          <w:tcPr>
            <w:tcW w:w="4815"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Kapitálové výdavky (700)</w:t>
            </w:r>
          </w:p>
        </w:tc>
        <w:tc>
          <w:tcPr>
            <w:tcW w:w="1152"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068"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3300" w:type="dxa"/>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762B0D">
        <w:trPr>
          <w:trHeight w:val="229"/>
        </w:trPr>
        <w:tc>
          <w:tcPr>
            <w:tcW w:w="4815"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xml:space="preserve">  Obstarávanie kapitálových aktív (710)</w:t>
            </w:r>
            <w:r w:rsidRPr="00FC63F0">
              <w:rPr>
                <w:rFonts w:ascii="Times New Roman" w:hAnsi="Times New Roman"/>
                <w:vertAlign w:val="superscript"/>
              </w:rPr>
              <w:t>2</w:t>
            </w:r>
          </w:p>
        </w:tc>
        <w:tc>
          <w:tcPr>
            <w:tcW w:w="1152"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8"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3300" w:type="dxa"/>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762B0D">
        <w:trPr>
          <w:trHeight w:val="229"/>
        </w:trPr>
        <w:tc>
          <w:tcPr>
            <w:tcW w:w="4815"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xml:space="preserve">  Kapitálové transfery (720)</w:t>
            </w:r>
            <w:r w:rsidRPr="00FC63F0">
              <w:rPr>
                <w:rFonts w:ascii="Times New Roman" w:hAnsi="Times New Roman"/>
                <w:vertAlign w:val="superscript"/>
              </w:rPr>
              <w:t>2</w:t>
            </w:r>
          </w:p>
        </w:tc>
        <w:tc>
          <w:tcPr>
            <w:tcW w:w="1152"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7"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068"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3300" w:type="dxa"/>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762B0D">
        <w:trPr>
          <w:trHeight w:val="229"/>
        </w:trPr>
        <w:tc>
          <w:tcPr>
            <w:tcW w:w="4815"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lastRenderedPageBreak/>
              <w:t>Výdavky z transakcií s finančnými aktívami a finančnými pasívami (800)</w:t>
            </w:r>
          </w:p>
        </w:tc>
        <w:tc>
          <w:tcPr>
            <w:tcW w:w="1152" w:type="dxa"/>
            <w:tcBorders>
              <w:top w:val="nil"/>
              <w:left w:val="nil"/>
              <w:bottom w:val="single" w:sz="4" w:space="0" w:color="auto"/>
              <w:right w:val="single" w:sz="4" w:space="0" w:color="auto"/>
            </w:tcBorders>
            <w:shd w:val="clear" w:color="auto" w:fill="FFFF99"/>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 </w:t>
            </w:r>
          </w:p>
        </w:tc>
        <w:tc>
          <w:tcPr>
            <w:tcW w:w="1067" w:type="dxa"/>
            <w:tcBorders>
              <w:top w:val="nil"/>
              <w:left w:val="nil"/>
              <w:bottom w:val="single" w:sz="4" w:space="0" w:color="auto"/>
              <w:right w:val="single" w:sz="4" w:space="0" w:color="auto"/>
            </w:tcBorders>
            <w:shd w:val="clear" w:color="auto" w:fill="FFFF99"/>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 </w:t>
            </w:r>
          </w:p>
        </w:tc>
        <w:tc>
          <w:tcPr>
            <w:tcW w:w="1067" w:type="dxa"/>
            <w:tcBorders>
              <w:top w:val="nil"/>
              <w:left w:val="nil"/>
              <w:bottom w:val="single" w:sz="4" w:space="0" w:color="auto"/>
              <w:right w:val="single" w:sz="4" w:space="0" w:color="auto"/>
            </w:tcBorders>
            <w:shd w:val="clear" w:color="auto" w:fill="FFFF99"/>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 </w:t>
            </w:r>
          </w:p>
        </w:tc>
        <w:tc>
          <w:tcPr>
            <w:tcW w:w="1068" w:type="dxa"/>
            <w:tcBorders>
              <w:top w:val="nil"/>
              <w:left w:val="nil"/>
              <w:bottom w:val="single" w:sz="4" w:space="0" w:color="auto"/>
              <w:right w:val="single" w:sz="4" w:space="0" w:color="auto"/>
            </w:tcBorders>
            <w:shd w:val="clear" w:color="auto" w:fill="FFFF99"/>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 </w:t>
            </w:r>
          </w:p>
        </w:tc>
        <w:tc>
          <w:tcPr>
            <w:tcW w:w="3300" w:type="dxa"/>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C732DA" w:rsidRPr="00FC63F0" w:rsidTr="00762B0D">
        <w:trPr>
          <w:trHeight w:val="229"/>
        </w:trPr>
        <w:tc>
          <w:tcPr>
            <w:tcW w:w="4815" w:type="dxa"/>
            <w:tcBorders>
              <w:top w:val="single" w:sz="4" w:space="0" w:color="auto"/>
              <w:left w:val="single" w:sz="4" w:space="0" w:color="auto"/>
              <w:bottom w:val="single" w:sz="4" w:space="0" w:color="auto"/>
              <w:right w:val="single" w:sz="4" w:space="0" w:color="auto"/>
            </w:tcBorders>
            <w:shd w:val="clear" w:color="auto" w:fill="BFBFBF"/>
          </w:tcPr>
          <w:p w:rsidR="00C732DA" w:rsidRPr="00FC63F0" w:rsidRDefault="00C732DA" w:rsidP="00FC63F0">
            <w:pPr>
              <w:spacing w:after="0" w:line="240" w:lineRule="auto"/>
              <w:jc w:val="both"/>
              <w:rPr>
                <w:rFonts w:ascii="Times New Roman" w:hAnsi="Times New Roman"/>
                <w:b/>
                <w:bCs/>
              </w:rPr>
            </w:pPr>
            <w:r w:rsidRPr="00FC63F0">
              <w:rPr>
                <w:rFonts w:ascii="Times New Roman" w:hAnsi="Times New Roman"/>
                <w:b/>
                <w:bCs/>
              </w:rPr>
              <w:t>Dopad na výdavky verejnej správy celkom</w:t>
            </w:r>
          </w:p>
        </w:tc>
        <w:tc>
          <w:tcPr>
            <w:tcW w:w="1152" w:type="dxa"/>
            <w:tcBorders>
              <w:top w:val="nil"/>
              <w:left w:val="nil"/>
              <w:bottom w:val="single" w:sz="8" w:space="0" w:color="auto"/>
              <w:right w:val="single" w:sz="8" w:space="0" w:color="auto"/>
            </w:tcBorders>
            <w:shd w:val="clear" w:color="auto" w:fill="auto"/>
            <w:vAlign w:val="center"/>
          </w:tcPr>
          <w:p w:rsidR="00C732DA" w:rsidRPr="00FC63F0" w:rsidRDefault="002C60AE" w:rsidP="00FC63F0">
            <w:pPr>
              <w:spacing w:after="0" w:line="240" w:lineRule="auto"/>
              <w:jc w:val="both"/>
              <w:rPr>
                <w:rFonts w:ascii="Times New Roman" w:hAnsi="Times New Roman"/>
                <w:b/>
                <w:bCs/>
                <w:color w:val="000000"/>
              </w:rPr>
            </w:pPr>
            <w:r w:rsidRPr="002C60AE">
              <w:rPr>
                <w:rFonts w:ascii="Times New Roman" w:hAnsi="Times New Roman"/>
                <w:b/>
                <w:bCs/>
                <w:color w:val="000000"/>
              </w:rPr>
              <w:t>17 876 684</w:t>
            </w:r>
          </w:p>
        </w:tc>
        <w:tc>
          <w:tcPr>
            <w:tcW w:w="1067" w:type="dxa"/>
            <w:tcBorders>
              <w:top w:val="nil"/>
              <w:left w:val="nil"/>
              <w:bottom w:val="single" w:sz="8" w:space="0" w:color="auto"/>
              <w:right w:val="single" w:sz="8" w:space="0" w:color="auto"/>
            </w:tcBorders>
            <w:shd w:val="clear" w:color="auto" w:fill="auto"/>
            <w:vAlign w:val="center"/>
          </w:tcPr>
          <w:p w:rsidR="00C732DA" w:rsidRPr="00FC63F0" w:rsidRDefault="00FD039D" w:rsidP="00FC63F0">
            <w:pPr>
              <w:spacing w:after="0" w:line="240" w:lineRule="auto"/>
              <w:jc w:val="both"/>
              <w:rPr>
                <w:rFonts w:ascii="Times New Roman" w:hAnsi="Times New Roman"/>
                <w:b/>
                <w:bCs/>
                <w:color w:val="000000"/>
              </w:rPr>
            </w:pPr>
            <w:r w:rsidRPr="00FC63F0">
              <w:rPr>
                <w:rFonts w:ascii="Times New Roman" w:hAnsi="Times New Roman"/>
                <w:b/>
                <w:bCs/>
                <w:color w:val="000000"/>
                <w:lang w:eastAsia="sk-SK"/>
              </w:rPr>
              <w:t xml:space="preserve"> </w:t>
            </w:r>
          </w:p>
        </w:tc>
        <w:tc>
          <w:tcPr>
            <w:tcW w:w="1067" w:type="dxa"/>
            <w:tcBorders>
              <w:top w:val="nil"/>
              <w:left w:val="nil"/>
              <w:bottom w:val="single" w:sz="8" w:space="0" w:color="auto"/>
              <w:right w:val="single" w:sz="8" w:space="0" w:color="auto"/>
            </w:tcBorders>
            <w:shd w:val="clear" w:color="auto" w:fill="auto"/>
            <w:vAlign w:val="center"/>
          </w:tcPr>
          <w:p w:rsidR="00C732DA" w:rsidRPr="00FC63F0" w:rsidRDefault="00FD039D" w:rsidP="00FC63F0">
            <w:pPr>
              <w:spacing w:after="0" w:line="240" w:lineRule="auto"/>
              <w:jc w:val="both"/>
              <w:rPr>
                <w:rFonts w:ascii="Times New Roman" w:hAnsi="Times New Roman"/>
                <w:b/>
                <w:bCs/>
                <w:color w:val="000000"/>
              </w:rPr>
            </w:pPr>
            <w:r w:rsidRPr="00FC63F0">
              <w:rPr>
                <w:rFonts w:ascii="Times New Roman" w:hAnsi="Times New Roman"/>
                <w:b/>
                <w:bCs/>
                <w:color w:val="000000"/>
                <w:lang w:eastAsia="sk-SK"/>
              </w:rPr>
              <w:t xml:space="preserve"> </w:t>
            </w:r>
          </w:p>
        </w:tc>
        <w:tc>
          <w:tcPr>
            <w:tcW w:w="1068" w:type="dxa"/>
            <w:tcBorders>
              <w:top w:val="nil"/>
              <w:left w:val="nil"/>
              <w:bottom w:val="single" w:sz="8" w:space="0" w:color="auto"/>
              <w:right w:val="single" w:sz="8" w:space="0" w:color="auto"/>
            </w:tcBorders>
            <w:shd w:val="clear" w:color="auto" w:fill="auto"/>
            <w:vAlign w:val="center"/>
          </w:tcPr>
          <w:p w:rsidR="00C732DA" w:rsidRPr="00FC63F0" w:rsidRDefault="00FD039D" w:rsidP="00FC63F0">
            <w:pPr>
              <w:spacing w:after="0" w:line="240" w:lineRule="auto"/>
              <w:jc w:val="both"/>
              <w:rPr>
                <w:rFonts w:ascii="Times New Roman" w:hAnsi="Times New Roman"/>
                <w:b/>
                <w:bCs/>
                <w:color w:val="000000"/>
              </w:rPr>
            </w:pPr>
            <w:r w:rsidRPr="00FC63F0">
              <w:rPr>
                <w:rFonts w:ascii="Times New Roman" w:hAnsi="Times New Roman"/>
                <w:b/>
                <w:bCs/>
                <w:color w:val="000000"/>
                <w:lang w:eastAsia="sk-SK"/>
              </w:rPr>
              <w:t xml:space="preserve"> </w:t>
            </w:r>
          </w:p>
        </w:tc>
        <w:tc>
          <w:tcPr>
            <w:tcW w:w="3300" w:type="dxa"/>
            <w:tcBorders>
              <w:top w:val="single" w:sz="4" w:space="0" w:color="auto"/>
              <w:left w:val="nil"/>
              <w:bottom w:val="single" w:sz="4" w:space="0" w:color="auto"/>
              <w:right w:val="single" w:sz="4" w:space="0" w:color="auto"/>
            </w:tcBorders>
            <w:shd w:val="clear" w:color="auto" w:fill="BFBFBF"/>
            <w:noWrap/>
            <w:vAlign w:val="bottom"/>
          </w:tcPr>
          <w:p w:rsidR="00C732DA" w:rsidRPr="00FC63F0" w:rsidRDefault="00C732DA" w:rsidP="00FC63F0">
            <w:pPr>
              <w:spacing w:after="0" w:line="240" w:lineRule="auto"/>
              <w:jc w:val="both"/>
              <w:rPr>
                <w:rFonts w:ascii="Times New Roman" w:hAnsi="Times New Roman"/>
              </w:rPr>
            </w:pPr>
            <w:r w:rsidRPr="00FC63F0">
              <w:rPr>
                <w:rFonts w:ascii="Times New Roman" w:hAnsi="Times New Roman"/>
              </w:rPr>
              <w:t> </w:t>
            </w:r>
          </w:p>
        </w:tc>
      </w:tr>
    </w:tbl>
    <w:p w:rsidR="00762B0D" w:rsidRPr="00FC63F0" w:rsidRDefault="00762B0D" w:rsidP="00FC63F0">
      <w:pPr>
        <w:tabs>
          <w:tab w:val="num" w:pos="1080"/>
        </w:tabs>
        <w:spacing w:after="0" w:line="240" w:lineRule="auto"/>
        <w:ind w:left="-900"/>
        <w:jc w:val="both"/>
        <w:rPr>
          <w:rFonts w:ascii="Times New Roman" w:hAnsi="Times New Roman"/>
          <w:bCs/>
        </w:rPr>
      </w:pPr>
    </w:p>
    <w:p w:rsidR="00762B0D" w:rsidRPr="00FC63F0" w:rsidRDefault="00762B0D" w:rsidP="00FC63F0">
      <w:pPr>
        <w:tabs>
          <w:tab w:val="num" w:pos="1080"/>
        </w:tabs>
        <w:spacing w:after="0" w:line="240" w:lineRule="auto"/>
        <w:ind w:left="-900"/>
        <w:jc w:val="both"/>
        <w:rPr>
          <w:rFonts w:ascii="Times New Roman" w:hAnsi="Times New Roman"/>
          <w:bCs/>
        </w:rPr>
      </w:pPr>
    </w:p>
    <w:p w:rsidR="00762B0D" w:rsidRPr="00FC63F0" w:rsidRDefault="00762B0D" w:rsidP="00FC63F0">
      <w:pPr>
        <w:tabs>
          <w:tab w:val="num" w:pos="1080"/>
        </w:tabs>
        <w:spacing w:after="0" w:line="240" w:lineRule="auto"/>
        <w:ind w:left="-900"/>
        <w:jc w:val="both"/>
        <w:rPr>
          <w:rFonts w:ascii="Times New Roman" w:hAnsi="Times New Roman"/>
          <w:bCs/>
        </w:rPr>
      </w:pPr>
    </w:p>
    <w:p w:rsidR="00762B0D" w:rsidRPr="00FC63F0" w:rsidRDefault="00762B0D" w:rsidP="00FC63F0">
      <w:pPr>
        <w:tabs>
          <w:tab w:val="num" w:pos="1080"/>
        </w:tabs>
        <w:spacing w:after="0" w:line="240" w:lineRule="auto"/>
        <w:ind w:left="-900"/>
        <w:jc w:val="both"/>
        <w:rPr>
          <w:rFonts w:ascii="Times New Roman" w:hAnsi="Times New Roman"/>
          <w:bCs/>
        </w:rPr>
      </w:pPr>
    </w:p>
    <w:p w:rsidR="00762B0D" w:rsidRPr="00FC63F0" w:rsidRDefault="00762B0D" w:rsidP="00FC63F0">
      <w:pPr>
        <w:tabs>
          <w:tab w:val="num" w:pos="1080"/>
        </w:tabs>
        <w:spacing w:after="0" w:line="240" w:lineRule="auto"/>
        <w:ind w:left="-900"/>
        <w:jc w:val="both"/>
        <w:rPr>
          <w:rFonts w:ascii="Times New Roman" w:hAnsi="Times New Roman"/>
          <w:bCs/>
        </w:rPr>
      </w:pPr>
    </w:p>
    <w:p w:rsidR="00656F4B" w:rsidRPr="00FC63F0" w:rsidRDefault="00656F4B" w:rsidP="00FC63F0">
      <w:pPr>
        <w:tabs>
          <w:tab w:val="num" w:pos="1080"/>
        </w:tabs>
        <w:spacing w:after="0" w:line="240" w:lineRule="auto"/>
        <w:ind w:left="-900"/>
        <w:jc w:val="both"/>
        <w:rPr>
          <w:rFonts w:ascii="Times New Roman" w:hAnsi="Times New Roman"/>
          <w:bCs/>
        </w:rPr>
      </w:pPr>
      <w:r w:rsidRPr="00FC63F0">
        <w:rPr>
          <w:rFonts w:ascii="Times New Roman" w:hAnsi="Times New Roman"/>
          <w:bCs/>
        </w:rPr>
        <w:t>2 –  výdavky rozpísať až do položiek platnej ekonomickej klasifikácie</w:t>
      </w:r>
    </w:p>
    <w:p w:rsidR="00656F4B" w:rsidRPr="00FC63F0" w:rsidRDefault="00656F4B" w:rsidP="00FC63F0">
      <w:pPr>
        <w:tabs>
          <w:tab w:val="num" w:pos="1080"/>
        </w:tabs>
        <w:spacing w:after="0" w:line="240" w:lineRule="auto"/>
        <w:ind w:left="-900"/>
        <w:jc w:val="both"/>
        <w:rPr>
          <w:rFonts w:ascii="Times New Roman" w:hAnsi="Times New Roman"/>
          <w:bCs/>
        </w:rPr>
      </w:pPr>
    </w:p>
    <w:p w:rsidR="00656F4B" w:rsidRPr="00FC63F0" w:rsidRDefault="00656F4B" w:rsidP="00FC63F0">
      <w:pPr>
        <w:tabs>
          <w:tab w:val="num" w:pos="1080"/>
        </w:tabs>
        <w:spacing w:after="0" w:line="240" w:lineRule="auto"/>
        <w:ind w:left="-900"/>
        <w:jc w:val="both"/>
        <w:rPr>
          <w:rFonts w:ascii="Times New Roman" w:hAnsi="Times New Roman"/>
          <w:b/>
          <w:bCs/>
        </w:rPr>
      </w:pPr>
      <w:r w:rsidRPr="00FC63F0">
        <w:rPr>
          <w:rFonts w:ascii="Times New Roman" w:hAnsi="Times New Roman"/>
          <w:b/>
          <w:bCs/>
        </w:rPr>
        <w:t>Poznámka:</w:t>
      </w:r>
    </w:p>
    <w:p w:rsidR="00656F4B" w:rsidRPr="00FC63F0" w:rsidRDefault="00656F4B" w:rsidP="00FC63F0">
      <w:pPr>
        <w:tabs>
          <w:tab w:val="num" w:pos="1080"/>
        </w:tabs>
        <w:spacing w:after="0" w:line="240" w:lineRule="auto"/>
        <w:ind w:left="-900"/>
        <w:jc w:val="both"/>
        <w:rPr>
          <w:rFonts w:ascii="Times New Roman" w:hAnsi="Times New Roman"/>
          <w:bCs/>
        </w:rPr>
      </w:pPr>
      <w:r w:rsidRPr="00FC63F0">
        <w:rPr>
          <w:rFonts w:ascii="Times New Roman" w:hAnsi="Times New Roman"/>
          <w:bCs/>
        </w:rPr>
        <w:t>Ak sa vplyv týka viacerých subjektov verejnej správy, vypĺňa sa samostatná tabuľka za každý subjekt.</w:t>
      </w:r>
    </w:p>
    <w:p w:rsidR="00656F4B" w:rsidRPr="00FC63F0" w:rsidRDefault="00656F4B" w:rsidP="00FC63F0">
      <w:pPr>
        <w:tabs>
          <w:tab w:val="num" w:pos="1080"/>
        </w:tabs>
        <w:spacing w:after="0" w:line="240" w:lineRule="auto"/>
        <w:ind w:left="-900"/>
        <w:jc w:val="both"/>
        <w:rPr>
          <w:rFonts w:ascii="Times New Roman" w:hAnsi="Times New Roman"/>
          <w:bCs/>
        </w:rPr>
      </w:pPr>
    </w:p>
    <w:p w:rsidR="00656F4B" w:rsidRPr="00FC63F0" w:rsidRDefault="00656F4B" w:rsidP="00FC63F0">
      <w:pPr>
        <w:tabs>
          <w:tab w:val="num" w:pos="1080"/>
        </w:tabs>
        <w:spacing w:after="0" w:line="240" w:lineRule="auto"/>
        <w:ind w:left="-900"/>
        <w:jc w:val="both"/>
        <w:rPr>
          <w:rFonts w:ascii="Times New Roman" w:hAnsi="Times New Roman"/>
          <w:bCs/>
        </w:rPr>
      </w:pPr>
    </w:p>
    <w:p w:rsidR="00656F4B" w:rsidRPr="00FC63F0" w:rsidRDefault="00656F4B" w:rsidP="00FC63F0">
      <w:pPr>
        <w:tabs>
          <w:tab w:val="num" w:pos="1080"/>
        </w:tabs>
        <w:spacing w:after="0" w:line="240" w:lineRule="auto"/>
        <w:jc w:val="both"/>
        <w:rPr>
          <w:rFonts w:ascii="Times New Roman" w:hAnsi="Times New Roman"/>
          <w:bCs/>
        </w:rPr>
      </w:pPr>
      <w:r w:rsidRPr="00FC63F0">
        <w:rPr>
          <w:rFonts w:ascii="Times New Roman" w:hAnsi="Times New Roman"/>
          <w:bCs/>
        </w:rPr>
        <w:t xml:space="preserve">                 Tabuľka č. 5 </w:t>
      </w:r>
    </w:p>
    <w:p w:rsidR="00656F4B" w:rsidRPr="00FC63F0" w:rsidRDefault="00656F4B" w:rsidP="00FC63F0">
      <w:pPr>
        <w:tabs>
          <w:tab w:val="num" w:pos="1080"/>
        </w:tabs>
        <w:spacing w:after="0" w:line="240" w:lineRule="auto"/>
        <w:jc w:val="both"/>
        <w:rPr>
          <w:rFonts w:ascii="Times New Roman" w:hAnsi="Times New Roman"/>
          <w:bCs/>
        </w:rPr>
      </w:pPr>
    </w:p>
    <w:tbl>
      <w:tblPr>
        <w:tblW w:w="10624" w:type="dxa"/>
        <w:tblInd w:w="-784" w:type="dxa"/>
        <w:tblCellMar>
          <w:left w:w="70" w:type="dxa"/>
          <w:right w:w="70" w:type="dxa"/>
        </w:tblCellMar>
        <w:tblLook w:val="0000" w:firstRow="0" w:lastRow="0" w:firstColumn="0" w:lastColumn="0" w:noHBand="0" w:noVBand="0"/>
      </w:tblPr>
      <w:tblGrid>
        <w:gridCol w:w="4181"/>
        <w:gridCol w:w="1276"/>
        <w:gridCol w:w="1134"/>
        <w:gridCol w:w="758"/>
        <w:gridCol w:w="412"/>
        <w:gridCol w:w="38"/>
        <w:gridCol w:w="1218"/>
        <w:gridCol w:w="49"/>
        <w:gridCol w:w="638"/>
        <w:gridCol w:w="856"/>
        <w:gridCol w:w="64"/>
      </w:tblGrid>
      <w:tr w:rsidR="00656F4B" w:rsidRPr="00FC63F0" w:rsidTr="00362F29">
        <w:trPr>
          <w:gridAfter w:val="1"/>
          <w:wAfter w:w="64" w:type="dxa"/>
          <w:cantSplit/>
          <w:trHeight w:val="255"/>
        </w:trPr>
        <w:tc>
          <w:tcPr>
            <w:tcW w:w="418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Zamestnanosť</w:t>
            </w:r>
          </w:p>
        </w:tc>
        <w:tc>
          <w:tcPr>
            <w:tcW w:w="4836" w:type="dxa"/>
            <w:gridSpan w:val="6"/>
            <w:tcBorders>
              <w:top w:val="single" w:sz="4" w:space="0" w:color="auto"/>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Vplyv na rozpočet verejnej správy</w:t>
            </w:r>
          </w:p>
        </w:tc>
        <w:tc>
          <w:tcPr>
            <w:tcW w:w="1543"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poznámka</w:t>
            </w:r>
          </w:p>
        </w:tc>
      </w:tr>
      <w:tr w:rsidR="00656F4B" w:rsidRPr="00FC63F0" w:rsidTr="00362F29">
        <w:trPr>
          <w:gridAfter w:val="1"/>
          <w:wAfter w:w="64" w:type="dxa"/>
          <w:cantSplit/>
          <w:trHeight w:val="255"/>
        </w:trPr>
        <w:tc>
          <w:tcPr>
            <w:tcW w:w="4181"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656F4B" w:rsidRPr="00FC63F0" w:rsidRDefault="00656F4B" w:rsidP="00FC63F0">
            <w:pPr>
              <w:spacing w:after="0" w:line="240" w:lineRule="auto"/>
              <w:jc w:val="both"/>
              <w:rPr>
                <w:rFonts w:ascii="Times New Roman" w:hAnsi="Times New Roman"/>
                <w:b/>
                <w:bCs/>
              </w:rPr>
            </w:pPr>
          </w:p>
        </w:tc>
        <w:tc>
          <w:tcPr>
            <w:tcW w:w="1276" w:type="dxa"/>
            <w:tcBorders>
              <w:top w:val="nil"/>
              <w:left w:val="nil"/>
              <w:bottom w:val="single" w:sz="4" w:space="0" w:color="auto"/>
              <w:right w:val="single" w:sz="4" w:space="0" w:color="auto"/>
            </w:tcBorders>
            <w:shd w:val="clear" w:color="auto" w:fill="BFBFBF"/>
          </w:tcPr>
          <w:p w:rsidR="00656F4B"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2020</w:t>
            </w:r>
          </w:p>
        </w:tc>
        <w:tc>
          <w:tcPr>
            <w:tcW w:w="1134" w:type="dxa"/>
            <w:tcBorders>
              <w:top w:val="nil"/>
              <w:left w:val="nil"/>
              <w:bottom w:val="single" w:sz="4" w:space="0" w:color="auto"/>
              <w:right w:val="single" w:sz="4" w:space="0" w:color="auto"/>
            </w:tcBorders>
            <w:shd w:val="clear" w:color="auto" w:fill="BFBFBF"/>
          </w:tcPr>
          <w:p w:rsidR="00656F4B"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2021</w:t>
            </w:r>
          </w:p>
        </w:tc>
        <w:tc>
          <w:tcPr>
            <w:tcW w:w="1170" w:type="dxa"/>
            <w:gridSpan w:val="2"/>
            <w:tcBorders>
              <w:top w:val="nil"/>
              <w:left w:val="nil"/>
              <w:bottom w:val="single" w:sz="4" w:space="0" w:color="auto"/>
              <w:right w:val="single" w:sz="4" w:space="0" w:color="auto"/>
            </w:tcBorders>
            <w:shd w:val="clear" w:color="auto" w:fill="BFBFBF"/>
          </w:tcPr>
          <w:p w:rsidR="00656F4B"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2022</w:t>
            </w:r>
          </w:p>
        </w:tc>
        <w:tc>
          <w:tcPr>
            <w:tcW w:w="1256" w:type="dxa"/>
            <w:gridSpan w:val="2"/>
            <w:tcBorders>
              <w:top w:val="nil"/>
              <w:left w:val="nil"/>
              <w:bottom w:val="single" w:sz="4" w:space="0" w:color="auto"/>
              <w:right w:val="single" w:sz="4" w:space="0" w:color="auto"/>
            </w:tcBorders>
            <w:shd w:val="clear" w:color="auto" w:fill="BFBFBF"/>
          </w:tcPr>
          <w:p w:rsidR="00656F4B" w:rsidRPr="00FC63F0" w:rsidRDefault="00FD039D" w:rsidP="00FC63F0">
            <w:pPr>
              <w:spacing w:after="0" w:line="240" w:lineRule="auto"/>
              <w:jc w:val="both"/>
              <w:rPr>
                <w:rFonts w:ascii="Times New Roman" w:hAnsi="Times New Roman"/>
                <w:b/>
                <w:bCs/>
              </w:rPr>
            </w:pPr>
            <w:r w:rsidRPr="00FC63F0">
              <w:rPr>
                <w:rFonts w:ascii="Times New Roman" w:hAnsi="Times New Roman"/>
                <w:b/>
                <w:bCs/>
              </w:rPr>
              <w:t>2023</w:t>
            </w:r>
          </w:p>
        </w:tc>
        <w:tc>
          <w:tcPr>
            <w:tcW w:w="154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56F4B" w:rsidRPr="00FC63F0" w:rsidRDefault="00656F4B" w:rsidP="00FC63F0">
            <w:pPr>
              <w:spacing w:after="0" w:line="240" w:lineRule="auto"/>
              <w:jc w:val="both"/>
              <w:rPr>
                <w:rFonts w:ascii="Times New Roman" w:hAnsi="Times New Roman"/>
                <w:b/>
                <w:bCs/>
                <w:color w:val="FFFFFF"/>
              </w:rPr>
            </w:pP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Počet zamestnancov celkom</w:t>
            </w:r>
          </w:p>
        </w:tc>
        <w:tc>
          <w:tcPr>
            <w:tcW w:w="1276"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34"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70"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256"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 xml:space="preserve">   z toho vplyv na ŠR</w:t>
            </w:r>
          </w:p>
        </w:tc>
        <w:tc>
          <w:tcPr>
            <w:tcW w:w="1276" w:type="dxa"/>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34" w:type="dxa"/>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70" w:type="dxa"/>
            <w:gridSpan w:val="2"/>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256" w:type="dxa"/>
            <w:gridSpan w:val="2"/>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Priemerný mzdový výdavok (v eurách)</w:t>
            </w:r>
          </w:p>
        </w:tc>
        <w:tc>
          <w:tcPr>
            <w:tcW w:w="1276" w:type="dxa"/>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34" w:type="dxa"/>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70" w:type="dxa"/>
            <w:gridSpan w:val="2"/>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256" w:type="dxa"/>
            <w:gridSpan w:val="2"/>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b/>
                <w:bCs/>
              </w:rPr>
              <w:t xml:space="preserve">   z toho vplyv na ŠR</w:t>
            </w:r>
          </w:p>
        </w:tc>
        <w:tc>
          <w:tcPr>
            <w:tcW w:w="1276" w:type="dxa"/>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c>
          <w:tcPr>
            <w:tcW w:w="1134" w:type="dxa"/>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c>
          <w:tcPr>
            <w:tcW w:w="1170" w:type="dxa"/>
            <w:gridSpan w:val="2"/>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c>
          <w:tcPr>
            <w:tcW w:w="1256" w:type="dxa"/>
            <w:gridSpan w:val="2"/>
            <w:tcBorders>
              <w:top w:val="single" w:sz="4" w:space="0" w:color="auto"/>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Osobné výdavky celkom (v eurách)</w:t>
            </w:r>
          </w:p>
        </w:tc>
        <w:tc>
          <w:tcPr>
            <w:tcW w:w="1276" w:type="dxa"/>
            <w:tcBorders>
              <w:top w:val="nil"/>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p>
        </w:tc>
        <w:tc>
          <w:tcPr>
            <w:tcW w:w="1134" w:type="dxa"/>
            <w:tcBorders>
              <w:top w:val="nil"/>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p>
        </w:tc>
        <w:tc>
          <w:tcPr>
            <w:tcW w:w="1170" w:type="dxa"/>
            <w:gridSpan w:val="2"/>
            <w:tcBorders>
              <w:top w:val="nil"/>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p>
        </w:tc>
        <w:tc>
          <w:tcPr>
            <w:tcW w:w="1256" w:type="dxa"/>
            <w:gridSpan w:val="2"/>
            <w:tcBorders>
              <w:top w:val="nil"/>
              <w:left w:val="nil"/>
              <w:bottom w:val="single" w:sz="4" w:space="0" w:color="auto"/>
              <w:right w:val="single" w:sz="4" w:space="0" w:color="auto"/>
            </w:tcBorders>
            <w:shd w:val="clear" w:color="auto" w:fill="BFBFBF"/>
          </w:tcPr>
          <w:p w:rsidR="00656F4B" w:rsidRPr="00FC63F0" w:rsidRDefault="00656F4B" w:rsidP="00FC63F0">
            <w:pPr>
              <w:spacing w:after="0" w:line="240" w:lineRule="auto"/>
              <w:jc w:val="both"/>
              <w:rPr>
                <w:rFonts w:ascii="Times New Roman" w:hAnsi="Times New Roman"/>
                <w:b/>
                <w:bCs/>
              </w:rPr>
            </w:pPr>
          </w:p>
        </w:tc>
        <w:tc>
          <w:tcPr>
            <w:tcW w:w="1543" w:type="dxa"/>
            <w:gridSpan w:val="3"/>
            <w:tcBorders>
              <w:top w:val="nil"/>
              <w:left w:val="nil"/>
              <w:bottom w:val="single" w:sz="4" w:space="0" w:color="auto"/>
              <w:right w:val="single" w:sz="4" w:space="0" w:color="auto"/>
            </w:tcBorders>
            <w:shd w:val="clear" w:color="auto" w:fill="BFBFBF"/>
            <w:noWrap/>
            <w:vAlign w:val="bottom"/>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 </w:t>
            </w: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Mzdy, platy, služobné príjmy a ostatné osobné vyrovnania (610)</w:t>
            </w:r>
          </w:p>
        </w:tc>
        <w:tc>
          <w:tcPr>
            <w:tcW w:w="1276"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34"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70"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256"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 </w:t>
            </w: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b/>
                <w:bCs/>
              </w:rPr>
              <w:t xml:space="preserve">   z toho vplyv na ŠR</w:t>
            </w:r>
          </w:p>
        </w:tc>
        <w:tc>
          <w:tcPr>
            <w:tcW w:w="1276"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134"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170"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256"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Poistné a príspevok do poisťovní (620)</w:t>
            </w:r>
          </w:p>
        </w:tc>
        <w:tc>
          <w:tcPr>
            <w:tcW w:w="1276"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34"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170"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256"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b/>
                <w:bCs/>
              </w:rPr>
            </w:pP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 </w:t>
            </w:r>
          </w:p>
        </w:tc>
      </w:tr>
      <w:tr w:rsidR="00656F4B" w:rsidRPr="00FC63F0" w:rsidTr="00362F29">
        <w:trPr>
          <w:gridAfter w:val="1"/>
          <w:wAfter w:w="64" w:type="dxa"/>
          <w:trHeight w:val="255"/>
        </w:trPr>
        <w:tc>
          <w:tcPr>
            <w:tcW w:w="4181" w:type="dxa"/>
            <w:tcBorders>
              <w:top w:val="nil"/>
              <w:left w:val="single" w:sz="4" w:space="0" w:color="auto"/>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b/>
                <w:bCs/>
              </w:rPr>
              <w:t xml:space="preserve">   z toho vplyv na ŠR</w:t>
            </w:r>
          </w:p>
        </w:tc>
        <w:tc>
          <w:tcPr>
            <w:tcW w:w="1276"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134" w:type="dxa"/>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170"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256" w:type="dxa"/>
            <w:gridSpan w:val="2"/>
            <w:tcBorders>
              <w:top w:val="nil"/>
              <w:left w:val="nil"/>
              <w:bottom w:val="single" w:sz="4" w:space="0" w:color="auto"/>
              <w:right w:val="single" w:sz="4" w:space="0" w:color="auto"/>
            </w:tcBorders>
          </w:tcPr>
          <w:p w:rsidR="00656F4B" w:rsidRPr="00FC63F0" w:rsidRDefault="00656F4B" w:rsidP="00FC63F0">
            <w:pPr>
              <w:spacing w:after="0" w:line="240" w:lineRule="auto"/>
              <w:jc w:val="both"/>
              <w:rPr>
                <w:rFonts w:ascii="Times New Roman" w:hAnsi="Times New Roman"/>
              </w:rPr>
            </w:pPr>
          </w:p>
        </w:tc>
        <w:tc>
          <w:tcPr>
            <w:tcW w:w="1543" w:type="dxa"/>
            <w:gridSpan w:val="3"/>
            <w:tcBorders>
              <w:top w:val="nil"/>
              <w:left w:val="nil"/>
              <w:bottom w:val="single" w:sz="4" w:space="0" w:color="auto"/>
              <w:right w:val="single" w:sz="4" w:space="0" w:color="auto"/>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 </w:t>
            </w:r>
          </w:p>
        </w:tc>
      </w:tr>
      <w:tr w:rsidR="00656F4B" w:rsidRPr="00FC63F0" w:rsidTr="00362F29">
        <w:trPr>
          <w:gridAfter w:val="1"/>
          <w:wAfter w:w="64" w:type="dxa"/>
          <w:trHeight w:val="255"/>
        </w:trPr>
        <w:tc>
          <w:tcPr>
            <w:tcW w:w="4181" w:type="dxa"/>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276" w:type="dxa"/>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134" w:type="dxa"/>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170" w:type="dxa"/>
            <w:gridSpan w:val="2"/>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256" w:type="dxa"/>
            <w:gridSpan w:val="2"/>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543" w:type="dxa"/>
            <w:gridSpan w:val="3"/>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r>
      <w:tr w:rsidR="00656F4B" w:rsidRPr="00FC63F0" w:rsidTr="00362F29">
        <w:trPr>
          <w:gridAfter w:val="1"/>
          <w:wAfter w:w="64" w:type="dxa"/>
          <w:trHeight w:val="255"/>
        </w:trPr>
        <w:tc>
          <w:tcPr>
            <w:tcW w:w="4181" w:type="dxa"/>
            <w:tcBorders>
              <w:top w:val="nil"/>
              <w:left w:val="nil"/>
              <w:bottom w:val="nil"/>
              <w:right w:val="nil"/>
            </w:tcBorders>
          </w:tcPr>
          <w:p w:rsidR="00656F4B" w:rsidRPr="00FC63F0" w:rsidRDefault="00656F4B" w:rsidP="00FC63F0">
            <w:pPr>
              <w:spacing w:after="0" w:line="240" w:lineRule="auto"/>
              <w:jc w:val="both"/>
              <w:rPr>
                <w:rFonts w:ascii="Times New Roman" w:hAnsi="Times New Roman"/>
                <w:b/>
                <w:bCs/>
              </w:rPr>
            </w:pPr>
            <w:r w:rsidRPr="00FC63F0">
              <w:rPr>
                <w:rFonts w:ascii="Times New Roman" w:hAnsi="Times New Roman"/>
                <w:b/>
                <w:bCs/>
              </w:rPr>
              <w:t>Poznámky:</w:t>
            </w:r>
          </w:p>
        </w:tc>
        <w:tc>
          <w:tcPr>
            <w:tcW w:w="1276" w:type="dxa"/>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134" w:type="dxa"/>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170" w:type="dxa"/>
            <w:gridSpan w:val="2"/>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256" w:type="dxa"/>
            <w:gridSpan w:val="2"/>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543" w:type="dxa"/>
            <w:gridSpan w:val="3"/>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r>
      <w:tr w:rsidR="00656F4B" w:rsidRPr="00FC63F0" w:rsidTr="00362F29">
        <w:trPr>
          <w:gridAfter w:val="1"/>
          <w:wAfter w:w="64" w:type="dxa"/>
          <w:trHeight w:val="255"/>
        </w:trPr>
        <w:tc>
          <w:tcPr>
            <w:tcW w:w="9066" w:type="dxa"/>
            <w:gridSpan w:val="8"/>
            <w:tcBorders>
              <w:top w:val="nil"/>
              <w:left w:val="nil"/>
              <w:bottom w:val="nil"/>
              <w:right w:val="nil"/>
            </w:tcBorders>
            <w:noWrap/>
          </w:tcPr>
          <w:p w:rsidR="00656F4B" w:rsidRPr="00FC63F0" w:rsidRDefault="00656F4B" w:rsidP="00FC63F0">
            <w:pPr>
              <w:tabs>
                <w:tab w:val="num" w:pos="1080"/>
              </w:tabs>
              <w:spacing w:after="0" w:line="240" w:lineRule="auto"/>
              <w:jc w:val="both"/>
              <w:rPr>
                <w:rFonts w:ascii="Times New Roman" w:hAnsi="Times New Roman"/>
                <w:bCs/>
              </w:rPr>
            </w:pPr>
            <w:r w:rsidRPr="00FC63F0">
              <w:rPr>
                <w:rFonts w:ascii="Times New Roman" w:hAnsi="Times New Roman"/>
                <w:bCs/>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Priemerný mzdový výdavok je tvorený podielom mzdových výdavkov na jedného zamestnanca na jeden kalendárny mesiac bežného roka.</w:t>
            </w:r>
          </w:p>
        </w:tc>
        <w:tc>
          <w:tcPr>
            <w:tcW w:w="1494" w:type="dxa"/>
            <w:gridSpan w:val="2"/>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r>
      <w:tr w:rsidR="00656F4B" w:rsidRPr="00FC63F0" w:rsidTr="00362F29">
        <w:trPr>
          <w:trHeight w:val="255"/>
        </w:trPr>
        <w:tc>
          <w:tcPr>
            <w:tcW w:w="7349" w:type="dxa"/>
            <w:gridSpan w:val="4"/>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r w:rsidRPr="00FC63F0">
              <w:rPr>
                <w:rFonts w:ascii="Times New Roman" w:hAnsi="Times New Roman"/>
              </w:rPr>
              <w:t>Kategórie 610 a 620 sú z tejto prílohy prenášané do príslušných kategórií prílohy „výdavky“.</w:t>
            </w:r>
          </w:p>
        </w:tc>
        <w:tc>
          <w:tcPr>
            <w:tcW w:w="450" w:type="dxa"/>
            <w:gridSpan w:val="2"/>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1905" w:type="dxa"/>
            <w:gridSpan w:val="3"/>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c>
          <w:tcPr>
            <w:tcW w:w="920" w:type="dxa"/>
            <w:gridSpan w:val="2"/>
            <w:tcBorders>
              <w:top w:val="nil"/>
              <w:left w:val="nil"/>
              <w:bottom w:val="nil"/>
              <w:right w:val="nil"/>
            </w:tcBorders>
            <w:noWrap/>
            <w:vAlign w:val="bottom"/>
          </w:tcPr>
          <w:p w:rsidR="00656F4B" w:rsidRPr="00FC63F0" w:rsidRDefault="00656F4B" w:rsidP="00FC63F0">
            <w:pPr>
              <w:spacing w:after="0" w:line="240" w:lineRule="auto"/>
              <w:jc w:val="both"/>
              <w:rPr>
                <w:rFonts w:ascii="Times New Roman" w:hAnsi="Times New Roman"/>
              </w:rPr>
            </w:pPr>
          </w:p>
        </w:tc>
      </w:tr>
    </w:tbl>
    <w:p w:rsidR="00656F4B" w:rsidRPr="00FC63F0" w:rsidRDefault="00656F4B" w:rsidP="00FC63F0">
      <w:pPr>
        <w:spacing w:after="0" w:line="240" w:lineRule="auto"/>
        <w:jc w:val="both"/>
        <w:rPr>
          <w:rFonts w:ascii="Times New Roman" w:hAnsi="Times New Roman"/>
          <w:b/>
          <w:color w:val="000000"/>
        </w:rPr>
      </w:pPr>
    </w:p>
    <w:p w:rsidR="00656F4B" w:rsidRPr="00FC63F0" w:rsidRDefault="00656F4B" w:rsidP="00FC63F0">
      <w:pPr>
        <w:spacing w:after="0" w:line="240" w:lineRule="auto"/>
        <w:jc w:val="both"/>
        <w:rPr>
          <w:rFonts w:ascii="Times New Roman" w:hAnsi="Times New Roman"/>
          <w:b/>
          <w:color w:val="000000"/>
        </w:rPr>
      </w:pPr>
    </w:p>
    <w:p w:rsidR="00656F4B" w:rsidRPr="00FC63F0" w:rsidRDefault="00656F4B" w:rsidP="00FC63F0">
      <w:pPr>
        <w:spacing w:after="0" w:line="240" w:lineRule="auto"/>
        <w:jc w:val="both"/>
        <w:rPr>
          <w:rFonts w:ascii="Times New Roman" w:hAnsi="Times New Roman"/>
        </w:rPr>
      </w:pPr>
    </w:p>
    <w:sectPr w:rsidR="00656F4B" w:rsidRPr="00FC63F0" w:rsidSect="00FD039D">
      <w:pgSz w:w="16838" w:h="11906" w:orient="landscape"/>
      <w:pgMar w:top="1080" w:right="1440" w:bottom="108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FB2" w:rsidRDefault="00463FB2">
      <w:pPr>
        <w:spacing w:after="0" w:line="240" w:lineRule="auto"/>
      </w:pPr>
      <w:r>
        <w:separator/>
      </w:r>
    </w:p>
  </w:endnote>
  <w:endnote w:type="continuationSeparator" w:id="0">
    <w:p w:rsidR="00463FB2" w:rsidRDefault="0046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 Serif">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84" w:rsidRDefault="0024698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246984" w:rsidRDefault="0024698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84" w:rsidRDefault="00246984">
    <w:pPr>
      <w:pStyle w:val="Pta"/>
      <w:jc w:val="right"/>
    </w:pPr>
    <w:r>
      <w:fldChar w:fldCharType="begin"/>
    </w:r>
    <w:r>
      <w:instrText>PAGE   \* MERGEFORMAT</w:instrText>
    </w:r>
    <w:r>
      <w:fldChar w:fldCharType="separate"/>
    </w:r>
    <w:r w:rsidR="00A64B58">
      <w:rPr>
        <w:noProof/>
      </w:rPr>
      <w:t>3</w:t>
    </w:r>
    <w:r>
      <w:fldChar w:fldCharType="end"/>
    </w:r>
  </w:p>
  <w:p w:rsidR="00246984" w:rsidRDefault="00246984">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84" w:rsidRDefault="00246984">
    <w:pPr>
      <w:pStyle w:val="Pta"/>
      <w:jc w:val="right"/>
    </w:pPr>
    <w:r>
      <w:fldChar w:fldCharType="begin"/>
    </w:r>
    <w:r>
      <w:instrText>PAGE   \* MERGEFORMAT</w:instrText>
    </w:r>
    <w:r>
      <w:fldChar w:fldCharType="separate"/>
    </w:r>
    <w:r>
      <w:rPr>
        <w:noProof/>
      </w:rPr>
      <w:t>0</w:t>
    </w:r>
    <w:r>
      <w:fldChar w:fldCharType="end"/>
    </w:r>
  </w:p>
  <w:p w:rsidR="00246984" w:rsidRDefault="0024698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FB2" w:rsidRDefault="00463FB2">
      <w:pPr>
        <w:spacing w:after="0" w:line="240" w:lineRule="auto"/>
      </w:pPr>
      <w:r>
        <w:separator/>
      </w:r>
    </w:p>
  </w:footnote>
  <w:footnote w:type="continuationSeparator" w:id="0">
    <w:p w:rsidR="00463FB2" w:rsidRDefault="00463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84" w:rsidRDefault="00246984" w:rsidP="0051724E">
    <w:pPr>
      <w:pStyle w:val="Hlavika"/>
      <w:jc w:val="right"/>
      <w:rPr>
        <w:sz w:val="24"/>
        <w:szCs w:val="24"/>
      </w:rPr>
    </w:pPr>
    <w:r>
      <w:rPr>
        <w:sz w:val="24"/>
        <w:szCs w:val="24"/>
      </w:rPr>
      <w:t>Príloha č. 2</w:t>
    </w:r>
  </w:p>
  <w:p w:rsidR="00246984" w:rsidRPr="00EB59C8" w:rsidRDefault="00246984" w:rsidP="0051724E">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84" w:rsidRPr="000A15AE" w:rsidRDefault="00246984" w:rsidP="0051724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449"/>
    <w:multiLevelType w:val="hybridMultilevel"/>
    <w:tmpl w:val="A02E6C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4004B9"/>
    <w:multiLevelType w:val="hybridMultilevel"/>
    <w:tmpl w:val="EBB64F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F2407"/>
    <w:multiLevelType w:val="hybridMultilevel"/>
    <w:tmpl w:val="0FCC698C"/>
    <w:lvl w:ilvl="0" w:tplc="01A224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54F82"/>
    <w:multiLevelType w:val="hybridMultilevel"/>
    <w:tmpl w:val="CC42ADB2"/>
    <w:lvl w:ilvl="0" w:tplc="A47EEA5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7704D15"/>
    <w:multiLevelType w:val="hybridMultilevel"/>
    <w:tmpl w:val="2DDA49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7B48D6"/>
    <w:multiLevelType w:val="hybridMultilevel"/>
    <w:tmpl w:val="0D6E85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8F01E6"/>
    <w:multiLevelType w:val="hybridMultilevel"/>
    <w:tmpl w:val="96C4874A"/>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8047D"/>
    <w:multiLevelType w:val="hybridMultilevel"/>
    <w:tmpl w:val="9D88F5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FB44C8"/>
    <w:multiLevelType w:val="hybridMultilevel"/>
    <w:tmpl w:val="55D43C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214608"/>
    <w:multiLevelType w:val="hybridMultilevel"/>
    <w:tmpl w:val="BDCCE41A"/>
    <w:lvl w:ilvl="0" w:tplc="3758816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8C37A35"/>
    <w:multiLevelType w:val="hybridMultilevel"/>
    <w:tmpl w:val="32544E12"/>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3" w15:restartNumberingAfterBreak="0">
    <w:nsid w:val="29381539"/>
    <w:multiLevelType w:val="hybridMultilevel"/>
    <w:tmpl w:val="EC563DA2"/>
    <w:lvl w:ilvl="0" w:tplc="AA5402B4">
      <w:start w:val="17"/>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A8577ED"/>
    <w:multiLevelType w:val="hybridMultilevel"/>
    <w:tmpl w:val="2CFE55CC"/>
    <w:lvl w:ilvl="0" w:tplc="DB12D3C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12755E2"/>
    <w:multiLevelType w:val="hybridMultilevel"/>
    <w:tmpl w:val="64963BD2"/>
    <w:lvl w:ilvl="0" w:tplc="C07A7E0E">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055CCE"/>
    <w:multiLevelType w:val="hybridMultilevel"/>
    <w:tmpl w:val="0E4CF4CA"/>
    <w:lvl w:ilvl="0" w:tplc="668A1EB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5C150D"/>
    <w:multiLevelType w:val="hybridMultilevel"/>
    <w:tmpl w:val="3EE07DE6"/>
    <w:lvl w:ilvl="0" w:tplc="041B0001">
      <w:start w:val="50"/>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F1417EE"/>
    <w:multiLevelType w:val="hybridMultilevel"/>
    <w:tmpl w:val="2626FECC"/>
    <w:lvl w:ilvl="0" w:tplc="0518B6A4">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47635BE"/>
    <w:multiLevelType w:val="hybridMultilevel"/>
    <w:tmpl w:val="33C205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14E5F"/>
    <w:multiLevelType w:val="hybridMultilevel"/>
    <w:tmpl w:val="7FC0769C"/>
    <w:lvl w:ilvl="0" w:tplc="ED602570">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4404A0"/>
    <w:multiLevelType w:val="hybridMultilevel"/>
    <w:tmpl w:val="AD680234"/>
    <w:lvl w:ilvl="0" w:tplc="B92EAA2A">
      <w:start w:val="1"/>
      <w:numFmt w:val="bullet"/>
      <w:lvlText w:val="-"/>
      <w:lvlJc w:val="left"/>
      <w:pPr>
        <w:ind w:left="660" w:hanging="360"/>
      </w:pPr>
      <w:rPr>
        <w:rFonts w:ascii="Liberation Serif" w:eastAsia="SimSun" w:hAnsi="Liberation Serif" w:cs="Arial"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23" w15:restartNumberingAfterBreak="0">
    <w:nsid w:val="50410380"/>
    <w:multiLevelType w:val="hybridMultilevel"/>
    <w:tmpl w:val="276CD660"/>
    <w:lvl w:ilvl="0" w:tplc="48263D62">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2A6736D"/>
    <w:multiLevelType w:val="hybridMultilevel"/>
    <w:tmpl w:val="FE34D500"/>
    <w:lvl w:ilvl="0" w:tplc="041B0001">
      <w:start w:val="9"/>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B40950"/>
    <w:multiLevelType w:val="hybridMultilevel"/>
    <w:tmpl w:val="EA5C732C"/>
    <w:lvl w:ilvl="0" w:tplc="7C286718">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E8784C"/>
    <w:multiLevelType w:val="hybridMultilevel"/>
    <w:tmpl w:val="831E8E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7C82742"/>
    <w:multiLevelType w:val="hybridMultilevel"/>
    <w:tmpl w:val="EBB64F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567CA1"/>
    <w:multiLevelType w:val="hybridMultilevel"/>
    <w:tmpl w:val="920E9EEC"/>
    <w:lvl w:ilvl="0" w:tplc="29F4F268">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8AF3CF2"/>
    <w:multiLevelType w:val="hybridMultilevel"/>
    <w:tmpl w:val="A9220B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F2745D0"/>
    <w:multiLevelType w:val="hybridMultilevel"/>
    <w:tmpl w:val="F2B261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
  </w:num>
  <w:num w:numId="4">
    <w:abstractNumId w:val="26"/>
  </w:num>
  <w:num w:numId="5">
    <w:abstractNumId w:val="12"/>
  </w:num>
  <w:num w:numId="6">
    <w:abstractNumId w:val="19"/>
  </w:num>
  <w:num w:numId="7">
    <w:abstractNumId w:val="15"/>
  </w:num>
  <w:num w:numId="8">
    <w:abstractNumId w:val="23"/>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4"/>
  </w:num>
  <w:num w:numId="13">
    <w:abstractNumId w:val="7"/>
  </w:num>
  <w:num w:numId="14">
    <w:abstractNumId w:val="29"/>
  </w:num>
  <w:num w:numId="15">
    <w:abstractNumId w:val="0"/>
  </w:num>
  <w:num w:numId="16">
    <w:abstractNumId w:val="22"/>
  </w:num>
  <w:num w:numId="17">
    <w:abstractNumId w:val="30"/>
  </w:num>
  <w:num w:numId="18">
    <w:abstractNumId w:val="17"/>
  </w:num>
  <w:num w:numId="19">
    <w:abstractNumId w:val="27"/>
  </w:num>
  <w:num w:numId="20">
    <w:abstractNumId w:val="10"/>
  </w:num>
  <w:num w:numId="21">
    <w:abstractNumId w:val="1"/>
  </w:num>
  <w:num w:numId="22">
    <w:abstractNumId w:val="4"/>
  </w:num>
  <w:num w:numId="23">
    <w:abstractNumId w:val="9"/>
  </w:num>
  <w:num w:numId="24">
    <w:abstractNumId w:val="13"/>
  </w:num>
  <w:num w:numId="25">
    <w:abstractNumId w:val="11"/>
  </w:num>
  <w:num w:numId="26">
    <w:abstractNumId w:val="14"/>
  </w:num>
  <w:num w:numId="27">
    <w:abstractNumId w:val="6"/>
  </w:num>
  <w:num w:numId="28">
    <w:abstractNumId w:val="5"/>
  </w:num>
  <w:num w:numId="29">
    <w:abstractNumId w:val="2"/>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05195"/>
    <w:rsid w:val="00007824"/>
    <w:rsid w:val="00014850"/>
    <w:rsid w:val="00015D2A"/>
    <w:rsid w:val="000206ED"/>
    <w:rsid w:val="00020C88"/>
    <w:rsid w:val="00023FC4"/>
    <w:rsid w:val="0002537D"/>
    <w:rsid w:val="00027B76"/>
    <w:rsid w:val="00031E18"/>
    <w:rsid w:val="00035EB6"/>
    <w:rsid w:val="00037573"/>
    <w:rsid w:val="0004147A"/>
    <w:rsid w:val="000416A5"/>
    <w:rsid w:val="00042CDF"/>
    <w:rsid w:val="00043791"/>
    <w:rsid w:val="00045303"/>
    <w:rsid w:val="0004584E"/>
    <w:rsid w:val="000468CB"/>
    <w:rsid w:val="00047B8F"/>
    <w:rsid w:val="00054059"/>
    <w:rsid w:val="00054507"/>
    <w:rsid w:val="000552ED"/>
    <w:rsid w:val="00057135"/>
    <w:rsid w:val="00061108"/>
    <w:rsid w:val="000616B3"/>
    <w:rsid w:val="00062570"/>
    <w:rsid w:val="0006311E"/>
    <w:rsid w:val="0007019E"/>
    <w:rsid w:val="000737C6"/>
    <w:rsid w:val="00073BA9"/>
    <w:rsid w:val="00074FD9"/>
    <w:rsid w:val="00077B21"/>
    <w:rsid w:val="00084682"/>
    <w:rsid w:val="00085839"/>
    <w:rsid w:val="000870A0"/>
    <w:rsid w:val="0008759D"/>
    <w:rsid w:val="0009006D"/>
    <w:rsid w:val="00091095"/>
    <w:rsid w:val="00091240"/>
    <w:rsid w:val="00091FAF"/>
    <w:rsid w:val="000927D0"/>
    <w:rsid w:val="00092D89"/>
    <w:rsid w:val="0009495D"/>
    <w:rsid w:val="000977E2"/>
    <w:rsid w:val="00097E01"/>
    <w:rsid w:val="000A044C"/>
    <w:rsid w:val="000A15AE"/>
    <w:rsid w:val="000A19FF"/>
    <w:rsid w:val="000A1E89"/>
    <w:rsid w:val="000A1F6E"/>
    <w:rsid w:val="000A5045"/>
    <w:rsid w:val="000A574A"/>
    <w:rsid w:val="000A764D"/>
    <w:rsid w:val="000B2853"/>
    <w:rsid w:val="000B2DD8"/>
    <w:rsid w:val="000B3BAE"/>
    <w:rsid w:val="000B49D5"/>
    <w:rsid w:val="000C10F9"/>
    <w:rsid w:val="000C5591"/>
    <w:rsid w:val="000D07CE"/>
    <w:rsid w:val="000D1348"/>
    <w:rsid w:val="000D3884"/>
    <w:rsid w:val="000D3FD8"/>
    <w:rsid w:val="000E29DE"/>
    <w:rsid w:val="000E2BB6"/>
    <w:rsid w:val="000E5AD1"/>
    <w:rsid w:val="000E6B4D"/>
    <w:rsid w:val="000F09CE"/>
    <w:rsid w:val="000F1438"/>
    <w:rsid w:val="000F341B"/>
    <w:rsid w:val="000F37FC"/>
    <w:rsid w:val="000F7999"/>
    <w:rsid w:val="0010124B"/>
    <w:rsid w:val="00102592"/>
    <w:rsid w:val="00103E05"/>
    <w:rsid w:val="00107A15"/>
    <w:rsid w:val="001100EC"/>
    <w:rsid w:val="00111923"/>
    <w:rsid w:val="00112088"/>
    <w:rsid w:val="001127A8"/>
    <w:rsid w:val="001158E8"/>
    <w:rsid w:val="00116559"/>
    <w:rsid w:val="001173DB"/>
    <w:rsid w:val="00117CB8"/>
    <w:rsid w:val="00127DFD"/>
    <w:rsid w:val="0013517B"/>
    <w:rsid w:val="001357B6"/>
    <w:rsid w:val="001368F8"/>
    <w:rsid w:val="0014108D"/>
    <w:rsid w:val="00142FE3"/>
    <w:rsid w:val="001469D7"/>
    <w:rsid w:val="00147982"/>
    <w:rsid w:val="00151256"/>
    <w:rsid w:val="0015307D"/>
    <w:rsid w:val="00153F73"/>
    <w:rsid w:val="0015408E"/>
    <w:rsid w:val="001561F4"/>
    <w:rsid w:val="001576F5"/>
    <w:rsid w:val="0016067B"/>
    <w:rsid w:val="00161774"/>
    <w:rsid w:val="00161CAC"/>
    <w:rsid w:val="00163D7A"/>
    <w:rsid w:val="00163D97"/>
    <w:rsid w:val="00165D3F"/>
    <w:rsid w:val="00165D89"/>
    <w:rsid w:val="00170D2B"/>
    <w:rsid w:val="00170EC7"/>
    <w:rsid w:val="001724EF"/>
    <w:rsid w:val="001724F7"/>
    <w:rsid w:val="00173E0C"/>
    <w:rsid w:val="00176F52"/>
    <w:rsid w:val="001770BF"/>
    <w:rsid w:val="001774D8"/>
    <w:rsid w:val="00180079"/>
    <w:rsid w:val="00180D95"/>
    <w:rsid w:val="00184F37"/>
    <w:rsid w:val="00185605"/>
    <w:rsid w:val="001869E5"/>
    <w:rsid w:val="00192E67"/>
    <w:rsid w:val="001A18CE"/>
    <w:rsid w:val="001A1C23"/>
    <w:rsid w:val="001B2716"/>
    <w:rsid w:val="001B2749"/>
    <w:rsid w:val="001B4208"/>
    <w:rsid w:val="001B73AD"/>
    <w:rsid w:val="001C039C"/>
    <w:rsid w:val="001C2F03"/>
    <w:rsid w:val="001C7640"/>
    <w:rsid w:val="001D1883"/>
    <w:rsid w:val="001D1AE3"/>
    <w:rsid w:val="001D2A16"/>
    <w:rsid w:val="001D413E"/>
    <w:rsid w:val="001D4B49"/>
    <w:rsid w:val="001D5AE9"/>
    <w:rsid w:val="001D5B06"/>
    <w:rsid w:val="001D6E49"/>
    <w:rsid w:val="001E1809"/>
    <w:rsid w:val="001E27E4"/>
    <w:rsid w:val="001E2FFE"/>
    <w:rsid w:val="001E6300"/>
    <w:rsid w:val="001E757C"/>
    <w:rsid w:val="001E7C6B"/>
    <w:rsid w:val="001F2211"/>
    <w:rsid w:val="001F3071"/>
    <w:rsid w:val="001F3441"/>
    <w:rsid w:val="001F448F"/>
    <w:rsid w:val="00200898"/>
    <w:rsid w:val="00201417"/>
    <w:rsid w:val="002015B1"/>
    <w:rsid w:val="002051BE"/>
    <w:rsid w:val="002119A8"/>
    <w:rsid w:val="00212894"/>
    <w:rsid w:val="00213282"/>
    <w:rsid w:val="002134EE"/>
    <w:rsid w:val="00214AD1"/>
    <w:rsid w:val="0021508E"/>
    <w:rsid w:val="00215DD3"/>
    <w:rsid w:val="0022148F"/>
    <w:rsid w:val="00232363"/>
    <w:rsid w:val="0024067A"/>
    <w:rsid w:val="00241646"/>
    <w:rsid w:val="002439B0"/>
    <w:rsid w:val="002445E9"/>
    <w:rsid w:val="00246984"/>
    <w:rsid w:val="00253049"/>
    <w:rsid w:val="002531B7"/>
    <w:rsid w:val="0026250A"/>
    <w:rsid w:val="00263CBD"/>
    <w:rsid w:val="00263FD1"/>
    <w:rsid w:val="0026659F"/>
    <w:rsid w:val="002674E3"/>
    <w:rsid w:val="00270824"/>
    <w:rsid w:val="00270D61"/>
    <w:rsid w:val="002747BB"/>
    <w:rsid w:val="0027524F"/>
    <w:rsid w:val="00275BA3"/>
    <w:rsid w:val="00280A57"/>
    <w:rsid w:val="002829F8"/>
    <w:rsid w:val="00282A79"/>
    <w:rsid w:val="00282DD4"/>
    <w:rsid w:val="0028536C"/>
    <w:rsid w:val="00286233"/>
    <w:rsid w:val="00292770"/>
    <w:rsid w:val="002942EB"/>
    <w:rsid w:val="002951C1"/>
    <w:rsid w:val="002970DB"/>
    <w:rsid w:val="0029720E"/>
    <w:rsid w:val="00297720"/>
    <w:rsid w:val="002A0DB9"/>
    <w:rsid w:val="002A48E2"/>
    <w:rsid w:val="002A5E00"/>
    <w:rsid w:val="002B1923"/>
    <w:rsid w:val="002B1C46"/>
    <w:rsid w:val="002B2394"/>
    <w:rsid w:val="002B33DB"/>
    <w:rsid w:val="002B409E"/>
    <w:rsid w:val="002C17FB"/>
    <w:rsid w:val="002C439B"/>
    <w:rsid w:val="002C4A2F"/>
    <w:rsid w:val="002C60AE"/>
    <w:rsid w:val="002C6587"/>
    <w:rsid w:val="002D0BC2"/>
    <w:rsid w:val="002D2B7C"/>
    <w:rsid w:val="002D3478"/>
    <w:rsid w:val="002D420F"/>
    <w:rsid w:val="002D7EF7"/>
    <w:rsid w:val="002E0228"/>
    <w:rsid w:val="002E4461"/>
    <w:rsid w:val="002E6A96"/>
    <w:rsid w:val="002F1733"/>
    <w:rsid w:val="002F34D7"/>
    <w:rsid w:val="002F478A"/>
    <w:rsid w:val="002F71F3"/>
    <w:rsid w:val="00300910"/>
    <w:rsid w:val="00300A11"/>
    <w:rsid w:val="00302A6D"/>
    <w:rsid w:val="00303796"/>
    <w:rsid w:val="003037AC"/>
    <w:rsid w:val="0030479A"/>
    <w:rsid w:val="00305496"/>
    <w:rsid w:val="00305592"/>
    <w:rsid w:val="00310F27"/>
    <w:rsid w:val="00311651"/>
    <w:rsid w:val="00311E26"/>
    <w:rsid w:val="00312AAC"/>
    <w:rsid w:val="003136D1"/>
    <w:rsid w:val="003162D5"/>
    <w:rsid w:val="00317B90"/>
    <w:rsid w:val="003233CC"/>
    <w:rsid w:val="00323AB4"/>
    <w:rsid w:val="00324AE2"/>
    <w:rsid w:val="0032790C"/>
    <w:rsid w:val="0033117D"/>
    <w:rsid w:val="0033270F"/>
    <w:rsid w:val="003359D7"/>
    <w:rsid w:val="00335BF5"/>
    <w:rsid w:val="003434D4"/>
    <w:rsid w:val="00344928"/>
    <w:rsid w:val="003464DE"/>
    <w:rsid w:val="003470FF"/>
    <w:rsid w:val="00352312"/>
    <w:rsid w:val="00356761"/>
    <w:rsid w:val="00361CE5"/>
    <w:rsid w:val="00361ED3"/>
    <w:rsid w:val="0036280B"/>
    <w:rsid w:val="00362F29"/>
    <w:rsid w:val="003633B6"/>
    <w:rsid w:val="00363492"/>
    <w:rsid w:val="00364AD9"/>
    <w:rsid w:val="003667F7"/>
    <w:rsid w:val="00370A9B"/>
    <w:rsid w:val="00373484"/>
    <w:rsid w:val="00377212"/>
    <w:rsid w:val="003773F5"/>
    <w:rsid w:val="00377CC0"/>
    <w:rsid w:val="00380B23"/>
    <w:rsid w:val="003837F0"/>
    <w:rsid w:val="003862DD"/>
    <w:rsid w:val="003866C0"/>
    <w:rsid w:val="00390633"/>
    <w:rsid w:val="00391C46"/>
    <w:rsid w:val="00393772"/>
    <w:rsid w:val="003942E4"/>
    <w:rsid w:val="00394973"/>
    <w:rsid w:val="00395F9B"/>
    <w:rsid w:val="003A2506"/>
    <w:rsid w:val="003A2583"/>
    <w:rsid w:val="003A28C0"/>
    <w:rsid w:val="003A44C6"/>
    <w:rsid w:val="003A653E"/>
    <w:rsid w:val="003B1714"/>
    <w:rsid w:val="003B1C48"/>
    <w:rsid w:val="003B28C5"/>
    <w:rsid w:val="003B32F6"/>
    <w:rsid w:val="003B4E2C"/>
    <w:rsid w:val="003B5934"/>
    <w:rsid w:val="003B5B9E"/>
    <w:rsid w:val="003C0624"/>
    <w:rsid w:val="003C0E5A"/>
    <w:rsid w:val="003C4968"/>
    <w:rsid w:val="003C501C"/>
    <w:rsid w:val="003D28AB"/>
    <w:rsid w:val="003D394F"/>
    <w:rsid w:val="003D4EC1"/>
    <w:rsid w:val="003D67FB"/>
    <w:rsid w:val="003D6E48"/>
    <w:rsid w:val="003D76E0"/>
    <w:rsid w:val="003E196D"/>
    <w:rsid w:val="003E4564"/>
    <w:rsid w:val="003E54DA"/>
    <w:rsid w:val="003E5770"/>
    <w:rsid w:val="003E596D"/>
    <w:rsid w:val="003F2D31"/>
    <w:rsid w:val="003F4E44"/>
    <w:rsid w:val="003F7F0A"/>
    <w:rsid w:val="004015CE"/>
    <w:rsid w:val="00401613"/>
    <w:rsid w:val="0040228C"/>
    <w:rsid w:val="00402E1D"/>
    <w:rsid w:val="004034F6"/>
    <w:rsid w:val="00403ECB"/>
    <w:rsid w:val="00404EE8"/>
    <w:rsid w:val="00405513"/>
    <w:rsid w:val="0040650B"/>
    <w:rsid w:val="00407B5E"/>
    <w:rsid w:val="00411423"/>
    <w:rsid w:val="0041579E"/>
    <w:rsid w:val="004214E8"/>
    <w:rsid w:val="004224E4"/>
    <w:rsid w:val="004228ED"/>
    <w:rsid w:val="0042351E"/>
    <w:rsid w:val="00424A58"/>
    <w:rsid w:val="004253B7"/>
    <w:rsid w:val="00432070"/>
    <w:rsid w:val="0043248A"/>
    <w:rsid w:val="004349B1"/>
    <w:rsid w:val="00434E81"/>
    <w:rsid w:val="00436870"/>
    <w:rsid w:val="0043775F"/>
    <w:rsid w:val="00437C3E"/>
    <w:rsid w:val="004418D6"/>
    <w:rsid w:val="004441E1"/>
    <w:rsid w:val="004445AD"/>
    <w:rsid w:val="00445925"/>
    <w:rsid w:val="00457028"/>
    <w:rsid w:val="004575FA"/>
    <w:rsid w:val="00461523"/>
    <w:rsid w:val="00463C0D"/>
    <w:rsid w:val="00463FB2"/>
    <w:rsid w:val="00464259"/>
    <w:rsid w:val="004645BE"/>
    <w:rsid w:val="00467518"/>
    <w:rsid w:val="0047027A"/>
    <w:rsid w:val="004803EE"/>
    <w:rsid w:val="00482BB2"/>
    <w:rsid w:val="00486E96"/>
    <w:rsid w:val="00486EC0"/>
    <w:rsid w:val="00487203"/>
    <w:rsid w:val="00487795"/>
    <w:rsid w:val="00491E11"/>
    <w:rsid w:val="00491E26"/>
    <w:rsid w:val="00491F36"/>
    <w:rsid w:val="00492AB0"/>
    <w:rsid w:val="004958FB"/>
    <w:rsid w:val="00496A9D"/>
    <w:rsid w:val="004A077B"/>
    <w:rsid w:val="004A18F4"/>
    <w:rsid w:val="004A5901"/>
    <w:rsid w:val="004A7B08"/>
    <w:rsid w:val="004B189C"/>
    <w:rsid w:val="004B1CEE"/>
    <w:rsid w:val="004B5972"/>
    <w:rsid w:val="004C1869"/>
    <w:rsid w:val="004C5A1C"/>
    <w:rsid w:val="004C71E8"/>
    <w:rsid w:val="004C733E"/>
    <w:rsid w:val="004C7AF0"/>
    <w:rsid w:val="004D0ACD"/>
    <w:rsid w:val="004D2ED6"/>
    <w:rsid w:val="004D4C0E"/>
    <w:rsid w:val="004D5843"/>
    <w:rsid w:val="004D6793"/>
    <w:rsid w:val="004D7493"/>
    <w:rsid w:val="004E147C"/>
    <w:rsid w:val="004E14D2"/>
    <w:rsid w:val="004E39F8"/>
    <w:rsid w:val="004E3BD9"/>
    <w:rsid w:val="004E51D0"/>
    <w:rsid w:val="004E565D"/>
    <w:rsid w:val="004E5B48"/>
    <w:rsid w:val="004F0D89"/>
    <w:rsid w:val="004F27BE"/>
    <w:rsid w:val="005005EC"/>
    <w:rsid w:val="00500886"/>
    <w:rsid w:val="00501D49"/>
    <w:rsid w:val="00501F39"/>
    <w:rsid w:val="00502ABF"/>
    <w:rsid w:val="00507678"/>
    <w:rsid w:val="005114E0"/>
    <w:rsid w:val="005145FE"/>
    <w:rsid w:val="005157C2"/>
    <w:rsid w:val="00515A7C"/>
    <w:rsid w:val="00515AD0"/>
    <w:rsid w:val="005166A3"/>
    <w:rsid w:val="0051724E"/>
    <w:rsid w:val="00521600"/>
    <w:rsid w:val="00522E95"/>
    <w:rsid w:val="00524E6E"/>
    <w:rsid w:val="005256E6"/>
    <w:rsid w:val="005279EA"/>
    <w:rsid w:val="00531D14"/>
    <w:rsid w:val="00532C3C"/>
    <w:rsid w:val="005373A4"/>
    <w:rsid w:val="00546693"/>
    <w:rsid w:val="00551FD9"/>
    <w:rsid w:val="00554D42"/>
    <w:rsid w:val="00555D45"/>
    <w:rsid w:val="00564755"/>
    <w:rsid w:val="005658F0"/>
    <w:rsid w:val="0056590D"/>
    <w:rsid w:val="0056627F"/>
    <w:rsid w:val="00567A1C"/>
    <w:rsid w:val="00573ADA"/>
    <w:rsid w:val="00576CA8"/>
    <w:rsid w:val="00577CEC"/>
    <w:rsid w:val="00580BAC"/>
    <w:rsid w:val="00590596"/>
    <w:rsid w:val="00591933"/>
    <w:rsid w:val="0059299E"/>
    <w:rsid w:val="00592AB1"/>
    <w:rsid w:val="0059365F"/>
    <w:rsid w:val="0059386A"/>
    <w:rsid w:val="00593BED"/>
    <w:rsid w:val="005940E4"/>
    <w:rsid w:val="00596BDF"/>
    <w:rsid w:val="00597118"/>
    <w:rsid w:val="00597781"/>
    <w:rsid w:val="005A118C"/>
    <w:rsid w:val="005A30DB"/>
    <w:rsid w:val="005A3BF3"/>
    <w:rsid w:val="005A3D44"/>
    <w:rsid w:val="005B05A8"/>
    <w:rsid w:val="005B0CFB"/>
    <w:rsid w:val="005B102D"/>
    <w:rsid w:val="005B1B3F"/>
    <w:rsid w:val="005B236E"/>
    <w:rsid w:val="005B2694"/>
    <w:rsid w:val="005B58FA"/>
    <w:rsid w:val="005C1701"/>
    <w:rsid w:val="005C1B4B"/>
    <w:rsid w:val="005C33B4"/>
    <w:rsid w:val="005C430E"/>
    <w:rsid w:val="005C4C62"/>
    <w:rsid w:val="005C58B5"/>
    <w:rsid w:val="005C617E"/>
    <w:rsid w:val="005C6EEE"/>
    <w:rsid w:val="005C789C"/>
    <w:rsid w:val="005D0664"/>
    <w:rsid w:val="005D0F6E"/>
    <w:rsid w:val="005D5515"/>
    <w:rsid w:val="005D6DF6"/>
    <w:rsid w:val="005E02FB"/>
    <w:rsid w:val="005E0539"/>
    <w:rsid w:val="005E5A2A"/>
    <w:rsid w:val="005E7E19"/>
    <w:rsid w:val="005F06E8"/>
    <w:rsid w:val="005F077B"/>
    <w:rsid w:val="005F5966"/>
    <w:rsid w:val="005F66F0"/>
    <w:rsid w:val="00602798"/>
    <w:rsid w:val="00602B56"/>
    <w:rsid w:val="0060402C"/>
    <w:rsid w:val="00605468"/>
    <w:rsid w:val="006103AA"/>
    <w:rsid w:val="00612EE1"/>
    <w:rsid w:val="006139A0"/>
    <w:rsid w:val="006139BF"/>
    <w:rsid w:val="006144D0"/>
    <w:rsid w:val="0061545E"/>
    <w:rsid w:val="0061568D"/>
    <w:rsid w:val="00617AA0"/>
    <w:rsid w:val="0062126F"/>
    <w:rsid w:val="00622021"/>
    <w:rsid w:val="00622424"/>
    <w:rsid w:val="00623DD5"/>
    <w:rsid w:val="0062527C"/>
    <w:rsid w:val="00625330"/>
    <w:rsid w:val="00630C6D"/>
    <w:rsid w:val="00631D94"/>
    <w:rsid w:val="00634A13"/>
    <w:rsid w:val="00636D4A"/>
    <w:rsid w:val="00636FA0"/>
    <w:rsid w:val="006412C5"/>
    <w:rsid w:val="006416F4"/>
    <w:rsid w:val="006417F5"/>
    <w:rsid w:val="00643592"/>
    <w:rsid w:val="0064641C"/>
    <w:rsid w:val="00647F0E"/>
    <w:rsid w:val="00651213"/>
    <w:rsid w:val="00655BA9"/>
    <w:rsid w:val="00656F4B"/>
    <w:rsid w:val="00660017"/>
    <w:rsid w:val="006627D4"/>
    <w:rsid w:val="006631E7"/>
    <w:rsid w:val="006632A3"/>
    <w:rsid w:val="00665748"/>
    <w:rsid w:val="00666C20"/>
    <w:rsid w:val="00672D3E"/>
    <w:rsid w:val="0068101F"/>
    <w:rsid w:val="00681053"/>
    <w:rsid w:val="006810A5"/>
    <w:rsid w:val="006831B9"/>
    <w:rsid w:val="0068518D"/>
    <w:rsid w:val="00686AC3"/>
    <w:rsid w:val="00691E9B"/>
    <w:rsid w:val="00694B50"/>
    <w:rsid w:val="00694DC8"/>
    <w:rsid w:val="00695C65"/>
    <w:rsid w:val="006976FB"/>
    <w:rsid w:val="006A0388"/>
    <w:rsid w:val="006A0F3A"/>
    <w:rsid w:val="006A33C9"/>
    <w:rsid w:val="006A60E5"/>
    <w:rsid w:val="006B1074"/>
    <w:rsid w:val="006B436A"/>
    <w:rsid w:val="006B6A10"/>
    <w:rsid w:val="006C50CB"/>
    <w:rsid w:val="006C6B91"/>
    <w:rsid w:val="006D000F"/>
    <w:rsid w:val="006D3AB5"/>
    <w:rsid w:val="006D5C1D"/>
    <w:rsid w:val="006D788E"/>
    <w:rsid w:val="006E12F5"/>
    <w:rsid w:val="006E5420"/>
    <w:rsid w:val="006F0145"/>
    <w:rsid w:val="006F1596"/>
    <w:rsid w:val="006F1EA6"/>
    <w:rsid w:val="006F1F2A"/>
    <w:rsid w:val="00702689"/>
    <w:rsid w:val="00710264"/>
    <w:rsid w:val="00712ED7"/>
    <w:rsid w:val="007150F2"/>
    <w:rsid w:val="00715296"/>
    <w:rsid w:val="00720B31"/>
    <w:rsid w:val="007246BD"/>
    <w:rsid w:val="007267B7"/>
    <w:rsid w:val="007273C7"/>
    <w:rsid w:val="00730703"/>
    <w:rsid w:val="00731304"/>
    <w:rsid w:val="00731CB8"/>
    <w:rsid w:val="00732733"/>
    <w:rsid w:val="00735389"/>
    <w:rsid w:val="007364F5"/>
    <w:rsid w:val="00740E40"/>
    <w:rsid w:val="0074163D"/>
    <w:rsid w:val="007459C2"/>
    <w:rsid w:val="0074694A"/>
    <w:rsid w:val="0074768C"/>
    <w:rsid w:val="00753787"/>
    <w:rsid w:val="007552B7"/>
    <w:rsid w:val="00761D02"/>
    <w:rsid w:val="00762B0D"/>
    <w:rsid w:val="0076404D"/>
    <w:rsid w:val="00765DB2"/>
    <w:rsid w:val="00765DE1"/>
    <w:rsid w:val="00782572"/>
    <w:rsid w:val="00782FA7"/>
    <w:rsid w:val="00785D60"/>
    <w:rsid w:val="00786BBF"/>
    <w:rsid w:val="00790DAD"/>
    <w:rsid w:val="00791432"/>
    <w:rsid w:val="00791D0D"/>
    <w:rsid w:val="00793D12"/>
    <w:rsid w:val="007943DC"/>
    <w:rsid w:val="0079543B"/>
    <w:rsid w:val="00797253"/>
    <w:rsid w:val="007A0C39"/>
    <w:rsid w:val="007A0D5F"/>
    <w:rsid w:val="007A519D"/>
    <w:rsid w:val="007B1BB4"/>
    <w:rsid w:val="007B5E08"/>
    <w:rsid w:val="007B5FB7"/>
    <w:rsid w:val="007B6486"/>
    <w:rsid w:val="007C2E7F"/>
    <w:rsid w:val="007C4245"/>
    <w:rsid w:val="007C537C"/>
    <w:rsid w:val="007C684D"/>
    <w:rsid w:val="007D5748"/>
    <w:rsid w:val="007D61B5"/>
    <w:rsid w:val="007E33A6"/>
    <w:rsid w:val="007E778A"/>
    <w:rsid w:val="007F15F4"/>
    <w:rsid w:val="007F1C56"/>
    <w:rsid w:val="007F21A0"/>
    <w:rsid w:val="007F30EB"/>
    <w:rsid w:val="007F3D14"/>
    <w:rsid w:val="007F511F"/>
    <w:rsid w:val="007F5F23"/>
    <w:rsid w:val="007F72FB"/>
    <w:rsid w:val="008015DE"/>
    <w:rsid w:val="008046D8"/>
    <w:rsid w:val="008050F8"/>
    <w:rsid w:val="00805DE1"/>
    <w:rsid w:val="008132A4"/>
    <w:rsid w:val="008144ED"/>
    <w:rsid w:val="008147F9"/>
    <w:rsid w:val="008159DF"/>
    <w:rsid w:val="00820087"/>
    <w:rsid w:val="0082106A"/>
    <w:rsid w:val="008210BD"/>
    <w:rsid w:val="008218D2"/>
    <w:rsid w:val="008230DC"/>
    <w:rsid w:val="00825F73"/>
    <w:rsid w:val="0083222F"/>
    <w:rsid w:val="0083333A"/>
    <w:rsid w:val="00835637"/>
    <w:rsid w:val="00836811"/>
    <w:rsid w:val="00837B07"/>
    <w:rsid w:val="008408ED"/>
    <w:rsid w:val="008418DA"/>
    <w:rsid w:val="008426F2"/>
    <w:rsid w:val="00843E52"/>
    <w:rsid w:val="008459FC"/>
    <w:rsid w:val="00846EFD"/>
    <w:rsid w:val="0085097D"/>
    <w:rsid w:val="008514FB"/>
    <w:rsid w:val="00853413"/>
    <w:rsid w:val="00853959"/>
    <w:rsid w:val="008545D4"/>
    <w:rsid w:val="00857D73"/>
    <w:rsid w:val="00861800"/>
    <w:rsid w:val="00864BAA"/>
    <w:rsid w:val="00866554"/>
    <w:rsid w:val="00866FE4"/>
    <w:rsid w:val="008672BE"/>
    <w:rsid w:val="00870931"/>
    <w:rsid w:val="00872995"/>
    <w:rsid w:val="00873368"/>
    <w:rsid w:val="0087431E"/>
    <w:rsid w:val="0089092F"/>
    <w:rsid w:val="00890F15"/>
    <w:rsid w:val="00891B6D"/>
    <w:rsid w:val="00893B84"/>
    <w:rsid w:val="008945CB"/>
    <w:rsid w:val="00897C4C"/>
    <w:rsid w:val="008A0426"/>
    <w:rsid w:val="008A088D"/>
    <w:rsid w:val="008A1967"/>
    <w:rsid w:val="008A1FB3"/>
    <w:rsid w:val="008A7763"/>
    <w:rsid w:val="008B0449"/>
    <w:rsid w:val="008B2AD4"/>
    <w:rsid w:val="008B46D4"/>
    <w:rsid w:val="008B541B"/>
    <w:rsid w:val="008B5A58"/>
    <w:rsid w:val="008B66F5"/>
    <w:rsid w:val="008B6A9F"/>
    <w:rsid w:val="008B7D2A"/>
    <w:rsid w:val="008C4DA5"/>
    <w:rsid w:val="008C6B12"/>
    <w:rsid w:val="008D0181"/>
    <w:rsid w:val="008D0DF3"/>
    <w:rsid w:val="008D0FD6"/>
    <w:rsid w:val="008D2801"/>
    <w:rsid w:val="008D339D"/>
    <w:rsid w:val="008D660F"/>
    <w:rsid w:val="008D6EA1"/>
    <w:rsid w:val="008E15DA"/>
    <w:rsid w:val="008E25DF"/>
    <w:rsid w:val="008E2736"/>
    <w:rsid w:val="008E59EB"/>
    <w:rsid w:val="008E5C3D"/>
    <w:rsid w:val="008E6C99"/>
    <w:rsid w:val="008E784D"/>
    <w:rsid w:val="008E7C7C"/>
    <w:rsid w:val="008F49A8"/>
    <w:rsid w:val="008F7EFB"/>
    <w:rsid w:val="009012CD"/>
    <w:rsid w:val="00902080"/>
    <w:rsid w:val="009028C0"/>
    <w:rsid w:val="00903CE5"/>
    <w:rsid w:val="009040BA"/>
    <w:rsid w:val="009070F0"/>
    <w:rsid w:val="009076B2"/>
    <w:rsid w:val="0091065A"/>
    <w:rsid w:val="00910764"/>
    <w:rsid w:val="009121E5"/>
    <w:rsid w:val="00913F1D"/>
    <w:rsid w:val="00914BE9"/>
    <w:rsid w:val="00915E7E"/>
    <w:rsid w:val="00916C00"/>
    <w:rsid w:val="00920524"/>
    <w:rsid w:val="009235E1"/>
    <w:rsid w:val="00923BB5"/>
    <w:rsid w:val="009253F0"/>
    <w:rsid w:val="00926679"/>
    <w:rsid w:val="00926D47"/>
    <w:rsid w:val="00927665"/>
    <w:rsid w:val="00941828"/>
    <w:rsid w:val="00942C13"/>
    <w:rsid w:val="00950DC8"/>
    <w:rsid w:val="009562BB"/>
    <w:rsid w:val="00956D20"/>
    <w:rsid w:val="00957161"/>
    <w:rsid w:val="009619CF"/>
    <w:rsid w:val="00964E1F"/>
    <w:rsid w:val="00967FAC"/>
    <w:rsid w:val="009706A2"/>
    <w:rsid w:val="009706B7"/>
    <w:rsid w:val="00970775"/>
    <w:rsid w:val="00974854"/>
    <w:rsid w:val="00977913"/>
    <w:rsid w:val="0098095C"/>
    <w:rsid w:val="00981B3A"/>
    <w:rsid w:val="00982FC2"/>
    <w:rsid w:val="00987F10"/>
    <w:rsid w:val="009935DA"/>
    <w:rsid w:val="00995C98"/>
    <w:rsid w:val="00997490"/>
    <w:rsid w:val="009A021F"/>
    <w:rsid w:val="009A17C7"/>
    <w:rsid w:val="009A17EA"/>
    <w:rsid w:val="009A5258"/>
    <w:rsid w:val="009A5A3C"/>
    <w:rsid w:val="009A78DA"/>
    <w:rsid w:val="009B23F9"/>
    <w:rsid w:val="009B355C"/>
    <w:rsid w:val="009B39B2"/>
    <w:rsid w:val="009B3D08"/>
    <w:rsid w:val="009B3F00"/>
    <w:rsid w:val="009B5C19"/>
    <w:rsid w:val="009C10E8"/>
    <w:rsid w:val="009C44BB"/>
    <w:rsid w:val="009C458D"/>
    <w:rsid w:val="009C4678"/>
    <w:rsid w:val="009C4F9A"/>
    <w:rsid w:val="009C576C"/>
    <w:rsid w:val="009C5EF3"/>
    <w:rsid w:val="009C6B26"/>
    <w:rsid w:val="009D2FC7"/>
    <w:rsid w:val="009D34C3"/>
    <w:rsid w:val="009D3C04"/>
    <w:rsid w:val="009E089E"/>
    <w:rsid w:val="009E16F9"/>
    <w:rsid w:val="009E1E31"/>
    <w:rsid w:val="009E2092"/>
    <w:rsid w:val="009E4F02"/>
    <w:rsid w:val="009E50A5"/>
    <w:rsid w:val="009E7615"/>
    <w:rsid w:val="009F5E85"/>
    <w:rsid w:val="009F645D"/>
    <w:rsid w:val="00A037D0"/>
    <w:rsid w:val="00A04DD5"/>
    <w:rsid w:val="00A05BD8"/>
    <w:rsid w:val="00A10009"/>
    <w:rsid w:val="00A1056A"/>
    <w:rsid w:val="00A10C62"/>
    <w:rsid w:val="00A15D2A"/>
    <w:rsid w:val="00A24B84"/>
    <w:rsid w:val="00A26A3F"/>
    <w:rsid w:val="00A26D50"/>
    <w:rsid w:val="00A32642"/>
    <w:rsid w:val="00A356E9"/>
    <w:rsid w:val="00A37599"/>
    <w:rsid w:val="00A40433"/>
    <w:rsid w:val="00A42E80"/>
    <w:rsid w:val="00A45FE2"/>
    <w:rsid w:val="00A50EDC"/>
    <w:rsid w:val="00A51B73"/>
    <w:rsid w:val="00A55131"/>
    <w:rsid w:val="00A61B91"/>
    <w:rsid w:val="00A64B58"/>
    <w:rsid w:val="00A67DC5"/>
    <w:rsid w:val="00A7161B"/>
    <w:rsid w:val="00A71762"/>
    <w:rsid w:val="00A76AEB"/>
    <w:rsid w:val="00A801AD"/>
    <w:rsid w:val="00A8123C"/>
    <w:rsid w:val="00A8219A"/>
    <w:rsid w:val="00A8316C"/>
    <w:rsid w:val="00A83CB6"/>
    <w:rsid w:val="00A84A0E"/>
    <w:rsid w:val="00A878DE"/>
    <w:rsid w:val="00A90FAC"/>
    <w:rsid w:val="00A93AB7"/>
    <w:rsid w:val="00A94938"/>
    <w:rsid w:val="00A949EA"/>
    <w:rsid w:val="00A95711"/>
    <w:rsid w:val="00A97366"/>
    <w:rsid w:val="00AA1009"/>
    <w:rsid w:val="00AA525F"/>
    <w:rsid w:val="00AA5876"/>
    <w:rsid w:val="00AB3C25"/>
    <w:rsid w:val="00AB656A"/>
    <w:rsid w:val="00AC2FC5"/>
    <w:rsid w:val="00AC3971"/>
    <w:rsid w:val="00AC5D7B"/>
    <w:rsid w:val="00AC7B0A"/>
    <w:rsid w:val="00AD2874"/>
    <w:rsid w:val="00AD68A9"/>
    <w:rsid w:val="00AD6A93"/>
    <w:rsid w:val="00AD7A6C"/>
    <w:rsid w:val="00AE0791"/>
    <w:rsid w:val="00AE15E2"/>
    <w:rsid w:val="00AE1609"/>
    <w:rsid w:val="00AE56C8"/>
    <w:rsid w:val="00AF5464"/>
    <w:rsid w:val="00B00162"/>
    <w:rsid w:val="00B00DFA"/>
    <w:rsid w:val="00B01F02"/>
    <w:rsid w:val="00B02CB5"/>
    <w:rsid w:val="00B03EF7"/>
    <w:rsid w:val="00B058A4"/>
    <w:rsid w:val="00B109F2"/>
    <w:rsid w:val="00B1226E"/>
    <w:rsid w:val="00B1724B"/>
    <w:rsid w:val="00B20067"/>
    <w:rsid w:val="00B2048C"/>
    <w:rsid w:val="00B21D41"/>
    <w:rsid w:val="00B25DDE"/>
    <w:rsid w:val="00B260BE"/>
    <w:rsid w:val="00B328BC"/>
    <w:rsid w:val="00B36B33"/>
    <w:rsid w:val="00B37D06"/>
    <w:rsid w:val="00B41D28"/>
    <w:rsid w:val="00B42274"/>
    <w:rsid w:val="00B43725"/>
    <w:rsid w:val="00B44897"/>
    <w:rsid w:val="00B45419"/>
    <w:rsid w:val="00B45F5B"/>
    <w:rsid w:val="00B45FF2"/>
    <w:rsid w:val="00B51A21"/>
    <w:rsid w:val="00B523CA"/>
    <w:rsid w:val="00B52D80"/>
    <w:rsid w:val="00B5535C"/>
    <w:rsid w:val="00B5556A"/>
    <w:rsid w:val="00B56ACD"/>
    <w:rsid w:val="00B5771B"/>
    <w:rsid w:val="00B604D3"/>
    <w:rsid w:val="00B639D7"/>
    <w:rsid w:val="00B63B10"/>
    <w:rsid w:val="00B65274"/>
    <w:rsid w:val="00B67325"/>
    <w:rsid w:val="00B74471"/>
    <w:rsid w:val="00B7738C"/>
    <w:rsid w:val="00B801F3"/>
    <w:rsid w:val="00B80AC2"/>
    <w:rsid w:val="00B8137F"/>
    <w:rsid w:val="00B8447B"/>
    <w:rsid w:val="00B86229"/>
    <w:rsid w:val="00B87F25"/>
    <w:rsid w:val="00B90F24"/>
    <w:rsid w:val="00B910BB"/>
    <w:rsid w:val="00B92ADB"/>
    <w:rsid w:val="00B92B88"/>
    <w:rsid w:val="00B941D3"/>
    <w:rsid w:val="00B94E52"/>
    <w:rsid w:val="00B9629A"/>
    <w:rsid w:val="00BA0784"/>
    <w:rsid w:val="00BA22D7"/>
    <w:rsid w:val="00BA2AFD"/>
    <w:rsid w:val="00BA3E7B"/>
    <w:rsid w:val="00BA5575"/>
    <w:rsid w:val="00BA7754"/>
    <w:rsid w:val="00BB1DFF"/>
    <w:rsid w:val="00BB2B49"/>
    <w:rsid w:val="00BB455C"/>
    <w:rsid w:val="00BB7827"/>
    <w:rsid w:val="00BB7F52"/>
    <w:rsid w:val="00BC10D8"/>
    <w:rsid w:val="00BC2935"/>
    <w:rsid w:val="00BC6431"/>
    <w:rsid w:val="00BC79E7"/>
    <w:rsid w:val="00BD00EA"/>
    <w:rsid w:val="00BD05AE"/>
    <w:rsid w:val="00BD097A"/>
    <w:rsid w:val="00BD1F13"/>
    <w:rsid w:val="00BD3422"/>
    <w:rsid w:val="00BD6E96"/>
    <w:rsid w:val="00BD7444"/>
    <w:rsid w:val="00BE1B6D"/>
    <w:rsid w:val="00BE1F89"/>
    <w:rsid w:val="00BF441E"/>
    <w:rsid w:val="00C010A2"/>
    <w:rsid w:val="00C016A5"/>
    <w:rsid w:val="00C06CA5"/>
    <w:rsid w:val="00C12451"/>
    <w:rsid w:val="00C14CAE"/>
    <w:rsid w:val="00C14DCC"/>
    <w:rsid w:val="00C15212"/>
    <w:rsid w:val="00C21A4A"/>
    <w:rsid w:val="00C22F3F"/>
    <w:rsid w:val="00C23460"/>
    <w:rsid w:val="00C2384C"/>
    <w:rsid w:val="00C268CD"/>
    <w:rsid w:val="00C26F60"/>
    <w:rsid w:val="00C303B5"/>
    <w:rsid w:val="00C331FA"/>
    <w:rsid w:val="00C36008"/>
    <w:rsid w:val="00C42A15"/>
    <w:rsid w:val="00C45868"/>
    <w:rsid w:val="00C45A01"/>
    <w:rsid w:val="00C46629"/>
    <w:rsid w:val="00C47831"/>
    <w:rsid w:val="00C51274"/>
    <w:rsid w:val="00C51A40"/>
    <w:rsid w:val="00C51FD4"/>
    <w:rsid w:val="00C529EF"/>
    <w:rsid w:val="00C53D12"/>
    <w:rsid w:val="00C5582A"/>
    <w:rsid w:val="00C5650A"/>
    <w:rsid w:val="00C61844"/>
    <w:rsid w:val="00C6201D"/>
    <w:rsid w:val="00C62C02"/>
    <w:rsid w:val="00C64CDB"/>
    <w:rsid w:val="00C65C1F"/>
    <w:rsid w:val="00C66E8A"/>
    <w:rsid w:val="00C70956"/>
    <w:rsid w:val="00C7140D"/>
    <w:rsid w:val="00C732DA"/>
    <w:rsid w:val="00C834B4"/>
    <w:rsid w:val="00C85A2C"/>
    <w:rsid w:val="00C92D63"/>
    <w:rsid w:val="00C9399B"/>
    <w:rsid w:val="00C96236"/>
    <w:rsid w:val="00CA052C"/>
    <w:rsid w:val="00CA0683"/>
    <w:rsid w:val="00CA09D8"/>
    <w:rsid w:val="00CA0E25"/>
    <w:rsid w:val="00CA1DC8"/>
    <w:rsid w:val="00CA20AC"/>
    <w:rsid w:val="00CA4FA5"/>
    <w:rsid w:val="00CA63E6"/>
    <w:rsid w:val="00CA73EF"/>
    <w:rsid w:val="00CB0644"/>
    <w:rsid w:val="00CB0781"/>
    <w:rsid w:val="00CB1C78"/>
    <w:rsid w:val="00CB2DB6"/>
    <w:rsid w:val="00CB3623"/>
    <w:rsid w:val="00CB5D7B"/>
    <w:rsid w:val="00CB6A72"/>
    <w:rsid w:val="00CB750F"/>
    <w:rsid w:val="00CC092F"/>
    <w:rsid w:val="00CC29EE"/>
    <w:rsid w:val="00CC2B42"/>
    <w:rsid w:val="00CC30F8"/>
    <w:rsid w:val="00CC772B"/>
    <w:rsid w:val="00CC7A4B"/>
    <w:rsid w:val="00CD0060"/>
    <w:rsid w:val="00CD2466"/>
    <w:rsid w:val="00CD4629"/>
    <w:rsid w:val="00CD5602"/>
    <w:rsid w:val="00CD5DC4"/>
    <w:rsid w:val="00CD64F2"/>
    <w:rsid w:val="00CD7BD5"/>
    <w:rsid w:val="00CE156C"/>
    <w:rsid w:val="00CE299A"/>
    <w:rsid w:val="00CE7664"/>
    <w:rsid w:val="00CF049B"/>
    <w:rsid w:val="00CF1CE5"/>
    <w:rsid w:val="00CF4703"/>
    <w:rsid w:val="00CF5A55"/>
    <w:rsid w:val="00D01605"/>
    <w:rsid w:val="00D016C1"/>
    <w:rsid w:val="00D018A5"/>
    <w:rsid w:val="00D0337A"/>
    <w:rsid w:val="00D03701"/>
    <w:rsid w:val="00D0407A"/>
    <w:rsid w:val="00D0485E"/>
    <w:rsid w:val="00D05783"/>
    <w:rsid w:val="00D12056"/>
    <w:rsid w:val="00D121C5"/>
    <w:rsid w:val="00D150ED"/>
    <w:rsid w:val="00D1539A"/>
    <w:rsid w:val="00D16710"/>
    <w:rsid w:val="00D215D1"/>
    <w:rsid w:val="00D21AA1"/>
    <w:rsid w:val="00D25C88"/>
    <w:rsid w:val="00D275C8"/>
    <w:rsid w:val="00D2773E"/>
    <w:rsid w:val="00D3283A"/>
    <w:rsid w:val="00D42070"/>
    <w:rsid w:val="00D43F66"/>
    <w:rsid w:val="00D440A5"/>
    <w:rsid w:val="00D46D23"/>
    <w:rsid w:val="00D56593"/>
    <w:rsid w:val="00D565B9"/>
    <w:rsid w:val="00D56EB2"/>
    <w:rsid w:val="00D57052"/>
    <w:rsid w:val="00D57829"/>
    <w:rsid w:val="00D57F7E"/>
    <w:rsid w:val="00D61AAD"/>
    <w:rsid w:val="00D71DD4"/>
    <w:rsid w:val="00D746E7"/>
    <w:rsid w:val="00D76073"/>
    <w:rsid w:val="00D76D8F"/>
    <w:rsid w:val="00D80712"/>
    <w:rsid w:val="00D85FD2"/>
    <w:rsid w:val="00D92598"/>
    <w:rsid w:val="00D92D77"/>
    <w:rsid w:val="00DB0DC0"/>
    <w:rsid w:val="00DB1C7D"/>
    <w:rsid w:val="00DB3A11"/>
    <w:rsid w:val="00DB4E90"/>
    <w:rsid w:val="00DB6F7E"/>
    <w:rsid w:val="00DC0505"/>
    <w:rsid w:val="00DC3D83"/>
    <w:rsid w:val="00DC4170"/>
    <w:rsid w:val="00DC5470"/>
    <w:rsid w:val="00DC675E"/>
    <w:rsid w:val="00DC6DAE"/>
    <w:rsid w:val="00DD2769"/>
    <w:rsid w:val="00DD2805"/>
    <w:rsid w:val="00DD79A1"/>
    <w:rsid w:val="00DE1CF1"/>
    <w:rsid w:val="00DE392D"/>
    <w:rsid w:val="00DE5BF1"/>
    <w:rsid w:val="00DF1D5B"/>
    <w:rsid w:val="00DF2466"/>
    <w:rsid w:val="00DF688B"/>
    <w:rsid w:val="00DF69FA"/>
    <w:rsid w:val="00E02760"/>
    <w:rsid w:val="00E028F9"/>
    <w:rsid w:val="00E03938"/>
    <w:rsid w:val="00E03BE7"/>
    <w:rsid w:val="00E05595"/>
    <w:rsid w:val="00E07CE9"/>
    <w:rsid w:val="00E14014"/>
    <w:rsid w:val="00E16871"/>
    <w:rsid w:val="00E20D39"/>
    <w:rsid w:val="00E21461"/>
    <w:rsid w:val="00E2311B"/>
    <w:rsid w:val="00E235F8"/>
    <w:rsid w:val="00E26305"/>
    <w:rsid w:val="00E26D23"/>
    <w:rsid w:val="00E340DD"/>
    <w:rsid w:val="00E3657F"/>
    <w:rsid w:val="00E410A7"/>
    <w:rsid w:val="00E41370"/>
    <w:rsid w:val="00E41670"/>
    <w:rsid w:val="00E444BE"/>
    <w:rsid w:val="00E45F02"/>
    <w:rsid w:val="00E46F16"/>
    <w:rsid w:val="00E53873"/>
    <w:rsid w:val="00E54194"/>
    <w:rsid w:val="00E57EEA"/>
    <w:rsid w:val="00E6083B"/>
    <w:rsid w:val="00E62409"/>
    <w:rsid w:val="00E63BF2"/>
    <w:rsid w:val="00E63EF2"/>
    <w:rsid w:val="00E64A7D"/>
    <w:rsid w:val="00E65750"/>
    <w:rsid w:val="00E724CF"/>
    <w:rsid w:val="00E73EB1"/>
    <w:rsid w:val="00E775DF"/>
    <w:rsid w:val="00E80F34"/>
    <w:rsid w:val="00E81B3A"/>
    <w:rsid w:val="00E90840"/>
    <w:rsid w:val="00E90C63"/>
    <w:rsid w:val="00E9239A"/>
    <w:rsid w:val="00E929E1"/>
    <w:rsid w:val="00E9528C"/>
    <w:rsid w:val="00E963A3"/>
    <w:rsid w:val="00EA1596"/>
    <w:rsid w:val="00EA1E90"/>
    <w:rsid w:val="00EA2EE3"/>
    <w:rsid w:val="00EA33E3"/>
    <w:rsid w:val="00EA4ABA"/>
    <w:rsid w:val="00EA54B7"/>
    <w:rsid w:val="00EA569D"/>
    <w:rsid w:val="00EB0800"/>
    <w:rsid w:val="00EB097E"/>
    <w:rsid w:val="00EB188F"/>
    <w:rsid w:val="00EB59C8"/>
    <w:rsid w:val="00EB67AC"/>
    <w:rsid w:val="00EC3664"/>
    <w:rsid w:val="00EC59C8"/>
    <w:rsid w:val="00EC7E4C"/>
    <w:rsid w:val="00ED0E39"/>
    <w:rsid w:val="00ED5451"/>
    <w:rsid w:val="00EE04E8"/>
    <w:rsid w:val="00EE17BB"/>
    <w:rsid w:val="00EE1A67"/>
    <w:rsid w:val="00EE776C"/>
    <w:rsid w:val="00EF4BB2"/>
    <w:rsid w:val="00EF4D62"/>
    <w:rsid w:val="00EF4D78"/>
    <w:rsid w:val="00EF58F5"/>
    <w:rsid w:val="00F007D0"/>
    <w:rsid w:val="00F010A1"/>
    <w:rsid w:val="00F02D9F"/>
    <w:rsid w:val="00F037C9"/>
    <w:rsid w:val="00F05B78"/>
    <w:rsid w:val="00F07473"/>
    <w:rsid w:val="00F07630"/>
    <w:rsid w:val="00F07B42"/>
    <w:rsid w:val="00F12602"/>
    <w:rsid w:val="00F1266C"/>
    <w:rsid w:val="00F13D7D"/>
    <w:rsid w:val="00F14687"/>
    <w:rsid w:val="00F23342"/>
    <w:rsid w:val="00F253D0"/>
    <w:rsid w:val="00F26881"/>
    <w:rsid w:val="00F26D86"/>
    <w:rsid w:val="00F33299"/>
    <w:rsid w:val="00F337DF"/>
    <w:rsid w:val="00F350C3"/>
    <w:rsid w:val="00F352FB"/>
    <w:rsid w:val="00F35DD6"/>
    <w:rsid w:val="00F40136"/>
    <w:rsid w:val="00F46B32"/>
    <w:rsid w:val="00F51A5C"/>
    <w:rsid w:val="00F526F6"/>
    <w:rsid w:val="00F5330B"/>
    <w:rsid w:val="00F53CFA"/>
    <w:rsid w:val="00F611CE"/>
    <w:rsid w:val="00F615D8"/>
    <w:rsid w:val="00F61C90"/>
    <w:rsid w:val="00F6488A"/>
    <w:rsid w:val="00F67072"/>
    <w:rsid w:val="00F67319"/>
    <w:rsid w:val="00F71DCB"/>
    <w:rsid w:val="00F751CC"/>
    <w:rsid w:val="00F757ED"/>
    <w:rsid w:val="00F77641"/>
    <w:rsid w:val="00F83159"/>
    <w:rsid w:val="00F838ED"/>
    <w:rsid w:val="00F869D0"/>
    <w:rsid w:val="00F910E6"/>
    <w:rsid w:val="00F97152"/>
    <w:rsid w:val="00F97ABD"/>
    <w:rsid w:val="00F97DAF"/>
    <w:rsid w:val="00FA4FB8"/>
    <w:rsid w:val="00FA601A"/>
    <w:rsid w:val="00FA68ED"/>
    <w:rsid w:val="00FA6AE4"/>
    <w:rsid w:val="00FA6E17"/>
    <w:rsid w:val="00FA7BF2"/>
    <w:rsid w:val="00FB0211"/>
    <w:rsid w:val="00FB0827"/>
    <w:rsid w:val="00FB0F68"/>
    <w:rsid w:val="00FB1EF2"/>
    <w:rsid w:val="00FB2E28"/>
    <w:rsid w:val="00FB5424"/>
    <w:rsid w:val="00FC2E87"/>
    <w:rsid w:val="00FC5EC4"/>
    <w:rsid w:val="00FC63F0"/>
    <w:rsid w:val="00FD039D"/>
    <w:rsid w:val="00FD0692"/>
    <w:rsid w:val="00FD18D6"/>
    <w:rsid w:val="00FD2240"/>
    <w:rsid w:val="00FD3D16"/>
    <w:rsid w:val="00FD4BAF"/>
    <w:rsid w:val="00FD6DCE"/>
    <w:rsid w:val="00FD7059"/>
    <w:rsid w:val="00FE0BE9"/>
    <w:rsid w:val="00FE1945"/>
    <w:rsid w:val="00FE3959"/>
    <w:rsid w:val="00FE3A12"/>
    <w:rsid w:val="00FE3DA0"/>
    <w:rsid w:val="00FE4E18"/>
    <w:rsid w:val="00FE50E6"/>
    <w:rsid w:val="00FE7FA4"/>
    <w:rsid w:val="00FF004B"/>
    <w:rsid w:val="00FF0EBD"/>
    <w:rsid w:val="00FF12B1"/>
    <w:rsid w:val="00FF4C38"/>
    <w:rsid w:val="00FF5422"/>
    <w:rsid w:val="00FF73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E3F595-E69C-4A62-8630-D374048A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locked/>
    <w:rsid w:val="007D5748"/>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locked/>
    <w:rsid w:val="007D5748"/>
    <w:rPr>
      <w:rFonts w:ascii="Times New Roman" w:hAnsi="Times New Roman" w:cs="Times New Roman"/>
      <w:sz w:val="20"/>
      <w:szCs w:val="20"/>
      <w:lang w:val="x-none"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17B90"/>
    <w:rPr>
      <w:rFonts w:ascii="Tahoma" w:hAnsi="Tahoma" w:cs="Tahoma"/>
      <w:sz w:val="16"/>
      <w:szCs w:val="16"/>
    </w:rPr>
  </w:style>
  <w:style w:type="paragraph" w:styleId="Odsekzoznamu">
    <w:name w:val="List Paragraph"/>
    <w:aliases w:val="body,Odsek zoznamu2,Odsek,Odsek zoznamu1,List Paragraph,List Paragraph1"/>
    <w:basedOn w:val="Normlny"/>
    <w:link w:val="OdsekzoznamuChar"/>
    <w:uiPriority w:val="34"/>
    <w:qFormat/>
    <w:rsid w:val="00866554"/>
    <w:pPr>
      <w:ind w:left="720"/>
      <w:contextualSpacing/>
    </w:pPr>
    <w:rPr>
      <w:rFonts w:ascii="Calibri" w:hAnsi="Calibri"/>
      <w:lang w:val="en-US"/>
    </w:rPr>
  </w:style>
  <w:style w:type="paragraph" w:styleId="Textpoznmkypodiarou">
    <w:name w:val="footnote text"/>
    <w:basedOn w:val="Normlny"/>
    <w:link w:val="TextpoznmkypodiarouChar"/>
    <w:uiPriority w:val="99"/>
    <w:semiHidden/>
    <w:unhideWhenUsed/>
    <w:rsid w:val="001C7640"/>
    <w:pPr>
      <w:spacing w:after="0" w:line="240" w:lineRule="auto"/>
    </w:pPr>
    <w:rPr>
      <w:rFonts w:ascii="Calibri" w:hAnsi="Calibri"/>
      <w:sz w:val="20"/>
      <w:szCs w:val="20"/>
      <w:lang w:val="en-US"/>
    </w:rPr>
  </w:style>
  <w:style w:type="character" w:customStyle="1" w:styleId="TextpoznmkypodiarouChar">
    <w:name w:val="Text poznámky pod čiarou Char"/>
    <w:basedOn w:val="Predvolenpsmoodseku"/>
    <w:link w:val="Textpoznmkypodiarou"/>
    <w:uiPriority w:val="99"/>
    <w:semiHidden/>
    <w:locked/>
    <w:rsid w:val="001C7640"/>
    <w:rPr>
      <w:rFonts w:ascii="Calibri" w:hAnsi="Calibri" w:cs="Times New Roman"/>
      <w:sz w:val="20"/>
      <w:szCs w:val="20"/>
      <w:lang w:val="en-US" w:eastAsia="x-none"/>
    </w:rPr>
  </w:style>
  <w:style w:type="character" w:styleId="Odkaznapoznmkupodiarou">
    <w:name w:val="footnote reference"/>
    <w:basedOn w:val="Predvolenpsmoodseku"/>
    <w:uiPriority w:val="99"/>
    <w:semiHidden/>
    <w:unhideWhenUsed/>
    <w:rsid w:val="001C7640"/>
    <w:rPr>
      <w:rFonts w:cs="Times New Roman"/>
      <w:vertAlign w:val="superscript"/>
    </w:rPr>
  </w:style>
  <w:style w:type="character" w:styleId="Hypertextovprepojenie">
    <w:name w:val="Hyperlink"/>
    <w:basedOn w:val="Predvolenpsmoodseku"/>
    <w:uiPriority w:val="99"/>
    <w:unhideWhenUsed/>
    <w:rsid w:val="001C7640"/>
    <w:rPr>
      <w:rFonts w:cs="Times New Roman"/>
      <w:color w:val="0000FF" w:themeColor="hyperlink"/>
      <w:u w:val="single"/>
    </w:rPr>
  </w:style>
  <w:style w:type="character" w:styleId="Odkaznakomentr">
    <w:name w:val="annotation reference"/>
    <w:basedOn w:val="Predvolenpsmoodseku"/>
    <w:uiPriority w:val="99"/>
    <w:semiHidden/>
    <w:unhideWhenUsed/>
    <w:rsid w:val="00390633"/>
    <w:rPr>
      <w:rFonts w:cs="Times New Roman"/>
      <w:sz w:val="16"/>
      <w:szCs w:val="16"/>
    </w:rPr>
  </w:style>
  <w:style w:type="paragraph" w:styleId="Textkomentra">
    <w:name w:val="annotation text"/>
    <w:basedOn w:val="Normlny"/>
    <w:link w:val="TextkomentraChar"/>
    <w:uiPriority w:val="99"/>
    <w:unhideWhenUsed/>
    <w:rsid w:val="00390633"/>
    <w:pPr>
      <w:spacing w:line="240" w:lineRule="auto"/>
    </w:pPr>
    <w:rPr>
      <w:sz w:val="20"/>
      <w:szCs w:val="20"/>
    </w:rPr>
  </w:style>
  <w:style w:type="character" w:customStyle="1" w:styleId="TextkomentraChar">
    <w:name w:val="Text komentára Char"/>
    <w:basedOn w:val="Predvolenpsmoodseku"/>
    <w:link w:val="Textkomentra"/>
    <w:uiPriority w:val="99"/>
    <w:locked/>
    <w:rsid w:val="00390633"/>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390633"/>
    <w:rPr>
      <w:b/>
      <w:bCs/>
    </w:rPr>
  </w:style>
  <w:style w:type="character" w:customStyle="1" w:styleId="PredmetkomentraChar">
    <w:name w:val="Predmet komentára Char"/>
    <w:basedOn w:val="TextkomentraChar"/>
    <w:link w:val="Predmetkomentra"/>
    <w:uiPriority w:val="99"/>
    <w:semiHidden/>
    <w:locked/>
    <w:rsid w:val="00390633"/>
    <w:rPr>
      <w:rFonts w:cs="Times New Roman"/>
      <w:b/>
      <w:bCs/>
      <w:sz w:val="20"/>
      <w:szCs w:val="20"/>
    </w:r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656F4B"/>
    <w:rPr>
      <w:rFonts w:ascii="Calibri" w:hAnsi="Calibri" w:cs="Times New Roman"/>
      <w:lang w:val="en-US"/>
    </w:rPr>
  </w:style>
  <w:style w:type="paragraph" w:styleId="Normlnywebov">
    <w:name w:val="Normal (Web)"/>
    <w:basedOn w:val="Normlny"/>
    <w:uiPriority w:val="99"/>
    <w:rsid w:val="002D7EF7"/>
    <w:pPr>
      <w:spacing w:before="100" w:beforeAutospacing="1" w:after="100" w:afterAutospacing="1" w:line="240" w:lineRule="auto"/>
    </w:pPr>
    <w:rPr>
      <w:rFonts w:ascii="Times New Roman" w:hAnsi="Times New Roman"/>
      <w:sz w:val="24"/>
      <w:szCs w:val="24"/>
      <w:lang w:eastAsia="sk-SK"/>
    </w:rPr>
  </w:style>
  <w:style w:type="paragraph" w:customStyle="1" w:styleId="TableContents">
    <w:name w:val="Table Contents"/>
    <w:basedOn w:val="Normlny"/>
    <w:rsid w:val="003B1714"/>
    <w:pPr>
      <w:suppressLineNumbers/>
      <w:suppressAutoHyphens/>
      <w:spacing w:after="0" w:line="240" w:lineRule="auto"/>
    </w:pPr>
    <w:rPr>
      <w:rFonts w:ascii="Liberation Serif" w:eastAsia="SimSun" w:hAnsi="Liberation Serif" w:cs="Arial"/>
      <w:kern w:val="1"/>
      <w:sz w:val="24"/>
      <w:szCs w:val="24"/>
      <w:lang w:val="en-US" w:eastAsia="zh-CN" w:bidi="hi-IN"/>
    </w:rPr>
  </w:style>
  <w:style w:type="paragraph" w:styleId="Bezriadkovania">
    <w:name w:val="No Spacing"/>
    <w:uiPriority w:val="1"/>
    <w:qFormat/>
    <w:rsid w:val="003B1714"/>
    <w:pPr>
      <w:spacing w:after="0" w:line="240" w:lineRule="auto"/>
    </w:pPr>
    <w:rPr>
      <w:rFonts w:eastAsiaTheme="minorEastAsia" w:cs="Times New Roman"/>
      <w:lang w:eastAsia="sk-SK"/>
    </w:rPr>
  </w:style>
  <w:style w:type="table" w:styleId="Mriekatabuky">
    <w:name w:val="Table Grid"/>
    <w:basedOn w:val="Normlnatabuka"/>
    <w:uiPriority w:val="59"/>
    <w:rsid w:val="002C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140993598232482001msolistparagraph">
    <w:name w:val="m_6140993598232482001msolistparagraph"/>
    <w:basedOn w:val="Normlny"/>
    <w:rsid w:val="00403ECB"/>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2282">
      <w:bodyDiv w:val="1"/>
      <w:marLeft w:val="0"/>
      <w:marRight w:val="0"/>
      <w:marTop w:val="0"/>
      <w:marBottom w:val="0"/>
      <w:divBdr>
        <w:top w:val="none" w:sz="0" w:space="0" w:color="auto"/>
        <w:left w:val="none" w:sz="0" w:space="0" w:color="auto"/>
        <w:bottom w:val="none" w:sz="0" w:space="0" w:color="auto"/>
        <w:right w:val="none" w:sz="0" w:space="0" w:color="auto"/>
      </w:divBdr>
    </w:div>
    <w:div w:id="39592705">
      <w:bodyDiv w:val="1"/>
      <w:marLeft w:val="0"/>
      <w:marRight w:val="0"/>
      <w:marTop w:val="0"/>
      <w:marBottom w:val="0"/>
      <w:divBdr>
        <w:top w:val="none" w:sz="0" w:space="0" w:color="auto"/>
        <w:left w:val="none" w:sz="0" w:space="0" w:color="auto"/>
        <w:bottom w:val="none" w:sz="0" w:space="0" w:color="auto"/>
        <w:right w:val="none" w:sz="0" w:space="0" w:color="auto"/>
      </w:divBdr>
    </w:div>
    <w:div w:id="41103488">
      <w:bodyDiv w:val="1"/>
      <w:marLeft w:val="0"/>
      <w:marRight w:val="0"/>
      <w:marTop w:val="0"/>
      <w:marBottom w:val="0"/>
      <w:divBdr>
        <w:top w:val="none" w:sz="0" w:space="0" w:color="auto"/>
        <w:left w:val="none" w:sz="0" w:space="0" w:color="auto"/>
        <w:bottom w:val="none" w:sz="0" w:space="0" w:color="auto"/>
        <w:right w:val="none" w:sz="0" w:space="0" w:color="auto"/>
      </w:divBdr>
    </w:div>
    <w:div w:id="65810499">
      <w:bodyDiv w:val="1"/>
      <w:marLeft w:val="0"/>
      <w:marRight w:val="0"/>
      <w:marTop w:val="0"/>
      <w:marBottom w:val="0"/>
      <w:divBdr>
        <w:top w:val="none" w:sz="0" w:space="0" w:color="auto"/>
        <w:left w:val="none" w:sz="0" w:space="0" w:color="auto"/>
        <w:bottom w:val="none" w:sz="0" w:space="0" w:color="auto"/>
        <w:right w:val="none" w:sz="0" w:space="0" w:color="auto"/>
      </w:divBdr>
    </w:div>
    <w:div w:id="80372271">
      <w:bodyDiv w:val="1"/>
      <w:marLeft w:val="0"/>
      <w:marRight w:val="0"/>
      <w:marTop w:val="0"/>
      <w:marBottom w:val="0"/>
      <w:divBdr>
        <w:top w:val="none" w:sz="0" w:space="0" w:color="auto"/>
        <w:left w:val="none" w:sz="0" w:space="0" w:color="auto"/>
        <w:bottom w:val="none" w:sz="0" w:space="0" w:color="auto"/>
        <w:right w:val="none" w:sz="0" w:space="0" w:color="auto"/>
      </w:divBdr>
    </w:div>
    <w:div w:id="95684950">
      <w:bodyDiv w:val="1"/>
      <w:marLeft w:val="0"/>
      <w:marRight w:val="0"/>
      <w:marTop w:val="0"/>
      <w:marBottom w:val="0"/>
      <w:divBdr>
        <w:top w:val="none" w:sz="0" w:space="0" w:color="auto"/>
        <w:left w:val="none" w:sz="0" w:space="0" w:color="auto"/>
        <w:bottom w:val="none" w:sz="0" w:space="0" w:color="auto"/>
        <w:right w:val="none" w:sz="0" w:space="0" w:color="auto"/>
      </w:divBdr>
    </w:div>
    <w:div w:id="97795796">
      <w:bodyDiv w:val="1"/>
      <w:marLeft w:val="0"/>
      <w:marRight w:val="0"/>
      <w:marTop w:val="0"/>
      <w:marBottom w:val="0"/>
      <w:divBdr>
        <w:top w:val="none" w:sz="0" w:space="0" w:color="auto"/>
        <w:left w:val="none" w:sz="0" w:space="0" w:color="auto"/>
        <w:bottom w:val="none" w:sz="0" w:space="0" w:color="auto"/>
        <w:right w:val="none" w:sz="0" w:space="0" w:color="auto"/>
      </w:divBdr>
    </w:div>
    <w:div w:id="114181829">
      <w:bodyDiv w:val="1"/>
      <w:marLeft w:val="0"/>
      <w:marRight w:val="0"/>
      <w:marTop w:val="0"/>
      <w:marBottom w:val="0"/>
      <w:divBdr>
        <w:top w:val="none" w:sz="0" w:space="0" w:color="auto"/>
        <w:left w:val="none" w:sz="0" w:space="0" w:color="auto"/>
        <w:bottom w:val="none" w:sz="0" w:space="0" w:color="auto"/>
        <w:right w:val="none" w:sz="0" w:space="0" w:color="auto"/>
      </w:divBdr>
    </w:div>
    <w:div w:id="140001064">
      <w:bodyDiv w:val="1"/>
      <w:marLeft w:val="0"/>
      <w:marRight w:val="0"/>
      <w:marTop w:val="0"/>
      <w:marBottom w:val="0"/>
      <w:divBdr>
        <w:top w:val="none" w:sz="0" w:space="0" w:color="auto"/>
        <w:left w:val="none" w:sz="0" w:space="0" w:color="auto"/>
        <w:bottom w:val="none" w:sz="0" w:space="0" w:color="auto"/>
        <w:right w:val="none" w:sz="0" w:space="0" w:color="auto"/>
      </w:divBdr>
    </w:div>
    <w:div w:id="181625383">
      <w:bodyDiv w:val="1"/>
      <w:marLeft w:val="0"/>
      <w:marRight w:val="0"/>
      <w:marTop w:val="0"/>
      <w:marBottom w:val="0"/>
      <w:divBdr>
        <w:top w:val="none" w:sz="0" w:space="0" w:color="auto"/>
        <w:left w:val="none" w:sz="0" w:space="0" w:color="auto"/>
        <w:bottom w:val="none" w:sz="0" w:space="0" w:color="auto"/>
        <w:right w:val="none" w:sz="0" w:space="0" w:color="auto"/>
      </w:divBdr>
    </w:div>
    <w:div w:id="196284717">
      <w:bodyDiv w:val="1"/>
      <w:marLeft w:val="0"/>
      <w:marRight w:val="0"/>
      <w:marTop w:val="0"/>
      <w:marBottom w:val="0"/>
      <w:divBdr>
        <w:top w:val="none" w:sz="0" w:space="0" w:color="auto"/>
        <w:left w:val="none" w:sz="0" w:space="0" w:color="auto"/>
        <w:bottom w:val="none" w:sz="0" w:space="0" w:color="auto"/>
        <w:right w:val="none" w:sz="0" w:space="0" w:color="auto"/>
      </w:divBdr>
    </w:div>
    <w:div w:id="202982817">
      <w:bodyDiv w:val="1"/>
      <w:marLeft w:val="0"/>
      <w:marRight w:val="0"/>
      <w:marTop w:val="0"/>
      <w:marBottom w:val="0"/>
      <w:divBdr>
        <w:top w:val="none" w:sz="0" w:space="0" w:color="auto"/>
        <w:left w:val="none" w:sz="0" w:space="0" w:color="auto"/>
        <w:bottom w:val="none" w:sz="0" w:space="0" w:color="auto"/>
        <w:right w:val="none" w:sz="0" w:space="0" w:color="auto"/>
      </w:divBdr>
    </w:div>
    <w:div w:id="205411515">
      <w:bodyDiv w:val="1"/>
      <w:marLeft w:val="0"/>
      <w:marRight w:val="0"/>
      <w:marTop w:val="0"/>
      <w:marBottom w:val="0"/>
      <w:divBdr>
        <w:top w:val="none" w:sz="0" w:space="0" w:color="auto"/>
        <w:left w:val="none" w:sz="0" w:space="0" w:color="auto"/>
        <w:bottom w:val="none" w:sz="0" w:space="0" w:color="auto"/>
        <w:right w:val="none" w:sz="0" w:space="0" w:color="auto"/>
      </w:divBdr>
    </w:div>
    <w:div w:id="249049877">
      <w:bodyDiv w:val="1"/>
      <w:marLeft w:val="0"/>
      <w:marRight w:val="0"/>
      <w:marTop w:val="0"/>
      <w:marBottom w:val="0"/>
      <w:divBdr>
        <w:top w:val="none" w:sz="0" w:space="0" w:color="auto"/>
        <w:left w:val="none" w:sz="0" w:space="0" w:color="auto"/>
        <w:bottom w:val="none" w:sz="0" w:space="0" w:color="auto"/>
        <w:right w:val="none" w:sz="0" w:space="0" w:color="auto"/>
      </w:divBdr>
    </w:div>
    <w:div w:id="272132382">
      <w:bodyDiv w:val="1"/>
      <w:marLeft w:val="0"/>
      <w:marRight w:val="0"/>
      <w:marTop w:val="0"/>
      <w:marBottom w:val="0"/>
      <w:divBdr>
        <w:top w:val="none" w:sz="0" w:space="0" w:color="auto"/>
        <w:left w:val="none" w:sz="0" w:space="0" w:color="auto"/>
        <w:bottom w:val="none" w:sz="0" w:space="0" w:color="auto"/>
        <w:right w:val="none" w:sz="0" w:space="0" w:color="auto"/>
      </w:divBdr>
    </w:div>
    <w:div w:id="279604125">
      <w:bodyDiv w:val="1"/>
      <w:marLeft w:val="0"/>
      <w:marRight w:val="0"/>
      <w:marTop w:val="0"/>
      <w:marBottom w:val="0"/>
      <w:divBdr>
        <w:top w:val="none" w:sz="0" w:space="0" w:color="auto"/>
        <w:left w:val="none" w:sz="0" w:space="0" w:color="auto"/>
        <w:bottom w:val="none" w:sz="0" w:space="0" w:color="auto"/>
        <w:right w:val="none" w:sz="0" w:space="0" w:color="auto"/>
      </w:divBdr>
    </w:div>
    <w:div w:id="414088987">
      <w:bodyDiv w:val="1"/>
      <w:marLeft w:val="0"/>
      <w:marRight w:val="0"/>
      <w:marTop w:val="0"/>
      <w:marBottom w:val="0"/>
      <w:divBdr>
        <w:top w:val="none" w:sz="0" w:space="0" w:color="auto"/>
        <w:left w:val="none" w:sz="0" w:space="0" w:color="auto"/>
        <w:bottom w:val="none" w:sz="0" w:space="0" w:color="auto"/>
        <w:right w:val="none" w:sz="0" w:space="0" w:color="auto"/>
      </w:divBdr>
    </w:div>
    <w:div w:id="420487212">
      <w:bodyDiv w:val="1"/>
      <w:marLeft w:val="0"/>
      <w:marRight w:val="0"/>
      <w:marTop w:val="0"/>
      <w:marBottom w:val="0"/>
      <w:divBdr>
        <w:top w:val="none" w:sz="0" w:space="0" w:color="auto"/>
        <w:left w:val="none" w:sz="0" w:space="0" w:color="auto"/>
        <w:bottom w:val="none" w:sz="0" w:space="0" w:color="auto"/>
        <w:right w:val="none" w:sz="0" w:space="0" w:color="auto"/>
      </w:divBdr>
    </w:div>
    <w:div w:id="485098039">
      <w:bodyDiv w:val="1"/>
      <w:marLeft w:val="0"/>
      <w:marRight w:val="0"/>
      <w:marTop w:val="0"/>
      <w:marBottom w:val="0"/>
      <w:divBdr>
        <w:top w:val="none" w:sz="0" w:space="0" w:color="auto"/>
        <w:left w:val="none" w:sz="0" w:space="0" w:color="auto"/>
        <w:bottom w:val="none" w:sz="0" w:space="0" w:color="auto"/>
        <w:right w:val="none" w:sz="0" w:space="0" w:color="auto"/>
      </w:divBdr>
    </w:div>
    <w:div w:id="508839521">
      <w:bodyDiv w:val="1"/>
      <w:marLeft w:val="0"/>
      <w:marRight w:val="0"/>
      <w:marTop w:val="0"/>
      <w:marBottom w:val="0"/>
      <w:divBdr>
        <w:top w:val="none" w:sz="0" w:space="0" w:color="auto"/>
        <w:left w:val="none" w:sz="0" w:space="0" w:color="auto"/>
        <w:bottom w:val="none" w:sz="0" w:space="0" w:color="auto"/>
        <w:right w:val="none" w:sz="0" w:space="0" w:color="auto"/>
      </w:divBdr>
    </w:div>
    <w:div w:id="509218583">
      <w:bodyDiv w:val="1"/>
      <w:marLeft w:val="0"/>
      <w:marRight w:val="0"/>
      <w:marTop w:val="0"/>
      <w:marBottom w:val="0"/>
      <w:divBdr>
        <w:top w:val="none" w:sz="0" w:space="0" w:color="auto"/>
        <w:left w:val="none" w:sz="0" w:space="0" w:color="auto"/>
        <w:bottom w:val="none" w:sz="0" w:space="0" w:color="auto"/>
        <w:right w:val="none" w:sz="0" w:space="0" w:color="auto"/>
      </w:divBdr>
    </w:div>
    <w:div w:id="613245839">
      <w:bodyDiv w:val="1"/>
      <w:marLeft w:val="0"/>
      <w:marRight w:val="0"/>
      <w:marTop w:val="0"/>
      <w:marBottom w:val="0"/>
      <w:divBdr>
        <w:top w:val="none" w:sz="0" w:space="0" w:color="auto"/>
        <w:left w:val="none" w:sz="0" w:space="0" w:color="auto"/>
        <w:bottom w:val="none" w:sz="0" w:space="0" w:color="auto"/>
        <w:right w:val="none" w:sz="0" w:space="0" w:color="auto"/>
      </w:divBdr>
    </w:div>
    <w:div w:id="614141067">
      <w:bodyDiv w:val="1"/>
      <w:marLeft w:val="0"/>
      <w:marRight w:val="0"/>
      <w:marTop w:val="0"/>
      <w:marBottom w:val="0"/>
      <w:divBdr>
        <w:top w:val="none" w:sz="0" w:space="0" w:color="auto"/>
        <w:left w:val="none" w:sz="0" w:space="0" w:color="auto"/>
        <w:bottom w:val="none" w:sz="0" w:space="0" w:color="auto"/>
        <w:right w:val="none" w:sz="0" w:space="0" w:color="auto"/>
      </w:divBdr>
    </w:div>
    <w:div w:id="635527230">
      <w:bodyDiv w:val="1"/>
      <w:marLeft w:val="0"/>
      <w:marRight w:val="0"/>
      <w:marTop w:val="0"/>
      <w:marBottom w:val="0"/>
      <w:divBdr>
        <w:top w:val="none" w:sz="0" w:space="0" w:color="auto"/>
        <w:left w:val="none" w:sz="0" w:space="0" w:color="auto"/>
        <w:bottom w:val="none" w:sz="0" w:space="0" w:color="auto"/>
        <w:right w:val="none" w:sz="0" w:space="0" w:color="auto"/>
      </w:divBdr>
    </w:div>
    <w:div w:id="654335073">
      <w:bodyDiv w:val="1"/>
      <w:marLeft w:val="0"/>
      <w:marRight w:val="0"/>
      <w:marTop w:val="0"/>
      <w:marBottom w:val="0"/>
      <w:divBdr>
        <w:top w:val="none" w:sz="0" w:space="0" w:color="auto"/>
        <w:left w:val="none" w:sz="0" w:space="0" w:color="auto"/>
        <w:bottom w:val="none" w:sz="0" w:space="0" w:color="auto"/>
        <w:right w:val="none" w:sz="0" w:space="0" w:color="auto"/>
      </w:divBdr>
    </w:div>
    <w:div w:id="725491741">
      <w:bodyDiv w:val="1"/>
      <w:marLeft w:val="0"/>
      <w:marRight w:val="0"/>
      <w:marTop w:val="0"/>
      <w:marBottom w:val="0"/>
      <w:divBdr>
        <w:top w:val="none" w:sz="0" w:space="0" w:color="auto"/>
        <w:left w:val="none" w:sz="0" w:space="0" w:color="auto"/>
        <w:bottom w:val="none" w:sz="0" w:space="0" w:color="auto"/>
        <w:right w:val="none" w:sz="0" w:space="0" w:color="auto"/>
      </w:divBdr>
    </w:div>
    <w:div w:id="752505570">
      <w:bodyDiv w:val="1"/>
      <w:marLeft w:val="0"/>
      <w:marRight w:val="0"/>
      <w:marTop w:val="0"/>
      <w:marBottom w:val="0"/>
      <w:divBdr>
        <w:top w:val="none" w:sz="0" w:space="0" w:color="auto"/>
        <w:left w:val="none" w:sz="0" w:space="0" w:color="auto"/>
        <w:bottom w:val="none" w:sz="0" w:space="0" w:color="auto"/>
        <w:right w:val="none" w:sz="0" w:space="0" w:color="auto"/>
      </w:divBdr>
    </w:div>
    <w:div w:id="778916037">
      <w:bodyDiv w:val="1"/>
      <w:marLeft w:val="0"/>
      <w:marRight w:val="0"/>
      <w:marTop w:val="0"/>
      <w:marBottom w:val="0"/>
      <w:divBdr>
        <w:top w:val="none" w:sz="0" w:space="0" w:color="auto"/>
        <w:left w:val="none" w:sz="0" w:space="0" w:color="auto"/>
        <w:bottom w:val="none" w:sz="0" w:space="0" w:color="auto"/>
        <w:right w:val="none" w:sz="0" w:space="0" w:color="auto"/>
      </w:divBdr>
    </w:div>
    <w:div w:id="809177343">
      <w:bodyDiv w:val="1"/>
      <w:marLeft w:val="0"/>
      <w:marRight w:val="0"/>
      <w:marTop w:val="0"/>
      <w:marBottom w:val="0"/>
      <w:divBdr>
        <w:top w:val="none" w:sz="0" w:space="0" w:color="auto"/>
        <w:left w:val="none" w:sz="0" w:space="0" w:color="auto"/>
        <w:bottom w:val="none" w:sz="0" w:space="0" w:color="auto"/>
        <w:right w:val="none" w:sz="0" w:space="0" w:color="auto"/>
      </w:divBdr>
    </w:div>
    <w:div w:id="809664057">
      <w:bodyDiv w:val="1"/>
      <w:marLeft w:val="0"/>
      <w:marRight w:val="0"/>
      <w:marTop w:val="0"/>
      <w:marBottom w:val="0"/>
      <w:divBdr>
        <w:top w:val="none" w:sz="0" w:space="0" w:color="auto"/>
        <w:left w:val="none" w:sz="0" w:space="0" w:color="auto"/>
        <w:bottom w:val="none" w:sz="0" w:space="0" w:color="auto"/>
        <w:right w:val="none" w:sz="0" w:space="0" w:color="auto"/>
      </w:divBdr>
    </w:div>
    <w:div w:id="818573359">
      <w:bodyDiv w:val="1"/>
      <w:marLeft w:val="0"/>
      <w:marRight w:val="0"/>
      <w:marTop w:val="0"/>
      <w:marBottom w:val="0"/>
      <w:divBdr>
        <w:top w:val="none" w:sz="0" w:space="0" w:color="auto"/>
        <w:left w:val="none" w:sz="0" w:space="0" w:color="auto"/>
        <w:bottom w:val="none" w:sz="0" w:space="0" w:color="auto"/>
        <w:right w:val="none" w:sz="0" w:space="0" w:color="auto"/>
      </w:divBdr>
    </w:div>
    <w:div w:id="824588539">
      <w:bodyDiv w:val="1"/>
      <w:marLeft w:val="0"/>
      <w:marRight w:val="0"/>
      <w:marTop w:val="0"/>
      <w:marBottom w:val="0"/>
      <w:divBdr>
        <w:top w:val="none" w:sz="0" w:space="0" w:color="auto"/>
        <w:left w:val="none" w:sz="0" w:space="0" w:color="auto"/>
        <w:bottom w:val="none" w:sz="0" w:space="0" w:color="auto"/>
        <w:right w:val="none" w:sz="0" w:space="0" w:color="auto"/>
      </w:divBdr>
    </w:div>
    <w:div w:id="828599217">
      <w:bodyDiv w:val="1"/>
      <w:marLeft w:val="0"/>
      <w:marRight w:val="0"/>
      <w:marTop w:val="0"/>
      <w:marBottom w:val="0"/>
      <w:divBdr>
        <w:top w:val="none" w:sz="0" w:space="0" w:color="auto"/>
        <w:left w:val="none" w:sz="0" w:space="0" w:color="auto"/>
        <w:bottom w:val="none" w:sz="0" w:space="0" w:color="auto"/>
        <w:right w:val="none" w:sz="0" w:space="0" w:color="auto"/>
      </w:divBdr>
    </w:div>
    <w:div w:id="973096460">
      <w:bodyDiv w:val="1"/>
      <w:marLeft w:val="0"/>
      <w:marRight w:val="0"/>
      <w:marTop w:val="0"/>
      <w:marBottom w:val="0"/>
      <w:divBdr>
        <w:top w:val="none" w:sz="0" w:space="0" w:color="auto"/>
        <w:left w:val="none" w:sz="0" w:space="0" w:color="auto"/>
        <w:bottom w:val="none" w:sz="0" w:space="0" w:color="auto"/>
        <w:right w:val="none" w:sz="0" w:space="0" w:color="auto"/>
      </w:divBdr>
    </w:div>
    <w:div w:id="976296801">
      <w:bodyDiv w:val="1"/>
      <w:marLeft w:val="0"/>
      <w:marRight w:val="0"/>
      <w:marTop w:val="0"/>
      <w:marBottom w:val="0"/>
      <w:divBdr>
        <w:top w:val="none" w:sz="0" w:space="0" w:color="auto"/>
        <w:left w:val="none" w:sz="0" w:space="0" w:color="auto"/>
        <w:bottom w:val="none" w:sz="0" w:space="0" w:color="auto"/>
        <w:right w:val="none" w:sz="0" w:space="0" w:color="auto"/>
      </w:divBdr>
    </w:div>
    <w:div w:id="985814412">
      <w:bodyDiv w:val="1"/>
      <w:marLeft w:val="0"/>
      <w:marRight w:val="0"/>
      <w:marTop w:val="0"/>
      <w:marBottom w:val="0"/>
      <w:divBdr>
        <w:top w:val="none" w:sz="0" w:space="0" w:color="auto"/>
        <w:left w:val="none" w:sz="0" w:space="0" w:color="auto"/>
        <w:bottom w:val="none" w:sz="0" w:space="0" w:color="auto"/>
        <w:right w:val="none" w:sz="0" w:space="0" w:color="auto"/>
      </w:divBdr>
    </w:div>
    <w:div w:id="1022784677">
      <w:bodyDiv w:val="1"/>
      <w:marLeft w:val="0"/>
      <w:marRight w:val="0"/>
      <w:marTop w:val="0"/>
      <w:marBottom w:val="0"/>
      <w:divBdr>
        <w:top w:val="none" w:sz="0" w:space="0" w:color="auto"/>
        <w:left w:val="none" w:sz="0" w:space="0" w:color="auto"/>
        <w:bottom w:val="none" w:sz="0" w:space="0" w:color="auto"/>
        <w:right w:val="none" w:sz="0" w:space="0" w:color="auto"/>
      </w:divBdr>
    </w:div>
    <w:div w:id="1101335918">
      <w:bodyDiv w:val="1"/>
      <w:marLeft w:val="0"/>
      <w:marRight w:val="0"/>
      <w:marTop w:val="0"/>
      <w:marBottom w:val="0"/>
      <w:divBdr>
        <w:top w:val="none" w:sz="0" w:space="0" w:color="auto"/>
        <w:left w:val="none" w:sz="0" w:space="0" w:color="auto"/>
        <w:bottom w:val="none" w:sz="0" w:space="0" w:color="auto"/>
        <w:right w:val="none" w:sz="0" w:space="0" w:color="auto"/>
      </w:divBdr>
    </w:div>
    <w:div w:id="1172914841">
      <w:bodyDiv w:val="1"/>
      <w:marLeft w:val="0"/>
      <w:marRight w:val="0"/>
      <w:marTop w:val="0"/>
      <w:marBottom w:val="0"/>
      <w:divBdr>
        <w:top w:val="none" w:sz="0" w:space="0" w:color="auto"/>
        <w:left w:val="none" w:sz="0" w:space="0" w:color="auto"/>
        <w:bottom w:val="none" w:sz="0" w:space="0" w:color="auto"/>
        <w:right w:val="none" w:sz="0" w:space="0" w:color="auto"/>
      </w:divBdr>
    </w:div>
    <w:div w:id="1187596794">
      <w:bodyDiv w:val="1"/>
      <w:marLeft w:val="0"/>
      <w:marRight w:val="0"/>
      <w:marTop w:val="0"/>
      <w:marBottom w:val="0"/>
      <w:divBdr>
        <w:top w:val="none" w:sz="0" w:space="0" w:color="auto"/>
        <w:left w:val="none" w:sz="0" w:space="0" w:color="auto"/>
        <w:bottom w:val="none" w:sz="0" w:space="0" w:color="auto"/>
        <w:right w:val="none" w:sz="0" w:space="0" w:color="auto"/>
      </w:divBdr>
    </w:div>
    <w:div w:id="1193373105">
      <w:bodyDiv w:val="1"/>
      <w:marLeft w:val="0"/>
      <w:marRight w:val="0"/>
      <w:marTop w:val="0"/>
      <w:marBottom w:val="0"/>
      <w:divBdr>
        <w:top w:val="none" w:sz="0" w:space="0" w:color="auto"/>
        <w:left w:val="none" w:sz="0" w:space="0" w:color="auto"/>
        <w:bottom w:val="none" w:sz="0" w:space="0" w:color="auto"/>
        <w:right w:val="none" w:sz="0" w:space="0" w:color="auto"/>
      </w:divBdr>
    </w:div>
    <w:div w:id="1210023668">
      <w:bodyDiv w:val="1"/>
      <w:marLeft w:val="0"/>
      <w:marRight w:val="0"/>
      <w:marTop w:val="0"/>
      <w:marBottom w:val="0"/>
      <w:divBdr>
        <w:top w:val="none" w:sz="0" w:space="0" w:color="auto"/>
        <w:left w:val="none" w:sz="0" w:space="0" w:color="auto"/>
        <w:bottom w:val="none" w:sz="0" w:space="0" w:color="auto"/>
        <w:right w:val="none" w:sz="0" w:space="0" w:color="auto"/>
      </w:divBdr>
    </w:div>
    <w:div w:id="1217354863">
      <w:bodyDiv w:val="1"/>
      <w:marLeft w:val="0"/>
      <w:marRight w:val="0"/>
      <w:marTop w:val="0"/>
      <w:marBottom w:val="0"/>
      <w:divBdr>
        <w:top w:val="none" w:sz="0" w:space="0" w:color="auto"/>
        <w:left w:val="none" w:sz="0" w:space="0" w:color="auto"/>
        <w:bottom w:val="none" w:sz="0" w:space="0" w:color="auto"/>
        <w:right w:val="none" w:sz="0" w:space="0" w:color="auto"/>
      </w:divBdr>
    </w:div>
    <w:div w:id="1223905264">
      <w:bodyDiv w:val="1"/>
      <w:marLeft w:val="0"/>
      <w:marRight w:val="0"/>
      <w:marTop w:val="0"/>
      <w:marBottom w:val="0"/>
      <w:divBdr>
        <w:top w:val="none" w:sz="0" w:space="0" w:color="auto"/>
        <w:left w:val="none" w:sz="0" w:space="0" w:color="auto"/>
        <w:bottom w:val="none" w:sz="0" w:space="0" w:color="auto"/>
        <w:right w:val="none" w:sz="0" w:space="0" w:color="auto"/>
      </w:divBdr>
    </w:div>
    <w:div w:id="1232157004">
      <w:bodyDiv w:val="1"/>
      <w:marLeft w:val="0"/>
      <w:marRight w:val="0"/>
      <w:marTop w:val="0"/>
      <w:marBottom w:val="0"/>
      <w:divBdr>
        <w:top w:val="none" w:sz="0" w:space="0" w:color="auto"/>
        <w:left w:val="none" w:sz="0" w:space="0" w:color="auto"/>
        <w:bottom w:val="none" w:sz="0" w:space="0" w:color="auto"/>
        <w:right w:val="none" w:sz="0" w:space="0" w:color="auto"/>
      </w:divBdr>
    </w:div>
    <w:div w:id="1237326371">
      <w:bodyDiv w:val="1"/>
      <w:marLeft w:val="0"/>
      <w:marRight w:val="0"/>
      <w:marTop w:val="0"/>
      <w:marBottom w:val="0"/>
      <w:divBdr>
        <w:top w:val="none" w:sz="0" w:space="0" w:color="auto"/>
        <w:left w:val="none" w:sz="0" w:space="0" w:color="auto"/>
        <w:bottom w:val="none" w:sz="0" w:space="0" w:color="auto"/>
        <w:right w:val="none" w:sz="0" w:space="0" w:color="auto"/>
      </w:divBdr>
    </w:div>
    <w:div w:id="1272514737">
      <w:bodyDiv w:val="1"/>
      <w:marLeft w:val="0"/>
      <w:marRight w:val="0"/>
      <w:marTop w:val="0"/>
      <w:marBottom w:val="0"/>
      <w:divBdr>
        <w:top w:val="none" w:sz="0" w:space="0" w:color="auto"/>
        <w:left w:val="none" w:sz="0" w:space="0" w:color="auto"/>
        <w:bottom w:val="none" w:sz="0" w:space="0" w:color="auto"/>
        <w:right w:val="none" w:sz="0" w:space="0" w:color="auto"/>
      </w:divBdr>
    </w:div>
    <w:div w:id="1331641015">
      <w:bodyDiv w:val="1"/>
      <w:marLeft w:val="0"/>
      <w:marRight w:val="0"/>
      <w:marTop w:val="0"/>
      <w:marBottom w:val="0"/>
      <w:divBdr>
        <w:top w:val="none" w:sz="0" w:space="0" w:color="auto"/>
        <w:left w:val="none" w:sz="0" w:space="0" w:color="auto"/>
        <w:bottom w:val="none" w:sz="0" w:space="0" w:color="auto"/>
        <w:right w:val="none" w:sz="0" w:space="0" w:color="auto"/>
      </w:divBdr>
    </w:div>
    <w:div w:id="1389526527">
      <w:bodyDiv w:val="1"/>
      <w:marLeft w:val="0"/>
      <w:marRight w:val="0"/>
      <w:marTop w:val="0"/>
      <w:marBottom w:val="0"/>
      <w:divBdr>
        <w:top w:val="none" w:sz="0" w:space="0" w:color="auto"/>
        <w:left w:val="none" w:sz="0" w:space="0" w:color="auto"/>
        <w:bottom w:val="none" w:sz="0" w:space="0" w:color="auto"/>
        <w:right w:val="none" w:sz="0" w:space="0" w:color="auto"/>
      </w:divBdr>
    </w:div>
    <w:div w:id="1409420926">
      <w:bodyDiv w:val="1"/>
      <w:marLeft w:val="0"/>
      <w:marRight w:val="0"/>
      <w:marTop w:val="0"/>
      <w:marBottom w:val="0"/>
      <w:divBdr>
        <w:top w:val="none" w:sz="0" w:space="0" w:color="auto"/>
        <w:left w:val="none" w:sz="0" w:space="0" w:color="auto"/>
        <w:bottom w:val="none" w:sz="0" w:space="0" w:color="auto"/>
        <w:right w:val="none" w:sz="0" w:space="0" w:color="auto"/>
      </w:divBdr>
    </w:div>
    <w:div w:id="1443651793">
      <w:bodyDiv w:val="1"/>
      <w:marLeft w:val="0"/>
      <w:marRight w:val="0"/>
      <w:marTop w:val="0"/>
      <w:marBottom w:val="0"/>
      <w:divBdr>
        <w:top w:val="none" w:sz="0" w:space="0" w:color="auto"/>
        <w:left w:val="none" w:sz="0" w:space="0" w:color="auto"/>
        <w:bottom w:val="none" w:sz="0" w:space="0" w:color="auto"/>
        <w:right w:val="none" w:sz="0" w:space="0" w:color="auto"/>
      </w:divBdr>
    </w:div>
    <w:div w:id="1472480589">
      <w:bodyDiv w:val="1"/>
      <w:marLeft w:val="0"/>
      <w:marRight w:val="0"/>
      <w:marTop w:val="0"/>
      <w:marBottom w:val="0"/>
      <w:divBdr>
        <w:top w:val="none" w:sz="0" w:space="0" w:color="auto"/>
        <w:left w:val="none" w:sz="0" w:space="0" w:color="auto"/>
        <w:bottom w:val="none" w:sz="0" w:space="0" w:color="auto"/>
        <w:right w:val="none" w:sz="0" w:space="0" w:color="auto"/>
      </w:divBdr>
    </w:div>
    <w:div w:id="1492286107">
      <w:bodyDiv w:val="1"/>
      <w:marLeft w:val="0"/>
      <w:marRight w:val="0"/>
      <w:marTop w:val="0"/>
      <w:marBottom w:val="0"/>
      <w:divBdr>
        <w:top w:val="none" w:sz="0" w:space="0" w:color="auto"/>
        <w:left w:val="none" w:sz="0" w:space="0" w:color="auto"/>
        <w:bottom w:val="none" w:sz="0" w:space="0" w:color="auto"/>
        <w:right w:val="none" w:sz="0" w:space="0" w:color="auto"/>
      </w:divBdr>
    </w:div>
    <w:div w:id="1498110382">
      <w:bodyDiv w:val="1"/>
      <w:marLeft w:val="0"/>
      <w:marRight w:val="0"/>
      <w:marTop w:val="0"/>
      <w:marBottom w:val="0"/>
      <w:divBdr>
        <w:top w:val="none" w:sz="0" w:space="0" w:color="auto"/>
        <w:left w:val="none" w:sz="0" w:space="0" w:color="auto"/>
        <w:bottom w:val="none" w:sz="0" w:space="0" w:color="auto"/>
        <w:right w:val="none" w:sz="0" w:space="0" w:color="auto"/>
      </w:divBdr>
    </w:div>
    <w:div w:id="1498956899">
      <w:bodyDiv w:val="1"/>
      <w:marLeft w:val="0"/>
      <w:marRight w:val="0"/>
      <w:marTop w:val="0"/>
      <w:marBottom w:val="0"/>
      <w:divBdr>
        <w:top w:val="none" w:sz="0" w:space="0" w:color="auto"/>
        <w:left w:val="none" w:sz="0" w:space="0" w:color="auto"/>
        <w:bottom w:val="none" w:sz="0" w:space="0" w:color="auto"/>
        <w:right w:val="none" w:sz="0" w:space="0" w:color="auto"/>
      </w:divBdr>
    </w:div>
    <w:div w:id="1504199060">
      <w:bodyDiv w:val="1"/>
      <w:marLeft w:val="0"/>
      <w:marRight w:val="0"/>
      <w:marTop w:val="0"/>
      <w:marBottom w:val="0"/>
      <w:divBdr>
        <w:top w:val="none" w:sz="0" w:space="0" w:color="auto"/>
        <w:left w:val="none" w:sz="0" w:space="0" w:color="auto"/>
        <w:bottom w:val="none" w:sz="0" w:space="0" w:color="auto"/>
        <w:right w:val="none" w:sz="0" w:space="0" w:color="auto"/>
      </w:divBdr>
    </w:div>
    <w:div w:id="1515150520">
      <w:bodyDiv w:val="1"/>
      <w:marLeft w:val="0"/>
      <w:marRight w:val="0"/>
      <w:marTop w:val="0"/>
      <w:marBottom w:val="0"/>
      <w:divBdr>
        <w:top w:val="none" w:sz="0" w:space="0" w:color="auto"/>
        <w:left w:val="none" w:sz="0" w:space="0" w:color="auto"/>
        <w:bottom w:val="none" w:sz="0" w:space="0" w:color="auto"/>
        <w:right w:val="none" w:sz="0" w:space="0" w:color="auto"/>
      </w:divBdr>
    </w:div>
    <w:div w:id="1516261736">
      <w:bodyDiv w:val="1"/>
      <w:marLeft w:val="0"/>
      <w:marRight w:val="0"/>
      <w:marTop w:val="0"/>
      <w:marBottom w:val="0"/>
      <w:divBdr>
        <w:top w:val="none" w:sz="0" w:space="0" w:color="auto"/>
        <w:left w:val="none" w:sz="0" w:space="0" w:color="auto"/>
        <w:bottom w:val="none" w:sz="0" w:space="0" w:color="auto"/>
        <w:right w:val="none" w:sz="0" w:space="0" w:color="auto"/>
      </w:divBdr>
    </w:div>
    <w:div w:id="1517426877">
      <w:bodyDiv w:val="1"/>
      <w:marLeft w:val="0"/>
      <w:marRight w:val="0"/>
      <w:marTop w:val="0"/>
      <w:marBottom w:val="0"/>
      <w:divBdr>
        <w:top w:val="none" w:sz="0" w:space="0" w:color="auto"/>
        <w:left w:val="none" w:sz="0" w:space="0" w:color="auto"/>
        <w:bottom w:val="none" w:sz="0" w:space="0" w:color="auto"/>
        <w:right w:val="none" w:sz="0" w:space="0" w:color="auto"/>
      </w:divBdr>
    </w:div>
    <w:div w:id="1518814877">
      <w:bodyDiv w:val="1"/>
      <w:marLeft w:val="0"/>
      <w:marRight w:val="0"/>
      <w:marTop w:val="0"/>
      <w:marBottom w:val="0"/>
      <w:divBdr>
        <w:top w:val="none" w:sz="0" w:space="0" w:color="auto"/>
        <w:left w:val="none" w:sz="0" w:space="0" w:color="auto"/>
        <w:bottom w:val="none" w:sz="0" w:space="0" w:color="auto"/>
        <w:right w:val="none" w:sz="0" w:space="0" w:color="auto"/>
      </w:divBdr>
    </w:div>
    <w:div w:id="1562247398">
      <w:bodyDiv w:val="1"/>
      <w:marLeft w:val="0"/>
      <w:marRight w:val="0"/>
      <w:marTop w:val="0"/>
      <w:marBottom w:val="0"/>
      <w:divBdr>
        <w:top w:val="none" w:sz="0" w:space="0" w:color="auto"/>
        <w:left w:val="none" w:sz="0" w:space="0" w:color="auto"/>
        <w:bottom w:val="none" w:sz="0" w:space="0" w:color="auto"/>
        <w:right w:val="none" w:sz="0" w:space="0" w:color="auto"/>
      </w:divBdr>
    </w:div>
    <w:div w:id="1580166058">
      <w:bodyDiv w:val="1"/>
      <w:marLeft w:val="0"/>
      <w:marRight w:val="0"/>
      <w:marTop w:val="0"/>
      <w:marBottom w:val="0"/>
      <w:divBdr>
        <w:top w:val="none" w:sz="0" w:space="0" w:color="auto"/>
        <w:left w:val="none" w:sz="0" w:space="0" w:color="auto"/>
        <w:bottom w:val="none" w:sz="0" w:space="0" w:color="auto"/>
        <w:right w:val="none" w:sz="0" w:space="0" w:color="auto"/>
      </w:divBdr>
    </w:div>
    <w:div w:id="1613589516">
      <w:bodyDiv w:val="1"/>
      <w:marLeft w:val="0"/>
      <w:marRight w:val="0"/>
      <w:marTop w:val="0"/>
      <w:marBottom w:val="0"/>
      <w:divBdr>
        <w:top w:val="none" w:sz="0" w:space="0" w:color="auto"/>
        <w:left w:val="none" w:sz="0" w:space="0" w:color="auto"/>
        <w:bottom w:val="none" w:sz="0" w:space="0" w:color="auto"/>
        <w:right w:val="none" w:sz="0" w:space="0" w:color="auto"/>
      </w:divBdr>
    </w:div>
    <w:div w:id="1626890461">
      <w:bodyDiv w:val="1"/>
      <w:marLeft w:val="0"/>
      <w:marRight w:val="0"/>
      <w:marTop w:val="0"/>
      <w:marBottom w:val="0"/>
      <w:divBdr>
        <w:top w:val="none" w:sz="0" w:space="0" w:color="auto"/>
        <w:left w:val="none" w:sz="0" w:space="0" w:color="auto"/>
        <w:bottom w:val="none" w:sz="0" w:space="0" w:color="auto"/>
        <w:right w:val="none" w:sz="0" w:space="0" w:color="auto"/>
      </w:divBdr>
    </w:div>
    <w:div w:id="1633292764">
      <w:bodyDiv w:val="1"/>
      <w:marLeft w:val="0"/>
      <w:marRight w:val="0"/>
      <w:marTop w:val="0"/>
      <w:marBottom w:val="0"/>
      <w:divBdr>
        <w:top w:val="none" w:sz="0" w:space="0" w:color="auto"/>
        <w:left w:val="none" w:sz="0" w:space="0" w:color="auto"/>
        <w:bottom w:val="none" w:sz="0" w:space="0" w:color="auto"/>
        <w:right w:val="none" w:sz="0" w:space="0" w:color="auto"/>
      </w:divBdr>
    </w:div>
    <w:div w:id="1636712521">
      <w:bodyDiv w:val="1"/>
      <w:marLeft w:val="0"/>
      <w:marRight w:val="0"/>
      <w:marTop w:val="0"/>
      <w:marBottom w:val="0"/>
      <w:divBdr>
        <w:top w:val="none" w:sz="0" w:space="0" w:color="auto"/>
        <w:left w:val="none" w:sz="0" w:space="0" w:color="auto"/>
        <w:bottom w:val="none" w:sz="0" w:space="0" w:color="auto"/>
        <w:right w:val="none" w:sz="0" w:space="0" w:color="auto"/>
      </w:divBdr>
    </w:div>
    <w:div w:id="1658612101">
      <w:bodyDiv w:val="1"/>
      <w:marLeft w:val="0"/>
      <w:marRight w:val="0"/>
      <w:marTop w:val="0"/>
      <w:marBottom w:val="0"/>
      <w:divBdr>
        <w:top w:val="none" w:sz="0" w:space="0" w:color="auto"/>
        <w:left w:val="none" w:sz="0" w:space="0" w:color="auto"/>
        <w:bottom w:val="none" w:sz="0" w:space="0" w:color="auto"/>
        <w:right w:val="none" w:sz="0" w:space="0" w:color="auto"/>
      </w:divBdr>
    </w:div>
    <w:div w:id="1663309166">
      <w:bodyDiv w:val="1"/>
      <w:marLeft w:val="0"/>
      <w:marRight w:val="0"/>
      <w:marTop w:val="0"/>
      <w:marBottom w:val="0"/>
      <w:divBdr>
        <w:top w:val="none" w:sz="0" w:space="0" w:color="auto"/>
        <w:left w:val="none" w:sz="0" w:space="0" w:color="auto"/>
        <w:bottom w:val="none" w:sz="0" w:space="0" w:color="auto"/>
        <w:right w:val="none" w:sz="0" w:space="0" w:color="auto"/>
      </w:divBdr>
    </w:div>
    <w:div w:id="1681464253">
      <w:bodyDiv w:val="1"/>
      <w:marLeft w:val="0"/>
      <w:marRight w:val="0"/>
      <w:marTop w:val="0"/>
      <w:marBottom w:val="0"/>
      <w:divBdr>
        <w:top w:val="none" w:sz="0" w:space="0" w:color="auto"/>
        <w:left w:val="none" w:sz="0" w:space="0" w:color="auto"/>
        <w:bottom w:val="none" w:sz="0" w:space="0" w:color="auto"/>
        <w:right w:val="none" w:sz="0" w:space="0" w:color="auto"/>
      </w:divBdr>
    </w:div>
    <w:div w:id="1702701623">
      <w:bodyDiv w:val="1"/>
      <w:marLeft w:val="0"/>
      <w:marRight w:val="0"/>
      <w:marTop w:val="0"/>
      <w:marBottom w:val="0"/>
      <w:divBdr>
        <w:top w:val="none" w:sz="0" w:space="0" w:color="auto"/>
        <w:left w:val="none" w:sz="0" w:space="0" w:color="auto"/>
        <w:bottom w:val="none" w:sz="0" w:space="0" w:color="auto"/>
        <w:right w:val="none" w:sz="0" w:space="0" w:color="auto"/>
      </w:divBdr>
    </w:div>
    <w:div w:id="1731342177">
      <w:bodyDiv w:val="1"/>
      <w:marLeft w:val="0"/>
      <w:marRight w:val="0"/>
      <w:marTop w:val="0"/>
      <w:marBottom w:val="0"/>
      <w:divBdr>
        <w:top w:val="none" w:sz="0" w:space="0" w:color="auto"/>
        <w:left w:val="none" w:sz="0" w:space="0" w:color="auto"/>
        <w:bottom w:val="none" w:sz="0" w:space="0" w:color="auto"/>
        <w:right w:val="none" w:sz="0" w:space="0" w:color="auto"/>
      </w:divBdr>
    </w:div>
    <w:div w:id="1739016027">
      <w:bodyDiv w:val="1"/>
      <w:marLeft w:val="0"/>
      <w:marRight w:val="0"/>
      <w:marTop w:val="0"/>
      <w:marBottom w:val="0"/>
      <w:divBdr>
        <w:top w:val="none" w:sz="0" w:space="0" w:color="auto"/>
        <w:left w:val="none" w:sz="0" w:space="0" w:color="auto"/>
        <w:bottom w:val="none" w:sz="0" w:space="0" w:color="auto"/>
        <w:right w:val="none" w:sz="0" w:space="0" w:color="auto"/>
      </w:divBdr>
    </w:div>
    <w:div w:id="1809545937">
      <w:bodyDiv w:val="1"/>
      <w:marLeft w:val="0"/>
      <w:marRight w:val="0"/>
      <w:marTop w:val="0"/>
      <w:marBottom w:val="0"/>
      <w:divBdr>
        <w:top w:val="none" w:sz="0" w:space="0" w:color="auto"/>
        <w:left w:val="none" w:sz="0" w:space="0" w:color="auto"/>
        <w:bottom w:val="none" w:sz="0" w:space="0" w:color="auto"/>
        <w:right w:val="none" w:sz="0" w:space="0" w:color="auto"/>
      </w:divBdr>
    </w:div>
    <w:div w:id="1847087601">
      <w:bodyDiv w:val="1"/>
      <w:marLeft w:val="0"/>
      <w:marRight w:val="0"/>
      <w:marTop w:val="0"/>
      <w:marBottom w:val="0"/>
      <w:divBdr>
        <w:top w:val="none" w:sz="0" w:space="0" w:color="auto"/>
        <w:left w:val="none" w:sz="0" w:space="0" w:color="auto"/>
        <w:bottom w:val="none" w:sz="0" w:space="0" w:color="auto"/>
        <w:right w:val="none" w:sz="0" w:space="0" w:color="auto"/>
      </w:divBdr>
    </w:div>
    <w:div w:id="1919901215">
      <w:bodyDiv w:val="1"/>
      <w:marLeft w:val="0"/>
      <w:marRight w:val="0"/>
      <w:marTop w:val="0"/>
      <w:marBottom w:val="0"/>
      <w:divBdr>
        <w:top w:val="none" w:sz="0" w:space="0" w:color="auto"/>
        <w:left w:val="none" w:sz="0" w:space="0" w:color="auto"/>
        <w:bottom w:val="none" w:sz="0" w:space="0" w:color="auto"/>
        <w:right w:val="none" w:sz="0" w:space="0" w:color="auto"/>
      </w:divBdr>
    </w:div>
    <w:div w:id="1926642180">
      <w:bodyDiv w:val="1"/>
      <w:marLeft w:val="0"/>
      <w:marRight w:val="0"/>
      <w:marTop w:val="0"/>
      <w:marBottom w:val="0"/>
      <w:divBdr>
        <w:top w:val="none" w:sz="0" w:space="0" w:color="auto"/>
        <w:left w:val="none" w:sz="0" w:space="0" w:color="auto"/>
        <w:bottom w:val="none" w:sz="0" w:space="0" w:color="auto"/>
        <w:right w:val="none" w:sz="0" w:space="0" w:color="auto"/>
      </w:divBdr>
    </w:div>
    <w:div w:id="1929776626">
      <w:bodyDiv w:val="1"/>
      <w:marLeft w:val="0"/>
      <w:marRight w:val="0"/>
      <w:marTop w:val="0"/>
      <w:marBottom w:val="0"/>
      <w:divBdr>
        <w:top w:val="none" w:sz="0" w:space="0" w:color="auto"/>
        <w:left w:val="none" w:sz="0" w:space="0" w:color="auto"/>
        <w:bottom w:val="none" w:sz="0" w:space="0" w:color="auto"/>
        <w:right w:val="none" w:sz="0" w:space="0" w:color="auto"/>
      </w:divBdr>
    </w:div>
    <w:div w:id="1941404416">
      <w:bodyDiv w:val="1"/>
      <w:marLeft w:val="0"/>
      <w:marRight w:val="0"/>
      <w:marTop w:val="0"/>
      <w:marBottom w:val="0"/>
      <w:divBdr>
        <w:top w:val="none" w:sz="0" w:space="0" w:color="auto"/>
        <w:left w:val="none" w:sz="0" w:space="0" w:color="auto"/>
        <w:bottom w:val="none" w:sz="0" w:space="0" w:color="auto"/>
        <w:right w:val="none" w:sz="0" w:space="0" w:color="auto"/>
      </w:divBdr>
    </w:div>
    <w:div w:id="1981303655">
      <w:bodyDiv w:val="1"/>
      <w:marLeft w:val="0"/>
      <w:marRight w:val="0"/>
      <w:marTop w:val="0"/>
      <w:marBottom w:val="0"/>
      <w:divBdr>
        <w:top w:val="none" w:sz="0" w:space="0" w:color="auto"/>
        <w:left w:val="none" w:sz="0" w:space="0" w:color="auto"/>
        <w:bottom w:val="none" w:sz="0" w:space="0" w:color="auto"/>
        <w:right w:val="none" w:sz="0" w:space="0" w:color="auto"/>
      </w:divBdr>
    </w:div>
    <w:div w:id="2043355845">
      <w:bodyDiv w:val="1"/>
      <w:marLeft w:val="0"/>
      <w:marRight w:val="0"/>
      <w:marTop w:val="0"/>
      <w:marBottom w:val="0"/>
      <w:divBdr>
        <w:top w:val="none" w:sz="0" w:space="0" w:color="auto"/>
        <w:left w:val="none" w:sz="0" w:space="0" w:color="auto"/>
        <w:bottom w:val="none" w:sz="0" w:space="0" w:color="auto"/>
        <w:right w:val="none" w:sz="0" w:space="0" w:color="auto"/>
      </w:divBdr>
    </w:div>
    <w:div w:id="2083403972">
      <w:marLeft w:val="0"/>
      <w:marRight w:val="0"/>
      <w:marTop w:val="0"/>
      <w:marBottom w:val="0"/>
      <w:divBdr>
        <w:top w:val="none" w:sz="0" w:space="0" w:color="auto"/>
        <w:left w:val="none" w:sz="0" w:space="0" w:color="auto"/>
        <w:bottom w:val="none" w:sz="0" w:space="0" w:color="auto"/>
        <w:right w:val="none" w:sz="0" w:space="0" w:color="auto"/>
      </w:divBdr>
    </w:div>
    <w:div w:id="2083403973">
      <w:marLeft w:val="0"/>
      <w:marRight w:val="0"/>
      <w:marTop w:val="0"/>
      <w:marBottom w:val="0"/>
      <w:divBdr>
        <w:top w:val="none" w:sz="0" w:space="0" w:color="auto"/>
        <w:left w:val="none" w:sz="0" w:space="0" w:color="auto"/>
        <w:bottom w:val="none" w:sz="0" w:space="0" w:color="auto"/>
        <w:right w:val="none" w:sz="0" w:space="0" w:color="auto"/>
      </w:divBdr>
    </w:div>
    <w:div w:id="2083403974">
      <w:marLeft w:val="0"/>
      <w:marRight w:val="0"/>
      <w:marTop w:val="0"/>
      <w:marBottom w:val="0"/>
      <w:divBdr>
        <w:top w:val="none" w:sz="0" w:space="0" w:color="auto"/>
        <w:left w:val="none" w:sz="0" w:space="0" w:color="auto"/>
        <w:bottom w:val="none" w:sz="0" w:space="0" w:color="auto"/>
        <w:right w:val="none" w:sz="0" w:space="0" w:color="auto"/>
      </w:divBdr>
    </w:div>
    <w:div w:id="2083403975">
      <w:marLeft w:val="0"/>
      <w:marRight w:val="0"/>
      <w:marTop w:val="0"/>
      <w:marBottom w:val="0"/>
      <w:divBdr>
        <w:top w:val="none" w:sz="0" w:space="0" w:color="auto"/>
        <w:left w:val="none" w:sz="0" w:space="0" w:color="auto"/>
        <w:bottom w:val="none" w:sz="0" w:space="0" w:color="auto"/>
        <w:right w:val="none" w:sz="0" w:space="0" w:color="auto"/>
      </w:divBdr>
    </w:div>
    <w:div w:id="2083403976">
      <w:marLeft w:val="0"/>
      <w:marRight w:val="0"/>
      <w:marTop w:val="0"/>
      <w:marBottom w:val="0"/>
      <w:divBdr>
        <w:top w:val="none" w:sz="0" w:space="0" w:color="auto"/>
        <w:left w:val="none" w:sz="0" w:space="0" w:color="auto"/>
        <w:bottom w:val="none" w:sz="0" w:space="0" w:color="auto"/>
        <w:right w:val="none" w:sz="0" w:space="0" w:color="auto"/>
      </w:divBdr>
    </w:div>
    <w:div w:id="2083403977">
      <w:marLeft w:val="0"/>
      <w:marRight w:val="0"/>
      <w:marTop w:val="0"/>
      <w:marBottom w:val="0"/>
      <w:divBdr>
        <w:top w:val="none" w:sz="0" w:space="0" w:color="auto"/>
        <w:left w:val="none" w:sz="0" w:space="0" w:color="auto"/>
        <w:bottom w:val="none" w:sz="0" w:space="0" w:color="auto"/>
        <w:right w:val="none" w:sz="0" w:space="0" w:color="auto"/>
      </w:divBdr>
    </w:div>
    <w:div w:id="2083403978">
      <w:marLeft w:val="0"/>
      <w:marRight w:val="0"/>
      <w:marTop w:val="0"/>
      <w:marBottom w:val="0"/>
      <w:divBdr>
        <w:top w:val="none" w:sz="0" w:space="0" w:color="auto"/>
        <w:left w:val="none" w:sz="0" w:space="0" w:color="auto"/>
        <w:bottom w:val="none" w:sz="0" w:space="0" w:color="auto"/>
        <w:right w:val="none" w:sz="0" w:space="0" w:color="auto"/>
      </w:divBdr>
    </w:div>
    <w:div w:id="2083403979">
      <w:marLeft w:val="0"/>
      <w:marRight w:val="0"/>
      <w:marTop w:val="0"/>
      <w:marBottom w:val="0"/>
      <w:divBdr>
        <w:top w:val="none" w:sz="0" w:space="0" w:color="auto"/>
        <w:left w:val="none" w:sz="0" w:space="0" w:color="auto"/>
        <w:bottom w:val="none" w:sz="0" w:space="0" w:color="auto"/>
        <w:right w:val="none" w:sz="0" w:space="0" w:color="auto"/>
      </w:divBdr>
    </w:div>
    <w:div w:id="2083403980">
      <w:marLeft w:val="0"/>
      <w:marRight w:val="0"/>
      <w:marTop w:val="0"/>
      <w:marBottom w:val="0"/>
      <w:divBdr>
        <w:top w:val="none" w:sz="0" w:space="0" w:color="auto"/>
        <w:left w:val="none" w:sz="0" w:space="0" w:color="auto"/>
        <w:bottom w:val="none" w:sz="0" w:space="0" w:color="auto"/>
        <w:right w:val="none" w:sz="0" w:space="0" w:color="auto"/>
      </w:divBdr>
    </w:div>
    <w:div w:id="2083403981">
      <w:marLeft w:val="0"/>
      <w:marRight w:val="0"/>
      <w:marTop w:val="0"/>
      <w:marBottom w:val="0"/>
      <w:divBdr>
        <w:top w:val="none" w:sz="0" w:space="0" w:color="auto"/>
        <w:left w:val="none" w:sz="0" w:space="0" w:color="auto"/>
        <w:bottom w:val="none" w:sz="0" w:space="0" w:color="auto"/>
        <w:right w:val="none" w:sz="0" w:space="0" w:color="auto"/>
      </w:divBdr>
    </w:div>
    <w:div w:id="2083403982">
      <w:marLeft w:val="0"/>
      <w:marRight w:val="0"/>
      <w:marTop w:val="0"/>
      <w:marBottom w:val="0"/>
      <w:divBdr>
        <w:top w:val="none" w:sz="0" w:space="0" w:color="auto"/>
        <w:left w:val="none" w:sz="0" w:space="0" w:color="auto"/>
        <w:bottom w:val="none" w:sz="0" w:space="0" w:color="auto"/>
        <w:right w:val="none" w:sz="0" w:space="0" w:color="auto"/>
      </w:divBdr>
    </w:div>
    <w:div w:id="2083403983">
      <w:marLeft w:val="0"/>
      <w:marRight w:val="0"/>
      <w:marTop w:val="0"/>
      <w:marBottom w:val="0"/>
      <w:divBdr>
        <w:top w:val="none" w:sz="0" w:space="0" w:color="auto"/>
        <w:left w:val="none" w:sz="0" w:space="0" w:color="auto"/>
        <w:bottom w:val="none" w:sz="0" w:space="0" w:color="auto"/>
        <w:right w:val="none" w:sz="0" w:space="0" w:color="auto"/>
      </w:divBdr>
    </w:div>
    <w:div w:id="2083403984">
      <w:marLeft w:val="0"/>
      <w:marRight w:val="0"/>
      <w:marTop w:val="0"/>
      <w:marBottom w:val="0"/>
      <w:divBdr>
        <w:top w:val="none" w:sz="0" w:space="0" w:color="auto"/>
        <w:left w:val="none" w:sz="0" w:space="0" w:color="auto"/>
        <w:bottom w:val="none" w:sz="0" w:space="0" w:color="auto"/>
        <w:right w:val="none" w:sz="0" w:space="0" w:color="auto"/>
      </w:divBdr>
    </w:div>
    <w:div w:id="2083403985">
      <w:marLeft w:val="0"/>
      <w:marRight w:val="0"/>
      <w:marTop w:val="0"/>
      <w:marBottom w:val="0"/>
      <w:divBdr>
        <w:top w:val="none" w:sz="0" w:space="0" w:color="auto"/>
        <w:left w:val="none" w:sz="0" w:space="0" w:color="auto"/>
        <w:bottom w:val="none" w:sz="0" w:space="0" w:color="auto"/>
        <w:right w:val="none" w:sz="0" w:space="0" w:color="auto"/>
      </w:divBdr>
    </w:div>
    <w:div w:id="2083403986">
      <w:marLeft w:val="0"/>
      <w:marRight w:val="0"/>
      <w:marTop w:val="0"/>
      <w:marBottom w:val="0"/>
      <w:divBdr>
        <w:top w:val="none" w:sz="0" w:space="0" w:color="auto"/>
        <w:left w:val="none" w:sz="0" w:space="0" w:color="auto"/>
        <w:bottom w:val="none" w:sz="0" w:space="0" w:color="auto"/>
        <w:right w:val="none" w:sz="0" w:space="0" w:color="auto"/>
      </w:divBdr>
    </w:div>
    <w:div w:id="2083403987">
      <w:marLeft w:val="0"/>
      <w:marRight w:val="0"/>
      <w:marTop w:val="0"/>
      <w:marBottom w:val="0"/>
      <w:divBdr>
        <w:top w:val="none" w:sz="0" w:space="0" w:color="auto"/>
        <w:left w:val="none" w:sz="0" w:space="0" w:color="auto"/>
        <w:bottom w:val="none" w:sz="0" w:space="0" w:color="auto"/>
        <w:right w:val="none" w:sz="0" w:space="0" w:color="auto"/>
      </w:divBdr>
    </w:div>
    <w:div w:id="2083403988">
      <w:marLeft w:val="0"/>
      <w:marRight w:val="0"/>
      <w:marTop w:val="0"/>
      <w:marBottom w:val="0"/>
      <w:divBdr>
        <w:top w:val="none" w:sz="0" w:space="0" w:color="auto"/>
        <w:left w:val="none" w:sz="0" w:space="0" w:color="auto"/>
        <w:bottom w:val="none" w:sz="0" w:space="0" w:color="auto"/>
        <w:right w:val="none" w:sz="0" w:space="0" w:color="auto"/>
      </w:divBdr>
    </w:div>
    <w:div w:id="2083403989">
      <w:marLeft w:val="0"/>
      <w:marRight w:val="0"/>
      <w:marTop w:val="0"/>
      <w:marBottom w:val="0"/>
      <w:divBdr>
        <w:top w:val="none" w:sz="0" w:space="0" w:color="auto"/>
        <w:left w:val="none" w:sz="0" w:space="0" w:color="auto"/>
        <w:bottom w:val="none" w:sz="0" w:space="0" w:color="auto"/>
        <w:right w:val="none" w:sz="0" w:space="0" w:color="auto"/>
      </w:divBdr>
    </w:div>
    <w:div w:id="2083403990">
      <w:marLeft w:val="0"/>
      <w:marRight w:val="0"/>
      <w:marTop w:val="0"/>
      <w:marBottom w:val="0"/>
      <w:divBdr>
        <w:top w:val="none" w:sz="0" w:space="0" w:color="auto"/>
        <w:left w:val="none" w:sz="0" w:space="0" w:color="auto"/>
        <w:bottom w:val="none" w:sz="0" w:space="0" w:color="auto"/>
        <w:right w:val="none" w:sz="0" w:space="0" w:color="auto"/>
      </w:divBdr>
    </w:div>
    <w:div w:id="2083403991">
      <w:marLeft w:val="0"/>
      <w:marRight w:val="0"/>
      <w:marTop w:val="0"/>
      <w:marBottom w:val="0"/>
      <w:divBdr>
        <w:top w:val="none" w:sz="0" w:space="0" w:color="auto"/>
        <w:left w:val="none" w:sz="0" w:space="0" w:color="auto"/>
        <w:bottom w:val="none" w:sz="0" w:space="0" w:color="auto"/>
        <w:right w:val="none" w:sz="0" w:space="0" w:color="auto"/>
      </w:divBdr>
    </w:div>
    <w:div w:id="2083403992">
      <w:marLeft w:val="0"/>
      <w:marRight w:val="0"/>
      <w:marTop w:val="0"/>
      <w:marBottom w:val="0"/>
      <w:divBdr>
        <w:top w:val="none" w:sz="0" w:space="0" w:color="auto"/>
        <w:left w:val="none" w:sz="0" w:space="0" w:color="auto"/>
        <w:bottom w:val="none" w:sz="0" w:space="0" w:color="auto"/>
        <w:right w:val="none" w:sz="0" w:space="0" w:color="auto"/>
      </w:divBdr>
    </w:div>
    <w:div w:id="2083403993">
      <w:marLeft w:val="0"/>
      <w:marRight w:val="0"/>
      <w:marTop w:val="0"/>
      <w:marBottom w:val="0"/>
      <w:divBdr>
        <w:top w:val="none" w:sz="0" w:space="0" w:color="auto"/>
        <w:left w:val="none" w:sz="0" w:space="0" w:color="auto"/>
        <w:bottom w:val="none" w:sz="0" w:space="0" w:color="auto"/>
        <w:right w:val="none" w:sz="0" w:space="0" w:color="auto"/>
      </w:divBdr>
    </w:div>
    <w:div w:id="2083403994">
      <w:marLeft w:val="0"/>
      <w:marRight w:val="0"/>
      <w:marTop w:val="0"/>
      <w:marBottom w:val="0"/>
      <w:divBdr>
        <w:top w:val="none" w:sz="0" w:space="0" w:color="auto"/>
        <w:left w:val="none" w:sz="0" w:space="0" w:color="auto"/>
        <w:bottom w:val="none" w:sz="0" w:space="0" w:color="auto"/>
        <w:right w:val="none" w:sz="0" w:space="0" w:color="auto"/>
      </w:divBdr>
    </w:div>
    <w:div w:id="2083403995">
      <w:marLeft w:val="0"/>
      <w:marRight w:val="0"/>
      <w:marTop w:val="0"/>
      <w:marBottom w:val="0"/>
      <w:divBdr>
        <w:top w:val="none" w:sz="0" w:space="0" w:color="auto"/>
        <w:left w:val="none" w:sz="0" w:space="0" w:color="auto"/>
        <w:bottom w:val="none" w:sz="0" w:space="0" w:color="auto"/>
        <w:right w:val="none" w:sz="0" w:space="0" w:color="auto"/>
      </w:divBdr>
    </w:div>
    <w:div w:id="2083403996">
      <w:marLeft w:val="0"/>
      <w:marRight w:val="0"/>
      <w:marTop w:val="0"/>
      <w:marBottom w:val="0"/>
      <w:divBdr>
        <w:top w:val="none" w:sz="0" w:space="0" w:color="auto"/>
        <w:left w:val="none" w:sz="0" w:space="0" w:color="auto"/>
        <w:bottom w:val="none" w:sz="0" w:space="0" w:color="auto"/>
        <w:right w:val="none" w:sz="0" w:space="0" w:color="auto"/>
      </w:divBdr>
    </w:div>
    <w:div w:id="2083403997">
      <w:marLeft w:val="0"/>
      <w:marRight w:val="0"/>
      <w:marTop w:val="0"/>
      <w:marBottom w:val="0"/>
      <w:divBdr>
        <w:top w:val="none" w:sz="0" w:space="0" w:color="auto"/>
        <w:left w:val="none" w:sz="0" w:space="0" w:color="auto"/>
        <w:bottom w:val="none" w:sz="0" w:space="0" w:color="auto"/>
        <w:right w:val="none" w:sz="0" w:space="0" w:color="auto"/>
      </w:divBdr>
    </w:div>
    <w:div w:id="2083403998">
      <w:marLeft w:val="0"/>
      <w:marRight w:val="0"/>
      <w:marTop w:val="0"/>
      <w:marBottom w:val="0"/>
      <w:divBdr>
        <w:top w:val="none" w:sz="0" w:space="0" w:color="auto"/>
        <w:left w:val="none" w:sz="0" w:space="0" w:color="auto"/>
        <w:bottom w:val="none" w:sz="0" w:space="0" w:color="auto"/>
        <w:right w:val="none" w:sz="0" w:space="0" w:color="auto"/>
      </w:divBdr>
    </w:div>
    <w:div w:id="2083403999">
      <w:marLeft w:val="0"/>
      <w:marRight w:val="0"/>
      <w:marTop w:val="0"/>
      <w:marBottom w:val="0"/>
      <w:divBdr>
        <w:top w:val="none" w:sz="0" w:space="0" w:color="auto"/>
        <w:left w:val="none" w:sz="0" w:space="0" w:color="auto"/>
        <w:bottom w:val="none" w:sz="0" w:space="0" w:color="auto"/>
        <w:right w:val="none" w:sz="0" w:space="0" w:color="auto"/>
      </w:divBdr>
    </w:div>
    <w:div w:id="2083404000">
      <w:marLeft w:val="0"/>
      <w:marRight w:val="0"/>
      <w:marTop w:val="0"/>
      <w:marBottom w:val="0"/>
      <w:divBdr>
        <w:top w:val="none" w:sz="0" w:space="0" w:color="auto"/>
        <w:left w:val="none" w:sz="0" w:space="0" w:color="auto"/>
        <w:bottom w:val="none" w:sz="0" w:space="0" w:color="auto"/>
        <w:right w:val="none" w:sz="0" w:space="0" w:color="auto"/>
      </w:divBdr>
    </w:div>
    <w:div w:id="2083404001">
      <w:marLeft w:val="0"/>
      <w:marRight w:val="0"/>
      <w:marTop w:val="0"/>
      <w:marBottom w:val="0"/>
      <w:divBdr>
        <w:top w:val="none" w:sz="0" w:space="0" w:color="auto"/>
        <w:left w:val="none" w:sz="0" w:space="0" w:color="auto"/>
        <w:bottom w:val="none" w:sz="0" w:space="0" w:color="auto"/>
        <w:right w:val="none" w:sz="0" w:space="0" w:color="auto"/>
      </w:divBdr>
    </w:div>
    <w:div w:id="2083404002">
      <w:marLeft w:val="0"/>
      <w:marRight w:val="0"/>
      <w:marTop w:val="0"/>
      <w:marBottom w:val="0"/>
      <w:divBdr>
        <w:top w:val="none" w:sz="0" w:space="0" w:color="auto"/>
        <w:left w:val="none" w:sz="0" w:space="0" w:color="auto"/>
        <w:bottom w:val="none" w:sz="0" w:space="0" w:color="auto"/>
        <w:right w:val="none" w:sz="0" w:space="0" w:color="auto"/>
      </w:divBdr>
    </w:div>
    <w:div w:id="2083404003">
      <w:marLeft w:val="0"/>
      <w:marRight w:val="0"/>
      <w:marTop w:val="0"/>
      <w:marBottom w:val="0"/>
      <w:divBdr>
        <w:top w:val="none" w:sz="0" w:space="0" w:color="auto"/>
        <w:left w:val="none" w:sz="0" w:space="0" w:color="auto"/>
        <w:bottom w:val="none" w:sz="0" w:space="0" w:color="auto"/>
        <w:right w:val="none" w:sz="0" w:space="0" w:color="auto"/>
      </w:divBdr>
    </w:div>
    <w:div w:id="2083404004">
      <w:marLeft w:val="0"/>
      <w:marRight w:val="0"/>
      <w:marTop w:val="0"/>
      <w:marBottom w:val="0"/>
      <w:divBdr>
        <w:top w:val="none" w:sz="0" w:space="0" w:color="auto"/>
        <w:left w:val="none" w:sz="0" w:space="0" w:color="auto"/>
        <w:bottom w:val="none" w:sz="0" w:space="0" w:color="auto"/>
        <w:right w:val="none" w:sz="0" w:space="0" w:color="auto"/>
      </w:divBdr>
    </w:div>
    <w:div w:id="2083404005">
      <w:marLeft w:val="0"/>
      <w:marRight w:val="0"/>
      <w:marTop w:val="0"/>
      <w:marBottom w:val="0"/>
      <w:divBdr>
        <w:top w:val="none" w:sz="0" w:space="0" w:color="auto"/>
        <w:left w:val="none" w:sz="0" w:space="0" w:color="auto"/>
        <w:bottom w:val="none" w:sz="0" w:space="0" w:color="auto"/>
        <w:right w:val="none" w:sz="0" w:space="0" w:color="auto"/>
      </w:divBdr>
    </w:div>
    <w:div w:id="2083404006">
      <w:marLeft w:val="0"/>
      <w:marRight w:val="0"/>
      <w:marTop w:val="0"/>
      <w:marBottom w:val="0"/>
      <w:divBdr>
        <w:top w:val="none" w:sz="0" w:space="0" w:color="auto"/>
        <w:left w:val="none" w:sz="0" w:space="0" w:color="auto"/>
        <w:bottom w:val="none" w:sz="0" w:space="0" w:color="auto"/>
        <w:right w:val="none" w:sz="0" w:space="0" w:color="auto"/>
      </w:divBdr>
    </w:div>
    <w:div w:id="2083404007">
      <w:marLeft w:val="0"/>
      <w:marRight w:val="0"/>
      <w:marTop w:val="0"/>
      <w:marBottom w:val="0"/>
      <w:divBdr>
        <w:top w:val="none" w:sz="0" w:space="0" w:color="auto"/>
        <w:left w:val="none" w:sz="0" w:space="0" w:color="auto"/>
        <w:bottom w:val="none" w:sz="0" w:space="0" w:color="auto"/>
        <w:right w:val="none" w:sz="0" w:space="0" w:color="auto"/>
      </w:divBdr>
    </w:div>
    <w:div w:id="2083404008">
      <w:marLeft w:val="0"/>
      <w:marRight w:val="0"/>
      <w:marTop w:val="0"/>
      <w:marBottom w:val="0"/>
      <w:divBdr>
        <w:top w:val="none" w:sz="0" w:space="0" w:color="auto"/>
        <w:left w:val="none" w:sz="0" w:space="0" w:color="auto"/>
        <w:bottom w:val="none" w:sz="0" w:space="0" w:color="auto"/>
        <w:right w:val="none" w:sz="0" w:space="0" w:color="auto"/>
      </w:divBdr>
    </w:div>
    <w:div w:id="2083404009">
      <w:marLeft w:val="0"/>
      <w:marRight w:val="0"/>
      <w:marTop w:val="0"/>
      <w:marBottom w:val="0"/>
      <w:divBdr>
        <w:top w:val="none" w:sz="0" w:space="0" w:color="auto"/>
        <w:left w:val="none" w:sz="0" w:space="0" w:color="auto"/>
        <w:bottom w:val="none" w:sz="0" w:space="0" w:color="auto"/>
        <w:right w:val="none" w:sz="0" w:space="0" w:color="auto"/>
      </w:divBdr>
    </w:div>
    <w:div w:id="2083404010">
      <w:marLeft w:val="0"/>
      <w:marRight w:val="0"/>
      <w:marTop w:val="0"/>
      <w:marBottom w:val="0"/>
      <w:divBdr>
        <w:top w:val="none" w:sz="0" w:space="0" w:color="auto"/>
        <w:left w:val="none" w:sz="0" w:space="0" w:color="auto"/>
        <w:bottom w:val="none" w:sz="0" w:space="0" w:color="auto"/>
        <w:right w:val="none" w:sz="0" w:space="0" w:color="auto"/>
      </w:divBdr>
    </w:div>
    <w:div w:id="2083404011">
      <w:marLeft w:val="0"/>
      <w:marRight w:val="0"/>
      <w:marTop w:val="0"/>
      <w:marBottom w:val="0"/>
      <w:divBdr>
        <w:top w:val="none" w:sz="0" w:space="0" w:color="auto"/>
        <w:left w:val="none" w:sz="0" w:space="0" w:color="auto"/>
        <w:bottom w:val="none" w:sz="0" w:space="0" w:color="auto"/>
        <w:right w:val="none" w:sz="0" w:space="0" w:color="auto"/>
      </w:divBdr>
    </w:div>
    <w:div w:id="2083404012">
      <w:marLeft w:val="0"/>
      <w:marRight w:val="0"/>
      <w:marTop w:val="0"/>
      <w:marBottom w:val="0"/>
      <w:divBdr>
        <w:top w:val="none" w:sz="0" w:space="0" w:color="auto"/>
        <w:left w:val="none" w:sz="0" w:space="0" w:color="auto"/>
        <w:bottom w:val="none" w:sz="0" w:space="0" w:color="auto"/>
        <w:right w:val="none" w:sz="0" w:space="0" w:color="auto"/>
      </w:divBdr>
    </w:div>
    <w:div w:id="2083404013">
      <w:marLeft w:val="0"/>
      <w:marRight w:val="0"/>
      <w:marTop w:val="0"/>
      <w:marBottom w:val="0"/>
      <w:divBdr>
        <w:top w:val="none" w:sz="0" w:space="0" w:color="auto"/>
        <w:left w:val="none" w:sz="0" w:space="0" w:color="auto"/>
        <w:bottom w:val="none" w:sz="0" w:space="0" w:color="auto"/>
        <w:right w:val="none" w:sz="0" w:space="0" w:color="auto"/>
      </w:divBdr>
    </w:div>
    <w:div w:id="2083404014">
      <w:marLeft w:val="0"/>
      <w:marRight w:val="0"/>
      <w:marTop w:val="0"/>
      <w:marBottom w:val="0"/>
      <w:divBdr>
        <w:top w:val="none" w:sz="0" w:space="0" w:color="auto"/>
        <w:left w:val="none" w:sz="0" w:space="0" w:color="auto"/>
        <w:bottom w:val="none" w:sz="0" w:space="0" w:color="auto"/>
        <w:right w:val="none" w:sz="0" w:space="0" w:color="auto"/>
      </w:divBdr>
    </w:div>
    <w:div w:id="2083404015">
      <w:marLeft w:val="0"/>
      <w:marRight w:val="0"/>
      <w:marTop w:val="0"/>
      <w:marBottom w:val="0"/>
      <w:divBdr>
        <w:top w:val="none" w:sz="0" w:space="0" w:color="auto"/>
        <w:left w:val="none" w:sz="0" w:space="0" w:color="auto"/>
        <w:bottom w:val="none" w:sz="0" w:space="0" w:color="auto"/>
        <w:right w:val="none" w:sz="0" w:space="0" w:color="auto"/>
      </w:divBdr>
    </w:div>
    <w:div w:id="2083404016">
      <w:marLeft w:val="0"/>
      <w:marRight w:val="0"/>
      <w:marTop w:val="0"/>
      <w:marBottom w:val="0"/>
      <w:divBdr>
        <w:top w:val="none" w:sz="0" w:space="0" w:color="auto"/>
        <w:left w:val="none" w:sz="0" w:space="0" w:color="auto"/>
        <w:bottom w:val="none" w:sz="0" w:space="0" w:color="auto"/>
        <w:right w:val="none" w:sz="0" w:space="0" w:color="auto"/>
      </w:divBdr>
    </w:div>
    <w:div w:id="2083404017">
      <w:marLeft w:val="0"/>
      <w:marRight w:val="0"/>
      <w:marTop w:val="0"/>
      <w:marBottom w:val="0"/>
      <w:divBdr>
        <w:top w:val="none" w:sz="0" w:space="0" w:color="auto"/>
        <w:left w:val="none" w:sz="0" w:space="0" w:color="auto"/>
        <w:bottom w:val="none" w:sz="0" w:space="0" w:color="auto"/>
        <w:right w:val="none" w:sz="0" w:space="0" w:color="auto"/>
      </w:divBdr>
    </w:div>
    <w:div w:id="2083404018">
      <w:marLeft w:val="0"/>
      <w:marRight w:val="0"/>
      <w:marTop w:val="0"/>
      <w:marBottom w:val="0"/>
      <w:divBdr>
        <w:top w:val="none" w:sz="0" w:space="0" w:color="auto"/>
        <w:left w:val="none" w:sz="0" w:space="0" w:color="auto"/>
        <w:bottom w:val="none" w:sz="0" w:space="0" w:color="auto"/>
        <w:right w:val="none" w:sz="0" w:space="0" w:color="auto"/>
      </w:divBdr>
    </w:div>
    <w:div w:id="2083404019">
      <w:marLeft w:val="0"/>
      <w:marRight w:val="0"/>
      <w:marTop w:val="0"/>
      <w:marBottom w:val="0"/>
      <w:divBdr>
        <w:top w:val="none" w:sz="0" w:space="0" w:color="auto"/>
        <w:left w:val="none" w:sz="0" w:space="0" w:color="auto"/>
        <w:bottom w:val="none" w:sz="0" w:space="0" w:color="auto"/>
        <w:right w:val="none" w:sz="0" w:space="0" w:color="auto"/>
      </w:divBdr>
    </w:div>
    <w:div w:id="2083404020">
      <w:marLeft w:val="0"/>
      <w:marRight w:val="0"/>
      <w:marTop w:val="0"/>
      <w:marBottom w:val="0"/>
      <w:divBdr>
        <w:top w:val="none" w:sz="0" w:space="0" w:color="auto"/>
        <w:left w:val="none" w:sz="0" w:space="0" w:color="auto"/>
        <w:bottom w:val="none" w:sz="0" w:space="0" w:color="auto"/>
        <w:right w:val="none" w:sz="0" w:space="0" w:color="auto"/>
      </w:divBdr>
    </w:div>
    <w:div w:id="2083404021">
      <w:marLeft w:val="0"/>
      <w:marRight w:val="0"/>
      <w:marTop w:val="0"/>
      <w:marBottom w:val="0"/>
      <w:divBdr>
        <w:top w:val="none" w:sz="0" w:space="0" w:color="auto"/>
        <w:left w:val="none" w:sz="0" w:space="0" w:color="auto"/>
        <w:bottom w:val="none" w:sz="0" w:space="0" w:color="auto"/>
        <w:right w:val="none" w:sz="0" w:space="0" w:color="auto"/>
      </w:divBdr>
    </w:div>
    <w:div w:id="2083404022">
      <w:marLeft w:val="0"/>
      <w:marRight w:val="0"/>
      <w:marTop w:val="0"/>
      <w:marBottom w:val="0"/>
      <w:divBdr>
        <w:top w:val="none" w:sz="0" w:space="0" w:color="auto"/>
        <w:left w:val="none" w:sz="0" w:space="0" w:color="auto"/>
        <w:bottom w:val="none" w:sz="0" w:space="0" w:color="auto"/>
        <w:right w:val="none" w:sz="0" w:space="0" w:color="auto"/>
      </w:divBdr>
    </w:div>
    <w:div w:id="2083404023">
      <w:marLeft w:val="0"/>
      <w:marRight w:val="0"/>
      <w:marTop w:val="0"/>
      <w:marBottom w:val="0"/>
      <w:divBdr>
        <w:top w:val="none" w:sz="0" w:space="0" w:color="auto"/>
        <w:left w:val="none" w:sz="0" w:space="0" w:color="auto"/>
        <w:bottom w:val="none" w:sz="0" w:space="0" w:color="auto"/>
        <w:right w:val="none" w:sz="0" w:space="0" w:color="auto"/>
      </w:divBdr>
    </w:div>
    <w:div w:id="2083404024">
      <w:marLeft w:val="0"/>
      <w:marRight w:val="0"/>
      <w:marTop w:val="0"/>
      <w:marBottom w:val="0"/>
      <w:divBdr>
        <w:top w:val="none" w:sz="0" w:space="0" w:color="auto"/>
        <w:left w:val="none" w:sz="0" w:space="0" w:color="auto"/>
        <w:bottom w:val="none" w:sz="0" w:space="0" w:color="auto"/>
        <w:right w:val="none" w:sz="0" w:space="0" w:color="auto"/>
      </w:divBdr>
    </w:div>
    <w:div w:id="2083404025">
      <w:marLeft w:val="0"/>
      <w:marRight w:val="0"/>
      <w:marTop w:val="0"/>
      <w:marBottom w:val="0"/>
      <w:divBdr>
        <w:top w:val="none" w:sz="0" w:space="0" w:color="auto"/>
        <w:left w:val="none" w:sz="0" w:space="0" w:color="auto"/>
        <w:bottom w:val="none" w:sz="0" w:space="0" w:color="auto"/>
        <w:right w:val="none" w:sz="0" w:space="0" w:color="auto"/>
      </w:divBdr>
    </w:div>
    <w:div w:id="2083404026">
      <w:marLeft w:val="0"/>
      <w:marRight w:val="0"/>
      <w:marTop w:val="0"/>
      <w:marBottom w:val="0"/>
      <w:divBdr>
        <w:top w:val="none" w:sz="0" w:space="0" w:color="auto"/>
        <w:left w:val="none" w:sz="0" w:space="0" w:color="auto"/>
        <w:bottom w:val="none" w:sz="0" w:space="0" w:color="auto"/>
        <w:right w:val="none" w:sz="0" w:space="0" w:color="auto"/>
      </w:divBdr>
    </w:div>
    <w:div w:id="2083404027">
      <w:marLeft w:val="0"/>
      <w:marRight w:val="0"/>
      <w:marTop w:val="0"/>
      <w:marBottom w:val="0"/>
      <w:divBdr>
        <w:top w:val="none" w:sz="0" w:space="0" w:color="auto"/>
        <w:left w:val="none" w:sz="0" w:space="0" w:color="auto"/>
        <w:bottom w:val="none" w:sz="0" w:space="0" w:color="auto"/>
        <w:right w:val="none" w:sz="0" w:space="0" w:color="auto"/>
      </w:divBdr>
    </w:div>
    <w:div w:id="2083404028">
      <w:marLeft w:val="0"/>
      <w:marRight w:val="0"/>
      <w:marTop w:val="0"/>
      <w:marBottom w:val="0"/>
      <w:divBdr>
        <w:top w:val="none" w:sz="0" w:space="0" w:color="auto"/>
        <w:left w:val="none" w:sz="0" w:space="0" w:color="auto"/>
        <w:bottom w:val="none" w:sz="0" w:space="0" w:color="auto"/>
        <w:right w:val="none" w:sz="0" w:space="0" w:color="auto"/>
      </w:divBdr>
    </w:div>
    <w:div w:id="2083404029">
      <w:marLeft w:val="0"/>
      <w:marRight w:val="0"/>
      <w:marTop w:val="0"/>
      <w:marBottom w:val="0"/>
      <w:divBdr>
        <w:top w:val="none" w:sz="0" w:space="0" w:color="auto"/>
        <w:left w:val="none" w:sz="0" w:space="0" w:color="auto"/>
        <w:bottom w:val="none" w:sz="0" w:space="0" w:color="auto"/>
        <w:right w:val="none" w:sz="0" w:space="0" w:color="auto"/>
      </w:divBdr>
    </w:div>
    <w:div w:id="2083404030">
      <w:marLeft w:val="0"/>
      <w:marRight w:val="0"/>
      <w:marTop w:val="0"/>
      <w:marBottom w:val="0"/>
      <w:divBdr>
        <w:top w:val="none" w:sz="0" w:space="0" w:color="auto"/>
        <w:left w:val="none" w:sz="0" w:space="0" w:color="auto"/>
        <w:bottom w:val="none" w:sz="0" w:space="0" w:color="auto"/>
        <w:right w:val="none" w:sz="0" w:space="0" w:color="auto"/>
      </w:divBdr>
    </w:div>
    <w:div w:id="2083404031">
      <w:marLeft w:val="0"/>
      <w:marRight w:val="0"/>
      <w:marTop w:val="0"/>
      <w:marBottom w:val="0"/>
      <w:divBdr>
        <w:top w:val="none" w:sz="0" w:space="0" w:color="auto"/>
        <w:left w:val="none" w:sz="0" w:space="0" w:color="auto"/>
        <w:bottom w:val="none" w:sz="0" w:space="0" w:color="auto"/>
        <w:right w:val="none" w:sz="0" w:space="0" w:color="auto"/>
      </w:divBdr>
    </w:div>
    <w:div w:id="2083404032">
      <w:marLeft w:val="0"/>
      <w:marRight w:val="0"/>
      <w:marTop w:val="0"/>
      <w:marBottom w:val="0"/>
      <w:divBdr>
        <w:top w:val="none" w:sz="0" w:space="0" w:color="auto"/>
        <w:left w:val="none" w:sz="0" w:space="0" w:color="auto"/>
        <w:bottom w:val="none" w:sz="0" w:space="0" w:color="auto"/>
        <w:right w:val="none" w:sz="0" w:space="0" w:color="auto"/>
      </w:divBdr>
    </w:div>
    <w:div w:id="2083404033">
      <w:marLeft w:val="0"/>
      <w:marRight w:val="0"/>
      <w:marTop w:val="0"/>
      <w:marBottom w:val="0"/>
      <w:divBdr>
        <w:top w:val="none" w:sz="0" w:space="0" w:color="auto"/>
        <w:left w:val="none" w:sz="0" w:space="0" w:color="auto"/>
        <w:bottom w:val="none" w:sz="0" w:space="0" w:color="auto"/>
        <w:right w:val="none" w:sz="0" w:space="0" w:color="auto"/>
      </w:divBdr>
    </w:div>
    <w:div w:id="2083404034">
      <w:marLeft w:val="0"/>
      <w:marRight w:val="0"/>
      <w:marTop w:val="0"/>
      <w:marBottom w:val="0"/>
      <w:divBdr>
        <w:top w:val="none" w:sz="0" w:space="0" w:color="auto"/>
        <w:left w:val="none" w:sz="0" w:space="0" w:color="auto"/>
        <w:bottom w:val="none" w:sz="0" w:space="0" w:color="auto"/>
        <w:right w:val="none" w:sz="0" w:space="0" w:color="auto"/>
      </w:divBdr>
    </w:div>
    <w:div w:id="2083404035">
      <w:marLeft w:val="0"/>
      <w:marRight w:val="0"/>
      <w:marTop w:val="0"/>
      <w:marBottom w:val="0"/>
      <w:divBdr>
        <w:top w:val="none" w:sz="0" w:space="0" w:color="auto"/>
        <w:left w:val="none" w:sz="0" w:space="0" w:color="auto"/>
        <w:bottom w:val="none" w:sz="0" w:space="0" w:color="auto"/>
        <w:right w:val="none" w:sz="0" w:space="0" w:color="auto"/>
      </w:divBdr>
    </w:div>
    <w:div w:id="2083404036">
      <w:marLeft w:val="0"/>
      <w:marRight w:val="0"/>
      <w:marTop w:val="0"/>
      <w:marBottom w:val="0"/>
      <w:divBdr>
        <w:top w:val="none" w:sz="0" w:space="0" w:color="auto"/>
        <w:left w:val="none" w:sz="0" w:space="0" w:color="auto"/>
        <w:bottom w:val="none" w:sz="0" w:space="0" w:color="auto"/>
        <w:right w:val="none" w:sz="0" w:space="0" w:color="auto"/>
      </w:divBdr>
    </w:div>
    <w:div w:id="2083404037">
      <w:marLeft w:val="0"/>
      <w:marRight w:val="0"/>
      <w:marTop w:val="0"/>
      <w:marBottom w:val="0"/>
      <w:divBdr>
        <w:top w:val="none" w:sz="0" w:space="0" w:color="auto"/>
        <w:left w:val="none" w:sz="0" w:space="0" w:color="auto"/>
        <w:bottom w:val="none" w:sz="0" w:space="0" w:color="auto"/>
        <w:right w:val="none" w:sz="0" w:space="0" w:color="auto"/>
      </w:divBdr>
    </w:div>
    <w:div w:id="2083404038">
      <w:marLeft w:val="0"/>
      <w:marRight w:val="0"/>
      <w:marTop w:val="0"/>
      <w:marBottom w:val="0"/>
      <w:divBdr>
        <w:top w:val="none" w:sz="0" w:space="0" w:color="auto"/>
        <w:left w:val="none" w:sz="0" w:space="0" w:color="auto"/>
        <w:bottom w:val="none" w:sz="0" w:space="0" w:color="auto"/>
        <w:right w:val="none" w:sz="0" w:space="0" w:color="auto"/>
      </w:divBdr>
    </w:div>
    <w:div w:id="2083404039">
      <w:marLeft w:val="0"/>
      <w:marRight w:val="0"/>
      <w:marTop w:val="0"/>
      <w:marBottom w:val="0"/>
      <w:divBdr>
        <w:top w:val="none" w:sz="0" w:space="0" w:color="auto"/>
        <w:left w:val="none" w:sz="0" w:space="0" w:color="auto"/>
        <w:bottom w:val="none" w:sz="0" w:space="0" w:color="auto"/>
        <w:right w:val="none" w:sz="0" w:space="0" w:color="auto"/>
      </w:divBdr>
    </w:div>
    <w:div w:id="2083404040">
      <w:marLeft w:val="0"/>
      <w:marRight w:val="0"/>
      <w:marTop w:val="0"/>
      <w:marBottom w:val="0"/>
      <w:divBdr>
        <w:top w:val="none" w:sz="0" w:space="0" w:color="auto"/>
        <w:left w:val="none" w:sz="0" w:space="0" w:color="auto"/>
        <w:bottom w:val="none" w:sz="0" w:space="0" w:color="auto"/>
        <w:right w:val="none" w:sz="0" w:space="0" w:color="auto"/>
      </w:divBdr>
    </w:div>
    <w:div w:id="2083404041">
      <w:marLeft w:val="0"/>
      <w:marRight w:val="0"/>
      <w:marTop w:val="0"/>
      <w:marBottom w:val="0"/>
      <w:divBdr>
        <w:top w:val="none" w:sz="0" w:space="0" w:color="auto"/>
        <w:left w:val="none" w:sz="0" w:space="0" w:color="auto"/>
        <w:bottom w:val="none" w:sz="0" w:space="0" w:color="auto"/>
        <w:right w:val="none" w:sz="0" w:space="0" w:color="auto"/>
      </w:divBdr>
    </w:div>
    <w:div w:id="2083404042">
      <w:marLeft w:val="0"/>
      <w:marRight w:val="0"/>
      <w:marTop w:val="0"/>
      <w:marBottom w:val="0"/>
      <w:divBdr>
        <w:top w:val="none" w:sz="0" w:space="0" w:color="auto"/>
        <w:left w:val="none" w:sz="0" w:space="0" w:color="auto"/>
        <w:bottom w:val="none" w:sz="0" w:space="0" w:color="auto"/>
        <w:right w:val="none" w:sz="0" w:space="0" w:color="auto"/>
      </w:divBdr>
    </w:div>
    <w:div w:id="2083404043">
      <w:marLeft w:val="0"/>
      <w:marRight w:val="0"/>
      <w:marTop w:val="0"/>
      <w:marBottom w:val="0"/>
      <w:divBdr>
        <w:top w:val="none" w:sz="0" w:space="0" w:color="auto"/>
        <w:left w:val="none" w:sz="0" w:space="0" w:color="auto"/>
        <w:bottom w:val="none" w:sz="0" w:space="0" w:color="auto"/>
        <w:right w:val="none" w:sz="0" w:space="0" w:color="auto"/>
      </w:divBdr>
    </w:div>
    <w:div w:id="2083404044">
      <w:marLeft w:val="0"/>
      <w:marRight w:val="0"/>
      <w:marTop w:val="0"/>
      <w:marBottom w:val="0"/>
      <w:divBdr>
        <w:top w:val="none" w:sz="0" w:space="0" w:color="auto"/>
        <w:left w:val="none" w:sz="0" w:space="0" w:color="auto"/>
        <w:bottom w:val="none" w:sz="0" w:space="0" w:color="auto"/>
        <w:right w:val="none" w:sz="0" w:space="0" w:color="auto"/>
      </w:divBdr>
    </w:div>
    <w:div w:id="2083404045">
      <w:marLeft w:val="0"/>
      <w:marRight w:val="0"/>
      <w:marTop w:val="0"/>
      <w:marBottom w:val="0"/>
      <w:divBdr>
        <w:top w:val="none" w:sz="0" w:space="0" w:color="auto"/>
        <w:left w:val="none" w:sz="0" w:space="0" w:color="auto"/>
        <w:bottom w:val="none" w:sz="0" w:space="0" w:color="auto"/>
        <w:right w:val="none" w:sz="0" w:space="0" w:color="auto"/>
      </w:divBdr>
    </w:div>
    <w:div w:id="2083404046">
      <w:marLeft w:val="0"/>
      <w:marRight w:val="0"/>
      <w:marTop w:val="0"/>
      <w:marBottom w:val="0"/>
      <w:divBdr>
        <w:top w:val="none" w:sz="0" w:space="0" w:color="auto"/>
        <w:left w:val="none" w:sz="0" w:space="0" w:color="auto"/>
        <w:bottom w:val="none" w:sz="0" w:space="0" w:color="auto"/>
        <w:right w:val="none" w:sz="0" w:space="0" w:color="auto"/>
      </w:divBdr>
    </w:div>
    <w:div w:id="2083404047">
      <w:marLeft w:val="0"/>
      <w:marRight w:val="0"/>
      <w:marTop w:val="0"/>
      <w:marBottom w:val="0"/>
      <w:divBdr>
        <w:top w:val="none" w:sz="0" w:space="0" w:color="auto"/>
        <w:left w:val="none" w:sz="0" w:space="0" w:color="auto"/>
        <w:bottom w:val="none" w:sz="0" w:space="0" w:color="auto"/>
        <w:right w:val="none" w:sz="0" w:space="0" w:color="auto"/>
      </w:divBdr>
    </w:div>
    <w:div w:id="2083404048">
      <w:marLeft w:val="0"/>
      <w:marRight w:val="0"/>
      <w:marTop w:val="0"/>
      <w:marBottom w:val="0"/>
      <w:divBdr>
        <w:top w:val="none" w:sz="0" w:space="0" w:color="auto"/>
        <w:left w:val="none" w:sz="0" w:space="0" w:color="auto"/>
        <w:bottom w:val="none" w:sz="0" w:space="0" w:color="auto"/>
        <w:right w:val="none" w:sz="0" w:space="0" w:color="auto"/>
      </w:divBdr>
    </w:div>
    <w:div w:id="2083404049">
      <w:marLeft w:val="0"/>
      <w:marRight w:val="0"/>
      <w:marTop w:val="0"/>
      <w:marBottom w:val="0"/>
      <w:divBdr>
        <w:top w:val="none" w:sz="0" w:space="0" w:color="auto"/>
        <w:left w:val="none" w:sz="0" w:space="0" w:color="auto"/>
        <w:bottom w:val="none" w:sz="0" w:space="0" w:color="auto"/>
        <w:right w:val="none" w:sz="0" w:space="0" w:color="auto"/>
      </w:divBdr>
    </w:div>
    <w:div w:id="2083404050">
      <w:marLeft w:val="0"/>
      <w:marRight w:val="0"/>
      <w:marTop w:val="0"/>
      <w:marBottom w:val="0"/>
      <w:divBdr>
        <w:top w:val="none" w:sz="0" w:space="0" w:color="auto"/>
        <w:left w:val="none" w:sz="0" w:space="0" w:color="auto"/>
        <w:bottom w:val="none" w:sz="0" w:space="0" w:color="auto"/>
        <w:right w:val="none" w:sz="0" w:space="0" w:color="auto"/>
      </w:divBdr>
    </w:div>
    <w:div w:id="2083404051">
      <w:marLeft w:val="0"/>
      <w:marRight w:val="0"/>
      <w:marTop w:val="0"/>
      <w:marBottom w:val="0"/>
      <w:divBdr>
        <w:top w:val="none" w:sz="0" w:space="0" w:color="auto"/>
        <w:left w:val="none" w:sz="0" w:space="0" w:color="auto"/>
        <w:bottom w:val="none" w:sz="0" w:space="0" w:color="auto"/>
        <w:right w:val="none" w:sz="0" w:space="0" w:color="auto"/>
      </w:divBdr>
    </w:div>
    <w:div w:id="2083404052">
      <w:marLeft w:val="0"/>
      <w:marRight w:val="0"/>
      <w:marTop w:val="0"/>
      <w:marBottom w:val="0"/>
      <w:divBdr>
        <w:top w:val="none" w:sz="0" w:space="0" w:color="auto"/>
        <w:left w:val="none" w:sz="0" w:space="0" w:color="auto"/>
        <w:bottom w:val="none" w:sz="0" w:space="0" w:color="auto"/>
        <w:right w:val="none" w:sz="0" w:space="0" w:color="auto"/>
      </w:divBdr>
    </w:div>
    <w:div w:id="2083404053">
      <w:marLeft w:val="0"/>
      <w:marRight w:val="0"/>
      <w:marTop w:val="0"/>
      <w:marBottom w:val="0"/>
      <w:divBdr>
        <w:top w:val="none" w:sz="0" w:space="0" w:color="auto"/>
        <w:left w:val="none" w:sz="0" w:space="0" w:color="auto"/>
        <w:bottom w:val="none" w:sz="0" w:space="0" w:color="auto"/>
        <w:right w:val="none" w:sz="0" w:space="0" w:color="auto"/>
      </w:divBdr>
    </w:div>
    <w:div w:id="2083404054">
      <w:marLeft w:val="0"/>
      <w:marRight w:val="0"/>
      <w:marTop w:val="0"/>
      <w:marBottom w:val="0"/>
      <w:divBdr>
        <w:top w:val="none" w:sz="0" w:space="0" w:color="auto"/>
        <w:left w:val="none" w:sz="0" w:space="0" w:color="auto"/>
        <w:bottom w:val="none" w:sz="0" w:space="0" w:color="auto"/>
        <w:right w:val="none" w:sz="0" w:space="0" w:color="auto"/>
      </w:divBdr>
    </w:div>
    <w:div w:id="2083404055">
      <w:marLeft w:val="0"/>
      <w:marRight w:val="0"/>
      <w:marTop w:val="0"/>
      <w:marBottom w:val="0"/>
      <w:divBdr>
        <w:top w:val="none" w:sz="0" w:space="0" w:color="auto"/>
        <w:left w:val="none" w:sz="0" w:space="0" w:color="auto"/>
        <w:bottom w:val="none" w:sz="0" w:space="0" w:color="auto"/>
        <w:right w:val="none" w:sz="0" w:space="0" w:color="auto"/>
      </w:divBdr>
    </w:div>
    <w:div w:id="2083404056">
      <w:marLeft w:val="0"/>
      <w:marRight w:val="0"/>
      <w:marTop w:val="0"/>
      <w:marBottom w:val="0"/>
      <w:divBdr>
        <w:top w:val="none" w:sz="0" w:space="0" w:color="auto"/>
        <w:left w:val="none" w:sz="0" w:space="0" w:color="auto"/>
        <w:bottom w:val="none" w:sz="0" w:space="0" w:color="auto"/>
        <w:right w:val="none" w:sz="0" w:space="0" w:color="auto"/>
      </w:divBdr>
    </w:div>
    <w:div w:id="2083404057">
      <w:marLeft w:val="0"/>
      <w:marRight w:val="0"/>
      <w:marTop w:val="0"/>
      <w:marBottom w:val="0"/>
      <w:divBdr>
        <w:top w:val="none" w:sz="0" w:space="0" w:color="auto"/>
        <w:left w:val="none" w:sz="0" w:space="0" w:color="auto"/>
        <w:bottom w:val="none" w:sz="0" w:space="0" w:color="auto"/>
        <w:right w:val="none" w:sz="0" w:space="0" w:color="auto"/>
      </w:divBdr>
    </w:div>
    <w:div w:id="2083404058">
      <w:marLeft w:val="0"/>
      <w:marRight w:val="0"/>
      <w:marTop w:val="0"/>
      <w:marBottom w:val="0"/>
      <w:divBdr>
        <w:top w:val="none" w:sz="0" w:space="0" w:color="auto"/>
        <w:left w:val="none" w:sz="0" w:space="0" w:color="auto"/>
        <w:bottom w:val="none" w:sz="0" w:space="0" w:color="auto"/>
        <w:right w:val="none" w:sz="0" w:space="0" w:color="auto"/>
      </w:divBdr>
    </w:div>
    <w:div w:id="2083404059">
      <w:marLeft w:val="0"/>
      <w:marRight w:val="0"/>
      <w:marTop w:val="0"/>
      <w:marBottom w:val="0"/>
      <w:divBdr>
        <w:top w:val="none" w:sz="0" w:space="0" w:color="auto"/>
        <w:left w:val="none" w:sz="0" w:space="0" w:color="auto"/>
        <w:bottom w:val="none" w:sz="0" w:space="0" w:color="auto"/>
        <w:right w:val="none" w:sz="0" w:space="0" w:color="auto"/>
      </w:divBdr>
    </w:div>
    <w:div w:id="2083404060">
      <w:marLeft w:val="0"/>
      <w:marRight w:val="0"/>
      <w:marTop w:val="0"/>
      <w:marBottom w:val="0"/>
      <w:divBdr>
        <w:top w:val="none" w:sz="0" w:space="0" w:color="auto"/>
        <w:left w:val="none" w:sz="0" w:space="0" w:color="auto"/>
        <w:bottom w:val="none" w:sz="0" w:space="0" w:color="auto"/>
        <w:right w:val="none" w:sz="0" w:space="0" w:color="auto"/>
      </w:divBdr>
    </w:div>
    <w:div w:id="2083404061">
      <w:marLeft w:val="0"/>
      <w:marRight w:val="0"/>
      <w:marTop w:val="0"/>
      <w:marBottom w:val="0"/>
      <w:divBdr>
        <w:top w:val="none" w:sz="0" w:space="0" w:color="auto"/>
        <w:left w:val="none" w:sz="0" w:space="0" w:color="auto"/>
        <w:bottom w:val="none" w:sz="0" w:space="0" w:color="auto"/>
        <w:right w:val="none" w:sz="0" w:space="0" w:color="auto"/>
      </w:divBdr>
    </w:div>
    <w:div w:id="2083404062">
      <w:marLeft w:val="0"/>
      <w:marRight w:val="0"/>
      <w:marTop w:val="0"/>
      <w:marBottom w:val="0"/>
      <w:divBdr>
        <w:top w:val="none" w:sz="0" w:space="0" w:color="auto"/>
        <w:left w:val="none" w:sz="0" w:space="0" w:color="auto"/>
        <w:bottom w:val="none" w:sz="0" w:space="0" w:color="auto"/>
        <w:right w:val="none" w:sz="0" w:space="0" w:color="auto"/>
      </w:divBdr>
    </w:div>
    <w:div w:id="2083404063">
      <w:marLeft w:val="0"/>
      <w:marRight w:val="0"/>
      <w:marTop w:val="0"/>
      <w:marBottom w:val="0"/>
      <w:divBdr>
        <w:top w:val="none" w:sz="0" w:space="0" w:color="auto"/>
        <w:left w:val="none" w:sz="0" w:space="0" w:color="auto"/>
        <w:bottom w:val="none" w:sz="0" w:space="0" w:color="auto"/>
        <w:right w:val="none" w:sz="0" w:space="0" w:color="auto"/>
      </w:divBdr>
    </w:div>
    <w:div w:id="2083404064">
      <w:marLeft w:val="0"/>
      <w:marRight w:val="0"/>
      <w:marTop w:val="0"/>
      <w:marBottom w:val="0"/>
      <w:divBdr>
        <w:top w:val="none" w:sz="0" w:space="0" w:color="auto"/>
        <w:left w:val="none" w:sz="0" w:space="0" w:color="auto"/>
        <w:bottom w:val="none" w:sz="0" w:space="0" w:color="auto"/>
        <w:right w:val="none" w:sz="0" w:space="0" w:color="auto"/>
      </w:divBdr>
    </w:div>
    <w:div w:id="2083404065">
      <w:marLeft w:val="0"/>
      <w:marRight w:val="0"/>
      <w:marTop w:val="0"/>
      <w:marBottom w:val="0"/>
      <w:divBdr>
        <w:top w:val="none" w:sz="0" w:space="0" w:color="auto"/>
        <w:left w:val="none" w:sz="0" w:space="0" w:color="auto"/>
        <w:bottom w:val="none" w:sz="0" w:space="0" w:color="auto"/>
        <w:right w:val="none" w:sz="0" w:space="0" w:color="auto"/>
      </w:divBdr>
    </w:div>
    <w:div w:id="2083404066">
      <w:marLeft w:val="0"/>
      <w:marRight w:val="0"/>
      <w:marTop w:val="0"/>
      <w:marBottom w:val="0"/>
      <w:divBdr>
        <w:top w:val="none" w:sz="0" w:space="0" w:color="auto"/>
        <w:left w:val="none" w:sz="0" w:space="0" w:color="auto"/>
        <w:bottom w:val="none" w:sz="0" w:space="0" w:color="auto"/>
        <w:right w:val="none" w:sz="0" w:space="0" w:color="auto"/>
      </w:divBdr>
    </w:div>
    <w:div w:id="2083404067">
      <w:marLeft w:val="0"/>
      <w:marRight w:val="0"/>
      <w:marTop w:val="0"/>
      <w:marBottom w:val="0"/>
      <w:divBdr>
        <w:top w:val="none" w:sz="0" w:space="0" w:color="auto"/>
        <w:left w:val="none" w:sz="0" w:space="0" w:color="auto"/>
        <w:bottom w:val="none" w:sz="0" w:space="0" w:color="auto"/>
        <w:right w:val="none" w:sz="0" w:space="0" w:color="auto"/>
      </w:divBdr>
    </w:div>
    <w:div w:id="2083404068">
      <w:marLeft w:val="0"/>
      <w:marRight w:val="0"/>
      <w:marTop w:val="0"/>
      <w:marBottom w:val="0"/>
      <w:divBdr>
        <w:top w:val="none" w:sz="0" w:space="0" w:color="auto"/>
        <w:left w:val="none" w:sz="0" w:space="0" w:color="auto"/>
        <w:bottom w:val="none" w:sz="0" w:space="0" w:color="auto"/>
        <w:right w:val="none" w:sz="0" w:space="0" w:color="auto"/>
      </w:divBdr>
    </w:div>
    <w:div w:id="2083404069">
      <w:marLeft w:val="0"/>
      <w:marRight w:val="0"/>
      <w:marTop w:val="0"/>
      <w:marBottom w:val="0"/>
      <w:divBdr>
        <w:top w:val="none" w:sz="0" w:space="0" w:color="auto"/>
        <w:left w:val="none" w:sz="0" w:space="0" w:color="auto"/>
        <w:bottom w:val="none" w:sz="0" w:space="0" w:color="auto"/>
        <w:right w:val="none" w:sz="0" w:space="0" w:color="auto"/>
      </w:divBdr>
    </w:div>
    <w:div w:id="2083404070">
      <w:marLeft w:val="0"/>
      <w:marRight w:val="0"/>
      <w:marTop w:val="0"/>
      <w:marBottom w:val="0"/>
      <w:divBdr>
        <w:top w:val="none" w:sz="0" w:space="0" w:color="auto"/>
        <w:left w:val="none" w:sz="0" w:space="0" w:color="auto"/>
        <w:bottom w:val="none" w:sz="0" w:space="0" w:color="auto"/>
        <w:right w:val="none" w:sz="0" w:space="0" w:color="auto"/>
      </w:divBdr>
    </w:div>
    <w:div w:id="2083404071">
      <w:marLeft w:val="0"/>
      <w:marRight w:val="0"/>
      <w:marTop w:val="0"/>
      <w:marBottom w:val="0"/>
      <w:divBdr>
        <w:top w:val="none" w:sz="0" w:space="0" w:color="auto"/>
        <w:left w:val="none" w:sz="0" w:space="0" w:color="auto"/>
        <w:bottom w:val="none" w:sz="0" w:space="0" w:color="auto"/>
        <w:right w:val="none" w:sz="0" w:space="0" w:color="auto"/>
      </w:divBdr>
    </w:div>
    <w:div w:id="2083404072">
      <w:marLeft w:val="0"/>
      <w:marRight w:val="0"/>
      <w:marTop w:val="0"/>
      <w:marBottom w:val="0"/>
      <w:divBdr>
        <w:top w:val="none" w:sz="0" w:space="0" w:color="auto"/>
        <w:left w:val="none" w:sz="0" w:space="0" w:color="auto"/>
        <w:bottom w:val="none" w:sz="0" w:space="0" w:color="auto"/>
        <w:right w:val="none" w:sz="0" w:space="0" w:color="auto"/>
      </w:divBdr>
    </w:div>
    <w:div w:id="2083404073">
      <w:marLeft w:val="0"/>
      <w:marRight w:val="0"/>
      <w:marTop w:val="0"/>
      <w:marBottom w:val="0"/>
      <w:divBdr>
        <w:top w:val="none" w:sz="0" w:space="0" w:color="auto"/>
        <w:left w:val="none" w:sz="0" w:space="0" w:color="auto"/>
        <w:bottom w:val="none" w:sz="0" w:space="0" w:color="auto"/>
        <w:right w:val="none" w:sz="0" w:space="0" w:color="auto"/>
      </w:divBdr>
    </w:div>
    <w:div w:id="2083404074">
      <w:marLeft w:val="0"/>
      <w:marRight w:val="0"/>
      <w:marTop w:val="0"/>
      <w:marBottom w:val="0"/>
      <w:divBdr>
        <w:top w:val="none" w:sz="0" w:space="0" w:color="auto"/>
        <w:left w:val="none" w:sz="0" w:space="0" w:color="auto"/>
        <w:bottom w:val="none" w:sz="0" w:space="0" w:color="auto"/>
        <w:right w:val="none" w:sz="0" w:space="0" w:color="auto"/>
      </w:divBdr>
    </w:div>
    <w:div w:id="2083404075">
      <w:marLeft w:val="0"/>
      <w:marRight w:val="0"/>
      <w:marTop w:val="0"/>
      <w:marBottom w:val="0"/>
      <w:divBdr>
        <w:top w:val="none" w:sz="0" w:space="0" w:color="auto"/>
        <w:left w:val="none" w:sz="0" w:space="0" w:color="auto"/>
        <w:bottom w:val="none" w:sz="0" w:space="0" w:color="auto"/>
        <w:right w:val="none" w:sz="0" w:space="0" w:color="auto"/>
      </w:divBdr>
    </w:div>
    <w:div w:id="2083404076">
      <w:marLeft w:val="0"/>
      <w:marRight w:val="0"/>
      <w:marTop w:val="0"/>
      <w:marBottom w:val="0"/>
      <w:divBdr>
        <w:top w:val="none" w:sz="0" w:space="0" w:color="auto"/>
        <w:left w:val="none" w:sz="0" w:space="0" w:color="auto"/>
        <w:bottom w:val="none" w:sz="0" w:space="0" w:color="auto"/>
        <w:right w:val="none" w:sz="0" w:space="0" w:color="auto"/>
      </w:divBdr>
    </w:div>
    <w:div w:id="2083404077">
      <w:marLeft w:val="0"/>
      <w:marRight w:val="0"/>
      <w:marTop w:val="0"/>
      <w:marBottom w:val="0"/>
      <w:divBdr>
        <w:top w:val="none" w:sz="0" w:space="0" w:color="auto"/>
        <w:left w:val="none" w:sz="0" w:space="0" w:color="auto"/>
        <w:bottom w:val="none" w:sz="0" w:space="0" w:color="auto"/>
        <w:right w:val="none" w:sz="0" w:space="0" w:color="auto"/>
      </w:divBdr>
    </w:div>
    <w:div w:id="2083404078">
      <w:marLeft w:val="0"/>
      <w:marRight w:val="0"/>
      <w:marTop w:val="0"/>
      <w:marBottom w:val="0"/>
      <w:divBdr>
        <w:top w:val="none" w:sz="0" w:space="0" w:color="auto"/>
        <w:left w:val="none" w:sz="0" w:space="0" w:color="auto"/>
        <w:bottom w:val="none" w:sz="0" w:space="0" w:color="auto"/>
        <w:right w:val="none" w:sz="0" w:space="0" w:color="auto"/>
      </w:divBdr>
    </w:div>
    <w:div w:id="2083404079">
      <w:marLeft w:val="0"/>
      <w:marRight w:val="0"/>
      <w:marTop w:val="0"/>
      <w:marBottom w:val="0"/>
      <w:divBdr>
        <w:top w:val="none" w:sz="0" w:space="0" w:color="auto"/>
        <w:left w:val="none" w:sz="0" w:space="0" w:color="auto"/>
        <w:bottom w:val="none" w:sz="0" w:space="0" w:color="auto"/>
        <w:right w:val="none" w:sz="0" w:space="0" w:color="auto"/>
      </w:divBdr>
    </w:div>
    <w:div w:id="2083404080">
      <w:marLeft w:val="0"/>
      <w:marRight w:val="0"/>
      <w:marTop w:val="0"/>
      <w:marBottom w:val="0"/>
      <w:divBdr>
        <w:top w:val="none" w:sz="0" w:space="0" w:color="auto"/>
        <w:left w:val="none" w:sz="0" w:space="0" w:color="auto"/>
        <w:bottom w:val="none" w:sz="0" w:space="0" w:color="auto"/>
        <w:right w:val="none" w:sz="0" w:space="0" w:color="auto"/>
      </w:divBdr>
    </w:div>
    <w:div w:id="2083404081">
      <w:marLeft w:val="0"/>
      <w:marRight w:val="0"/>
      <w:marTop w:val="0"/>
      <w:marBottom w:val="0"/>
      <w:divBdr>
        <w:top w:val="none" w:sz="0" w:space="0" w:color="auto"/>
        <w:left w:val="none" w:sz="0" w:space="0" w:color="auto"/>
        <w:bottom w:val="none" w:sz="0" w:space="0" w:color="auto"/>
        <w:right w:val="none" w:sz="0" w:space="0" w:color="auto"/>
      </w:divBdr>
    </w:div>
    <w:div w:id="2083404082">
      <w:marLeft w:val="0"/>
      <w:marRight w:val="0"/>
      <w:marTop w:val="0"/>
      <w:marBottom w:val="0"/>
      <w:divBdr>
        <w:top w:val="none" w:sz="0" w:space="0" w:color="auto"/>
        <w:left w:val="none" w:sz="0" w:space="0" w:color="auto"/>
        <w:bottom w:val="none" w:sz="0" w:space="0" w:color="auto"/>
        <w:right w:val="none" w:sz="0" w:space="0" w:color="auto"/>
      </w:divBdr>
    </w:div>
    <w:div w:id="2083404083">
      <w:marLeft w:val="0"/>
      <w:marRight w:val="0"/>
      <w:marTop w:val="0"/>
      <w:marBottom w:val="0"/>
      <w:divBdr>
        <w:top w:val="none" w:sz="0" w:space="0" w:color="auto"/>
        <w:left w:val="none" w:sz="0" w:space="0" w:color="auto"/>
        <w:bottom w:val="none" w:sz="0" w:space="0" w:color="auto"/>
        <w:right w:val="none" w:sz="0" w:space="0" w:color="auto"/>
      </w:divBdr>
    </w:div>
    <w:div w:id="2083404084">
      <w:marLeft w:val="0"/>
      <w:marRight w:val="0"/>
      <w:marTop w:val="0"/>
      <w:marBottom w:val="0"/>
      <w:divBdr>
        <w:top w:val="none" w:sz="0" w:space="0" w:color="auto"/>
        <w:left w:val="none" w:sz="0" w:space="0" w:color="auto"/>
        <w:bottom w:val="none" w:sz="0" w:space="0" w:color="auto"/>
        <w:right w:val="none" w:sz="0" w:space="0" w:color="auto"/>
      </w:divBdr>
    </w:div>
    <w:div w:id="2083404085">
      <w:marLeft w:val="0"/>
      <w:marRight w:val="0"/>
      <w:marTop w:val="0"/>
      <w:marBottom w:val="0"/>
      <w:divBdr>
        <w:top w:val="none" w:sz="0" w:space="0" w:color="auto"/>
        <w:left w:val="none" w:sz="0" w:space="0" w:color="auto"/>
        <w:bottom w:val="none" w:sz="0" w:space="0" w:color="auto"/>
        <w:right w:val="none" w:sz="0" w:space="0" w:color="auto"/>
      </w:divBdr>
    </w:div>
    <w:div w:id="2083404086">
      <w:marLeft w:val="0"/>
      <w:marRight w:val="0"/>
      <w:marTop w:val="0"/>
      <w:marBottom w:val="0"/>
      <w:divBdr>
        <w:top w:val="none" w:sz="0" w:space="0" w:color="auto"/>
        <w:left w:val="none" w:sz="0" w:space="0" w:color="auto"/>
        <w:bottom w:val="none" w:sz="0" w:space="0" w:color="auto"/>
        <w:right w:val="none" w:sz="0" w:space="0" w:color="auto"/>
      </w:divBdr>
    </w:div>
    <w:div w:id="2083404087">
      <w:marLeft w:val="0"/>
      <w:marRight w:val="0"/>
      <w:marTop w:val="0"/>
      <w:marBottom w:val="0"/>
      <w:divBdr>
        <w:top w:val="none" w:sz="0" w:space="0" w:color="auto"/>
        <w:left w:val="none" w:sz="0" w:space="0" w:color="auto"/>
        <w:bottom w:val="none" w:sz="0" w:space="0" w:color="auto"/>
        <w:right w:val="none" w:sz="0" w:space="0" w:color="auto"/>
      </w:divBdr>
    </w:div>
    <w:div w:id="2083404088">
      <w:marLeft w:val="0"/>
      <w:marRight w:val="0"/>
      <w:marTop w:val="0"/>
      <w:marBottom w:val="0"/>
      <w:divBdr>
        <w:top w:val="none" w:sz="0" w:space="0" w:color="auto"/>
        <w:left w:val="none" w:sz="0" w:space="0" w:color="auto"/>
        <w:bottom w:val="none" w:sz="0" w:space="0" w:color="auto"/>
        <w:right w:val="none" w:sz="0" w:space="0" w:color="auto"/>
      </w:divBdr>
    </w:div>
    <w:div w:id="2083404089">
      <w:marLeft w:val="0"/>
      <w:marRight w:val="0"/>
      <w:marTop w:val="0"/>
      <w:marBottom w:val="0"/>
      <w:divBdr>
        <w:top w:val="none" w:sz="0" w:space="0" w:color="auto"/>
        <w:left w:val="none" w:sz="0" w:space="0" w:color="auto"/>
        <w:bottom w:val="none" w:sz="0" w:space="0" w:color="auto"/>
        <w:right w:val="none" w:sz="0" w:space="0" w:color="auto"/>
      </w:divBdr>
    </w:div>
    <w:div w:id="2083404090">
      <w:marLeft w:val="0"/>
      <w:marRight w:val="0"/>
      <w:marTop w:val="0"/>
      <w:marBottom w:val="0"/>
      <w:divBdr>
        <w:top w:val="none" w:sz="0" w:space="0" w:color="auto"/>
        <w:left w:val="none" w:sz="0" w:space="0" w:color="auto"/>
        <w:bottom w:val="none" w:sz="0" w:space="0" w:color="auto"/>
        <w:right w:val="none" w:sz="0" w:space="0" w:color="auto"/>
      </w:divBdr>
    </w:div>
    <w:div w:id="2083404091">
      <w:marLeft w:val="0"/>
      <w:marRight w:val="0"/>
      <w:marTop w:val="0"/>
      <w:marBottom w:val="0"/>
      <w:divBdr>
        <w:top w:val="none" w:sz="0" w:space="0" w:color="auto"/>
        <w:left w:val="none" w:sz="0" w:space="0" w:color="auto"/>
        <w:bottom w:val="none" w:sz="0" w:space="0" w:color="auto"/>
        <w:right w:val="none" w:sz="0" w:space="0" w:color="auto"/>
      </w:divBdr>
    </w:div>
    <w:div w:id="2083404092">
      <w:marLeft w:val="0"/>
      <w:marRight w:val="0"/>
      <w:marTop w:val="0"/>
      <w:marBottom w:val="0"/>
      <w:divBdr>
        <w:top w:val="none" w:sz="0" w:space="0" w:color="auto"/>
        <w:left w:val="none" w:sz="0" w:space="0" w:color="auto"/>
        <w:bottom w:val="none" w:sz="0" w:space="0" w:color="auto"/>
        <w:right w:val="none" w:sz="0" w:space="0" w:color="auto"/>
      </w:divBdr>
    </w:div>
    <w:div w:id="2083404093">
      <w:marLeft w:val="0"/>
      <w:marRight w:val="0"/>
      <w:marTop w:val="0"/>
      <w:marBottom w:val="0"/>
      <w:divBdr>
        <w:top w:val="none" w:sz="0" w:space="0" w:color="auto"/>
        <w:left w:val="none" w:sz="0" w:space="0" w:color="auto"/>
        <w:bottom w:val="none" w:sz="0" w:space="0" w:color="auto"/>
        <w:right w:val="none" w:sz="0" w:space="0" w:color="auto"/>
      </w:divBdr>
    </w:div>
    <w:div w:id="2083404094">
      <w:marLeft w:val="0"/>
      <w:marRight w:val="0"/>
      <w:marTop w:val="0"/>
      <w:marBottom w:val="0"/>
      <w:divBdr>
        <w:top w:val="none" w:sz="0" w:space="0" w:color="auto"/>
        <w:left w:val="none" w:sz="0" w:space="0" w:color="auto"/>
        <w:bottom w:val="none" w:sz="0" w:space="0" w:color="auto"/>
        <w:right w:val="none" w:sz="0" w:space="0" w:color="auto"/>
      </w:divBdr>
    </w:div>
    <w:div w:id="2083404095">
      <w:marLeft w:val="0"/>
      <w:marRight w:val="0"/>
      <w:marTop w:val="0"/>
      <w:marBottom w:val="0"/>
      <w:divBdr>
        <w:top w:val="none" w:sz="0" w:space="0" w:color="auto"/>
        <w:left w:val="none" w:sz="0" w:space="0" w:color="auto"/>
        <w:bottom w:val="none" w:sz="0" w:space="0" w:color="auto"/>
        <w:right w:val="none" w:sz="0" w:space="0" w:color="auto"/>
      </w:divBdr>
    </w:div>
    <w:div w:id="2083404096">
      <w:marLeft w:val="0"/>
      <w:marRight w:val="0"/>
      <w:marTop w:val="0"/>
      <w:marBottom w:val="0"/>
      <w:divBdr>
        <w:top w:val="none" w:sz="0" w:space="0" w:color="auto"/>
        <w:left w:val="none" w:sz="0" w:space="0" w:color="auto"/>
        <w:bottom w:val="none" w:sz="0" w:space="0" w:color="auto"/>
        <w:right w:val="none" w:sz="0" w:space="0" w:color="auto"/>
      </w:divBdr>
    </w:div>
    <w:div w:id="2083404097">
      <w:marLeft w:val="0"/>
      <w:marRight w:val="0"/>
      <w:marTop w:val="0"/>
      <w:marBottom w:val="0"/>
      <w:divBdr>
        <w:top w:val="none" w:sz="0" w:space="0" w:color="auto"/>
        <w:left w:val="none" w:sz="0" w:space="0" w:color="auto"/>
        <w:bottom w:val="none" w:sz="0" w:space="0" w:color="auto"/>
        <w:right w:val="none" w:sz="0" w:space="0" w:color="auto"/>
      </w:divBdr>
    </w:div>
    <w:div w:id="2083404098">
      <w:marLeft w:val="0"/>
      <w:marRight w:val="0"/>
      <w:marTop w:val="0"/>
      <w:marBottom w:val="0"/>
      <w:divBdr>
        <w:top w:val="none" w:sz="0" w:space="0" w:color="auto"/>
        <w:left w:val="none" w:sz="0" w:space="0" w:color="auto"/>
        <w:bottom w:val="none" w:sz="0" w:space="0" w:color="auto"/>
        <w:right w:val="none" w:sz="0" w:space="0" w:color="auto"/>
      </w:divBdr>
    </w:div>
    <w:div w:id="2083404099">
      <w:marLeft w:val="0"/>
      <w:marRight w:val="0"/>
      <w:marTop w:val="0"/>
      <w:marBottom w:val="0"/>
      <w:divBdr>
        <w:top w:val="none" w:sz="0" w:space="0" w:color="auto"/>
        <w:left w:val="none" w:sz="0" w:space="0" w:color="auto"/>
        <w:bottom w:val="none" w:sz="0" w:space="0" w:color="auto"/>
        <w:right w:val="none" w:sz="0" w:space="0" w:color="auto"/>
      </w:divBdr>
    </w:div>
    <w:div w:id="2083404100">
      <w:marLeft w:val="0"/>
      <w:marRight w:val="0"/>
      <w:marTop w:val="0"/>
      <w:marBottom w:val="0"/>
      <w:divBdr>
        <w:top w:val="none" w:sz="0" w:space="0" w:color="auto"/>
        <w:left w:val="none" w:sz="0" w:space="0" w:color="auto"/>
        <w:bottom w:val="none" w:sz="0" w:space="0" w:color="auto"/>
        <w:right w:val="none" w:sz="0" w:space="0" w:color="auto"/>
      </w:divBdr>
    </w:div>
    <w:div w:id="2083404101">
      <w:marLeft w:val="0"/>
      <w:marRight w:val="0"/>
      <w:marTop w:val="0"/>
      <w:marBottom w:val="0"/>
      <w:divBdr>
        <w:top w:val="none" w:sz="0" w:space="0" w:color="auto"/>
        <w:left w:val="none" w:sz="0" w:space="0" w:color="auto"/>
        <w:bottom w:val="none" w:sz="0" w:space="0" w:color="auto"/>
        <w:right w:val="none" w:sz="0" w:space="0" w:color="auto"/>
      </w:divBdr>
    </w:div>
    <w:div w:id="2083404102">
      <w:marLeft w:val="0"/>
      <w:marRight w:val="0"/>
      <w:marTop w:val="0"/>
      <w:marBottom w:val="0"/>
      <w:divBdr>
        <w:top w:val="none" w:sz="0" w:space="0" w:color="auto"/>
        <w:left w:val="none" w:sz="0" w:space="0" w:color="auto"/>
        <w:bottom w:val="none" w:sz="0" w:space="0" w:color="auto"/>
        <w:right w:val="none" w:sz="0" w:space="0" w:color="auto"/>
      </w:divBdr>
    </w:div>
    <w:div w:id="2083404103">
      <w:marLeft w:val="0"/>
      <w:marRight w:val="0"/>
      <w:marTop w:val="0"/>
      <w:marBottom w:val="0"/>
      <w:divBdr>
        <w:top w:val="none" w:sz="0" w:space="0" w:color="auto"/>
        <w:left w:val="none" w:sz="0" w:space="0" w:color="auto"/>
        <w:bottom w:val="none" w:sz="0" w:space="0" w:color="auto"/>
        <w:right w:val="none" w:sz="0" w:space="0" w:color="auto"/>
      </w:divBdr>
    </w:div>
    <w:div w:id="2083404104">
      <w:marLeft w:val="0"/>
      <w:marRight w:val="0"/>
      <w:marTop w:val="0"/>
      <w:marBottom w:val="0"/>
      <w:divBdr>
        <w:top w:val="none" w:sz="0" w:space="0" w:color="auto"/>
        <w:left w:val="none" w:sz="0" w:space="0" w:color="auto"/>
        <w:bottom w:val="none" w:sz="0" w:space="0" w:color="auto"/>
        <w:right w:val="none" w:sz="0" w:space="0" w:color="auto"/>
      </w:divBdr>
    </w:div>
    <w:div w:id="2083404105">
      <w:marLeft w:val="0"/>
      <w:marRight w:val="0"/>
      <w:marTop w:val="0"/>
      <w:marBottom w:val="0"/>
      <w:divBdr>
        <w:top w:val="none" w:sz="0" w:space="0" w:color="auto"/>
        <w:left w:val="none" w:sz="0" w:space="0" w:color="auto"/>
        <w:bottom w:val="none" w:sz="0" w:space="0" w:color="auto"/>
        <w:right w:val="none" w:sz="0" w:space="0" w:color="auto"/>
      </w:divBdr>
    </w:div>
    <w:div w:id="2083404106">
      <w:marLeft w:val="0"/>
      <w:marRight w:val="0"/>
      <w:marTop w:val="0"/>
      <w:marBottom w:val="0"/>
      <w:divBdr>
        <w:top w:val="none" w:sz="0" w:space="0" w:color="auto"/>
        <w:left w:val="none" w:sz="0" w:space="0" w:color="auto"/>
        <w:bottom w:val="none" w:sz="0" w:space="0" w:color="auto"/>
        <w:right w:val="none" w:sz="0" w:space="0" w:color="auto"/>
      </w:divBdr>
    </w:div>
    <w:div w:id="2083404107">
      <w:marLeft w:val="0"/>
      <w:marRight w:val="0"/>
      <w:marTop w:val="0"/>
      <w:marBottom w:val="0"/>
      <w:divBdr>
        <w:top w:val="none" w:sz="0" w:space="0" w:color="auto"/>
        <w:left w:val="none" w:sz="0" w:space="0" w:color="auto"/>
        <w:bottom w:val="none" w:sz="0" w:space="0" w:color="auto"/>
        <w:right w:val="none" w:sz="0" w:space="0" w:color="auto"/>
      </w:divBdr>
    </w:div>
    <w:div w:id="2083404108">
      <w:marLeft w:val="0"/>
      <w:marRight w:val="0"/>
      <w:marTop w:val="0"/>
      <w:marBottom w:val="0"/>
      <w:divBdr>
        <w:top w:val="none" w:sz="0" w:space="0" w:color="auto"/>
        <w:left w:val="none" w:sz="0" w:space="0" w:color="auto"/>
        <w:bottom w:val="none" w:sz="0" w:space="0" w:color="auto"/>
        <w:right w:val="none" w:sz="0" w:space="0" w:color="auto"/>
      </w:divBdr>
    </w:div>
    <w:div w:id="2083404109">
      <w:marLeft w:val="0"/>
      <w:marRight w:val="0"/>
      <w:marTop w:val="0"/>
      <w:marBottom w:val="0"/>
      <w:divBdr>
        <w:top w:val="none" w:sz="0" w:space="0" w:color="auto"/>
        <w:left w:val="none" w:sz="0" w:space="0" w:color="auto"/>
        <w:bottom w:val="none" w:sz="0" w:space="0" w:color="auto"/>
        <w:right w:val="none" w:sz="0" w:space="0" w:color="auto"/>
      </w:divBdr>
    </w:div>
    <w:div w:id="2083404110">
      <w:marLeft w:val="0"/>
      <w:marRight w:val="0"/>
      <w:marTop w:val="0"/>
      <w:marBottom w:val="0"/>
      <w:divBdr>
        <w:top w:val="none" w:sz="0" w:space="0" w:color="auto"/>
        <w:left w:val="none" w:sz="0" w:space="0" w:color="auto"/>
        <w:bottom w:val="none" w:sz="0" w:space="0" w:color="auto"/>
        <w:right w:val="none" w:sz="0" w:space="0" w:color="auto"/>
      </w:divBdr>
    </w:div>
    <w:div w:id="2083404111">
      <w:marLeft w:val="0"/>
      <w:marRight w:val="0"/>
      <w:marTop w:val="0"/>
      <w:marBottom w:val="0"/>
      <w:divBdr>
        <w:top w:val="none" w:sz="0" w:space="0" w:color="auto"/>
        <w:left w:val="none" w:sz="0" w:space="0" w:color="auto"/>
        <w:bottom w:val="none" w:sz="0" w:space="0" w:color="auto"/>
        <w:right w:val="none" w:sz="0" w:space="0" w:color="auto"/>
      </w:divBdr>
    </w:div>
    <w:div w:id="2083404112">
      <w:marLeft w:val="0"/>
      <w:marRight w:val="0"/>
      <w:marTop w:val="0"/>
      <w:marBottom w:val="0"/>
      <w:divBdr>
        <w:top w:val="none" w:sz="0" w:space="0" w:color="auto"/>
        <w:left w:val="none" w:sz="0" w:space="0" w:color="auto"/>
        <w:bottom w:val="none" w:sz="0" w:space="0" w:color="auto"/>
        <w:right w:val="none" w:sz="0" w:space="0" w:color="auto"/>
      </w:divBdr>
    </w:div>
    <w:div w:id="2083404113">
      <w:marLeft w:val="0"/>
      <w:marRight w:val="0"/>
      <w:marTop w:val="0"/>
      <w:marBottom w:val="0"/>
      <w:divBdr>
        <w:top w:val="none" w:sz="0" w:space="0" w:color="auto"/>
        <w:left w:val="none" w:sz="0" w:space="0" w:color="auto"/>
        <w:bottom w:val="none" w:sz="0" w:space="0" w:color="auto"/>
        <w:right w:val="none" w:sz="0" w:space="0" w:color="auto"/>
      </w:divBdr>
    </w:div>
    <w:div w:id="2083404114">
      <w:marLeft w:val="0"/>
      <w:marRight w:val="0"/>
      <w:marTop w:val="0"/>
      <w:marBottom w:val="0"/>
      <w:divBdr>
        <w:top w:val="none" w:sz="0" w:space="0" w:color="auto"/>
        <w:left w:val="none" w:sz="0" w:space="0" w:color="auto"/>
        <w:bottom w:val="none" w:sz="0" w:space="0" w:color="auto"/>
        <w:right w:val="none" w:sz="0" w:space="0" w:color="auto"/>
      </w:divBdr>
    </w:div>
    <w:div w:id="2083404115">
      <w:marLeft w:val="0"/>
      <w:marRight w:val="0"/>
      <w:marTop w:val="0"/>
      <w:marBottom w:val="0"/>
      <w:divBdr>
        <w:top w:val="none" w:sz="0" w:space="0" w:color="auto"/>
        <w:left w:val="none" w:sz="0" w:space="0" w:color="auto"/>
        <w:bottom w:val="none" w:sz="0" w:space="0" w:color="auto"/>
        <w:right w:val="none" w:sz="0" w:space="0" w:color="auto"/>
      </w:divBdr>
    </w:div>
    <w:div w:id="21451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who.int/csr/ihr/WHA58-en.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ref="">
    <f:field ref="objname" par="" edit="true" text="analyza_vplyv_na_rozpocet-verejnej-spravy_7_3_19"/>
    <f:field ref="objsubject" par="" edit="true" text=""/>
    <f:field ref="objcreatedby" par="" text="Administrator, System"/>
    <f:field ref="objcreatedat" par="" text="7.3.2019 16:07:52"/>
    <f:field ref="objchangedby" par="" text="Administrator, System"/>
    <f:field ref="objmodifiedat" par="" text="7.3.2019 16:07:5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_dlc_DocIdUrl xmlns="e60a29af-d413-48d4-bd90-fe9d2a897e4b">
      <Url>https://ovdmasv601/sites/DMS/_layouts/15/DocIdRedir.aspx?ID=WKX3UHSAJ2R6-2-927800</Url>
      <Description>WKX3UHSAJ2R6-2-927800</Description>
    </_dlc_DocIdUrl>
    <_dlc_DocId xmlns="e60a29af-d413-48d4-bd90-fe9d2a897e4b">WKX3UHSAJ2R6-2-927800</_dlc_Doc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4D882-E5A1-4535-A01B-445C27497FCC}">
  <ds:schemaRefs>
    <ds:schemaRef ds:uri="http://schemas.microsoft.com/sharepoint/events"/>
  </ds:schemaRefs>
</ds:datastoreItem>
</file>

<file path=customXml/itemProps2.xml><?xml version="1.0" encoding="utf-8"?>
<ds:datastoreItem xmlns:ds="http://schemas.openxmlformats.org/officeDocument/2006/customXml" ds:itemID="{EA7A58C5-32CC-4A56-8BAA-E9A6EF950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96429C1E-E4D9-473C-904B-E2B5F09CDF25}">
  <ds:schemaRefs>
    <ds:schemaRef ds:uri="http://schemas.microsoft.com/office/2006/metadata/properties"/>
    <ds:schemaRef ds:uri="http://schemas.microsoft.com/office/infopath/2007/PartnerControls"/>
    <ds:schemaRef ds:uri="e60a29af-d413-48d4-bd90-fe9d2a897e4b"/>
  </ds:schemaRefs>
</ds:datastoreItem>
</file>

<file path=customXml/itemProps5.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6.xml><?xml version="1.0" encoding="utf-8"?>
<ds:datastoreItem xmlns:ds="http://schemas.openxmlformats.org/officeDocument/2006/customXml" ds:itemID="{04873ABA-BF64-45DE-9CAD-DD6FB376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5666</Words>
  <Characters>32300</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37891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Vincová Veronika</cp:lastModifiedBy>
  <cp:revision>2</cp:revision>
  <cp:lastPrinted>2019-02-27T09:24:00Z</cp:lastPrinted>
  <dcterms:created xsi:type="dcterms:W3CDTF">2020-04-28T01:26:00Z</dcterms:created>
  <dcterms:modified xsi:type="dcterms:W3CDTF">2020-04-28T01:26:00Z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a&amp;nbsp;dopĺňa zákon č. 578/2004 Z. z. o poskytovateľoch zdravotnej starostlivosti, zdravotníckych pracovníkoch, stavovských organizáciách v zdravotníctve a o zmene a doplnení niektorých zákon</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Ján Richter</vt:lpwstr>
  </property>
  <property fmtid="{D5CDD505-2E9C-101B-9397-08002B2CF9AE}" pid="14"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5" name="FSC#SKEDITIONSLOVLEX@103.510:nazovpredpis1">
    <vt:lpwstr> dopĺňajú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_x000d_
na mesiac marec a jún 2018 a na mesiac jún 2019</vt:lpwstr>
  </property>
  <property fmtid="{D5CDD505-2E9C-101B-9397-08002B2CF9AE}" pid="23"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4" name="FSC#SKEDITIONSLOVLEX@103.510:plnynazovpredpis1">
    <vt:lpwstr>nia a dopĺňajú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S02807-2019-OL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LP/2019/154</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nie je</vt:lpwstr>
  </property>
  <property fmtid="{D5CDD505-2E9C-101B-9397-08002B2CF9AE}" pid="47" name="FSC#SKEDITIONSLOVLEX@103.510:AttrStrListDocPropSekundarneLegPravoPO">
    <vt:lpwstr>- Smernica Rady 2013/59/Euratom z 5. decembra 2013, ktorou sa stanovujú základné bezpečnostné normy ochrany pred nebezpečenstvami vznikajúcimi v dôsledku ionizujúceho žiarenia, a ktorou sa zrušujú smernice 89/618/Euratom, 90/641/Euratom, 96/29/Euratom, 97</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vt:lpwstr>
  </property>
  <property fmtid="{D5CDD505-2E9C-101B-9397-08002B2CF9AE}" pid="52" name="FSC#SKEDITIONSLOVLEX@103.510:AttrStrListDocPropLehotaPrebratieSmernice">
    <vt:lpwstr>- Smernica prebratá do zákona č. 87/2018 Z. z. o radiačnej ochrane a o zmene a doplnení niektorých zákonov</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nezačalo</vt:lpwstr>
  </property>
  <property fmtid="{D5CDD505-2E9C-101B-9397-08002B2CF9AE}" pid="55" name="FSC#SKEDITIONSLOVLEX@103.510:AttrStrListDocPropInfoUzPreberanePP">
    <vt:lpwstr>- zákon č. 87/2018 Z. z. o radiačnej ochrane a o zmene a doplnení niektorých zákonov</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style="margin: 0cm 0cm 0pt;"&gt;&lt;span style="font-family: &amp;quot;Times New Roman&amp;quot;,serif; font-size: 10pt;"&gt;Návrh zákona predpokladá vplyv na rozpočtovú kapitolu MZ SR, nakoľko klinický audit bude vykonávať MZ SR a&amp;nbsp;na základe jeho písomného povere</vt:lpwstr>
  </property>
  <property fmtid="{D5CDD505-2E9C-101B-9397-08002B2CF9AE}" pid="66" name="FSC#SKEDITIONSLOVLEX@103.510:AttrStrListDocPropAltRiesenia">
    <vt:lpwstr>   Nie sú.Nulový variant: Indikátory kvality sú v súčasne platnej právnej úprave upravené v § 7 ods. 5 až 7 zákona č. 581/2004 Z. z. o zdravotných poisťovniach, dohľade nad zdravotnou starostlivosťou a o zmene a doplnení niektorých zákonov. Inštitút bezpe</vt:lpwstr>
  </property>
  <property fmtid="{D5CDD505-2E9C-101B-9397-08002B2CF9AE}" pid="67" name="FSC#SKEDITIONSLOVLEX@103.510:AttrStrListDocPropStanoviskoGest">
    <vt:lpwstr>&lt;table border="0" cellpadding="0" cellspacing="0"&gt;	&lt;tbody&gt;		&lt;tr&gt;			&lt;td style="width: 283px;"&gt;			&lt;p&gt;&amp;nbsp;&lt;/p&gt;			&lt;/td&gt;			&lt;td style="width: 350px;"&gt;			&lt;p&gt;&amp;nbsp;&amp;nbsp;&amp;nbsp;&amp;nbsp;&amp;nbsp;&amp;nbsp;&amp;nbsp;&amp;nbsp;&amp;nbsp;&amp;nbsp;&amp;nbsp;&amp;nbsp;&amp;nbsp;&amp;nbsp;&amp;nbsp;&amp;nbsp;&amp;nbsp;&amp;</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minister práce, sociálnych vecí a rodiny Slovenskej republiky, </vt:lpwstr>
  </property>
  <property fmtid="{D5CDD505-2E9C-101B-9397-08002B2CF9AE}" pid="145" name="FSC#SKEDITIONSLOVLEX@103.510:funkciaDalsiPredAkuzativ">
    <vt:lpwstr>ministrovi práce, sociálnych vecí a rodiny Slovenskej republiky, </vt:lpwstr>
  </property>
  <property fmtid="{D5CDD505-2E9C-101B-9397-08002B2CF9AE}" pid="146" name="FSC#SKEDITIONSLOVLEX@103.510:funkciaDalsiPredDativ">
    <vt:lpwstr>ministra práce, sociálnych vecí a rodiny Slovenskej republiky, </vt:lpwstr>
  </property>
  <property fmtid="{D5CDD505-2E9C-101B-9397-08002B2CF9AE}" pid="147" name="FSC#SKEDITIONSLOVLEX@103.510:predkladateliaObalSD">
    <vt:lpwstr>doc. MUDr. Andrea Kalavská_x000d_
Ministerka zdravotníctva_x000d_
Ján Richter_x000d_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zdravotníctva Slovenskej republiky a&amp;nbsp;Ministerstvo práce, sociálnych vecí&amp;nbsp; a&amp;nbsp;rodiny Slovenskej republiky predkladajú návrh zákona, ktorým sa mení a dopĺňa zákon č. 578/2004 Z. z. o poskytovateľoch zdravotnej starostlivosti, z</vt:lpwstr>
  </property>
  <property fmtid="{D5CDD505-2E9C-101B-9397-08002B2CF9AE}" pid="150" name="FSC#SKEDITIONSLOVLEX@103.510:vytvorenedna">
    <vt:lpwstr>7. 3. 2019</vt:lpwstr>
  </property>
  <property fmtid="{D5CDD505-2E9C-101B-9397-08002B2CF9AE}" pid="151" name="FSC#COOSYSTEM@1.1:Container">
    <vt:lpwstr>COO.2145.1000.3.3255762</vt:lpwstr>
  </property>
  <property fmtid="{D5CDD505-2E9C-101B-9397-08002B2CF9AE}" pid="152" name="FSC#FSCFOLIO@1.1001:docpropproject">
    <vt:lpwstr/>
  </property>
  <property fmtid="{D5CDD505-2E9C-101B-9397-08002B2CF9AE}" pid="153" name="ContentTypeId">
    <vt:lpwstr>0x0101006C0C8C3C1E3DCC44BECE3792677AD011</vt:lpwstr>
  </property>
  <property fmtid="{D5CDD505-2E9C-101B-9397-08002B2CF9AE}" pid="154" name="_dlc_DocIdItemGuid">
    <vt:lpwstr>503cd884-236e-4108-b46a-8f7797e209f2</vt:lpwstr>
  </property>
</Properties>
</file>