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8A1252" w:rsidP="007B71A4">
            <w:pPr>
              <w:jc w:val="center"/>
              <w:rPr>
                <w:b/>
                <w:sz w:val="24"/>
              </w:rPr>
            </w:pPr>
            <w:r w:rsidRPr="00864DE4">
              <w:rPr>
                <w:b/>
                <w:sz w:val="28"/>
              </w:rPr>
              <w:t>Analýza v</w:t>
            </w:r>
            <w:r w:rsidR="009F2DFA" w:rsidRPr="00864DE4">
              <w:rPr>
                <w:b/>
                <w:sz w:val="28"/>
              </w:rPr>
              <w:t>plyv</w:t>
            </w:r>
            <w:r w:rsidRPr="00864DE4">
              <w:rPr>
                <w:b/>
                <w:sz w:val="28"/>
              </w:rPr>
              <w:t>ov</w:t>
            </w:r>
            <w:r w:rsidR="009F2DFA" w:rsidRPr="00864DE4">
              <w:rPr>
                <w:b/>
                <w:sz w:val="28"/>
              </w:rPr>
              <w:t xml:space="preserve"> na podnikateľské prostredie </w:t>
            </w:r>
          </w:p>
          <w:p w:rsidR="009F2DFA" w:rsidRDefault="009F2DFA" w:rsidP="00780BA6">
            <w:pPr>
              <w:jc w:val="center"/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 xml:space="preserve">(vrátane </w:t>
            </w:r>
            <w:r w:rsidR="00780BA6" w:rsidRPr="00864DE4">
              <w:rPr>
                <w:b/>
                <w:sz w:val="24"/>
              </w:rPr>
              <w:t xml:space="preserve">testu </w:t>
            </w:r>
            <w:r w:rsidRPr="00864DE4">
              <w:rPr>
                <w:b/>
                <w:sz w:val="24"/>
              </w:rPr>
              <w:t>MSP)</w:t>
            </w:r>
          </w:p>
          <w:p w:rsidR="002B6B00" w:rsidRPr="00864DE4" w:rsidRDefault="002B6B00" w:rsidP="00780BA6">
            <w:pPr>
              <w:jc w:val="center"/>
              <w:rPr>
                <w:b/>
              </w:rPr>
            </w:pP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9F2DFA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864DE4" w:rsidTr="007B71A4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864DE4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AC14B6" w:rsidP="007B71A4">
                  <w:pPr>
                    <w:jc w:val="center"/>
                  </w:pPr>
                  <w:r w:rsidRPr="00864DE4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DFA" w:rsidRPr="00864DE4" w:rsidRDefault="009F2DFA" w:rsidP="007B71A4">
                  <w:r w:rsidRPr="00864DE4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9F2DFA" w:rsidRPr="00864DE4" w:rsidRDefault="009F2DFA" w:rsidP="007B71A4">
            <w:pPr>
              <w:rPr>
                <w:b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.1 Dotknuté podnikateľské subjekty</w:t>
            </w:r>
          </w:p>
          <w:p w:rsidR="009F2DFA" w:rsidRPr="00864DE4" w:rsidRDefault="009F2DFA" w:rsidP="007B71A4">
            <w:pPr>
              <w:ind w:left="284"/>
              <w:rPr>
                <w:b/>
              </w:rPr>
            </w:pPr>
            <w:r w:rsidRPr="00864DE4">
              <w:rPr>
                <w:sz w:val="24"/>
              </w:rPr>
              <w:t xml:space="preserve">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aké podnikateľské subjekty budú predkladaným návrhom ovplyvnené.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Aký je ich počet?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733646" w:rsidRDefault="00733646" w:rsidP="00AB6D14">
            <w:pPr>
              <w:jc w:val="both"/>
              <w:rPr>
                <w:i/>
              </w:rPr>
            </w:pPr>
          </w:p>
          <w:p w:rsidR="007B66E5" w:rsidRPr="004A7625" w:rsidRDefault="007B66E5" w:rsidP="007B66E5">
            <w:pPr>
              <w:jc w:val="both"/>
              <w:rPr>
                <w:iCs/>
              </w:rPr>
            </w:pPr>
            <w:r>
              <w:t>Uvedená právna úprava sa dotkne</w:t>
            </w:r>
            <w:r w:rsidR="007C769A">
              <w:rPr>
                <w:iCs/>
              </w:rPr>
              <w:t xml:space="preserve"> zamestnávateľov, ktorým</w:t>
            </w:r>
            <w:r>
              <w:rPr>
                <w:iCs/>
              </w:rPr>
              <w:t xml:space="preserve"> boli zatvorené prevádzky/podniky z dôvodu pandémie</w:t>
            </w:r>
            <w:r w:rsidR="001A7605">
              <w:rPr>
                <w:iCs/>
              </w:rPr>
              <w:t xml:space="preserve"> na základe nariadenia Úradu verejného zdravotníctva</w:t>
            </w:r>
            <w:r>
              <w:rPr>
                <w:iCs/>
              </w:rPr>
              <w:t>, pričom dôjde k odpusteniu</w:t>
            </w:r>
            <w:r w:rsidRPr="004A7625">
              <w:rPr>
                <w:iCs/>
              </w:rPr>
              <w:t xml:space="preserve"> platenia poistného na sociálne poistenie</w:t>
            </w:r>
            <w:r w:rsidR="0043237D">
              <w:rPr>
                <w:iCs/>
              </w:rPr>
              <w:t xml:space="preserve"> </w:t>
            </w:r>
            <w:r w:rsidR="0043237D" w:rsidRPr="004A7625">
              <w:rPr>
                <w:iCs/>
              </w:rPr>
              <w:t>(iba poistné  na strane zamestnávateľa)</w:t>
            </w:r>
            <w:r w:rsidR="0043237D">
              <w:rPr>
                <w:iCs/>
              </w:rPr>
              <w:t xml:space="preserve"> </w:t>
            </w:r>
            <w:r w:rsidR="00862973">
              <w:rPr>
                <w:iCs/>
              </w:rPr>
              <w:t>a</w:t>
            </w:r>
            <w:r w:rsidRPr="004A7625">
              <w:rPr>
                <w:iCs/>
              </w:rPr>
              <w:t xml:space="preserve"> povinných príspevkov na starobné d</w:t>
            </w:r>
            <w:r w:rsidR="007A3D37">
              <w:rPr>
                <w:iCs/>
              </w:rPr>
              <w:t xml:space="preserve">ôchodkové sporenie </w:t>
            </w:r>
            <w:r>
              <w:rPr>
                <w:iCs/>
              </w:rPr>
              <w:t>za mesiac apríl 2020</w:t>
            </w:r>
            <w:r w:rsidRPr="004A7625">
              <w:rPr>
                <w:iCs/>
              </w:rPr>
              <w:t xml:space="preserve">. </w:t>
            </w:r>
            <w:r>
              <w:rPr>
                <w:iCs/>
              </w:rPr>
              <w:t>Dotknutí z</w:t>
            </w:r>
            <w:r w:rsidRPr="004A7625">
              <w:rPr>
                <w:iCs/>
              </w:rPr>
              <w:t>amestnávatelia, ktorých zamestnanci vykonáva</w:t>
            </w:r>
            <w:r>
              <w:rPr>
                <w:iCs/>
              </w:rPr>
              <w:t>jú rizikovú prácu budú mať tiež odpustenú povinnosť</w:t>
            </w:r>
            <w:r w:rsidRPr="004A7625">
              <w:rPr>
                <w:iCs/>
              </w:rPr>
              <w:t xml:space="preserve"> platenia príspevkov na doplnkové dôchodkové sporenie za týchto zamestnancov v rovnakom časovom období.  </w:t>
            </w:r>
          </w:p>
          <w:p w:rsidR="007B66E5" w:rsidRPr="004A7625" w:rsidRDefault="007B66E5" w:rsidP="007B66E5">
            <w:pPr>
              <w:jc w:val="both"/>
              <w:rPr>
                <w:iCs/>
              </w:rPr>
            </w:pPr>
          </w:p>
          <w:p w:rsidR="008277E0" w:rsidRDefault="007B66E5" w:rsidP="007B66E5">
            <w:pPr>
              <w:jc w:val="both"/>
              <w:rPr>
                <w:i/>
                <w:sz w:val="22"/>
                <w:szCs w:val="22"/>
              </w:rPr>
            </w:pPr>
            <w:r w:rsidRPr="00B7181B">
              <w:t xml:space="preserve">Počet dotknutých zamestnávateľov sa odhaduje na </w:t>
            </w:r>
            <w:r>
              <w:t>úrovni cca 27</w:t>
            </w:r>
            <w:r w:rsidRPr="00B7181B">
              <w:t>,4 tis.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9832B5" w:rsidRDefault="009832B5" w:rsidP="007B66E5">
            <w:pPr>
              <w:jc w:val="both"/>
              <w:rPr>
                <w:i/>
                <w:sz w:val="22"/>
                <w:szCs w:val="22"/>
              </w:rPr>
            </w:pPr>
          </w:p>
          <w:p w:rsidR="009832B5" w:rsidRPr="009832B5" w:rsidRDefault="009832B5" w:rsidP="009832B5">
            <w:pPr>
              <w:jc w:val="both"/>
            </w:pPr>
            <w:r w:rsidRPr="009832B5">
              <w:t>Navrhovaná úprava v zákone o službách zamestnanosti sa môže dotknúť podnikateľských subjektov, ktoré</w:t>
            </w:r>
            <w:r>
              <w:t>:</w:t>
            </w:r>
            <w:r w:rsidRPr="009832B5">
              <w:t xml:space="preserve"> </w:t>
            </w:r>
          </w:p>
          <w:p w:rsidR="009832B5" w:rsidRPr="009832B5" w:rsidRDefault="009832B5" w:rsidP="009832B5">
            <w:pPr>
              <w:pStyle w:val="Odsekzoznamu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2B5">
              <w:rPr>
                <w:rFonts w:ascii="Times New Roman" w:hAnsi="Times New Roman"/>
                <w:sz w:val="20"/>
                <w:szCs w:val="20"/>
              </w:rPr>
              <w:t>si svoje daňové a odvodové povinnosti, resp. pohľadávky voči úradu práce, sociálnych vecí a rodiny plnia aj dodatočne formou povolenia platby dlžných súm v splátkach (prostredníctvom splátkového kalendára), alebo</w:t>
            </w:r>
          </w:p>
          <w:p w:rsidR="009832B5" w:rsidRPr="009832B5" w:rsidRDefault="009832B5" w:rsidP="009832B5">
            <w:pPr>
              <w:pStyle w:val="Odsekzoznamu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2B5">
              <w:rPr>
                <w:rFonts w:ascii="Times New Roman" w:hAnsi="Times New Roman"/>
                <w:sz w:val="20"/>
                <w:szCs w:val="20"/>
              </w:rPr>
              <w:t>z dôvodu straty tržieb už za mesiac marec neboli schopní splniť svoje daňové a odvodové povinnosti, resp. pohľadávky voči úradu práce, sociálnych vecí a rodiny; v takýchto prípadoch bude úrad dodatočne preskúmavať podmienky podľa § 70 ods. 7 písm. a), b) a d) u každého žiadateľa ku dňu 29.2.2020,</w:t>
            </w:r>
          </w:p>
          <w:p w:rsidR="009832B5" w:rsidRPr="009832B5" w:rsidRDefault="009832B5" w:rsidP="009832B5">
            <w:pPr>
              <w:tabs>
                <w:tab w:val="left" w:pos="426"/>
              </w:tabs>
              <w:jc w:val="both"/>
            </w:pPr>
            <w:r w:rsidRPr="009832B5">
              <w:t>a to tak, že aj tieto subjekty budú môcť požiadať o príspevok na podporu udržania zamestnanosti poskytovaný v rámci projektu realizovaného v čase mimoriadnej situácie, výnimočnej situácie alebo núdzového stavu v zmysle uznesenia vlády SR č. 178 z 31. 3. 2020.</w:t>
            </w:r>
          </w:p>
          <w:p w:rsidR="009832B5" w:rsidRPr="009832B5" w:rsidRDefault="009832B5" w:rsidP="009832B5">
            <w:pPr>
              <w:jc w:val="both"/>
            </w:pPr>
          </w:p>
          <w:p w:rsidR="009832B5" w:rsidRPr="009832B5" w:rsidRDefault="009832B5" w:rsidP="009832B5">
            <w:pPr>
              <w:jc w:val="both"/>
            </w:pPr>
            <w:r w:rsidRPr="009832B5">
              <w:t xml:space="preserve">Podľa údajov Sociálnej poisťovne za mesiac február 2020 </w:t>
            </w:r>
            <w:r w:rsidR="00C25C3A">
              <w:t>neodviedlo</w:t>
            </w:r>
            <w:r w:rsidR="00C25C3A" w:rsidRPr="009832B5">
              <w:t xml:space="preserve"> </w:t>
            </w:r>
            <w:r w:rsidRPr="009832B5">
              <w:t>poistné 11 993 SZČO (5,58 % z celkového počtu SZČO evidovaných v Sociálnej poisťovni) a 36 251 zamestnávateľov (19,43 % z celkového počtu zamestnávateľov evidovaných v Sociálnej poisťovni). Zároveň 8 565 zamestnávateľov (4,59 %) neodovzdalo za mesiac február 2020 mesačný výkaz poistného.</w:t>
            </w:r>
          </w:p>
          <w:p w:rsidR="009832B5" w:rsidRPr="009832B5" w:rsidRDefault="009832B5" w:rsidP="009832B5">
            <w:pPr>
              <w:jc w:val="both"/>
            </w:pPr>
            <w:r w:rsidRPr="009832B5">
              <w:t>Podľa údajov Finančnej správy narástol po</w:t>
            </w:r>
            <w:r w:rsidR="00C25C3A">
              <w:t>č</w:t>
            </w:r>
            <w:r w:rsidRPr="009832B5">
              <w:t>et neuhradených preddavkov na DPFO zo závislej činnosti za február 200 o cca 20,5 tis.</w:t>
            </w:r>
          </w:p>
          <w:p w:rsidR="009832B5" w:rsidRPr="00856DFE" w:rsidRDefault="009832B5" w:rsidP="009832B5">
            <w:pPr>
              <w:jc w:val="both"/>
              <w:rPr>
                <w:i/>
                <w:sz w:val="22"/>
                <w:szCs w:val="22"/>
              </w:rPr>
            </w:pPr>
            <w:r w:rsidRPr="009832B5">
              <w:t>Ústredie práce, sociálnych vecí a rodiny eviduje pohľadávky voči právnickým osobám v počte 1 652 a voči fyzickým osobám v počte 1 137.</w:t>
            </w:r>
          </w:p>
        </w:tc>
      </w:tr>
      <w:tr w:rsidR="009F2DFA" w:rsidRPr="00864DE4" w:rsidTr="007B71A4">
        <w:trPr>
          <w:trHeight w:val="339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.2 Vyhodnotenie konzultácií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rPr>
          <w:trHeight w:val="557"/>
        </w:trPr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akou formou (verejné alebo cielené konzultácie a prečo) a s kým bol návrh konzultovaný.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Ako dlho trvali konzultácie?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864DE4" w:rsidTr="007B71A4">
        <w:trPr>
          <w:trHeight w:val="1440"/>
        </w:trPr>
        <w:tc>
          <w:tcPr>
            <w:tcW w:w="9212" w:type="dxa"/>
          </w:tcPr>
          <w:p w:rsidR="004B6339" w:rsidRPr="00864DE4" w:rsidRDefault="008F41F4" w:rsidP="008F41F4">
            <w:pPr>
              <w:jc w:val="both"/>
              <w:rPr>
                <w:color w:val="000000"/>
              </w:rPr>
            </w:pPr>
            <w:r w:rsidRPr="00864DE4">
              <w:t xml:space="preserve"> </w:t>
            </w: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.3 Náklady regulácie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.3.1 Priame finančné náklady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864DE4" w:rsidTr="007B71A4">
        <w:tc>
          <w:tcPr>
            <w:tcW w:w="9212" w:type="dxa"/>
          </w:tcPr>
          <w:p w:rsidR="00D71B03" w:rsidRPr="00AB6D14" w:rsidRDefault="007C769A" w:rsidP="00862973">
            <w:pPr>
              <w:jc w:val="both"/>
              <w:rPr>
                <w:i/>
              </w:rPr>
            </w:pPr>
            <w:r w:rsidRPr="00B7181B">
              <w:lastRenderedPageBreak/>
              <w:t>Za mesiac</w:t>
            </w:r>
            <w:r>
              <w:t xml:space="preserve"> apríl</w:t>
            </w:r>
            <w:r w:rsidRPr="00B7181B">
              <w:t xml:space="preserve"> 2020 sa predpokladá, že celková suma </w:t>
            </w:r>
            <w:r>
              <w:t>odpusteného</w:t>
            </w:r>
            <w:r w:rsidRPr="00B7181B">
              <w:t xml:space="preserve"> poistného na sociálnom poistení by predstavovala cca </w:t>
            </w:r>
            <w:r w:rsidR="00862973">
              <w:t>23,7</w:t>
            </w:r>
            <w:r w:rsidRPr="00B7181B">
              <w:t xml:space="preserve"> mil. eur, čo znamená v priemere na jedného zamestnávateľa </w:t>
            </w:r>
            <w:r>
              <w:t xml:space="preserve">cca </w:t>
            </w:r>
            <w:r w:rsidR="00083964">
              <w:t>863,7</w:t>
            </w:r>
            <w:r w:rsidR="00862973">
              <w:t xml:space="preserve"> eura</w:t>
            </w:r>
            <w:r w:rsidRPr="00B7181B">
              <w:t>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.3.2 Nepriame finančné náklady</w:t>
            </w:r>
          </w:p>
          <w:p w:rsidR="009F2DFA" w:rsidRPr="00864DE4" w:rsidRDefault="009F2DFA" w:rsidP="00B31A8E">
            <w:pPr>
              <w:rPr>
                <w:i/>
              </w:rPr>
            </w:pPr>
            <w:r w:rsidRPr="00864DE4">
              <w:rPr>
                <w:i/>
              </w:rPr>
              <w:t xml:space="preserve">Vyžaduje si predkladaný návrh dodatočné náklady na nákup tovarov alebo služieb? </w:t>
            </w:r>
            <w:r w:rsidR="00B31A8E" w:rsidRPr="00864DE4">
              <w:rPr>
                <w:i/>
              </w:rPr>
              <w:t xml:space="preserve">Zvyšuje predkladaný návrh náklady súvisiace so zamestnávaním? </w:t>
            </w:r>
            <w:r w:rsidRPr="00864DE4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F77CC0" w:rsidRDefault="00F77CC0" w:rsidP="00F77CC0">
            <w:pPr>
              <w:jc w:val="both"/>
            </w:pPr>
            <w:r w:rsidRPr="00F77CC0">
              <w:t xml:space="preserve">Bez vplyvu. 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.3.3 Administratívne náklady</w:t>
            </w:r>
          </w:p>
          <w:p w:rsidR="009F2DFA" w:rsidRPr="00864DE4" w:rsidRDefault="009F2DFA" w:rsidP="00C93673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33CD6" w:rsidP="00A15AA2">
            <w:pPr>
              <w:jc w:val="both"/>
              <w:rPr>
                <w:b/>
                <w:i/>
              </w:rPr>
            </w:pPr>
            <w:r w:rsidRPr="00864DE4">
              <w:t xml:space="preserve"> </w:t>
            </w:r>
            <w:r w:rsidR="00F77CC0">
              <w:t>Bez vplyvu.</w:t>
            </w:r>
          </w:p>
        </w:tc>
      </w:tr>
      <w:tr w:rsidR="009F2DFA" w:rsidRPr="00864DE4" w:rsidTr="007B71A4">
        <w:trPr>
          <w:trHeight w:val="2318"/>
        </w:trPr>
        <w:tc>
          <w:tcPr>
            <w:tcW w:w="9212" w:type="dxa"/>
          </w:tcPr>
          <w:p w:rsidR="00BC6A49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.3.4 Sú</w:t>
            </w:r>
            <w:r w:rsidR="007A3F7E" w:rsidRPr="00864DE4">
              <w:rPr>
                <w:b/>
                <w:i/>
              </w:rPr>
              <w:t>hrnná tabuľka nákladov reguláci</w:t>
            </w:r>
            <w:r w:rsidR="00AE5B5F" w:rsidRPr="00864DE4">
              <w:rPr>
                <w:b/>
                <w:i/>
              </w:rPr>
              <w:t>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BC6A49" w:rsidRPr="00864DE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BC6A49" w:rsidP="00B470AA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AE5B5F" w:rsidP="00B470AA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Priemerné n</w:t>
                  </w:r>
                  <w:r w:rsidR="00BC6A49" w:rsidRPr="00864DE4">
                    <w:rPr>
                      <w:i/>
                    </w:rPr>
                    <w:t>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864DE4" w:rsidRDefault="00BC6A49" w:rsidP="00B470AA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437B21" w:rsidRDefault="00BC6A49" w:rsidP="00B470AA">
                  <w:pPr>
                    <w:rPr>
                      <w:i/>
                    </w:rPr>
                  </w:pPr>
                  <w:r w:rsidRPr="00437B21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083964" w:rsidP="00B470A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863,7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D75D01" w:rsidRDefault="00862973" w:rsidP="00B470A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23 656 655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BC6A49" w:rsidP="00B470AA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5E721A" w:rsidP="00B470AA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AB4094" w:rsidRDefault="00D76BC2" w:rsidP="00B470AA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BC6A49" w:rsidRPr="00AB4094" w:rsidTr="00B470AA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E338B7" w:rsidRDefault="00BC6A49" w:rsidP="00B470AA">
                  <w:pPr>
                    <w:rPr>
                      <w:b/>
                    </w:rPr>
                  </w:pPr>
                  <w:r w:rsidRPr="00E338B7">
                    <w:rPr>
                      <w:b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E338B7" w:rsidRDefault="00083964" w:rsidP="00DD22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863,7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A49" w:rsidRPr="00E338B7" w:rsidRDefault="00862973" w:rsidP="00DD22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23 656 655</w:t>
                  </w:r>
                </w:p>
              </w:tc>
            </w:tr>
          </w:tbl>
          <w:p w:rsidR="00C93673" w:rsidRPr="00A36C26" w:rsidRDefault="00C93673" w:rsidP="00A36C26">
            <w:pPr>
              <w:rPr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.4 Konkurencieschopnosť a správanie sa podnikov na trhu</w:t>
            </w:r>
          </w:p>
          <w:p w:rsidR="009F2DFA" w:rsidRPr="00864DE4" w:rsidRDefault="009F2DFA" w:rsidP="007B71A4">
            <w:r w:rsidRPr="00864DE4">
              <w:rPr>
                <w:b/>
                <w:sz w:val="24"/>
              </w:rPr>
              <w:t xml:space="preserve">       </w:t>
            </w:r>
            <w:r w:rsidRPr="00864DE4">
              <w:rPr>
                <w:sz w:val="24"/>
              </w:rPr>
              <w:t xml:space="preserve">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Ovplyvňuje prístup k financiám? Ak áno, ako?</w:t>
            </w:r>
          </w:p>
        </w:tc>
      </w:tr>
      <w:tr w:rsidR="009F2DFA" w:rsidRPr="00864DE4" w:rsidTr="001310FC">
        <w:trPr>
          <w:trHeight w:val="427"/>
        </w:trPr>
        <w:tc>
          <w:tcPr>
            <w:tcW w:w="9212" w:type="dxa"/>
          </w:tcPr>
          <w:p w:rsidR="00A15AA2" w:rsidRDefault="00A258B2" w:rsidP="00A15AA2">
            <w:r w:rsidRPr="00864DE4">
              <w:t xml:space="preserve">Nedochádza  k vplyvu na konkurencieschopnosť a správanie sa podnikov na trhu.  </w:t>
            </w:r>
          </w:p>
          <w:p w:rsidR="004B23A0" w:rsidRPr="00864DE4" w:rsidRDefault="004B23A0" w:rsidP="00A15AA2">
            <w:pPr>
              <w:rPr>
                <w:i/>
              </w:rPr>
            </w:pPr>
          </w:p>
        </w:tc>
      </w:tr>
      <w:tr w:rsidR="009F2DFA" w:rsidRPr="00864DE4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 xml:space="preserve">.5 Inovácie </w:t>
            </w:r>
          </w:p>
          <w:p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:rsidTr="007B71A4">
        <w:tc>
          <w:tcPr>
            <w:tcW w:w="9212" w:type="dxa"/>
          </w:tcPr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 podporuje navrhovaná zmena inovácie.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Uveďte, ako vplýva navrhovaná zmena na </w:t>
            </w:r>
            <w:r w:rsidR="00904C9B" w:rsidRPr="00864DE4">
              <w:rPr>
                <w:i/>
              </w:rPr>
              <w:t xml:space="preserve">jednotlivé </w:t>
            </w:r>
            <w:r w:rsidRPr="00864DE4">
              <w:rPr>
                <w:i/>
              </w:rPr>
              <w:t>práva duševného vlastníctva (</w:t>
            </w:r>
            <w:r w:rsidR="00904C9B" w:rsidRPr="00864DE4">
              <w:rPr>
                <w:i/>
              </w:rPr>
              <w:t xml:space="preserve">napr. </w:t>
            </w:r>
            <w:r w:rsidRPr="00864DE4">
              <w:rPr>
                <w:i/>
              </w:rPr>
              <w:t xml:space="preserve">patenty, ochranné známky, </w:t>
            </w:r>
            <w:r w:rsidR="00904C9B" w:rsidRPr="00864DE4">
              <w:rPr>
                <w:i/>
              </w:rPr>
              <w:t>autorské práva</w:t>
            </w:r>
            <w:r w:rsidRPr="00864DE4">
              <w:rPr>
                <w:i/>
              </w:rPr>
              <w:t>, vlastníctvo know-how).</w:t>
            </w:r>
          </w:p>
          <w:p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Podporuje vyššiu efektivitu výroby/využívania zdrojov? Ak áno, ako?</w:t>
            </w:r>
          </w:p>
          <w:p w:rsidR="00837639" w:rsidRPr="00864DE4" w:rsidRDefault="00837639" w:rsidP="007B71A4">
            <w:r w:rsidRPr="00864DE4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F04CCD" w:rsidTr="001310FC">
        <w:trPr>
          <w:trHeight w:val="70"/>
        </w:trPr>
        <w:tc>
          <w:tcPr>
            <w:tcW w:w="9212" w:type="dxa"/>
          </w:tcPr>
          <w:p w:rsidR="009F2DFA" w:rsidRPr="00F04CCD" w:rsidRDefault="00A258B2" w:rsidP="007B71A4">
            <w:pPr>
              <w:rPr>
                <w:i/>
              </w:rPr>
            </w:pPr>
            <w:r w:rsidRPr="00864DE4">
              <w:t>Nedochádza k vplyvu na inovácie.</w:t>
            </w:r>
            <w:r w:rsidRPr="0051340B">
              <w:t xml:space="preserve">  </w:t>
            </w:r>
          </w:p>
        </w:tc>
      </w:tr>
    </w:tbl>
    <w:p w:rsidR="009F2DFA" w:rsidRDefault="009F2DFA" w:rsidP="009F2DFA">
      <w:pPr>
        <w:rPr>
          <w:b/>
          <w:sz w:val="24"/>
        </w:rPr>
      </w:pPr>
    </w:p>
    <w:sectPr w:rsidR="009F2DFA" w:rsidSect="00010615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8C" w:rsidRDefault="00F55F8C" w:rsidP="009F2DFA">
      <w:r>
        <w:separator/>
      </w:r>
    </w:p>
  </w:endnote>
  <w:endnote w:type="continuationSeparator" w:id="0">
    <w:p w:rsidR="00F55F8C" w:rsidRDefault="00F55F8C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615" w:rsidRPr="00010615" w:rsidRDefault="00010615">
    <w:pPr>
      <w:pStyle w:val="Pta"/>
      <w:jc w:val="center"/>
      <w:rPr>
        <w:sz w:val="24"/>
        <w:szCs w:val="24"/>
      </w:rPr>
    </w:pPr>
    <w:r w:rsidRPr="00010615">
      <w:rPr>
        <w:sz w:val="24"/>
        <w:szCs w:val="24"/>
      </w:rPr>
      <w:fldChar w:fldCharType="begin"/>
    </w:r>
    <w:r w:rsidRPr="00010615">
      <w:rPr>
        <w:sz w:val="24"/>
        <w:szCs w:val="24"/>
      </w:rPr>
      <w:instrText>PAGE   \* MERGEFORMAT</w:instrText>
    </w:r>
    <w:r w:rsidRPr="00010615">
      <w:rPr>
        <w:sz w:val="24"/>
        <w:szCs w:val="24"/>
      </w:rPr>
      <w:fldChar w:fldCharType="separate"/>
    </w:r>
    <w:r w:rsidR="00083964">
      <w:rPr>
        <w:noProof/>
        <w:sz w:val="24"/>
        <w:szCs w:val="24"/>
      </w:rPr>
      <w:t>2</w:t>
    </w:r>
    <w:r w:rsidRPr="00010615">
      <w:rPr>
        <w:sz w:val="24"/>
        <w:szCs w:val="24"/>
      </w:rPr>
      <w:fldChar w:fldCharType="end"/>
    </w:r>
  </w:p>
  <w:p w:rsidR="00010615" w:rsidRPr="00010615" w:rsidRDefault="00010615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8C" w:rsidRDefault="00F55F8C" w:rsidP="009F2DFA">
      <w:r>
        <w:separator/>
      </w:r>
    </w:p>
  </w:footnote>
  <w:footnote w:type="continuationSeparator" w:id="0">
    <w:p w:rsidR="00F55F8C" w:rsidRDefault="00F55F8C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41BE8"/>
    <w:multiLevelType w:val="hybridMultilevel"/>
    <w:tmpl w:val="D9784814"/>
    <w:lvl w:ilvl="0" w:tplc="1EBEE1A4">
      <w:numFmt w:val="bullet"/>
      <w:lvlText w:val="-"/>
      <w:lvlJc w:val="left"/>
      <w:pPr>
        <w:ind w:left="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055DA"/>
    <w:rsid w:val="00010615"/>
    <w:rsid w:val="00013156"/>
    <w:rsid w:val="00034CDC"/>
    <w:rsid w:val="00042C66"/>
    <w:rsid w:val="0004470A"/>
    <w:rsid w:val="00046F61"/>
    <w:rsid w:val="000476AD"/>
    <w:rsid w:val="0005303A"/>
    <w:rsid w:val="00055A33"/>
    <w:rsid w:val="000573A5"/>
    <w:rsid w:val="00061B2C"/>
    <w:rsid w:val="000632F4"/>
    <w:rsid w:val="0007726B"/>
    <w:rsid w:val="000837DD"/>
    <w:rsid w:val="00083964"/>
    <w:rsid w:val="00090726"/>
    <w:rsid w:val="00094B4F"/>
    <w:rsid w:val="000B187B"/>
    <w:rsid w:val="000D2622"/>
    <w:rsid w:val="000E2703"/>
    <w:rsid w:val="000E336B"/>
    <w:rsid w:val="000E5E65"/>
    <w:rsid w:val="0010106D"/>
    <w:rsid w:val="00110D2E"/>
    <w:rsid w:val="00126556"/>
    <w:rsid w:val="00127795"/>
    <w:rsid w:val="001310FC"/>
    <w:rsid w:val="00132E59"/>
    <w:rsid w:val="00153569"/>
    <w:rsid w:val="00154881"/>
    <w:rsid w:val="001564A4"/>
    <w:rsid w:val="001720C6"/>
    <w:rsid w:val="00175268"/>
    <w:rsid w:val="00175A58"/>
    <w:rsid w:val="001862EB"/>
    <w:rsid w:val="00186D0D"/>
    <w:rsid w:val="00190FF9"/>
    <w:rsid w:val="001A12AD"/>
    <w:rsid w:val="001A7475"/>
    <w:rsid w:val="001A7605"/>
    <w:rsid w:val="001B5B42"/>
    <w:rsid w:val="001B64E0"/>
    <w:rsid w:val="001C0F95"/>
    <w:rsid w:val="001C6AC1"/>
    <w:rsid w:val="001E2BA5"/>
    <w:rsid w:val="001E7CEB"/>
    <w:rsid w:val="001F6DD4"/>
    <w:rsid w:val="001F70FF"/>
    <w:rsid w:val="00207E2C"/>
    <w:rsid w:val="00224B65"/>
    <w:rsid w:val="00231ED3"/>
    <w:rsid w:val="00240E2A"/>
    <w:rsid w:val="002473EB"/>
    <w:rsid w:val="00265D45"/>
    <w:rsid w:val="00266005"/>
    <w:rsid w:val="00270039"/>
    <w:rsid w:val="00274280"/>
    <w:rsid w:val="00274BAE"/>
    <w:rsid w:val="0028562A"/>
    <w:rsid w:val="00285D81"/>
    <w:rsid w:val="002865F6"/>
    <w:rsid w:val="00292F88"/>
    <w:rsid w:val="002A6AC9"/>
    <w:rsid w:val="002B1108"/>
    <w:rsid w:val="002B295C"/>
    <w:rsid w:val="002B5520"/>
    <w:rsid w:val="002B6B00"/>
    <w:rsid w:val="002D2791"/>
    <w:rsid w:val="002D5A3A"/>
    <w:rsid w:val="002E2738"/>
    <w:rsid w:val="002E3314"/>
    <w:rsid w:val="002F6744"/>
    <w:rsid w:val="002F6CB5"/>
    <w:rsid w:val="002F702C"/>
    <w:rsid w:val="003049F9"/>
    <w:rsid w:val="00314578"/>
    <w:rsid w:val="00315666"/>
    <w:rsid w:val="00321333"/>
    <w:rsid w:val="00327786"/>
    <w:rsid w:val="00330381"/>
    <w:rsid w:val="00330621"/>
    <w:rsid w:val="00336F5E"/>
    <w:rsid w:val="003431F2"/>
    <w:rsid w:val="0034673C"/>
    <w:rsid w:val="00347F2C"/>
    <w:rsid w:val="003531B1"/>
    <w:rsid w:val="003533B1"/>
    <w:rsid w:val="003737EE"/>
    <w:rsid w:val="00380A70"/>
    <w:rsid w:val="00394FEA"/>
    <w:rsid w:val="00395559"/>
    <w:rsid w:val="003A5C12"/>
    <w:rsid w:val="003C0811"/>
    <w:rsid w:val="003C3F89"/>
    <w:rsid w:val="003E6175"/>
    <w:rsid w:val="003F1D59"/>
    <w:rsid w:val="003F4F15"/>
    <w:rsid w:val="003F66FF"/>
    <w:rsid w:val="004047E5"/>
    <w:rsid w:val="00406542"/>
    <w:rsid w:val="004100A9"/>
    <w:rsid w:val="00411BD1"/>
    <w:rsid w:val="0043237D"/>
    <w:rsid w:val="004338B6"/>
    <w:rsid w:val="00437B21"/>
    <w:rsid w:val="00450A0C"/>
    <w:rsid w:val="00452F25"/>
    <w:rsid w:val="004603C8"/>
    <w:rsid w:val="00461742"/>
    <w:rsid w:val="00477BCF"/>
    <w:rsid w:val="00481A92"/>
    <w:rsid w:val="00482A7E"/>
    <w:rsid w:val="00497D70"/>
    <w:rsid w:val="004A4B3B"/>
    <w:rsid w:val="004B124E"/>
    <w:rsid w:val="004B1B25"/>
    <w:rsid w:val="004B23A0"/>
    <w:rsid w:val="004B26F6"/>
    <w:rsid w:val="004B6339"/>
    <w:rsid w:val="004C4F30"/>
    <w:rsid w:val="004C65A5"/>
    <w:rsid w:val="004D0ACD"/>
    <w:rsid w:val="004D5FB1"/>
    <w:rsid w:val="004E04D1"/>
    <w:rsid w:val="004F7E8E"/>
    <w:rsid w:val="00503151"/>
    <w:rsid w:val="00506BB4"/>
    <w:rsid w:val="0051340B"/>
    <w:rsid w:val="0051741B"/>
    <w:rsid w:val="0052297F"/>
    <w:rsid w:val="00540C93"/>
    <w:rsid w:val="0054105B"/>
    <w:rsid w:val="00545A1F"/>
    <w:rsid w:val="00545EB8"/>
    <w:rsid w:val="00575E10"/>
    <w:rsid w:val="00592E05"/>
    <w:rsid w:val="005A01C6"/>
    <w:rsid w:val="005A0D1B"/>
    <w:rsid w:val="005A0E4F"/>
    <w:rsid w:val="005A45D3"/>
    <w:rsid w:val="005B099D"/>
    <w:rsid w:val="005B6573"/>
    <w:rsid w:val="005B77D1"/>
    <w:rsid w:val="005D5BE5"/>
    <w:rsid w:val="005D7D66"/>
    <w:rsid w:val="005E6DB0"/>
    <w:rsid w:val="005E721A"/>
    <w:rsid w:val="005F02C5"/>
    <w:rsid w:val="006063DB"/>
    <w:rsid w:val="00622108"/>
    <w:rsid w:val="00627C27"/>
    <w:rsid w:val="00632DB0"/>
    <w:rsid w:val="0063352D"/>
    <w:rsid w:val="006358D5"/>
    <w:rsid w:val="00644573"/>
    <w:rsid w:val="006461C4"/>
    <w:rsid w:val="006502A7"/>
    <w:rsid w:val="00651ADE"/>
    <w:rsid w:val="0065419B"/>
    <w:rsid w:val="0067638D"/>
    <w:rsid w:val="00680801"/>
    <w:rsid w:val="00695014"/>
    <w:rsid w:val="006A16A8"/>
    <w:rsid w:val="006A361E"/>
    <w:rsid w:val="006A367F"/>
    <w:rsid w:val="006B2634"/>
    <w:rsid w:val="006B3C51"/>
    <w:rsid w:val="006D02BF"/>
    <w:rsid w:val="006D3CCE"/>
    <w:rsid w:val="006F3DED"/>
    <w:rsid w:val="00704CCD"/>
    <w:rsid w:val="0071067F"/>
    <w:rsid w:val="00725779"/>
    <w:rsid w:val="00725EC7"/>
    <w:rsid w:val="00733646"/>
    <w:rsid w:val="00736241"/>
    <w:rsid w:val="00740BB6"/>
    <w:rsid w:val="00752503"/>
    <w:rsid w:val="007530F3"/>
    <w:rsid w:val="00764FD4"/>
    <w:rsid w:val="007670EC"/>
    <w:rsid w:val="007703A6"/>
    <w:rsid w:val="00777AF4"/>
    <w:rsid w:val="00780BA6"/>
    <w:rsid w:val="0078137D"/>
    <w:rsid w:val="007816FA"/>
    <w:rsid w:val="00787153"/>
    <w:rsid w:val="007922DE"/>
    <w:rsid w:val="00794D41"/>
    <w:rsid w:val="00797253"/>
    <w:rsid w:val="00797415"/>
    <w:rsid w:val="007A1C48"/>
    <w:rsid w:val="007A3D37"/>
    <w:rsid w:val="007A3F7E"/>
    <w:rsid w:val="007A4160"/>
    <w:rsid w:val="007A624D"/>
    <w:rsid w:val="007B50D6"/>
    <w:rsid w:val="007B58A9"/>
    <w:rsid w:val="007B66E5"/>
    <w:rsid w:val="007B71A4"/>
    <w:rsid w:val="007C2190"/>
    <w:rsid w:val="007C32AF"/>
    <w:rsid w:val="007C769A"/>
    <w:rsid w:val="007D643A"/>
    <w:rsid w:val="007E0400"/>
    <w:rsid w:val="007E3616"/>
    <w:rsid w:val="007F0FBF"/>
    <w:rsid w:val="007F665C"/>
    <w:rsid w:val="00805BC1"/>
    <w:rsid w:val="008277E0"/>
    <w:rsid w:val="0083071C"/>
    <w:rsid w:val="0083360F"/>
    <w:rsid w:val="00837639"/>
    <w:rsid w:val="0084578A"/>
    <w:rsid w:val="00856DFE"/>
    <w:rsid w:val="00862973"/>
    <w:rsid w:val="0086400C"/>
    <w:rsid w:val="00864CF0"/>
    <w:rsid w:val="00864DE4"/>
    <w:rsid w:val="008715A6"/>
    <w:rsid w:val="00871E57"/>
    <w:rsid w:val="00873EC1"/>
    <w:rsid w:val="008845C7"/>
    <w:rsid w:val="0088583C"/>
    <w:rsid w:val="00890AB2"/>
    <w:rsid w:val="00891038"/>
    <w:rsid w:val="008A1252"/>
    <w:rsid w:val="008A7657"/>
    <w:rsid w:val="008A7E20"/>
    <w:rsid w:val="008B0CAB"/>
    <w:rsid w:val="008B0F16"/>
    <w:rsid w:val="008B4627"/>
    <w:rsid w:val="008B6134"/>
    <w:rsid w:val="008D1B15"/>
    <w:rsid w:val="008D2160"/>
    <w:rsid w:val="008D5F20"/>
    <w:rsid w:val="008E061C"/>
    <w:rsid w:val="008E6AA6"/>
    <w:rsid w:val="008F41F4"/>
    <w:rsid w:val="00904C9B"/>
    <w:rsid w:val="00913F1D"/>
    <w:rsid w:val="00933CD6"/>
    <w:rsid w:val="0094272A"/>
    <w:rsid w:val="00943B27"/>
    <w:rsid w:val="00951098"/>
    <w:rsid w:val="00954D60"/>
    <w:rsid w:val="00972066"/>
    <w:rsid w:val="00972902"/>
    <w:rsid w:val="00981994"/>
    <w:rsid w:val="009832B5"/>
    <w:rsid w:val="00987532"/>
    <w:rsid w:val="009A1C54"/>
    <w:rsid w:val="009B649C"/>
    <w:rsid w:val="009F2DFA"/>
    <w:rsid w:val="00A012E9"/>
    <w:rsid w:val="00A04432"/>
    <w:rsid w:val="00A15AA2"/>
    <w:rsid w:val="00A23B80"/>
    <w:rsid w:val="00A258B2"/>
    <w:rsid w:val="00A36C26"/>
    <w:rsid w:val="00A4753B"/>
    <w:rsid w:val="00A6041E"/>
    <w:rsid w:val="00A75004"/>
    <w:rsid w:val="00A852D4"/>
    <w:rsid w:val="00A854A7"/>
    <w:rsid w:val="00A90AEE"/>
    <w:rsid w:val="00A91B57"/>
    <w:rsid w:val="00A91E2C"/>
    <w:rsid w:val="00A9327B"/>
    <w:rsid w:val="00A9573B"/>
    <w:rsid w:val="00AB16C3"/>
    <w:rsid w:val="00AB4094"/>
    <w:rsid w:val="00AB6D14"/>
    <w:rsid w:val="00AC0CBF"/>
    <w:rsid w:val="00AC14B6"/>
    <w:rsid w:val="00AD0AB6"/>
    <w:rsid w:val="00AD0F0F"/>
    <w:rsid w:val="00AD4B40"/>
    <w:rsid w:val="00AE3D8D"/>
    <w:rsid w:val="00AE4F07"/>
    <w:rsid w:val="00AE54C7"/>
    <w:rsid w:val="00AE5B5F"/>
    <w:rsid w:val="00AE6633"/>
    <w:rsid w:val="00AF2ABD"/>
    <w:rsid w:val="00B23958"/>
    <w:rsid w:val="00B24DD2"/>
    <w:rsid w:val="00B31A8E"/>
    <w:rsid w:val="00B36451"/>
    <w:rsid w:val="00B366B1"/>
    <w:rsid w:val="00B470AA"/>
    <w:rsid w:val="00B50DB9"/>
    <w:rsid w:val="00B57021"/>
    <w:rsid w:val="00B617CC"/>
    <w:rsid w:val="00B84BB3"/>
    <w:rsid w:val="00B930BE"/>
    <w:rsid w:val="00B94836"/>
    <w:rsid w:val="00BA073A"/>
    <w:rsid w:val="00BA713F"/>
    <w:rsid w:val="00BB5C76"/>
    <w:rsid w:val="00BC2211"/>
    <w:rsid w:val="00BC6A49"/>
    <w:rsid w:val="00BD7321"/>
    <w:rsid w:val="00BE4FB8"/>
    <w:rsid w:val="00BF0381"/>
    <w:rsid w:val="00BF646E"/>
    <w:rsid w:val="00BF73D4"/>
    <w:rsid w:val="00C01F24"/>
    <w:rsid w:val="00C17BD8"/>
    <w:rsid w:val="00C25C3A"/>
    <w:rsid w:val="00C31E5F"/>
    <w:rsid w:val="00C359B9"/>
    <w:rsid w:val="00C37924"/>
    <w:rsid w:val="00C41152"/>
    <w:rsid w:val="00C5114B"/>
    <w:rsid w:val="00C51AD6"/>
    <w:rsid w:val="00C575FF"/>
    <w:rsid w:val="00C72124"/>
    <w:rsid w:val="00C741B1"/>
    <w:rsid w:val="00C8286A"/>
    <w:rsid w:val="00C8443B"/>
    <w:rsid w:val="00C87362"/>
    <w:rsid w:val="00C87827"/>
    <w:rsid w:val="00C93673"/>
    <w:rsid w:val="00CB0AB0"/>
    <w:rsid w:val="00CB1CBB"/>
    <w:rsid w:val="00CB3623"/>
    <w:rsid w:val="00CC60FB"/>
    <w:rsid w:val="00CC70FF"/>
    <w:rsid w:val="00CD13D3"/>
    <w:rsid w:val="00CD45CA"/>
    <w:rsid w:val="00CD5B16"/>
    <w:rsid w:val="00CE4897"/>
    <w:rsid w:val="00CF057F"/>
    <w:rsid w:val="00CF1EB0"/>
    <w:rsid w:val="00CF4449"/>
    <w:rsid w:val="00D01BB0"/>
    <w:rsid w:val="00D10942"/>
    <w:rsid w:val="00D11AAD"/>
    <w:rsid w:val="00D11E71"/>
    <w:rsid w:val="00D22906"/>
    <w:rsid w:val="00D25A70"/>
    <w:rsid w:val="00D37D37"/>
    <w:rsid w:val="00D44342"/>
    <w:rsid w:val="00D51666"/>
    <w:rsid w:val="00D52DA5"/>
    <w:rsid w:val="00D60318"/>
    <w:rsid w:val="00D65027"/>
    <w:rsid w:val="00D71B03"/>
    <w:rsid w:val="00D75114"/>
    <w:rsid w:val="00D75D01"/>
    <w:rsid w:val="00D76BC2"/>
    <w:rsid w:val="00D83756"/>
    <w:rsid w:val="00D92EB2"/>
    <w:rsid w:val="00D933A7"/>
    <w:rsid w:val="00D9741C"/>
    <w:rsid w:val="00DA322C"/>
    <w:rsid w:val="00DA6291"/>
    <w:rsid w:val="00DB20B6"/>
    <w:rsid w:val="00DB4C7B"/>
    <w:rsid w:val="00DB666F"/>
    <w:rsid w:val="00DC05A5"/>
    <w:rsid w:val="00DC4715"/>
    <w:rsid w:val="00DD2205"/>
    <w:rsid w:val="00DD2454"/>
    <w:rsid w:val="00DE702A"/>
    <w:rsid w:val="00E11615"/>
    <w:rsid w:val="00E1266D"/>
    <w:rsid w:val="00E1696C"/>
    <w:rsid w:val="00E20F6A"/>
    <w:rsid w:val="00E26542"/>
    <w:rsid w:val="00E338B7"/>
    <w:rsid w:val="00E65BFA"/>
    <w:rsid w:val="00E74B56"/>
    <w:rsid w:val="00E85F2F"/>
    <w:rsid w:val="00E86AD1"/>
    <w:rsid w:val="00E969E2"/>
    <w:rsid w:val="00EA388D"/>
    <w:rsid w:val="00EA3FEB"/>
    <w:rsid w:val="00EA45B0"/>
    <w:rsid w:val="00EB29C7"/>
    <w:rsid w:val="00EC6BC4"/>
    <w:rsid w:val="00ED38A6"/>
    <w:rsid w:val="00ED4E83"/>
    <w:rsid w:val="00EE222C"/>
    <w:rsid w:val="00EE39AF"/>
    <w:rsid w:val="00EE50A2"/>
    <w:rsid w:val="00F04CCD"/>
    <w:rsid w:val="00F10268"/>
    <w:rsid w:val="00F35EC5"/>
    <w:rsid w:val="00F37E0C"/>
    <w:rsid w:val="00F41620"/>
    <w:rsid w:val="00F54126"/>
    <w:rsid w:val="00F55F8C"/>
    <w:rsid w:val="00F70845"/>
    <w:rsid w:val="00F75442"/>
    <w:rsid w:val="00F763E5"/>
    <w:rsid w:val="00F77CC0"/>
    <w:rsid w:val="00F80680"/>
    <w:rsid w:val="00F819C2"/>
    <w:rsid w:val="00F90E6E"/>
    <w:rsid w:val="00FA2133"/>
    <w:rsid w:val="00FA393E"/>
    <w:rsid w:val="00FA4FB8"/>
    <w:rsid w:val="00FA712A"/>
    <w:rsid w:val="00FA7DCD"/>
    <w:rsid w:val="00FB5BFD"/>
    <w:rsid w:val="00FB5C13"/>
    <w:rsid w:val="00FC184B"/>
    <w:rsid w:val="00FC75C8"/>
    <w:rsid w:val="00FD58A2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1A8F37-41C2-4BC7-BE0C-78D5B560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sek,List Paragraph1"/>
    <w:basedOn w:val="Normlny"/>
    <w:link w:val="OdsekzoznamuChar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customStyle="1" w:styleId="OdsekzoznamuChar">
    <w:name w:val="Odsek zoznamu Char"/>
    <w:aliases w:val="body Char,Odsek zoznamu2 Char,Odsek Char,List Paragraph1 Char"/>
    <w:link w:val="Odsekzoznamu"/>
    <w:uiPriority w:val="34"/>
    <w:qFormat/>
    <w:locked/>
    <w:rsid w:val="009832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502-67F3-4401-AFF7-94007433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Duriska Slavomir</cp:lastModifiedBy>
  <cp:revision>8</cp:revision>
  <cp:lastPrinted>2018-05-23T13:17:00Z</cp:lastPrinted>
  <dcterms:created xsi:type="dcterms:W3CDTF">2020-04-09T15:06:00Z</dcterms:created>
  <dcterms:modified xsi:type="dcterms:W3CDTF">2020-04-16T10:14:00Z</dcterms:modified>
</cp:coreProperties>
</file>