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spacing w:line="240" w:lineRule="auto"/>
        <w:jc w:val="right"/>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B1784E" w:rsidP="007C7F8B">
            <w:pPr>
              <w:spacing w:line="240" w:lineRule="auto"/>
              <w:jc w:val="center"/>
              <w:rPr>
                <w:b/>
                <w:bCs/>
                <w:sz w:val="32"/>
                <w:szCs w:val="32"/>
              </w:rPr>
            </w:pPr>
            <w:r w:rsidRPr="00B1784E">
              <w:rPr>
                <w:b/>
                <w:bCs/>
                <w:sz w:val="32"/>
                <w:szCs w:val="32"/>
              </w:rPr>
              <w:t xml:space="preserve">Analýza </w:t>
            </w:r>
            <w:r w:rsidRPr="00964DDF" w:rsidR="00964DDF">
              <w:rPr>
                <w:b/>
                <w:bCs/>
                <w:sz w:val="32"/>
                <w:szCs w:val="32"/>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337789" w:rsidRPr="00F36EF9" w:rsidP="007C7F8B">
            <w:pPr>
              <w:spacing w:line="240" w:lineRule="auto"/>
              <w:rPr>
                <w:i/>
                <w:sz w:val="22"/>
                <w:szCs w:val="22"/>
              </w:rPr>
            </w:pPr>
            <w:r w:rsidR="003B61B2">
              <w:rPr>
                <w:i/>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F36EF9" w:rsidP="007C7F8B">
            <w:pPr>
              <w:spacing w:line="240" w:lineRule="auto"/>
              <w:rPr>
                <w:i/>
                <w:sz w:val="22"/>
                <w:szCs w:val="22"/>
              </w:rPr>
            </w:pPr>
            <w:r w:rsidRPr="00F36EF9">
              <w:rPr>
                <w:i/>
                <w:sz w:val="22"/>
                <w:szCs w:val="22"/>
              </w:rPr>
              <w:t>Nová služba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337789" w:rsidRPr="00F36EF9" w:rsidP="007C7F8B">
            <w:pPr>
              <w:spacing w:line="240" w:lineRule="auto"/>
              <w:rPr>
                <w:i/>
                <w:sz w:val="22"/>
                <w:szCs w:val="22"/>
              </w:rPr>
            </w:pPr>
            <w:r w:rsidR="003B61B2">
              <w:rPr>
                <w:i/>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i/>
                <w:sz w:val="22"/>
                <w:szCs w:val="22"/>
              </w:rPr>
            </w:pPr>
            <w:r w:rsidRPr="00D3615C">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545"/>
        </w:trPr>
        <w:tc>
          <w:tcPr>
            <w:tcW w:w="9371" w:type="dxa"/>
          </w:tcPr>
          <w:p w:rsidR="00337789" w:rsidRPr="00D3615C" w:rsidP="007C7F8B">
            <w:pPr>
              <w:spacing w:line="240" w:lineRule="auto"/>
              <w:rPr>
                <w:i/>
                <w:sz w:val="22"/>
                <w:szCs w:val="22"/>
              </w:rPr>
            </w:pPr>
            <w:r w:rsidR="003B61B2">
              <w:rPr>
                <w:i/>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5C4B9C" w:rsidP="007C7F8B">
            <w:pPr>
              <w:spacing w:line="240" w:lineRule="auto"/>
              <w:rPr>
                <w:b/>
                <w:i/>
                <w:sz w:val="22"/>
                <w:szCs w:val="22"/>
              </w:rPr>
            </w:pPr>
            <w:r w:rsidR="003B61B2">
              <w:rPr>
                <w:b/>
                <w:i/>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F36EF9" w:rsidP="007C7F8B">
            <w:pPr>
              <w:spacing w:line="240" w:lineRule="auto"/>
              <w:rPr>
                <w:b/>
                <w:i/>
                <w:sz w:val="22"/>
                <w:szCs w:val="22"/>
              </w:rPr>
            </w:pPr>
            <w:r>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B1031A" w:rsidP="007C7F8B">
            <w:pPr>
              <w:spacing w:line="240" w:lineRule="auto"/>
              <w:rPr>
                <w:sz w:val="22"/>
                <w:szCs w:val="22"/>
              </w:rPr>
            </w:pPr>
            <w:r w:rsidR="003B61B2">
              <w:rPr>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 xml:space="preserv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337789" w:rsidRPr="005C4B9C" w:rsidP="007C7F8B">
            <w:pPr>
              <w:spacing w:line="240" w:lineRule="auto"/>
              <w:rPr>
                <w:b/>
                <w:i/>
                <w:sz w:val="22"/>
                <w:szCs w:val="22"/>
              </w:rPr>
            </w:pPr>
            <w:r w:rsidR="003B61B2">
              <w:rPr>
                <w:b/>
                <w:i/>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F36EF9" w:rsidP="007C7F8B">
            <w:pPr>
              <w:spacing w:line="240" w:lineRule="auto"/>
              <w:rPr>
                <w:b/>
                <w:i/>
                <w:sz w:val="22"/>
                <w:szCs w:val="22"/>
              </w:rPr>
            </w:pPr>
            <w:r w:rsidRPr="00F36EF9">
              <w:rPr>
                <w:i/>
                <w:sz w:val="22"/>
                <w:szCs w:val="22"/>
              </w:rPr>
              <w:t xml:space="preserve">Nepriamy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616"/>
        </w:trPr>
        <w:tc>
          <w:tcPr>
            <w:tcW w:w="9371" w:type="dxa"/>
          </w:tcPr>
          <w:p w:rsidR="00337789" w:rsidRPr="005C4B9C" w:rsidP="007C7F8B">
            <w:pPr>
              <w:spacing w:line="240" w:lineRule="auto"/>
              <w:rPr>
                <w:b/>
                <w:i/>
                <w:sz w:val="22"/>
                <w:szCs w:val="22"/>
              </w:rPr>
            </w:pPr>
            <w:r w:rsidR="003B61B2">
              <w:rPr>
                <w:b/>
                <w:i/>
                <w:sz w:val="22"/>
                <w:szCs w:val="22"/>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337789" w:rsidRPr="00B1784E"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Pr="00B1784E" w:rsidR="005021C6">
              <w:rPr>
                <w:b/>
                <w:sz w:val="28"/>
                <w:szCs w:val="28"/>
              </w:rPr>
              <w:t>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P="007C7F8B">
            <w:pPr>
              <w:spacing w:line="240" w:lineRule="auto"/>
              <w:rPr>
                <w:b/>
              </w:rPr>
            </w:pPr>
            <w:r>
              <w:rPr>
                <w:b/>
              </w:rPr>
              <w:t>7.2</w:t>
            </w:r>
            <w:r w:rsidRPr="00B1784E">
              <w:rPr>
                <w:b/>
              </w:rPr>
              <w:t>.</w:t>
            </w:r>
            <w:r>
              <w:rPr>
                <w:b/>
              </w:rPr>
              <w:t xml:space="preserve">1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337789" w:rsidP="007C7F8B">
            <w:pPr>
              <w:spacing w:line="240" w:lineRule="auto"/>
              <w:rPr>
                <w:b/>
              </w:rPr>
            </w:pPr>
            <w:r>
              <w:rPr>
                <w:i/>
              </w:rPr>
              <w:t xml:space="preserve">Zníženie priamych finančných nákladov </w:t>
            </w:r>
          </w:p>
        </w:tc>
      </w:tr>
      <w:tr w:rsidTr="009C2704">
        <w:tblPrEx>
          <w:tblW w:w="9371" w:type="dxa"/>
          <w:tblInd w:w="55" w:type="dxa"/>
          <w:tblLayout w:type="fixed"/>
          <w:tblCellMar>
            <w:top w:w="28" w:type="dxa"/>
            <w:left w:w="70" w:type="dxa"/>
            <w:bottom w:w="28" w:type="dxa"/>
            <w:right w:w="70" w:type="dxa"/>
          </w:tblCellMar>
          <w:tblLook w:val="0000"/>
        </w:tblPrEx>
        <w:trPr>
          <w:trHeight w:val="599"/>
        </w:trPr>
        <w:tc>
          <w:tcPr>
            <w:tcW w:w="9371" w:type="dxa"/>
          </w:tcPr>
          <w:p w:rsidR="00337789" w:rsidP="007C7F8B">
            <w:pPr>
              <w:spacing w:line="240" w:lineRule="auto"/>
              <w:rPr>
                <w:i/>
              </w:rPr>
            </w:pPr>
            <w:r w:rsidR="003B61B2">
              <w:rPr>
                <w:i/>
              </w:rPr>
              <w:t>-</w:t>
            </w: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337789" w:rsidRPr="00E43AA2" w:rsidP="007C7F8B">
            <w:pPr>
              <w:spacing w:line="240" w:lineRule="auto"/>
              <w:rPr>
                <w:i/>
              </w:rPr>
            </w:pPr>
            <w:r w:rsidRPr="00E43AA2">
              <w:rPr>
                <w:i/>
              </w:rPr>
              <w:t xml:space="preserve">Zvýšenie </w:t>
            </w:r>
            <w:r>
              <w:rPr>
                <w:i/>
              </w:rPr>
              <w:t>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572"/>
        </w:trPr>
        <w:tc>
          <w:tcPr>
            <w:tcW w:w="9371" w:type="dxa"/>
          </w:tcPr>
          <w:p w:rsidR="00337789" w:rsidRPr="00E43AA2" w:rsidP="007C7F8B">
            <w:pPr>
              <w:spacing w:line="240" w:lineRule="auto"/>
              <w:rPr>
                <w:i/>
              </w:rPr>
            </w:pPr>
            <w:r w:rsidR="003B61B2">
              <w:rPr>
                <w:i/>
              </w:rPr>
              <w:t>-</w:t>
            </w: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337789" w:rsidRPr="00E43AA2" w:rsidP="007C7F8B">
            <w:pPr>
              <w:spacing w:line="240" w:lineRule="auto"/>
              <w:rPr>
                <w:i/>
              </w:rPr>
            </w:pPr>
            <w:r>
              <w:rPr>
                <w:i/>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337789" w:rsidP="007C7F8B">
            <w:pPr>
              <w:spacing w:line="240" w:lineRule="auto"/>
              <w:rPr>
                <w:i/>
              </w:rPr>
            </w:pPr>
            <w:r w:rsidR="003B61B2">
              <w:rPr>
                <w:i/>
              </w:rPr>
              <w:t>Možnosť požiadania o zaradenie do evidencie uchádzačov o zamestnanie prostredníctvom podania žiadosti elektronický</w:t>
            </w:r>
            <w:r w:rsidR="003B61B2">
              <w:rPr>
                <w:i/>
              </w:rPr>
              <w:t>mi prostriedkami bez kvalifikovaného elektronického podpisu.</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E43AA2" w:rsidP="007C7F8B">
            <w:pPr>
              <w:spacing w:line="240" w:lineRule="auto"/>
              <w:rPr>
                <w:i/>
              </w:rPr>
            </w:pPr>
            <w:r w:rsidRPr="00E43AA2">
              <w:rPr>
                <w:i/>
              </w:rPr>
              <w:t xml:space="preserve">Zvýšenie </w:t>
            </w:r>
            <w:r>
              <w:rPr>
                <w:i/>
              </w:rPr>
              <w:t>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800"/>
        </w:trPr>
        <w:tc>
          <w:tcPr>
            <w:tcW w:w="9371" w:type="dxa"/>
          </w:tcPr>
          <w:p w:rsidR="00337789" w:rsidRPr="00E43AA2" w:rsidP="007C7F8B">
            <w:pPr>
              <w:spacing w:line="240" w:lineRule="auto"/>
              <w:rPr>
                <w:i/>
              </w:rPr>
            </w:pPr>
            <w:r w:rsidR="003B61B2">
              <w:rPr>
                <w:i/>
              </w:rPr>
              <w:t>-</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B1031A"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Zvýšenie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03"/>
        </w:trPr>
        <w:tc>
          <w:tcPr>
            <w:tcW w:w="9371" w:type="dxa"/>
          </w:tcPr>
          <w:p w:rsidR="00337789" w:rsidRPr="003C3251" w:rsidP="007C7F8B">
            <w:pPr>
              <w:spacing w:line="240" w:lineRule="auto"/>
              <w:rPr>
                <w:b/>
              </w:rPr>
            </w:pPr>
            <w:r w:rsidR="003B61B2">
              <w:rPr>
                <w:b/>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Zníženie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337789" w:rsidRPr="003C3251" w:rsidP="007C7F8B">
            <w:pPr>
              <w:spacing w:line="240" w:lineRule="auto"/>
              <w:rPr>
                <w:b/>
              </w:rPr>
            </w:pPr>
            <w:r w:rsidR="003B61B2">
              <w:rPr>
                <w:i/>
              </w:rPr>
              <w:t xml:space="preserve">Možnosť požiadania o zaradenie </w:t>
            </w:r>
            <w:r w:rsidR="003B61B2">
              <w:rPr>
                <w:i/>
              </w:rPr>
              <w:t>do evidencie uchádzačov o zamestnanie prostredníctvom podania žiadosti elektronickými prostriedkami bez kvalifikovaného elektronického podpisu.</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P="007C7F8B">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337789" w:rsidRPr="00B1784E" w:rsidP="007C7F8B">
            <w:pPr>
              <w:spacing w:line="240" w:lineRule="auto"/>
              <w:rPr>
                <w:i/>
                <w:iCs/>
              </w:rPr>
            </w:pPr>
            <w:r w:rsidR="003B61B2">
              <w:rPr>
                <w:i/>
                <w:iCs/>
              </w:rPr>
              <w:t>Občania, ktorí majú záujem o zaradenie do evidencie uchádzačov o zamestnanie. Nie je možné kvantifikovať.</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 xml:space="preserve">Nové povinnosti (identifikujte) </w:t>
            </w:r>
          </w:p>
        </w:tc>
      </w:tr>
      <w:tr w:rsidTr="009C2704">
        <w:tblPrEx>
          <w:tblW w:w="9371" w:type="dxa"/>
          <w:tblInd w:w="55" w:type="dxa"/>
          <w:tblLayout w:type="fixed"/>
          <w:tblCellMar>
            <w:top w:w="28" w:type="dxa"/>
            <w:left w:w="70" w:type="dxa"/>
            <w:bottom w:w="28" w:type="dxa"/>
            <w:right w:w="70" w:type="dxa"/>
          </w:tblCellMar>
          <w:tblLook w:val="0000"/>
        </w:tblPrEx>
        <w:trPr>
          <w:trHeight w:val="726"/>
        </w:trPr>
        <w:tc>
          <w:tcPr>
            <w:tcW w:w="9371" w:type="dxa"/>
          </w:tcPr>
          <w:p w:rsidR="00337789" w:rsidRPr="005C4B9C" w:rsidP="007C7F8B">
            <w:pPr>
              <w:spacing w:line="240" w:lineRule="auto"/>
              <w:rPr>
                <w:i/>
                <w:iCs/>
              </w:rPr>
            </w:pPr>
            <w:r w:rsidR="003B61B2">
              <w:rPr>
                <w:i/>
                <w:iCs/>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09"/>
        </w:trPr>
        <w:tc>
          <w:tcPr>
            <w:tcW w:w="9371" w:type="dxa"/>
          </w:tcPr>
          <w:p w:rsidR="00337789" w:rsidP="007C7F8B">
            <w:pPr>
              <w:spacing w:line="240" w:lineRule="auto"/>
              <w:rPr>
                <w:i/>
                <w:iCs/>
              </w:rPr>
            </w:pPr>
            <w:r w:rsidR="003B61B2">
              <w:rPr>
                <w:i/>
                <w:iCs/>
              </w:rPr>
              <w:t>Osobné podanie žiadosti o zaradenie do evidencie uchádzačov o zamestnanie.</w:t>
            </w:r>
          </w:p>
          <w:p w:rsidR="00CD477A" w:rsidP="007C7F8B">
            <w:pPr>
              <w:spacing w:line="240" w:lineRule="auto"/>
              <w:rPr>
                <w:i/>
                <w:iCs/>
              </w:rPr>
            </w:pPr>
          </w:p>
          <w:p w:rsidR="00CD477A" w:rsidP="007C7F8B">
            <w:pPr>
              <w:spacing w:line="240" w:lineRule="auto"/>
              <w:rPr>
                <w:i/>
                <w:iCs/>
              </w:rPr>
            </w:pPr>
          </w:p>
          <w:p w:rsidR="00CD477A"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337789" w:rsidRPr="00B1784E"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P="007C7F8B">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337789" w:rsidRPr="00B1784E" w:rsidP="007C7F8B">
            <w:pPr>
              <w:spacing w:line="240" w:lineRule="auto"/>
              <w:rPr>
                <w:b/>
              </w:rPr>
            </w:pPr>
            <w:r w:rsidRPr="003B61B2" w:rsidR="003B61B2">
              <w:rPr>
                <w:i/>
              </w:rPr>
              <w:t>Úrady práce, sociálnych vecí a rodiny</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Nové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337789" w:rsidRPr="005C4B9C" w:rsidP="007C7F8B">
            <w:pPr>
              <w:spacing w:line="240" w:lineRule="auto"/>
              <w:rPr>
                <w:i/>
                <w:iCs/>
              </w:rPr>
            </w:pPr>
            <w:r w:rsidR="003B61B2">
              <w:rPr>
                <w:i/>
                <w:iCs/>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859"/>
        </w:trPr>
        <w:tc>
          <w:tcPr>
            <w:tcW w:w="9371" w:type="dxa"/>
          </w:tcPr>
          <w:p w:rsidR="00337789" w:rsidRPr="00B1784E" w:rsidP="007C7F8B">
            <w:pPr>
              <w:spacing w:line="240" w:lineRule="auto"/>
              <w:rPr>
                <w:i/>
                <w:iCs/>
              </w:rPr>
            </w:pPr>
            <w:r w:rsidR="003B61B2">
              <w:rPr>
                <w:i/>
                <w:iCs/>
              </w:rPr>
              <w:t>Nie.</w:t>
            </w:r>
          </w:p>
        </w:tc>
      </w:tr>
    </w:tbl>
    <w:p w:rsidR="006821D1" w:rsidP="003B61B2">
      <w:pPr>
        <w:pStyle w:val="ListParagraph"/>
        <w:autoSpaceDE w:val="0"/>
        <w:autoSpaceDN w:val="0"/>
        <w:spacing w:line="240" w:lineRule="auto"/>
        <w:ind w:left="0"/>
        <w:contextualSpacing/>
        <w:rPr>
          <w:rFonts w:eastAsia="Calibri"/>
          <w:bCs/>
          <w:color w:val="000000"/>
          <w:lang w:eastAsia="en-US"/>
        </w:rPr>
      </w:pPr>
    </w:p>
    <w:sectPr w:rsidSect="00033F71">
      <w:headerReference w:type="default" r:id="rId5"/>
      <w:footerReference w:type="default" r:id="rId6"/>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oronto">
    <w:altName w:val="Times New Roman"/>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pPr>
      <w:pStyle w:val="Footer"/>
      <w:jc w:val="right"/>
    </w:pPr>
    <w:r>
      <w:fldChar w:fldCharType="begin"/>
    </w:r>
    <w:r>
      <w:instrText>PAGE   \* MERGEFORMAT</w:instrText>
    </w:r>
    <w:r>
      <w:fldChar w:fldCharType="separate"/>
    </w:r>
    <w:r w:rsidR="00A6568F">
      <w:rPr>
        <w:noProof/>
      </w:rPr>
      <w:t>1</w:t>
    </w:r>
    <w:r>
      <w:fldChar w:fldCharType="end"/>
    </w:r>
  </w:p>
  <w:p w:rsidR="009C2704" w:rsidRPr="00DA3A35" w:rsidP="00F15ABC">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7">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0">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7D0001"/>
    <w:multiLevelType w:val="singleLevel"/>
    <w:tmpl w:val="0405000F"/>
    <w:lvl w:ilvl="0">
      <w:start w:val="1"/>
      <w:numFmt w:val="decimal"/>
      <w:lvlText w:val="%1."/>
      <w:lvlJc w:val="left"/>
      <w:pPr>
        <w:tabs>
          <w:tab w:val="num" w:pos="720"/>
        </w:tabs>
        <w:ind w:left="720" w:hanging="360"/>
      </w:pPr>
    </w:lvl>
  </w:abstractNum>
  <w:abstractNum w:abstractNumId="26">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CF4"/>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1B2"/>
    <w:rsid w:val="003B6455"/>
    <w:rsid w:val="003B6F55"/>
    <w:rsid w:val="003B73EB"/>
    <w:rsid w:val="003B7A96"/>
    <w:rsid w:val="003C0A51"/>
    <w:rsid w:val="003C0E85"/>
    <w:rsid w:val="003C124B"/>
    <w:rsid w:val="003C146D"/>
    <w:rsid w:val="003C1B8F"/>
    <w:rsid w:val="003C20A5"/>
    <w:rsid w:val="003C20D8"/>
    <w:rsid w:val="003C24EA"/>
    <w:rsid w:val="003C3251"/>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709"/>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2918"/>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68F"/>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2EA6"/>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0D1"/>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0777-10F5-4FD4-8B8D-72B2BAC4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Hertelova Karin</cp:lastModifiedBy>
  <cp:revision>4</cp:revision>
  <cp:lastPrinted>2016-02-22T12:58:00Z</cp:lastPrinted>
  <dcterms:created xsi:type="dcterms:W3CDTF">2020-03-23T23:59:00Z</dcterms:created>
  <dcterms:modified xsi:type="dcterms:W3CDTF">2020-03-24T17:47:00Z</dcterms:modified>
</cp:coreProperties>
</file>