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5AC8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CCF8F4A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11B8BB30" w14:textId="77777777"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6F1E7D7" w14:textId="77777777"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14:paraId="0297318D" w14:textId="77777777"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EECB68E" w14:textId="731AF2FE" w:rsidR="0081789C" w:rsidRPr="004323E0" w:rsidRDefault="004323E0" w:rsidP="00432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uľka č. 1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91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394"/>
      </w:tblGrid>
      <w:tr w:rsidR="0081789C" w:rsidRPr="0081789C" w14:paraId="79F178D6" w14:textId="77777777" w:rsidTr="0081789C">
        <w:trPr>
          <w:trHeight w:val="471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2E9112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64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80595E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81789C" w:rsidRPr="0081789C" w14:paraId="46E2529E" w14:textId="77777777" w:rsidTr="0081789C">
        <w:trPr>
          <w:trHeight w:val="26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5962A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4E9CCE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551387FD" w14:textId="77777777" w:rsidTr="0081789C">
        <w:trPr>
          <w:trHeight w:val="26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851AF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B2A20E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FFDA1E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5F5B01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3338B6" w14:textId="77777777"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81789C" w:rsidRPr="0081789C" w14:paraId="747F1D05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54E813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95801B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4670A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5D29F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1F940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A1C8C12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3D68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58A88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75B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016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485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3663BFCD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41F2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854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EC2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F557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F89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56239024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FA7C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324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8F5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46D6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6C07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12FE191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A459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BA0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C8F1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384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050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94E91AB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5377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C34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AC2A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188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B6E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1A61CF7A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125C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009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021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06A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BD0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3F13CCF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5614BCB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A587BB" w14:textId="53FFAE29" w:rsidR="0081789C" w:rsidRPr="0081789C" w:rsidRDefault="002E2BE2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54FAB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23C40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252B0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50728EE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95AF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352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56E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190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33B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74922547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F046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A80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5B3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754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B08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7188E01E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1200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518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A05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BE8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751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4C8580A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E206" w14:textId="77777777" w:rsidR="0081789C" w:rsidRPr="0081789C" w:rsidRDefault="0081789C" w:rsidP="0081789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D53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CBC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AF2C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158C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13F5E26C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2784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6A90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371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E96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62D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F2D232B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F691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EEE6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6AB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AA87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DD07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1C10C703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095B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AEB8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875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B47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812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77F6582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76F6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900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8CD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4A08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EFA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44DCF27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FA87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DFC4" w14:textId="42986A06" w:rsidR="0081789C" w:rsidRPr="0081789C" w:rsidRDefault="002E2BE2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2A0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362B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E8AC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1D47C06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10D81F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3FE5A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59B04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CB61C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725FD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29C5321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CAD2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AF8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CF8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1C7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6BE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29B49FF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0244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A60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EEC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238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27C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A42F7C2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9EC3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AAF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464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C0FD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92D7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45EF422B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7830D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5EB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C856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261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301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45A6035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CA34AE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53AE8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5A8D0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E0997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6D0B6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7B9D814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8E2C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FB4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F0E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64C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E90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6C089903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55E6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423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A31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FF61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3A5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20D6E8CD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EDC5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64C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E15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7F2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6C09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5B064B4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BDB0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F22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037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51C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3AE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5E885F83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13EF42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CE94B7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2BECDF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2B104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1CA23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45927E1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19A1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04B1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AD8D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DD5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AB7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81789C" w14:paraId="0DFE3454" w14:textId="77777777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BB921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-vplyv na štátny rozpočet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116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DA1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212B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1C8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34A3548E" w14:textId="77777777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2B97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3F1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F2F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4AD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F50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1578245" w14:textId="77777777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8FD8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E3D85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C819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241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C13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458FA7BE" w14:textId="77777777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4226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rozpočet Sociálnej poisťovne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5E5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CC0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5FFA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C3A0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2B9A23BA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22FCF7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4F5A8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5011B4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C4167C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9F62B3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1789C" w:rsidRPr="0081789C" w14:paraId="03D00B3B" w14:textId="77777777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5960F9" w14:textId="77777777"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EA1876" w14:textId="6469A0EE" w:rsidR="0081789C" w:rsidRPr="0081789C" w:rsidRDefault="002E2BE2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B91ED6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E0EBE2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C6058E" w14:textId="77777777"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5819FA8C" w14:textId="77777777" w:rsidR="0081789C" w:rsidRDefault="0081789C" w:rsidP="008178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A4805FA" w14:textId="77777777" w:rsidR="0081789C" w:rsidRDefault="0081789C" w:rsidP="008178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A2468C9" w14:textId="77777777"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1D4C2F5" w14:textId="77777777"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D548FDD" w14:textId="77777777"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4A5ECED" w14:textId="77777777"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C7EF0E0" w14:textId="77777777"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F78B9A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31F6B64D" w14:textId="77777777" w:rsidR="007D64A4" w:rsidRDefault="007D64A4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66D6EAD" w14:textId="77777777" w:rsidR="00544A66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FC584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45D32682" w14:textId="77777777" w:rsidR="00866554" w:rsidRPr="007D5748" w:rsidRDefault="00866554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792217" w14:textId="77777777"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21DB687" w14:textId="77777777"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58CCD" w14:textId="54BAD26C" w:rsidR="005B0824" w:rsidRPr="00544A66" w:rsidRDefault="00724098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D64A4" w:rsidRPr="00544A66">
        <w:rPr>
          <w:rFonts w:ascii="Times New Roman" w:hAnsi="Times New Roman" w:cs="Times New Roman"/>
          <w:bCs/>
          <w:sz w:val="24"/>
          <w:szCs w:val="24"/>
        </w:rPr>
        <w:t>N</w:t>
      </w:r>
      <w:r w:rsidR="00FA27A0" w:rsidRPr="00544A66">
        <w:rPr>
          <w:rFonts w:ascii="Times New Roman" w:hAnsi="Times New Roman" w:cs="Times New Roman"/>
          <w:bCs/>
          <w:sz w:val="24"/>
          <w:szCs w:val="24"/>
        </w:rPr>
        <w:t>ávrh zákona</w:t>
      </w:r>
      <w:r w:rsidR="00011952" w:rsidRPr="00544A66">
        <w:rPr>
          <w:rFonts w:ascii="Times New Roman" w:hAnsi="Times New Roman" w:cs="Times New Roman"/>
          <w:bCs/>
          <w:sz w:val="24"/>
          <w:szCs w:val="24"/>
        </w:rPr>
        <w:t>, ktorým sa </w:t>
      </w:r>
      <w:r w:rsidR="00FA27A0" w:rsidRPr="00544A66">
        <w:rPr>
          <w:rFonts w:ascii="Times New Roman" w:hAnsi="Times New Roman" w:cs="Times New Roman"/>
          <w:bCs/>
          <w:sz w:val="24"/>
          <w:szCs w:val="24"/>
        </w:rPr>
        <w:t xml:space="preserve">mení a </w:t>
      </w:r>
      <w:r w:rsidR="007D64A4" w:rsidRPr="00544A66">
        <w:rPr>
          <w:rFonts w:ascii="Times New Roman" w:hAnsi="Times New Roman" w:cs="Times New Roman"/>
          <w:bCs/>
          <w:sz w:val="24"/>
          <w:szCs w:val="24"/>
        </w:rPr>
        <w:t>dopĺňa zákon č. 461/2003</w:t>
      </w:r>
      <w:r w:rsidR="00011952" w:rsidRPr="00544A66">
        <w:rPr>
          <w:rFonts w:ascii="Times New Roman" w:hAnsi="Times New Roman" w:cs="Times New Roman"/>
          <w:bCs/>
          <w:sz w:val="24"/>
          <w:szCs w:val="24"/>
        </w:rPr>
        <w:t xml:space="preserve"> Z. z. o</w:t>
      </w:r>
      <w:r w:rsidR="007D64A4" w:rsidRPr="00544A66">
        <w:rPr>
          <w:rFonts w:ascii="Times New Roman" w:hAnsi="Times New Roman" w:cs="Times New Roman"/>
          <w:bCs/>
          <w:sz w:val="24"/>
          <w:szCs w:val="24"/>
        </w:rPr>
        <w:t> sociálnom poistení</w:t>
      </w:r>
      <w:r w:rsidR="00011952" w:rsidRPr="00544A66">
        <w:rPr>
          <w:rFonts w:ascii="Times New Roman" w:hAnsi="Times New Roman" w:cs="Times New Roman"/>
          <w:bCs/>
          <w:sz w:val="24"/>
          <w:szCs w:val="24"/>
        </w:rPr>
        <w:t xml:space="preserve"> v znení neskorších pre</w:t>
      </w:r>
      <w:r w:rsidR="00FA27A0" w:rsidRPr="00544A66">
        <w:rPr>
          <w:rFonts w:ascii="Times New Roman" w:hAnsi="Times New Roman" w:cs="Times New Roman"/>
          <w:bCs/>
          <w:sz w:val="24"/>
          <w:szCs w:val="24"/>
        </w:rPr>
        <w:t>dpisov</w:t>
      </w:r>
      <w:r w:rsidR="005B0824" w:rsidRPr="00544A66">
        <w:rPr>
          <w:rFonts w:ascii="Times New Roman" w:hAnsi="Times New Roman" w:cs="Times New Roman"/>
          <w:bCs/>
          <w:sz w:val="24"/>
          <w:szCs w:val="24"/>
        </w:rPr>
        <w:t xml:space="preserve"> a ktorým sa menia a dopĺňajú niektoré zákony</w:t>
      </w:r>
      <w:r w:rsidR="00FA27A0" w:rsidRPr="00544A66">
        <w:rPr>
          <w:rFonts w:ascii="Times New Roman" w:hAnsi="Times New Roman" w:cs="Times New Roman"/>
          <w:bCs/>
          <w:sz w:val="24"/>
          <w:szCs w:val="24"/>
        </w:rPr>
        <w:t xml:space="preserve"> navrhuje</w:t>
      </w:r>
      <w:r w:rsidR="000458CC" w:rsidRPr="00544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A66" w:rsidRPr="00544A66">
        <w:rPr>
          <w:rFonts w:ascii="Times New Roman" w:hAnsi="Times New Roman" w:cs="Times New Roman"/>
          <w:sz w:val="24"/>
          <w:szCs w:val="24"/>
        </w:rPr>
        <w:t>zavedenie predĺženia obdobia vyplácania dávky ošetrovné na celú dobu zabezpečovania starostlivosti o dieťa počas uzatvorenia predškolského alebo školského  zariadenia, ak ide o dieťa do 11 rokov veku alebo do 18 rokov veku</w:t>
      </w:r>
      <w:r w:rsidR="00DC2E0E">
        <w:rPr>
          <w:rFonts w:ascii="Times New Roman" w:hAnsi="Times New Roman" w:cs="Times New Roman"/>
          <w:sz w:val="24"/>
          <w:szCs w:val="24"/>
        </w:rPr>
        <w:t xml:space="preserve"> s dlhodobo nepriaznivým zdravotným stavom</w:t>
      </w:r>
      <w:r w:rsidR="00544A66" w:rsidRPr="00544A66">
        <w:rPr>
          <w:rFonts w:ascii="Times New Roman" w:hAnsi="Times New Roman" w:cs="Times New Roman"/>
          <w:sz w:val="24"/>
          <w:szCs w:val="24"/>
        </w:rPr>
        <w:t xml:space="preserve"> (tzv. </w:t>
      </w:r>
      <w:proofErr w:type="spellStart"/>
      <w:r w:rsidR="00544A66" w:rsidRPr="00544A66">
        <w:rPr>
          <w:rFonts w:ascii="Times New Roman" w:hAnsi="Times New Roman" w:cs="Times New Roman"/>
          <w:sz w:val="24"/>
          <w:szCs w:val="24"/>
        </w:rPr>
        <w:t>pandem</w:t>
      </w:r>
      <w:r w:rsidR="00544A66">
        <w:rPr>
          <w:rFonts w:ascii="Times New Roman" w:hAnsi="Times New Roman" w:cs="Times New Roman"/>
          <w:sz w:val="24"/>
          <w:szCs w:val="24"/>
        </w:rPr>
        <w:t>ické</w:t>
      </w:r>
      <w:proofErr w:type="spellEnd"/>
      <w:r w:rsidR="00544A66">
        <w:rPr>
          <w:rFonts w:ascii="Times New Roman" w:hAnsi="Times New Roman" w:cs="Times New Roman"/>
          <w:sz w:val="24"/>
          <w:szCs w:val="24"/>
        </w:rPr>
        <w:t xml:space="preserve"> ošetrovné) a vznik</w:t>
      </w:r>
      <w:r w:rsidR="00544A66" w:rsidRPr="00544A66">
        <w:rPr>
          <w:rFonts w:ascii="Times New Roman" w:hAnsi="Times New Roman" w:cs="Times New Roman"/>
          <w:sz w:val="24"/>
          <w:szCs w:val="24"/>
        </w:rPr>
        <w:t xml:space="preserve"> nárok</w:t>
      </w:r>
      <w:r w:rsidR="00544A66">
        <w:rPr>
          <w:rFonts w:ascii="Times New Roman" w:hAnsi="Times New Roman" w:cs="Times New Roman"/>
          <w:sz w:val="24"/>
          <w:szCs w:val="24"/>
        </w:rPr>
        <w:t>u</w:t>
      </w:r>
      <w:r w:rsidR="00544A66" w:rsidRPr="00544A66">
        <w:rPr>
          <w:rFonts w:ascii="Times New Roman" w:hAnsi="Times New Roman" w:cs="Times New Roman"/>
          <w:sz w:val="24"/>
          <w:szCs w:val="24"/>
        </w:rPr>
        <w:t xml:space="preserve"> na nemocenské </w:t>
      </w:r>
      <w:r w:rsidR="0016578C">
        <w:rPr>
          <w:rFonts w:ascii="Times New Roman" w:hAnsi="Times New Roman" w:cs="Times New Roman"/>
          <w:sz w:val="24"/>
          <w:szCs w:val="24"/>
        </w:rPr>
        <w:t>vyplácané Sociálnou poisťovňou</w:t>
      </w:r>
      <w:r w:rsidR="0016578C" w:rsidRPr="00544A66">
        <w:rPr>
          <w:rFonts w:ascii="Times New Roman" w:hAnsi="Times New Roman" w:cs="Times New Roman"/>
          <w:sz w:val="24"/>
          <w:szCs w:val="24"/>
        </w:rPr>
        <w:t xml:space="preserve"> </w:t>
      </w:r>
      <w:r w:rsidR="00544A66" w:rsidRPr="00544A66">
        <w:rPr>
          <w:rFonts w:ascii="Times New Roman" w:hAnsi="Times New Roman" w:cs="Times New Roman"/>
          <w:sz w:val="24"/>
          <w:szCs w:val="24"/>
        </w:rPr>
        <w:t>od 1. dňa vo výške 55 % vymeriavacieho základu pri dočasnej pracovnej neschopnosti v prípadoch karanténneho opatrenia, nariadenej izolácie v súvislosti s pandémiou Covid-19</w:t>
      </w:r>
      <w:r w:rsidR="00E81FB5" w:rsidRPr="00544A66">
        <w:rPr>
          <w:rFonts w:ascii="Times New Roman" w:hAnsi="Times New Roman" w:cs="Times New Roman"/>
          <w:sz w:val="24"/>
          <w:szCs w:val="24"/>
        </w:rPr>
        <w:t>.</w:t>
      </w:r>
      <w:r w:rsidR="00E81FB5" w:rsidRPr="00544A6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BC56DE4" w14:textId="77777777" w:rsidR="009368FB" w:rsidRDefault="009368FB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D8BEAF" w14:textId="77777777" w:rsidR="00544A66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CAD6C8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C9E81F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C82E5" w14:textId="77777777" w:rsidR="007D5748" w:rsidRPr="007D5748" w:rsidRDefault="00FA27A0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76684CD" w14:textId="77777777" w:rsidR="007D5748" w:rsidRPr="007D5748" w:rsidRDefault="00011952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3017ED2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B6B09AB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45EB49F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04406E4" w14:textId="77777777" w:rsid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1835E4" w14:textId="77777777" w:rsidR="00544A66" w:rsidRPr="007D5748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C9051C" w14:textId="77777777"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6D5EA6C" w14:textId="77777777"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8B3CD3" w14:textId="79AC632F" w:rsidR="00151256" w:rsidRPr="00045303" w:rsidRDefault="004E5485" w:rsidP="00E81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Vyplatenie týchto nárokov</w:t>
      </w:r>
      <w:r w:rsidR="005846C9" w:rsidRPr="00584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  <w:lang w:eastAsia="sk-SK"/>
        </w:rPr>
        <w:t>vyžiada zmenu informačného systému Sociálnej poisťovne</w:t>
      </w:r>
      <w:r w:rsidR="00FA27A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A963F5" w14:textId="77777777" w:rsidR="007D5748" w:rsidRPr="001C7640" w:rsidRDefault="007D5748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1C7640" w14:paraId="6B54E0FB" w14:textId="77777777" w:rsidTr="0051724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166CB135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62D6F3D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7D5748" w:rsidRPr="001C7640" w14:paraId="570277F6" w14:textId="77777777" w:rsidTr="0051724E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247FCA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EB3D202" w14:textId="6EBC7E0A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8C5392" w14:textId="3338F586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96ECE65" w14:textId="692FB10C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F0E80A" w14:textId="7954843C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7D5748" w:rsidRPr="001C7640" w14:paraId="433C477E" w14:textId="77777777" w:rsidTr="0051724E">
        <w:trPr>
          <w:trHeight w:val="70"/>
        </w:trPr>
        <w:tc>
          <w:tcPr>
            <w:tcW w:w="4530" w:type="dxa"/>
          </w:tcPr>
          <w:p w14:paraId="14C0F847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4A01827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6F65AA2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3FFBF10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55183DC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D5748" w:rsidRPr="001C7640" w14:paraId="1CBC28CE" w14:textId="77777777" w:rsidTr="0051724E">
        <w:trPr>
          <w:trHeight w:val="70"/>
        </w:trPr>
        <w:tc>
          <w:tcPr>
            <w:tcW w:w="4530" w:type="dxa"/>
          </w:tcPr>
          <w:p w14:paraId="7A8F8BEE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FF81D86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C918575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5B9A30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DAF64D6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D5748" w:rsidRPr="007D5748" w14:paraId="0CEF6F0C" w14:textId="77777777" w:rsidTr="0051724E">
        <w:trPr>
          <w:trHeight w:val="70"/>
        </w:trPr>
        <w:tc>
          <w:tcPr>
            <w:tcW w:w="4530" w:type="dxa"/>
          </w:tcPr>
          <w:p w14:paraId="7976301D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4620BB1A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70B6A3F1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9BC4A0A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7713448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9E27A5" w14:textId="77777777" w:rsidR="00ED7BC8" w:rsidRPr="007D5748" w:rsidRDefault="00ED7BC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F9BC3F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02C80E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57C1C901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91862" w14:textId="77777777" w:rsidR="00631D94" w:rsidRP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14:paraId="4F394C74" w14:textId="77777777" w:rsidR="00631D94" w:rsidRDefault="00631D94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36EAB6" w14:textId="27D57868" w:rsidR="00E731BC" w:rsidRDefault="00BC6F87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FB5">
        <w:rPr>
          <w:rFonts w:ascii="Times New Roman" w:hAnsi="Times New Roman" w:cs="Times New Roman"/>
          <w:bCs/>
          <w:sz w:val="24"/>
          <w:szCs w:val="24"/>
        </w:rPr>
        <w:t>Návrh zákona, ktorým sa mení a dopĺňa zákon č. 461/2003 Z. z. o sociálnom poistení v znení neskorších predpisov a ktorým sa menia a dopĺňajú niektoré zákony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72D5">
        <w:rPr>
          <w:rFonts w:ascii="Times New Roman" w:hAnsi="Times New Roman"/>
          <w:sz w:val="24"/>
          <w:szCs w:val="24"/>
        </w:rPr>
        <w:t>nemá vplyv na príjmy</w:t>
      </w:r>
      <w:r w:rsidR="00011952" w:rsidRPr="00011952">
        <w:rPr>
          <w:rFonts w:ascii="Times New Roman" w:hAnsi="Times New Roman"/>
          <w:sz w:val="24"/>
          <w:szCs w:val="24"/>
        </w:rPr>
        <w:t xml:space="preserve"> rozpočtu</w:t>
      </w:r>
      <w:r w:rsidR="00B672D5">
        <w:rPr>
          <w:rFonts w:ascii="Times New Roman" w:hAnsi="Times New Roman"/>
          <w:sz w:val="24"/>
          <w:szCs w:val="24"/>
        </w:rPr>
        <w:t xml:space="preserve"> verejnej správy</w:t>
      </w:r>
      <w:r w:rsidR="00011952" w:rsidRPr="00011952">
        <w:rPr>
          <w:rFonts w:ascii="Times New Roman" w:hAnsi="Times New Roman"/>
          <w:sz w:val="24"/>
          <w:szCs w:val="24"/>
        </w:rPr>
        <w:t xml:space="preserve"> (nezvyšuje ich, ale ani ich neznižuje).</w:t>
      </w:r>
    </w:p>
    <w:p w14:paraId="6A0771DE" w14:textId="77777777" w:rsidR="00752BFE" w:rsidRDefault="00752BFE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913E05" w14:textId="77777777" w:rsidR="0022620D" w:rsidRDefault="0022620D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78F08B" w14:textId="77777777" w:rsidR="00B672D5" w:rsidRDefault="00B672D5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260B35" w14:textId="77777777" w:rsidR="0081789C" w:rsidRDefault="0081789C" w:rsidP="0081789C">
      <w:pPr>
        <w:spacing w:after="0" w:line="240" w:lineRule="auto"/>
        <w:ind w:left="7788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Tabuľka č. 3</w:t>
      </w:r>
    </w:p>
    <w:tbl>
      <w:tblPr>
        <w:tblpPr w:leftFromText="141" w:rightFromText="141" w:vertAnchor="page" w:horzAnchor="margin" w:tblpY="1786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992"/>
        <w:gridCol w:w="993"/>
        <w:gridCol w:w="1134"/>
        <w:gridCol w:w="1275"/>
      </w:tblGrid>
      <w:tr w:rsidR="0081789C" w:rsidRPr="00623247" w14:paraId="726CAC21" w14:textId="77777777" w:rsidTr="0081789C">
        <w:trPr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1DD8A" w14:textId="77777777"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CBD44" w14:textId="77777777"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D5B425" w14:textId="77777777"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81789C" w:rsidRPr="00623247" w14:paraId="1CA3B168" w14:textId="77777777" w:rsidTr="0081789C">
        <w:trPr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323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1D704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26B00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FC1D5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BBDDB9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7C7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81789C" w:rsidRPr="00623247" w14:paraId="39111D7F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A87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0C48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D476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9673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7C9E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6DC6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623247" w14:paraId="444C02E0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F6F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1E69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6A00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6341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ABF9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756DB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623247" w14:paraId="161736C9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3D5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9EA9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696C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3EA2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A3FF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2AA1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623247" w14:paraId="40EE0FFD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DC3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E52EC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EFDA3D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9419F9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B527B2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A104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623247" w14:paraId="4D4F133C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2838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5B8E82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770AD7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E78618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0FEBBC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5ACC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1789C" w:rsidRPr="00623247" w14:paraId="22F80648" w14:textId="7777777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1B771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7514D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6DC80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5F922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37701" w14:textId="77777777"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69192F" w14:textId="77777777"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3C4D907B" w14:textId="77777777" w:rsidR="0081789C" w:rsidRDefault="0081789C" w:rsidP="0081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CA5DD" w14:textId="77777777" w:rsidR="0081789C" w:rsidRDefault="0081789C" w:rsidP="0081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600F5" w14:textId="4EC37ADF" w:rsidR="00631D94" w:rsidRDefault="00631D94" w:rsidP="0081789C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14:paraId="72A8A9BF" w14:textId="77777777" w:rsidR="00B72F80" w:rsidRDefault="00B72F80" w:rsidP="00B72F80">
      <w:pPr>
        <w:spacing w:after="0"/>
        <w:jc w:val="both"/>
        <w:rPr>
          <w:rFonts w:ascii="Times New Roman" w:hAnsi="Times New Roman"/>
        </w:rPr>
      </w:pPr>
    </w:p>
    <w:p w14:paraId="75322A96" w14:textId="2098C47D" w:rsidR="00544A66" w:rsidRPr="004C47FE" w:rsidRDefault="00544A66" w:rsidP="00B72F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C47FE">
        <w:rPr>
          <w:rFonts w:ascii="Times New Roman" w:hAnsi="Times New Roman"/>
          <w:b/>
          <w:sz w:val="24"/>
          <w:szCs w:val="24"/>
        </w:rPr>
        <w:t xml:space="preserve">A) Zavedenie </w:t>
      </w:r>
      <w:proofErr w:type="spellStart"/>
      <w:r w:rsidRPr="004C47FE">
        <w:rPr>
          <w:rFonts w:ascii="Times New Roman" w:hAnsi="Times New Roman"/>
          <w:b/>
          <w:sz w:val="24"/>
          <w:szCs w:val="24"/>
        </w:rPr>
        <w:t>pandemického</w:t>
      </w:r>
      <w:proofErr w:type="spellEnd"/>
      <w:r w:rsidRPr="004C47FE">
        <w:rPr>
          <w:rFonts w:ascii="Times New Roman" w:hAnsi="Times New Roman"/>
          <w:b/>
          <w:sz w:val="24"/>
          <w:szCs w:val="24"/>
        </w:rPr>
        <w:t xml:space="preserve"> ošetrovného </w:t>
      </w:r>
    </w:p>
    <w:p w14:paraId="6F976120" w14:textId="5525B027" w:rsidR="002B4578" w:rsidRPr="004C47FE" w:rsidRDefault="00302CD0" w:rsidP="002B4578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Kvantifikácia vychádza z</w:t>
      </w:r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predpokladu</w:t>
      </w:r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>, ž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e v roku </w:t>
      </w:r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>2020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bude</w:t>
      </w:r>
      <w:r w:rsidR="002E2BE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ošetrovné vyplatené 200 tis. poberateľom s celkovou dĺžkou trvania 101 dní a</w:t>
      </w:r>
      <w:r w:rsidR="00194D0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 priemernou dennou sumou </w:t>
      </w:r>
      <w:r w:rsidR="002E2BE2">
        <w:rPr>
          <w:rFonts w:ascii="Times New Roman" w:eastAsia="Times New Roman" w:hAnsi="Times New Roman" w:cs="Verdana"/>
          <w:bCs/>
          <w:iCs/>
          <w:sz w:val="24"/>
          <w:szCs w:val="24"/>
        </w:rPr>
        <w:t>15,8 eura. Ošetrovné bude</w:t>
      </w:r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</w:t>
      </w:r>
      <w:r w:rsidR="004C47F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oskytnuté za všetky dni počas uzatvorenia školských a predškolských zariadení, t. j. nie iba </w:t>
      </w:r>
      <w:r w:rsidR="004E548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za </w:t>
      </w:r>
      <w:r w:rsidR="004C47F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10 kalendárnych dní. </w:t>
      </w:r>
      <w:r w:rsidR="002B4578">
        <w:rPr>
          <w:rFonts w:ascii="Times New Roman" w:eastAsia="Times New Roman" w:hAnsi="Times New Roman" w:cs="Verdana"/>
          <w:bCs/>
          <w:iCs/>
          <w:sz w:val="24"/>
          <w:szCs w:val="24"/>
        </w:rPr>
        <w:t>Zvýšené výdavky na základe uvedených predpoklad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ov</w:t>
      </w:r>
      <w:r w:rsidR="002E2BE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sa očakávajú na úrovni cca </w:t>
      </w:r>
      <w:r w:rsidR="00C15497">
        <w:rPr>
          <w:rFonts w:ascii="Times New Roman" w:eastAsia="Times New Roman" w:hAnsi="Times New Roman" w:cs="Verdana"/>
          <w:bCs/>
          <w:iCs/>
          <w:sz w:val="24"/>
          <w:szCs w:val="24"/>
        </w:rPr>
        <w:t>319,2</w:t>
      </w:r>
      <w:r w:rsidR="002B457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2020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.</w:t>
      </w:r>
      <w:r w:rsidR="002B457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14:paraId="2B5DEA99" w14:textId="77777777" w:rsidR="004C47FE" w:rsidRDefault="004C47FE" w:rsidP="004C47FE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51C92007" w14:textId="0BB43C99" w:rsidR="00E46745" w:rsidRDefault="004C47FE" w:rsidP="004C47FE">
      <w:pPr>
        <w:spacing w:after="0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Vyplatenie nemocenského od 1. dňa karantény </w:t>
      </w:r>
      <w:r w:rsidR="002B4578">
        <w:rPr>
          <w:rFonts w:ascii="Times New Roman" w:hAnsi="Times New Roman"/>
          <w:b/>
          <w:sz w:val="24"/>
          <w:szCs w:val="24"/>
        </w:rPr>
        <w:t>z dôvodu Covid-19</w:t>
      </w:r>
      <w:r w:rsidR="00BC6F8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14:paraId="4484F7D4" w14:textId="1E276CC7" w:rsidR="002B4578" w:rsidRPr="004C47FE" w:rsidRDefault="002B4578" w:rsidP="002B4578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Kvantifikácia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vychádza z predp</w:t>
      </w:r>
      <w:r w:rsidR="004E5485">
        <w:rPr>
          <w:rFonts w:ascii="Times New Roman" w:eastAsia="Times New Roman" w:hAnsi="Times New Roman" w:cs="Verdana"/>
          <w:bCs/>
          <w:iCs/>
          <w:sz w:val="24"/>
          <w:szCs w:val="24"/>
        </w:rPr>
        <w:t>okladu,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že z tohto titulu bude v roku 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2020 vyplatených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100</w:t>
      </w:r>
      <w:r w:rsidR="004E548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tis. nemocenských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. 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Nad rámec súčasného právneho stavu budú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dotknutým osobám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zo Sociálnej poisťovne vyplatené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nemocenské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po dobu 10 kalendárnych dní. </w:t>
      </w:r>
      <w:r w:rsidR="003A331E">
        <w:rPr>
          <w:rFonts w:ascii="Times New Roman" w:eastAsia="Times New Roman" w:hAnsi="Times New Roman" w:cs="Verdana"/>
          <w:bCs/>
          <w:iCs/>
          <w:sz w:val="24"/>
          <w:szCs w:val="24"/>
        </w:rPr>
        <w:t>Priemerný v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ymeriavací základ dotknutých osôb sa predpokladá na úrovni priemernej mzdy</w:t>
      </w:r>
      <w:r w:rsidR="00FF536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 roka 2019, t. j. 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>1 092 eu</w:t>
      </w:r>
      <w:r w:rsidR="00FF5368">
        <w:rPr>
          <w:rFonts w:ascii="Times New Roman" w:eastAsia="Times New Roman" w:hAnsi="Times New Roman" w:cs="Verdana"/>
          <w:bCs/>
          <w:iCs/>
          <w:sz w:val="24"/>
          <w:szCs w:val="24"/>
        </w:rPr>
        <w:t>ra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, nakoľko sa pri nemocenských dávkach v zásade vychádza z príjmov </w:t>
      </w:r>
      <w:r w:rsidR="0016578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z 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predchádzajúceho roka. Zvýšené výdavky na základe uvedených predpokladov sa očakávajú na úrovni cca </w:t>
      </w:r>
      <w:r w:rsidR="00A4042C">
        <w:rPr>
          <w:rFonts w:ascii="Times New Roman" w:eastAsia="Times New Roman" w:hAnsi="Times New Roman" w:cs="Verdana"/>
          <w:bCs/>
          <w:iCs/>
          <w:sz w:val="24"/>
          <w:szCs w:val="24"/>
        </w:rPr>
        <w:t>19,4</w:t>
      </w:r>
      <w:r w:rsidR="00BA136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2020.  </w:t>
      </w:r>
    </w:p>
    <w:p w14:paraId="33025C99" w14:textId="77777777" w:rsidR="00B8792C" w:rsidRDefault="00B8792C" w:rsidP="004323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D3DE9E3" w14:textId="5BDAD6C7" w:rsidR="00B8792C" w:rsidRDefault="00B8792C" w:rsidP="00B8792C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Celkovo sa očakávajú zvýšené výdavky Sociálnej poisťovne</w:t>
      </w:r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 dôvodu zavedenia </w:t>
      </w:r>
      <w:proofErr w:type="spellStart"/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>pandemického</w:t>
      </w:r>
      <w:proofErr w:type="spellEnd"/>
      <w:r w:rsidR="00544A6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ošetrovného a</w:t>
      </w:r>
      <w:r w:rsidR="004323E0">
        <w:rPr>
          <w:rFonts w:ascii="Times New Roman" w:eastAsia="Times New Roman" w:hAnsi="Times New Roman" w:cs="Verdana"/>
          <w:bCs/>
          <w:iCs/>
          <w:sz w:val="24"/>
          <w:szCs w:val="24"/>
        </w:rPr>
        <w:t> vyplatenia nemocenského pri Covid-19 karanténe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úrovni cca </w:t>
      </w:r>
      <w:r w:rsidR="002E2BE2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338,5 </w:t>
      </w:r>
      <w:r w:rsidR="004323E0">
        <w:rPr>
          <w:rFonts w:ascii="Times New Roman" w:eastAsia="Times New Roman" w:hAnsi="Times New Roman" w:cs="Verdana"/>
          <w:bCs/>
          <w:iCs/>
          <w:sz w:val="24"/>
          <w:szCs w:val="24"/>
        </w:rPr>
        <w:t>mil. eur v roku 2020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. </w:t>
      </w:r>
    </w:p>
    <w:p w14:paraId="3104A5EB" w14:textId="77777777" w:rsidR="005370DD" w:rsidRPr="00B72F80" w:rsidRDefault="005370DD" w:rsidP="00B8792C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55494391" w14:textId="2F22CE08" w:rsidR="00B8792C" w:rsidRDefault="004323E0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4A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276"/>
        <w:gridCol w:w="1276"/>
        <w:gridCol w:w="1276"/>
        <w:gridCol w:w="1160"/>
        <w:gridCol w:w="920"/>
      </w:tblGrid>
      <w:tr w:rsidR="00752BFE" w:rsidRPr="00752BFE" w14:paraId="6E2EDBD2" w14:textId="77777777" w:rsidTr="004323E0">
        <w:trPr>
          <w:trHeight w:val="75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8356CA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Sociálnej poisťovne (v eurách)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8A54E04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Sociálnej poisťovne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AE9FA2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752BFE" w:rsidRPr="00752BFE" w14:paraId="0C84CFE9" w14:textId="77777777" w:rsidTr="004323E0">
        <w:trPr>
          <w:trHeight w:val="27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3FC8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EC9168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2F0A3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267D5A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A39AE5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A1BA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752BFE" w:rsidRPr="00752BFE" w14:paraId="25959E3F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CE1F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691B" w14:textId="4C0D6744" w:rsidR="00752BFE" w:rsidRPr="00752BFE" w:rsidRDefault="002E2BE2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51596" w14:textId="3349D55C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0118" w14:textId="59885905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DB3E" w14:textId="0A99587B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DE72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57C140C0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A0C3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5CCB" w14:textId="56BFAD0F" w:rsidR="00752BFE" w:rsidRPr="00752BFE" w:rsidRDefault="002E2BE2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C8648" w14:textId="328AFA4C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23E9" w14:textId="5ECBFDF0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6A4D8" w14:textId="37E40E3F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CE67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6241DCF5" w14:textId="77777777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DEF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768F" w14:textId="58E823EC" w:rsidR="00752BFE" w:rsidRPr="00752BFE" w:rsidRDefault="002E2BE2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1464E" w14:textId="18B10137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1000" w14:textId="52D9DA52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9BEE4" w14:textId="43035D21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2A6F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042E5C40" w14:textId="77777777" w:rsidTr="004323E0">
        <w:trPr>
          <w:trHeight w:val="85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8DC8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52BFE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DEEA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85C3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39A5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446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39D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4D9539C8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BBC0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6693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0D96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2649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7C7D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833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7F726063" w14:textId="77777777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89F7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lastRenderedPageBreak/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177C08A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A22590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BF4FB8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621351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039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59825A68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E8C081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Dopad na výdavky Sociálnej poisťovne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2E0F86" w14:textId="0FE2AD17" w:rsidR="00752BFE" w:rsidRPr="00752BFE" w:rsidRDefault="002E2BE2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338 534 194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6486B" w14:textId="478F68D5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E5084F" w14:textId="581B9AB5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7CBDEE" w14:textId="1176F62A"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8F176C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35E5193E" w14:textId="77777777" w:rsidR="00752BFE" w:rsidRDefault="00752BF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0677541" w14:textId="77777777" w:rsidR="004E5485" w:rsidRDefault="004E5485" w:rsidP="004E5485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1CE28E96" w14:textId="6A68C7B7" w:rsidR="004E5485" w:rsidRDefault="004E5485" w:rsidP="004E5485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Celkovo sa očakávajú zvýšené výdavky rozpočtu verejnej správy z dôvodu zavedenia </w:t>
      </w:r>
      <w:proofErr w:type="spellStart"/>
      <w:r>
        <w:rPr>
          <w:rFonts w:ascii="Times New Roman" w:eastAsia="Times New Roman" w:hAnsi="Times New Roman" w:cs="Verdana"/>
          <w:bCs/>
          <w:iCs/>
          <w:sz w:val="24"/>
          <w:szCs w:val="24"/>
        </w:rPr>
        <w:t>pandemického</w:t>
      </w:r>
      <w:proofErr w:type="spellEnd"/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ošetrovného a vyplatenia nemocenského pri Cov</w:t>
      </w:r>
      <w:r w:rsidR="001A5D2E">
        <w:rPr>
          <w:rFonts w:ascii="Times New Roman" w:eastAsia="Times New Roman" w:hAnsi="Times New Roman" w:cs="Verdana"/>
          <w:bCs/>
          <w:iCs/>
          <w:sz w:val="24"/>
          <w:szCs w:val="24"/>
        </w:rPr>
        <w:t>id</w:t>
      </w:r>
      <w:r w:rsidR="002E2BE2">
        <w:rPr>
          <w:rFonts w:ascii="Times New Roman" w:eastAsia="Times New Roman" w:hAnsi="Times New Roman" w:cs="Verdana"/>
          <w:bCs/>
          <w:iCs/>
          <w:sz w:val="24"/>
          <w:szCs w:val="24"/>
        </w:rPr>
        <w:t>-19 karanténe na úrovni cca 338,5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2020. </w:t>
      </w:r>
    </w:p>
    <w:p w14:paraId="4B2871C5" w14:textId="77777777" w:rsidR="005370DD" w:rsidRPr="005370DD" w:rsidRDefault="005370DD" w:rsidP="004E5485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1748C829" w14:textId="6B9DC93F" w:rsidR="00E123B2" w:rsidRPr="00E123B2" w:rsidRDefault="004323E0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4B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276"/>
        <w:gridCol w:w="1276"/>
        <w:gridCol w:w="1276"/>
        <w:gridCol w:w="1160"/>
        <w:gridCol w:w="920"/>
      </w:tblGrid>
      <w:tr w:rsidR="00E123B2" w:rsidRPr="00E123B2" w14:paraId="0608E593" w14:textId="77777777" w:rsidTr="004323E0">
        <w:trPr>
          <w:trHeight w:val="1005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B23DCB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rozpočet verejnej správy (v eurách)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F9971E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verejnej správy                                                 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75C33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E123B2" w:rsidRPr="00E123B2" w14:paraId="12132E0B" w14:textId="77777777" w:rsidTr="004323E0">
        <w:trPr>
          <w:trHeight w:val="27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BF219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637DAD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93276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719FD3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0D3C05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4418A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E123B2" w:rsidRPr="00E123B2" w14:paraId="15D3C888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067C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7626" w14:textId="0EC936ED" w:rsidR="00E123B2" w:rsidRPr="00E123B2" w:rsidRDefault="002E2BE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338 534 </w:t>
            </w:r>
            <w:r w:rsidR="001A5D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C64FF" w14:textId="5B92F7B1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B78A2" w14:textId="05A04AE5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FAB34" w14:textId="29D21F19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C740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453180AE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BA8E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DFC9" w14:textId="16A75A35" w:rsidR="00E123B2" w:rsidRPr="00E123B2" w:rsidRDefault="002E2BE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338 534</w:t>
            </w:r>
            <w:r w:rsidR="001A5D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2E1C8" w14:textId="30351EBD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CA59A" w14:textId="7165ED09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9C6CF" w14:textId="7CFFD3AD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C01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1FCADCB1" w14:textId="77777777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5CA5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D9B8" w14:textId="7F64EF44" w:rsidR="00E123B2" w:rsidRPr="00E123B2" w:rsidRDefault="002E2BE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338 534</w:t>
            </w:r>
            <w:r w:rsidR="001A5D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52F07" w14:textId="00E8FF8C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9E872" w14:textId="6E43604B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75381" w14:textId="7D688CA1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3988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453E06A5" w14:textId="77777777" w:rsidTr="004323E0">
        <w:trPr>
          <w:trHeight w:val="85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3450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E123B2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BBE1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5FE9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37D4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6CBF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C616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23835DA7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BACF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935B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E326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0184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278E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3D2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3269DC78" w14:textId="77777777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CA5C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75FF85D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C7EF6B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388800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C667AD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4579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06A452AC" w14:textId="77777777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3BB333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566991" w14:textId="34233653" w:rsidR="00E123B2" w:rsidRPr="00E123B2" w:rsidRDefault="002E2BE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338 534</w:t>
            </w:r>
            <w:r w:rsidR="001A5D2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1CC8CC" w14:textId="058DC2FE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50343E" w14:textId="4A444734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F10B5B" w14:textId="334387E4"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DA448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61E2C9D9" w14:textId="77777777" w:rsidR="00E123B2" w:rsidRDefault="00E123B2" w:rsidP="00D8071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CC66B1" w14:textId="77777777" w:rsidR="00752BFE" w:rsidRPr="007D5748" w:rsidRDefault="00752BFE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52BFE" w:rsidRPr="007D5748" w:rsidSect="0051724E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887A580" w14:textId="77777777" w:rsidR="007D5748" w:rsidRPr="007D5748" w:rsidRDefault="007D5748" w:rsidP="00CD246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6E503C2" w14:textId="77777777" w:rsidR="007D5748" w:rsidRPr="007D5748" w:rsidRDefault="007D5748" w:rsidP="00F776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ACDDE4C" w14:textId="77777777" w:rsidR="007D5748" w:rsidRPr="00D80712" w:rsidRDefault="00D80712" w:rsidP="00D8071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7D5748" w:rsidRPr="007D5748" w14:paraId="161DE26B" w14:textId="77777777" w:rsidTr="002E63F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60BFB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969E7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4AD018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5658F0" w:rsidRPr="007D5748" w14:paraId="2EF88FE8" w14:textId="77777777" w:rsidTr="002E63F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83D11B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F9AF0F" w14:textId="660F69D9" w:rsidR="005658F0" w:rsidRPr="00623247" w:rsidRDefault="00E123B2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BD9967" w14:textId="13EE8439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B30526" w14:textId="549BF105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938AE" w14:textId="51D39095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035B1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7D5748" w:rsidRPr="007D5748" w14:paraId="53FA250B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180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834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72A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DA3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76D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613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0CBB19F1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69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4ADE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9730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FA95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E006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DDF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D5748" w14:paraId="754DD54D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CB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6FC4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08E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641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BEE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FAD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AA7A7B5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FB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F22F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CE2AC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0E03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527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4B9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D8108BC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D9D274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B5DD2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B052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2588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C04D3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21CB4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EC3AD0A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43E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8063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22D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79E2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9C8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4E78B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22CE353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7E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38B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F7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9C3D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B1E3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21A3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12BC55C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85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26B84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77B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ED1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7E7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6F07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5C0F2CF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56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791E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7B24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0F0A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A8E2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AD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25CE0D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FF1A7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6504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D856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23095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C0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AE9EC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02A9DB4" w14:textId="77777777" w:rsidR="00CB3623" w:rsidRDefault="00CB3623" w:rsidP="00D80712">
      <w:pPr>
        <w:spacing w:after="0" w:line="240" w:lineRule="auto"/>
      </w:pPr>
    </w:p>
    <w:sectPr w:rsidR="00CB3623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1C07D" w14:textId="77777777" w:rsidR="00403EDC" w:rsidRDefault="00403EDC">
      <w:pPr>
        <w:spacing w:after="0" w:line="240" w:lineRule="auto"/>
      </w:pPr>
      <w:r>
        <w:separator/>
      </w:r>
    </w:p>
  </w:endnote>
  <w:endnote w:type="continuationSeparator" w:id="0">
    <w:p w14:paraId="264598AB" w14:textId="77777777" w:rsidR="00403EDC" w:rsidRDefault="0040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42A4" w14:textId="77777777" w:rsidR="002E2BE2" w:rsidRDefault="002E2BE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C0E52F6" w14:textId="77777777" w:rsidR="002E2BE2" w:rsidRDefault="002E2BE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D2BC" w14:textId="77777777" w:rsidR="002E2BE2" w:rsidRDefault="002E2BE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03DAD">
      <w:rPr>
        <w:noProof/>
      </w:rPr>
      <w:t>2</w:t>
    </w:r>
    <w:r>
      <w:fldChar w:fldCharType="end"/>
    </w:r>
  </w:p>
  <w:p w14:paraId="50105156" w14:textId="77777777" w:rsidR="002E2BE2" w:rsidRDefault="002E2BE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462D" w14:textId="77777777" w:rsidR="002E2BE2" w:rsidRDefault="002E2BE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87E07E9" w14:textId="77777777" w:rsidR="002E2BE2" w:rsidRDefault="002E2B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437EB" w14:textId="77777777" w:rsidR="00403EDC" w:rsidRDefault="00403EDC">
      <w:pPr>
        <w:spacing w:after="0" w:line="240" w:lineRule="auto"/>
      </w:pPr>
      <w:r>
        <w:separator/>
      </w:r>
    </w:p>
  </w:footnote>
  <w:footnote w:type="continuationSeparator" w:id="0">
    <w:p w14:paraId="6A49DA8D" w14:textId="77777777" w:rsidR="00403EDC" w:rsidRDefault="0040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EF735" w14:textId="77777777" w:rsidR="002E2BE2" w:rsidRDefault="002E2BE2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7D0E6F3D" w14:textId="77777777" w:rsidR="002E2BE2" w:rsidRPr="00EB59C8" w:rsidRDefault="002E2BE2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ED9C" w14:textId="77777777" w:rsidR="002E2BE2" w:rsidRPr="000A15AE" w:rsidRDefault="002E2BE2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7824"/>
    <w:rsid w:val="00007EA1"/>
    <w:rsid w:val="00011952"/>
    <w:rsid w:val="00017068"/>
    <w:rsid w:val="00020ACC"/>
    <w:rsid w:val="00035EB6"/>
    <w:rsid w:val="00040767"/>
    <w:rsid w:val="00045303"/>
    <w:rsid w:val="000458CC"/>
    <w:rsid w:val="00047D6C"/>
    <w:rsid w:val="0005313A"/>
    <w:rsid w:val="00056127"/>
    <w:rsid w:val="00057135"/>
    <w:rsid w:val="000737C6"/>
    <w:rsid w:val="0008462A"/>
    <w:rsid w:val="00091A4C"/>
    <w:rsid w:val="00092D7C"/>
    <w:rsid w:val="00092D89"/>
    <w:rsid w:val="00096D41"/>
    <w:rsid w:val="000F1438"/>
    <w:rsid w:val="00101D4A"/>
    <w:rsid w:val="00102A8D"/>
    <w:rsid w:val="00106747"/>
    <w:rsid w:val="00111923"/>
    <w:rsid w:val="001127A8"/>
    <w:rsid w:val="00114A69"/>
    <w:rsid w:val="0014509F"/>
    <w:rsid w:val="00151256"/>
    <w:rsid w:val="001576F5"/>
    <w:rsid w:val="0016578C"/>
    <w:rsid w:val="00167440"/>
    <w:rsid w:val="00170D2B"/>
    <w:rsid w:val="00176F52"/>
    <w:rsid w:val="00184F37"/>
    <w:rsid w:val="00192E67"/>
    <w:rsid w:val="00194D0E"/>
    <w:rsid w:val="001A209F"/>
    <w:rsid w:val="001A5D2E"/>
    <w:rsid w:val="001C7640"/>
    <w:rsid w:val="001E4C91"/>
    <w:rsid w:val="001E6659"/>
    <w:rsid w:val="001F3439"/>
    <w:rsid w:val="001F67F0"/>
    <w:rsid w:val="00200898"/>
    <w:rsid w:val="0020382E"/>
    <w:rsid w:val="00203A73"/>
    <w:rsid w:val="00212894"/>
    <w:rsid w:val="00213D57"/>
    <w:rsid w:val="00214F52"/>
    <w:rsid w:val="00215DD3"/>
    <w:rsid w:val="00223F10"/>
    <w:rsid w:val="0022620D"/>
    <w:rsid w:val="00232363"/>
    <w:rsid w:val="002439B0"/>
    <w:rsid w:val="0025180D"/>
    <w:rsid w:val="002531B7"/>
    <w:rsid w:val="0026481F"/>
    <w:rsid w:val="00270104"/>
    <w:rsid w:val="002723FA"/>
    <w:rsid w:val="0027540B"/>
    <w:rsid w:val="00290C7A"/>
    <w:rsid w:val="00290DEA"/>
    <w:rsid w:val="002951C1"/>
    <w:rsid w:val="002B28AA"/>
    <w:rsid w:val="002B4578"/>
    <w:rsid w:val="002C0CCB"/>
    <w:rsid w:val="002C6587"/>
    <w:rsid w:val="002D3A1B"/>
    <w:rsid w:val="002E2BE2"/>
    <w:rsid w:val="002E63F5"/>
    <w:rsid w:val="002F34D7"/>
    <w:rsid w:val="00302CD0"/>
    <w:rsid w:val="003162D5"/>
    <w:rsid w:val="00317B90"/>
    <w:rsid w:val="0032768E"/>
    <w:rsid w:val="00375847"/>
    <w:rsid w:val="00377C39"/>
    <w:rsid w:val="00390633"/>
    <w:rsid w:val="00394973"/>
    <w:rsid w:val="003A331E"/>
    <w:rsid w:val="003A3765"/>
    <w:rsid w:val="003A388D"/>
    <w:rsid w:val="003A4B8C"/>
    <w:rsid w:val="003A5363"/>
    <w:rsid w:val="003B3C84"/>
    <w:rsid w:val="003C2519"/>
    <w:rsid w:val="003D444F"/>
    <w:rsid w:val="003E504C"/>
    <w:rsid w:val="003E6C46"/>
    <w:rsid w:val="00402E1D"/>
    <w:rsid w:val="00403EDC"/>
    <w:rsid w:val="004071A3"/>
    <w:rsid w:val="00432070"/>
    <w:rsid w:val="004323E0"/>
    <w:rsid w:val="00432DD4"/>
    <w:rsid w:val="00436870"/>
    <w:rsid w:val="004466DD"/>
    <w:rsid w:val="0048020F"/>
    <w:rsid w:val="00480FFF"/>
    <w:rsid w:val="0048630B"/>
    <w:rsid w:val="00487203"/>
    <w:rsid w:val="00496A9D"/>
    <w:rsid w:val="004A7B08"/>
    <w:rsid w:val="004C42DE"/>
    <w:rsid w:val="004C47FE"/>
    <w:rsid w:val="004D2ED6"/>
    <w:rsid w:val="004E5485"/>
    <w:rsid w:val="004E6AB2"/>
    <w:rsid w:val="004F5A28"/>
    <w:rsid w:val="004F6A62"/>
    <w:rsid w:val="005005EC"/>
    <w:rsid w:val="0050303F"/>
    <w:rsid w:val="00507678"/>
    <w:rsid w:val="005145FE"/>
    <w:rsid w:val="0051724E"/>
    <w:rsid w:val="005370DD"/>
    <w:rsid w:val="00544A66"/>
    <w:rsid w:val="005658F0"/>
    <w:rsid w:val="00567A1C"/>
    <w:rsid w:val="00573ADA"/>
    <w:rsid w:val="005747C4"/>
    <w:rsid w:val="00582CBC"/>
    <w:rsid w:val="005846C9"/>
    <w:rsid w:val="0059386A"/>
    <w:rsid w:val="005940E4"/>
    <w:rsid w:val="00597118"/>
    <w:rsid w:val="005B0824"/>
    <w:rsid w:val="005B236E"/>
    <w:rsid w:val="005B41E4"/>
    <w:rsid w:val="005C617E"/>
    <w:rsid w:val="005D0F6E"/>
    <w:rsid w:val="005E0539"/>
    <w:rsid w:val="005F5966"/>
    <w:rsid w:val="00623247"/>
    <w:rsid w:val="00631D94"/>
    <w:rsid w:val="006474C3"/>
    <w:rsid w:val="00651155"/>
    <w:rsid w:val="00651213"/>
    <w:rsid w:val="00665748"/>
    <w:rsid w:val="00677D91"/>
    <w:rsid w:val="00685841"/>
    <w:rsid w:val="00692F4F"/>
    <w:rsid w:val="006A17B2"/>
    <w:rsid w:val="006A33A5"/>
    <w:rsid w:val="0070388F"/>
    <w:rsid w:val="00724098"/>
    <w:rsid w:val="007246BD"/>
    <w:rsid w:val="00752BFE"/>
    <w:rsid w:val="00761700"/>
    <w:rsid w:val="00762A3F"/>
    <w:rsid w:val="007863C0"/>
    <w:rsid w:val="00797BD3"/>
    <w:rsid w:val="007C6B16"/>
    <w:rsid w:val="007D5748"/>
    <w:rsid w:val="007D64A4"/>
    <w:rsid w:val="007E5287"/>
    <w:rsid w:val="007E7BF0"/>
    <w:rsid w:val="008144ED"/>
    <w:rsid w:val="0081789C"/>
    <w:rsid w:val="00821D83"/>
    <w:rsid w:val="0082585A"/>
    <w:rsid w:val="0085097D"/>
    <w:rsid w:val="00863A90"/>
    <w:rsid w:val="00866554"/>
    <w:rsid w:val="0086701E"/>
    <w:rsid w:val="00872995"/>
    <w:rsid w:val="00890F15"/>
    <w:rsid w:val="008B3A67"/>
    <w:rsid w:val="008B6A9F"/>
    <w:rsid w:val="008B7CC6"/>
    <w:rsid w:val="008D339D"/>
    <w:rsid w:val="008D660F"/>
    <w:rsid w:val="008D7015"/>
    <w:rsid w:val="008E2736"/>
    <w:rsid w:val="008E5C3D"/>
    <w:rsid w:val="008F4995"/>
    <w:rsid w:val="00902080"/>
    <w:rsid w:val="00903DAD"/>
    <w:rsid w:val="00905B22"/>
    <w:rsid w:val="00912A37"/>
    <w:rsid w:val="00924D8D"/>
    <w:rsid w:val="009368FB"/>
    <w:rsid w:val="009603BB"/>
    <w:rsid w:val="009706B7"/>
    <w:rsid w:val="00974A3A"/>
    <w:rsid w:val="00990CCA"/>
    <w:rsid w:val="009A78DA"/>
    <w:rsid w:val="009C0431"/>
    <w:rsid w:val="009C7B31"/>
    <w:rsid w:val="009D01A0"/>
    <w:rsid w:val="009E11CB"/>
    <w:rsid w:val="009E2092"/>
    <w:rsid w:val="00A0254A"/>
    <w:rsid w:val="00A06126"/>
    <w:rsid w:val="00A067FA"/>
    <w:rsid w:val="00A1056A"/>
    <w:rsid w:val="00A1201D"/>
    <w:rsid w:val="00A20072"/>
    <w:rsid w:val="00A22F33"/>
    <w:rsid w:val="00A4042C"/>
    <w:rsid w:val="00A41389"/>
    <w:rsid w:val="00A7599B"/>
    <w:rsid w:val="00A81D48"/>
    <w:rsid w:val="00AA1009"/>
    <w:rsid w:val="00AA378B"/>
    <w:rsid w:val="00AB382B"/>
    <w:rsid w:val="00AB656A"/>
    <w:rsid w:val="00AC6CC6"/>
    <w:rsid w:val="00AE0221"/>
    <w:rsid w:val="00AF05FE"/>
    <w:rsid w:val="00AF764B"/>
    <w:rsid w:val="00B0195E"/>
    <w:rsid w:val="00B246DB"/>
    <w:rsid w:val="00B260BE"/>
    <w:rsid w:val="00B26194"/>
    <w:rsid w:val="00B406D0"/>
    <w:rsid w:val="00B5535C"/>
    <w:rsid w:val="00B672D5"/>
    <w:rsid w:val="00B72F80"/>
    <w:rsid w:val="00B81BB5"/>
    <w:rsid w:val="00B8402F"/>
    <w:rsid w:val="00B8792C"/>
    <w:rsid w:val="00B92C5F"/>
    <w:rsid w:val="00BA1365"/>
    <w:rsid w:val="00BB2B49"/>
    <w:rsid w:val="00BC3E19"/>
    <w:rsid w:val="00BC6F87"/>
    <w:rsid w:val="00BE1F89"/>
    <w:rsid w:val="00C07A77"/>
    <w:rsid w:val="00C15212"/>
    <w:rsid w:val="00C15497"/>
    <w:rsid w:val="00C1676E"/>
    <w:rsid w:val="00C20E40"/>
    <w:rsid w:val="00C2384C"/>
    <w:rsid w:val="00C35651"/>
    <w:rsid w:val="00C42A15"/>
    <w:rsid w:val="00C51FD4"/>
    <w:rsid w:val="00C529EF"/>
    <w:rsid w:val="00C603C8"/>
    <w:rsid w:val="00C65C1F"/>
    <w:rsid w:val="00C820A3"/>
    <w:rsid w:val="00C965FE"/>
    <w:rsid w:val="00CA20AC"/>
    <w:rsid w:val="00CB22A7"/>
    <w:rsid w:val="00CB3623"/>
    <w:rsid w:val="00CB54F7"/>
    <w:rsid w:val="00CD0A02"/>
    <w:rsid w:val="00CD2466"/>
    <w:rsid w:val="00CD3408"/>
    <w:rsid w:val="00CE299A"/>
    <w:rsid w:val="00CF1CE5"/>
    <w:rsid w:val="00D21142"/>
    <w:rsid w:val="00D27FE8"/>
    <w:rsid w:val="00D51173"/>
    <w:rsid w:val="00D61AAD"/>
    <w:rsid w:val="00D75E86"/>
    <w:rsid w:val="00D80712"/>
    <w:rsid w:val="00D85622"/>
    <w:rsid w:val="00DB4E90"/>
    <w:rsid w:val="00DC2E0E"/>
    <w:rsid w:val="00DC675E"/>
    <w:rsid w:val="00DD2805"/>
    <w:rsid w:val="00DE5BF1"/>
    <w:rsid w:val="00E003B8"/>
    <w:rsid w:val="00E07CE9"/>
    <w:rsid w:val="00E123B2"/>
    <w:rsid w:val="00E14014"/>
    <w:rsid w:val="00E24A8D"/>
    <w:rsid w:val="00E26305"/>
    <w:rsid w:val="00E32693"/>
    <w:rsid w:val="00E438B9"/>
    <w:rsid w:val="00E45F02"/>
    <w:rsid w:val="00E46745"/>
    <w:rsid w:val="00E53873"/>
    <w:rsid w:val="00E601ED"/>
    <w:rsid w:val="00E713E8"/>
    <w:rsid w:val="00E731BC"/>
    <w:rsid w:val="00E81FB5"/>
    <w:rsid w:val="00E8460A"/>
    <w:rsid w:val="00E84620"/>
    <w:rsid w:val="00E9239A"/>
    <w:rsid w:val="00E93BA1"/>
    <w:rsid w:val="00E959FF"/>
    <w:rsid w:val="00E963A3"/>
    <w:rsid w:val="00EA1E90"/>
    <w:rsid w:val="00EA2EE3"/>
    <w:rsid w:val="00ED6E41"/>
    <w:rsid w:val="00ED7BC8"/>
    <w:rsid w:val="00EE04E8"/>
    <w:rsid w:val="00EE1A67"/>
    <w:rsid w:val="00EF579A"/>
    <w:rsid w:val="00F04F5D"/>
    <w:rsid w:val="00F0652C"/>
    <w:rsid w:val="00F253D0"/>
    <w:rsid w:val="00F40136"/>
    <w:rsid w:val="00F44F48"/>
    <w:rsid w:val="00F61360"/>
    <w:rsid w:val="00F7071C"/>
    <w:rsid w:val="00F72BF1"/>
    <w:rsid w:val="00F757ED"/>
    <w:rsid w:val="00F77641"/>
    <w:rsid w:val="00F83159"/>
    <w:rsid w:val="00F838ED"/>
    <w:rsid w:val="00F90F12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  <w:rsid w:val="00FF2F23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0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87690D-EC97-4570-97B1-D74F5856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Hertelova Karin</cp:lastModifiedBy>
  <cp:revision>4</cp:revision>
  <cp:lastPrinted>2016-05-17T10:25:00Z</cp:lastPrinted>
  <dcterms:created xsi:type="dcterms:W3CDTF">2020-03-23T23:53:00Z</dcterms:created>
  <dcterms:modified xsi:type="dcterms:W3CDTF">2020-03-24T17:49:00Z</dcterms:modified>
</cp:coreProperties>
</file>