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1A1" w:rsidRPr="00A179AE" w:rsidRDefault="003501A1" w:rsidP="003501A1">
      <w:pPr>
        <w:jc w:val="center"/>
        <w:rPr>
          <w:b/>
          <w:bCs/>
          <w:sz w:val="28"/>
          <w:szCs w:val="28"/>
        </w:rPr>
      </w:pPr>
      <w:bookmarkStart w:id="0" w:name="_GoBack"/>
      <w:bookmarkEnd w:id="0"/>
      <w:r>
        <w:rPr>
          <w:b/>
          <w:bCs/>
          <w:sz w:val="28"/>
          <w:szCs w:val="28"/>
        </w:rPr>
        <w:t>Doložka vybraných vplyvov</w:t>
      </w:r>
    </w:p>
    <w:p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3501A1" w:rsidRPr="00A179AE" w:rsidTr="003501A1">
        <w:tc>
          <w:tcPr>
            <w:tcW w:w="9180" w:type="dxa"/>
            <w:gridSpan w:val="10"/>
            <w:tcBorders>
              <w:top w:val="single" w:sz="4" w:space="0" w:color="FFFFFF" w:themeColor="background1"/>
              <w:bottom w:val="single" w:sz="4" w:space="0" w:color="auto"/>
            </w:tcBorders>
          </w:tcPr>
          <w:p w:rsidR="003501A1" w:rsidRPr="00D57907" w:rsidRDefault="00343953" w:rsidP="009C70AE">
            <w:pPr>
              <w:jc w:val="both"/>
              <w:rPr>
                <w:sz w:val="22"/>
                <w:szCs w:val="22"/>
              </w:rPr>
            </w:pPr>
            <w:r w:rsidRPr="00D57907">
              <w:rPr>
                <w:sz w:val="22"/>
                <w:szCs w:val="22"/>
              </w:rPr>
              <w:t>N</w:t>
            </w:r>
            <w:r w:rsidR="00CF6197" w:rsidRPr="00D57907">
              <w:rPr>
                <w:sz w:val="22"/>
                <w:szCs w:val="22"/>
              </w:rPr>
              <w:t>ávrh zákona</w:t>
            </w:r>
            <w:r w:rsidR="00D76598" w:rsidRPr="00D57907">
              <w:rPr>
                <w:sz w:val="22"/>
                <w:szCs w:val="22"/>
              </w:rPr>
              <w:t>, ktorým sa</w:t>
            </w:r>
            <w:r w:rsidR="00CF6197" w:rsidRPr="00D57907">
              <w:rPr>
                <w:sz w:val="22"/>
                <w:szCs w:val="22"/>
              </w:rPr>
              <w:t xml:space="preserve"> mení a </w:t>
            </w:r>
            <w:r w:rsidRPr="00D57907">
              <w:rPr>
                <w:sz w:val="22"/>
                <w:szCs w:val="22"/>
              </w:rPr>
              <w:t>dopĺňa zákon č. 461/2003</w:t>
            </w:r>
            <w:r w:rsidR="00D76598" w:rsidRPr="00D57907">
              <w:rPr>
                <w:sz w:val="22"/>
                <w:szCs w:val="22"/>
              </w:rPr>
              <w:t xml:space="preserve"> Z. </w:t>
            </w:r>
            <w:r w:rsidR="00D76598" w:rsidRPr="00B12230">
              <w:rPr>
                <w:sz w:val="22"/>
                <w:szCs w:val="22"/>
              </w:rPr>
              <w:t>z. o</w:t>
            </w:r>
            <w:r w:rsidRPr="00B12230">
              <w:rPr>
                <w:sz w:val="22"/>
                <w:szCs w:val="22"/>
              </w:rPr>
              <w:t> sociálnom poistení</w:t>
            </w:r>
            <w:r w:rsidR="00D76598" w:rsidRPr="00B12230">
              <w:rPr>
                <w:sz w:val="22"/>
                <w:szCs w:val="22"/>
              </w:rPr>
              <w:t xml:space="preserve"> v znení neskorších predpisov </w:t>
            </w:r>
            <w:r w:rsidR="00227B96" w:rsidRPr="00B12230">
              <w:rPr>
                <w:bCs/>
                <w:sz w:val="22"/>
                <w:szCs w:val="22"/>
              </w:rPr>
              <w:t>a ktorým sa menia a dopĺňajú niektoré zákony</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3501A1" w:rsidRPr="00A179AE"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3501A1" w:rsidRPr="00D57907" w:rsidRDefault="004865AB" w:rsidP="007B71A4">
            <w:pPr>
              <w:rPr>
                <w:sz w:val="22"/>
                <w:szCs w:val="22"/>
              </w:rPr>
            </w:pPr>
            <w:r w:rsidRPr="00D57907">
              <w:rPr>
                <w:sz w:val="22"/>
                <w:szCs w:val="22"/>
              </w:rPr>
              <w:t>m</w:t>
            </w:r>
            <w:r w:rsidR="00A94590" w:rsidRPr="00D57907">
              <w:rPr>
                <w:sz w:val="22"/>
                <w:szCs w:val="22"/>
              </w:rPr>
              <w:t>inister práce, sociálnych vecí a rodiny Slovenskej republiky</w:t>
            </w:r>
          </w:p>
          <w:p w:rsidR="003501A1" w:rsidRPr="00A179AE" w:rsidRDefault="003501A1" w:rsidP="00B12230">
            <w:pPr>
              <w:pStyle w:val="Textkomentra"/>
              <w:jc w:val="center"/>
            </w:pPr>
          </w:p>
        </w:tc>
      </w:tr>
      <w:tr w:rsidR="003501A1" w:rsidRPr="00A179AE"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3501A1" w:rsidRPr="00A179AE" w:rsidRDefault="003501A1" w:rsidP="007B71A4">
            <w:r w:rsidRPr="00A179AE">
              <w:t>Materiál nelegislatívnej povahy</w:t>
            </w:r>
          </w:p>
        </w:tc>
      </w:tr>
      <w:tr w:rsidR="003501A1" w:rsidRPr="00A179AE" w:rsidTr="004F6F1F">
        <w:tc>
          <w:tcPr>
            <w:tcW w:w="4212" w:type="dxa"/>
            <w:gridSpan w:val="2"/>
            <w:vMerge/>
            <w:tcBorders>
              <w:top w:val="nil"/>
              <w:left w:val="single" w:sz="4" w:space="0" w:color="auto"/>
              <w:bottom w:val="single" w:sz="4" w:space="0" w:color="FFFFFF" w:themeColor="background1"/>
            </w:tcBorders>
            <w:shd w:val="clear" w:color="auto" w:fill="E2E2E2"/>
          </w:tcPr>
          <w:p w:rsidR="003501A1" w:rsidRPr="00A179AE" w:rsidRDefault="003501A1" w:rsidP="007B71A4"/>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A94590" w:rsidP="007B71A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pPr>
              <w:ind w:left="175" w:hanging="175"/>
            </w:pPr>
            <w:r w:rsidRPr="00A179AE">
              <w:t>Materiál legislatívnej povahy</w:t>
            </w:r>
          </w:p>
        </w:tc>
      </w:tr>
      <w:tr w:rsidR="003501A1" w:rsidRPr="00A179AE" w:rsidTr="004F6F1F">
        <w:tc>
          <w:tcPr>
            <w:tcW w:w="4212" w:type="dxa"/>
            <w:gridSpan w:val="2"/>
            <w:vMerge/>
            <w:tcBorders>
              <w:top w:val="nil"/>
              <w:left w:val="single" w:sz="4" w:space="0" w:color="auto"/>
              <w:bottom w:val="single" w:sz="4" w:space="0" w:color="auto"/>
            </w:tcBorders>
            <w:shd w:val="clear" w:color="auto" w:fill="E2E2E2"/>
          </w:tcPr>
          <w:p w:rsidR="003501A1" w:rsidRPr="00A179AE" w:rsidRDefault="003501A1" w:rsidP="007B71A4"/>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r w:rsidRPr="00A179AE">
              <w:t>Transpozícia práva EÚ</w:t>
            </w:r>
          </w:p>
        </w:tc>
      </w:tr>
      <w:tr w:rsidR="003501A1" w:rsidRPr="00A179AE" w:rsidTr="003D41A9">
        <w:trPr>
          <w:trHeight w:val="461"/>
        </w:trPr>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3501A1" w:rsidRPr="00A179AE" w:rsidRDefault="003501A1" w:rsidP="007B71A4">
            <w:pPr>
              <w:rPr>
                <w:i/>
              </w:rPr>
            </w:pPr>
          </w:p>
          <w:p w:rsidR="003501A1" w:rsidRPr="00A179AE" w:rsidRDefault="003501A1" w:rsidP="007B71A4"/>
          <w:p w:rsidR="003501A1" w:rsidRPr="00A179AE" w:rsidRDefault="003501A1" w:rsidP="007B71A4"/>
        </w:tc>
      </w:tr>
      <w:tr w:rsidR="003501A1" w:rsidRPr="00A179AE" w:rsidTr="00AA0570">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3501A1" w:rsidRPr="003D41A9" w:rsidRDefault="003501A1" w:rsidP="005D5ED8">
            <w:pPr>
              <w:rPr>
                <w:i/>
              </w:rPr>
            </w:pP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3D41A9" w:rsidRDefault="003501A1" w:rsidP="005D5ED8">
            <w:pPr>
              <w:rPr>
                <w:i/>
              </w:rPr>
            </w:pP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3D41A9" w:rsidRDefault="00686473" w:rsidP="005D5ED8">
            <w:pPr>
              <w:rPr>
                <w:i/>
              </w:rPr>
            </w:pPr>
            <w:r>
              <w:rPr>
                <w:i/>
              </w:rPr>
              <w:t>24</w:t>
            </w:r>
            <w:r w:rsidR="003D41A9" w:rsidRPr="003D41A9">
              <w:rPr>
                <w:i/>
              </w:rPr>
              <w:t xml:space="preserve">. </w:t>
            </w:r>
            <w:r w:rsidR="002637DB">
              <w:rPr>
                <w:i/>
              </w:rPr>
              <w:t>3</w:t>
            </w:r>
            <w:r w:rsidR="00343953">
              <w:rPr>
                <w:i/>
              </w:rPr>
              <w:t>. 2020</w:t>
            </w:r>
          </w:p>
        </w:tc>
      </w:tr>
      <w:tr w:rsidR="003501A1" w:rsidRPr="00A179AE" w:rsidTr="003501A1">
        <w:tc>
          <w:tcPr>
            <w:tcW w:w="9180" w:type="dxa"/>
            <w:gridSpan w:val="10"/>
            <w:tcBorders>
              <w:top w:val="single" w:sz="4" w:space="0" w:color="auto"/>
              <w:left w:val="nil"/>
              <w:bottom w:val="single" w:sz="4" w:space="0" w:color="auto"/>
              <w:right w:val="nil"/>
            </w:tcBorders>
            <w:shd w:val="clear" w:color="auto" w:fill="FFFFFF" w:themeFill="background1"/>
          </w:tcPr>
          <w:p w:rsidR="003501A1" w:rsidRPr="00A179AE" w:rsidRDefault="003501A1" w:rsidP="007B71A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rsidR="003501A1" w:rsidRPr="00A179AE" w:rsidTr="00D13B6F">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B12230" w:rsidRPr="00B12230" w:rsidRDefault="00B12230" w:rsidP="00B12230">
            <w:pPr>
              <w:jc w:val="both"/>
              <w:rPr>
                <w:sz w:val="22"/>
                <w:szCs w:val="22"/>
              </w:rPr>
            </w:pPr>
            <w:r w:rsidRPr="00BE098D">
              <w:rPr>
                <w:sz w:val="22"/>
                <w:szCs w:val="22"/>
              </w:rPr>
              <w:t xml:space="preserve">Slovenská republika reaguje na rozšírenie pandémie COVID-19 na jej území vyhlásením mimoriadnej situácie, resp. núdzového stavu. Negatívnymi dopadmi tejto mimoriadnej situácie, resp. núdzového stavu sú priamo ovplyvnení zamestnanci, zamestnávatelia, ako aj samostatne zárobkovo činné osoby (SZČO), čo môže mať potenciálne negatívny vplyv na zamestnanosť, nakoľko </w:t>
            </w:r>
            <w:r>
              <w:rPr>
                <w:sz w:val="22"/>
                <w:szCs w:val="22"/>
              </w:rPr>
              <w:t>zamestnávatelia</w:t>
            </w:r>
            <w:r w:rsidRPr="00BE098D">
              <w:rPr>
                <w:sz w:val="22"/>
                <w:szCs w:val="22"/>
              </w:rPr>
              <w:t xml:space="preserve"> a SZČO sú nútení prerušiť alebo obmedziť svoju prevádzkovú činnosť</w:t>
            </w:r>
            <w:r>
              <w:rPr>
                <w:sz w:val="22"/>
                <w:szCs w:val="22"/>
              </w:rPr>
              <w:t xml:space="preserve">. Tým im nie je naďalej umožnené </w:t>
            </w:r>
            <w:r w:rsidRPr="00BE098D">
              <w:rPr>
                <w:sz w:val="22"/>
                <w:szCs w:val="22"/>
              </w:rPr>
              <w:t xml:space="preserve"> nadobúdať zisk zodpovedajúci výške ziskov v čase pred vyhlásením mimoriadnej situácie, resp. núdzového stavu. </w:t>
            </w:r>
            <w:r>
              <w:rPr>
                <w:sz w:val="22"/>
                <w:szCs w:val="22"/>
              </w:rPr>
              <w:t>Zároveň im vznikajú náklady na úhradu náhrady mzdy zamestnancom, ktorým v dôsledku tejto situácie nemôžu prideľovať prácu.</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rsidR="003501A1" w:rsidRPr="00A179AE" w:rsidTr="00D13B6F">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B12230" w:rsidRDefault="00B12230" w:rsidP="00802CF6">
            <w:pPr>
              <w:jc w:val="both"/>
              <w:rPr>
                <w:sz w:val="22"/>
                <w:szCs w:val="22"/>
              </w:rPr>
            </w:pPr>
            <w:r w:rsidRPr="00BE098D">
              <w:rPr>
                <w:rFonts w:ascii="Times" w:hAnsi="Times" w:cs="Times"/>
                <w:sz w:val="22"/>
                <w:szCs w:val="22"/>
              </w:rPr>
              <w:t>Cieľom predloženého návrhu je riešenie dopadov vyhlásenia mimoriadnej situácie alebo núdzového stavu v súvislosti s pandémiou COVID-19 na území Slovenskej republiky.</w:t>
            </w:r>
          </w:p>
          <w:p w:rsidR="00B12230" w:rsidRDefault="00B12230" w:rsidP="00802CF6">
            <w:pPr>
              <w:jc w:val="both"/>
              <w:rPr>
                <w:sz w:val="22"/>
                <w:szCs w:val="22"/>
              </w:rPr>
            </w:pPr>
            <w:r>
              <w:rPr>
                <w:sz w:val="22"/>
                <w:szCs w:val="22"/>
              </w:rPr>
              <w:t>V oblasti sociálneho poistenia sa navrhuje zaviesť</w:t>
            </w:r>
            <w:r w:rsidR="002637DB" w:rsidRPr="00802CF6">
              <w:rPr>
                <w:sz w:val="22"/>
                <w:szCs w:val="22"/>
              </w:rPr>
              <w:t xml:space="preserve"> p</w:t>
            </w:r>
            <w:r>
              <w:rPr>
                <w:sz w:val="22"/>
                <w:szCs w:val="22"/>
              </w:rPr>
              <w:t>redĺženie</w:t>
            </w:r>
            <w:r w:rsidR="002637DB" w:rsidRPr="00802CF6">
              <w:rPr>
                <w:sz w:val="22"/>
                <w:szCs w:val="22"/>
              </w:rPr>
              <w:t xml:space="preserve"> obdobia vyplácania dávky ošetrovné na celú dobu zabezpečovania starostlivosti o dieťa počas uzatvorenia predškolského alebo školského  zariadenia, ak ide o dieťa do 11 rokov veku alebo do 18 rokov veku s</w:t>
            </w:r>
            <w:r w:rsidR="00826A8E">
              <w:rPr>
                <w:sz w:val="22"/>
                <w:szCs w:val="22"/>
              </w:rPr>
              <w:t> dlhodobo nepriaznivým zdravotným stavom</w:t>
            </w:r>
            <w:r w:rsidR="002637DB" w:rsidRPr="00802CF6">
              <w:rPr>
                <w:sz w:val="22"/>
                <w:szCs w:val="22"/>
              </w:rPr>
              <w:t xml:space="preserve"> (tzv. pandemické ošetrovné). Zároveň vznikne nárok na nemocenské </w:t>
            </w:r>
            <w:r w:rsidR="000C5789">
              <w:rPr>
                <w:sz w:val="22"/>
                <w:szCs w:val="22"/>
              </w:rPr>
              <w:t xml:space="preserve">vyplácané Sociálnou poisťovňou </w:t>
            </w:r>
            <w:r w:rsidR="002637DB" w:rsidRPr="00802CF6">
              <w:rPr>
                <w:sz w:val="22"/>
                <w:szCs w:val="22"/>
              </w:rPr>
              <w:t>od 1. dňa</w:t>
            </w:r>
            <w:r w:rsidR="003A5582" w:rsidRPr="00802CF6">
              <w:rPr>
                <w:sz w:val="22"/>
                <w:szCs w:val="22"/>
              </w:rPr>
              <w:t xml:space="preserve"> vo výške 55</w:t>
            </w:r>
            <w:r w:rsidR="00D57907">
              <w:rPr>
                <w:sz w:val="22"/>
                <w:szCs w:val="22"/>
              </w:rPr>
              <w:t xml:space="preserve"> </w:t>
            </w:r>
            <w:r w:rsidR="003A5582" w:rsidRPr="00802CF6">
              <w:rPr>
                <w:sz w:val="22"/>
                <w:szCs w:val="22"/>
              </w:rPr>
              <w:t>% vymeriavacieho základu</w:t>
            </w:r>
            <w:r w:rsidR="00D57907">
              <w:rPr>
                <w:sz w:val="22"/>
                <w:szCs w:val="22"/>
              </w:rPr>
              <w:t xml:space="preserve"> pri</w:t>
            </w:r>
            <w:r w:rsidR="002637DB" w:rsidRPr="00802CF6">
              <w:rPr>
                <w:sz w:val="22"/>
                <w:szCs w:val="22"/>
              </w:rPr>
              <w:t xml:space="preserve"> dočasnej pracovnej neschopnosti v prípadoch karanténneho opatrenia, nariadenej izolácie</w:t>
            </w:r>
            <w:r w:rsidR="003A5582" w:rsidRPr="00802CF6">
              <w:rPr>
                <w:sz w:val="22"/>
                <w:szCs w:val="22"/>
              </w:rPr>
              <w:t xml:space="preserve"> </w:t>
            </w:r>
            <w:r w:rsidR="002637DB" w:rsidRPr="00802CF6">
              <w:rPr>
                <w:sz w:val="22"/>
                <w:szCs w:val="22"/>
              </w:rPr>
              <w:t>v súvislosti s pandémiou Covid-19</w:t>
            </w:r>
            <w:r w:rsidR="004113DB" w:rsidRPr="00802CF6">
              <w:rPr>
                <w:sz w:val="22"/>
                <w:szCs w:val="22"/>
              </w:rPr>
              <w:t xml:space="preserve">. </w:t>
            </w:r>
          </w:p>
          <w:p w:rsidR="00B12230" w:rsidRDefault="00B12230" w:rsidP="00B12230">
            <w:pPr>
              <w:jc w:val="both"/>
              <w:rPr>
                <w:sz w:val="22"/>
                <w:szCs w:val="22"/>
              </w:rPr>
            </w:pPr>
            <w:r>
              <w:rPr>
                <w:rFonts w:ascii="Times" w:hAnsi="Times" w:cs="Times"/>
                <w:sz w:val="22"/>
                <w:szCs w:val="22"/>
              </w:rPr>
              <w:t>S cieľom podpory odst</w:t>
            </w:r>
            <w:r w:rsidR="00826A8E">
              <w:rPr>
                <w:rFonts w:ascii="Times" w:hAnsi="Times" w:cs="Times"/>
                <w:sz w:val="22"/>
                <w:szCs w:val="22"/>
              </w:rPr>
              <w:t>ránenia dôsledkov</w:t>
            </w:r>
            <w:r>
              <w:rPr>
                <w:rFonts w:ascii="Times" w:hAnsi="Times" w:cs="Times"/>
                <w:sz w:val="22"/>
                <w:szCs w:val="22"/>
              </w:rPr>
              <w:t xml:space="preserve"> na zamestnanosť a trh práce sa navrhuje medzi aktívne opatrenia na trhu práce zaradiť aj projekty na podporu udržania pracovných miest a na podporu udržania zamestnancov v zamestnaní v čase vyhlásenej mimoriadnej situácie, núdzového stavu alebo výnimočnej situácie a v bezprostrednom období po ich skončení. Prostredníctvom tohto nástroja tak bude možné kompenzovať zamestnávateľov, resp. SZČO, ktorí udržia pracovné miesta aj napriek povinnosti prerušenia alebo obmedzenia svojej prevádzkovej činnosti na základe uznesenia Ústredného krízového štábu, resp. tak museli urobiť v dôsledku ochrany zdravia svojich zamestnancov, poklesu zákaziek alebo výpadku subdodávateľov.</w:t>
            </w:r>
            <w:r w:rsidRPr="00BE098D">
              <w:rPr>
                <w:sz w:val="22"/>
                <w:szCs w:val="22"/>
              </w:rPr>
              <w:t xml:space="preserve"> </w:t>
            </w:r>
          </w:p>
          <w:p w:rsidR="00B12230" w:rsidRDefault="00B12230" w:rsidP="00B12230">
            <w:pPr>
              <w:jc w:val="both"/>
              <w:rPr>
                <w:sz w:val="22"/>
                <w:szCs w:val="22"/>
              </w:rPr>
            </w:pPr>
            <w:r>
              <w:rPr>
                <w:sz w:val="22"/>
                <w:szCs w:val="22"/>
              </w:rPr>
              <w:t>Zároveň sa v súvislosti s vyhlásenou mimoriadnou situáciou navrhuje odložiť termín plnenia niektorých povinností fyzických a právnických osôb vyplývajúcich zo zákona o službách zamestnanosti.</w:t>
            </w:r>
          </w:p>
          <w:p w:rsidR="00B12230" w:rsidRDefault="00B12230" w:rsidP="00B12230">
            <w:pPr>
              <w:jc w:val="both"/>
              <w:rPr>
                <w:sz w:val="22"/>
                <w:szCs w:val="22"/>
              </w:rPr>
            </w:pPr>
            <w:r>
              <w:rPr>
                <w:sz w:val="22"/>
                <w:szCs w:val="22"/>
              </w:rPr>
              <w:lastRenderedPageBreak/>
              <w:t>Taktiež sa navrhuje umožniť občanom v tomto období podanie žiadosti o zaradenie do evidencie uchádzačov o zamestnanie prostredníctvom elektronických prostriedkov bez kvalifikovaného elektronického podpisu.</w:t>
            </w:r>
          </w:p>
          <w:p w:rsidR="003A5582" w:rsidRPr="00F863B1" w:rsidRDefault="00802CF6" w:rsidP="00802CF6">
            <w:pPr>
              <w:jc w:val="both"/>
              <w:rPr>
                <w:sz w:val="22"/>
                <w:szCs w:val="22"/>
              </w:rPr>
            </w:pPr>
            <w:r w:rsidRPr="00802CF6">
              <w:rPr>
                <w:iCs/>
                <w:sz w:val="24"/>
                <w:szCs w:val="24"/>
              </w:rPr>
              <w:t xml:space="preserve"> </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Dotknuté subjekty</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C5D81" w:rsidRPr="00BE098D" w:rsidRDefault="002637DB" w:rsidP="003C5D81">
            <w:pPr>
              <w:jc w:val="both"/>
              <w:rPr>
                <w:sz w:val="22"/>
                <w:szCs w:val="22"/>
              </w:rPr>
            </w:pPr>
            <w:r w:rsidRPr="003A5582">
              <w:rPr>
                <w:sz w:val="24"/>
                <w:szCs w:val="24"/>
              </w:rPr>
              <w:t>Osoby starajúce sa o </w:t>
            </w:r>
            <w:r w:rsidR="003A5582">
              <w:rPr>
                <w:sz w:val="24"/>
                <w:szCs w:val="24"/>
              </w:rPr>
              <w:t>deti</w:t>
            </w:r>
            <w:r w:rsidRPr="003A5582">
              <w:rPr>
                <w:sz w:val="24"/>
                <w:szCs w:val="24"/>
              </w:rPr>
              <w:t>, osoby umiestnené do karantény</w:t>
            </w:r>
            <w:r w:rsidR="00F863B1">
              <w:rPr>
                <w:sz w:val="24"/>
                <w:szCs w:val="24"/>
              </w:rPr>
              <w:t xml:space="preserve"> z dôvodu Covid-19 a</w:t>
            </w:r>
            <w:r w:rsidR="003C5D81">
              <w:rPr>
                <w:sz w:val="24"/>
                <w:szCs w:val="24"/>
              </w:rPr>
              <w:t xml:space="preserve"> zamestnávatelia, </w:t>
            </w:r>
            <w:r w:rsidR="003C5D81" w:rsidRPr="00BE098D">
              <w:rPr>
                <w:sz w:val="22"/>
                <w:szCs w:val="22"/>
              </w:rPr>
              <w:t xml:space="preserve">zamestnanci a SZČO </w:t>
            </w:r>
          </w:p>
          <w:p w:rsidR="003501A1" w:rsidRPr="003A5582" w:rsidRDefault="003501A1" w:rsidP="000316A9">
            <w:pPr>
              <w:jc w:val="both"/>
              <w:rPr>
                <w:sz w:val="24"/>
                <w:szCs w:val="24"/>
              </w:rPr>
            </w:pP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7E270F">
              <w:rPr>
                <w:rFonts w:ascii="Times New Roman" w:hAnsi="Times New Roman" w:cs="Times New Roman"/>
                <w:b/>
              </w:rPr>
              <w:t>Alternatívne riešenia</w:t>
            </w:r>
          </w:p>
        </w:tc>
      </w:tr>
      <w:tr w:rsidR="003501A1" w:rsidRPr="00A179AE"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826A8E" w:rsidP="002672DA">
            <w:pPr>
              <w:jc w:val="both"/>
              <w:rPr>
                <w:i/>
              </w:rPr>
            </w:pPr>
            <w:r w:rsidRPr="00BE098D">
              <w:rPr>
                <w:rFonts w:ascii="Times" w:hAnsi="Times" w:cs="Times"/>
                <w:sz w:val="22"/>
                <w:szCs w:val="22"/>
              </w:rPr>
              <w:t xml:space="preserve">Vzhľadom na vážnosť situácie je predmetný typ kompenzácie zvažovaný prioritne a nezvažujú sa zásadne odlišné alternatívne riešenia, resp. ponechanie nulového variantu, nakoľko ten by mal </w:t>
            </w:r>
            <w:r>
              <w:rPr>
                <w:rFonts w:ascii="Times" w:hAnsi="Times" w:cs="Times"/>
                <w:sz w:val="22"/>
                <w:szCs w:val="22"/>
              </w:rPr>
              <w:t xml:space="preserve">signifikantný </w:t>
            </w:r>
            <w:r w:rsidRPr="00BE098D">
              <w:rPr>
                <w:rFonts w:ascii="Times" w:hAnsi="Times" w:cs="Times"/>
                <w:sz w:val="22"/>
                <w:szCs w:val="22"/>
              </w:rPr>
              <w:t>negatívny vplyv na dotknuté subjekty</w:t>
            </w:r>
            <w:r>
              <w:rPr>
                <w:rFonts w:ascii="Times" w:hAnsi="Times" w:cs="Times"/>
                <w:sz w:val="22"/>
                <w:szCs w:val="22"/>
              </w:rPr>
              <w:t xml:space="preserve"> a potenciálne tiež na zamestnanosť</w:t>
            </w:r>
            <w:r w:rsidRPr="00BE098D">
              <w:rPr>
                <w:rFonts w:ascii="Times" w:hAnsi="Times" w:cs="Times"/>
                <w:sz w:val="22"/>
                <w:szCs w:val="22"/>
              </w:rPr>
              <w:t>.</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3501A1" w:rsidRPr="00A179AE"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3501A1" w:rsidRPr="00A179AE" w:rsidRDefault="003501A1" w:rsidP="007B71A4">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B82B5F" w:rsidP="007B71A4">
            <w:pPr>
              <w:jc w:val="center"/>
            </w:pPr>
            <w:sdt>
              <w:sdtPr>
                <w:id w:val="-1407611648"/>
                <w14:checkbox>
                  <w14:checked w14:val="0"/>
                  <w14:checkedState w14:val="2612" w14:font="MS Gothic"/>
                  <w14:uncheckedState w14:val="2610" w14:font="MS Gothic"/>
                </w14:checkbox>
              </w:sdtPr>
              <w:sdtEndPr/>
              <w:sdtContent>
                <w:r w:rsidR="00930B57">
                  <w:rPr>
                    <w:rFonts w:ascii="MS Gothic" w:eastAsia="MS Gothic" w:hAnsi="MS Gothic" w:hint="eastAsia"/>
                  </w:rPr>
                  <w:t>☐</w:t>
                </w:r>
              </w:sdtContent>
            </w:sdt>
            <w:r w:rsidR="003501A1"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3501A1" w:rsidRPr="00A179AE" w:rsidRDefault="00B82B5F" w:rsidP="007B71A4">
            <w:pPr>
              <w:jc w:val="center"/>
            </w:pPr>
            <w:sdt>
              <w:sdtPr>
                <w:id w:val="-1625842802"/>
                <w14:checkbox>
                  <w14:checked w14:val="1"/>
                  <w14:checkedState w14:val="2612" w14:font="MS Gothic"/>
                  <w14:uncheckedState w14:val="2610" w14:font="MS Gothic"/>
                </w14:checkbox>
              </w:sdtPr>
              <w:sdtEndPr/>
              <w:sdtContent>
                <w:r w:rsidR="00930B57">
                  <w:rPr>
                    <w:rFonts w:ascii="MS Gothic" w:eastAsia="MS Gothic" w:hAnsi="MS Gothic" w:hint="eastAsia"/>
                  </w:rPr>
                  <w:t>☒</w:t>
                </w:r>
              </w:sdtContent>
            </w:sdt>
            <w:r w:rsidR="003501A1" w:rsidRPr="00A179AE">
              <w:t xml:space="preserve">  Nie</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F11DE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rsidR="003501A1" w:rsidRPr="00A179AE"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3501A1" w:rsidRPr="00A179AE" w:rsidRDefault="003501A1" w:rsidP="007B71A4">
            <w:pPr>
              <w:rPr>
                <w:i/>
              </w:rPr>
            </w:pPr>
          </w:p>
        </w:tc>
      </w:tr>
      <w:tr w:rsidR="003501A1"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A179AE" w:rsidRDefault="003501A1" w:rsidP="007B71A4">
            <w:pPr>
              <w:jc w:val="center"/>
            </w:pP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95098">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rsidR="003501A1" w:rsidRPr="00A179AE"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3501A1" w:rsidP="000A2143">
            <w:pPr>
              <w:rPr>
                <w:i/>
              </w:rPr>
            </w:pPr>
          </w:p>
        </w:tc>
      </w:tr>
      <w:tr w:rsidR="003501A1" w:rsidRPr="00A179AE" w:rsidTr="004C60B8">
        <w:trPr>
          <w:trHeight w:val="715"/>
        </w:trPr>
        <w:tc>
          <w:tcPr>
            <w:tcW w:w="9180" w:type="dxa"/>
            <w:gridSpan w:val="10"/>
            <w:tcBorders>
              <w:top w:val="single" w:sz="4" w:space="0" w:color="auto"/>
              <w:left w:val="nil"/>
              <w:bottom w:val="nil"/>
              <w:right w:val="nil"/>
            </w:tcBorders>
            <w:shd w:val="clear" w:color="auto" w:fill="FFFFFF" w:themeFill="background1"/>
          </w:tcPr>
          <w:p w:rsidR="004F6F1F" w:rsidRDefault="004F6F1F" w:rsidP="004C60B8">
            <w:pPr>
              <w:ind w:left="142" w:hanging="142"/>
            </w:pPr>
          </w:p>
          <w:p w:rsidR="00D13B6F" w:rsidRDefault="00D13B6F" w:rsidP="004C60B8">
            <w:pPr>
              <w:ind w:left="142" w:hanging="142"/>
            </w:pPr>
          </w:p>
          <w:p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rsidR="003501A1" w:rsidRDefault="00F62771" w:rsidP="00F22831">
            <w:r>
              <w:t>*</w:t>
            </w:r>
            <w:r w:rsidR="00F22831">
              <w:t>* nepovinné</w:t>
            </w:r>
          </w:p>
          <w:p w:rsidR="00CB60C4" w:rsidRDefault="00CB60C4" w:rsidP="00F22831"/>
          <w:p w:rsidR="00CB60C4" w:rsidRPr="00A179AE" w:rsidRDefault="00CB60C4" w:rsidP="00F22831"/>
        </w:tc>
      </w:tr>
      <w:tr w:rsidR="003501A1" w:rsidRPr="00A179AE" w:rsidTr="004F6F1F">
        <w:tc>
          <w:tcPr>
            <w:tcW w:w="9180" w:type="dxa"/>
            <w:gridSpan w:val="10"/>
            <w:tcBorders>
              <w:top w:val="nil"/>
              <w:left w:val="nil"/>
              <w:bottom w:val="single" w:sz="4" w:space="0" w:color="auto"/>
              <w:right w:val="nil"/>
            </w:tcBorders>
            <w:shd w:val="clear" w:color="auto" w:fill="FFFFFF" w:themeFill="background1"/>
          </w:tcPr>
          <w:p w:rsidR="003501A1" w:rsidRPr="00A179AE" w:rsidRDefault="003501A1" w:rsidP="003501A1">
            <w:pPr>
              <w:rPr>
                <w:b/>
              </w:rPr>
            </w:pPr>
          </w:p>
        </w:tc>
      </w:tr>
      <w:tr w:rsidR="003501A1" w:rsidRPr="00A179AE"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rsidR="003501A1" w:rsidRPr="00A179AE" w:rsidTr="004F6F1F">
        <w:tc>
          <w:tcPr>
            <w:tcW w:w="3812" w:type="dxa"/>
            <w:tcBorders>
              <w:top w:val="single" w:sz="4" w:space="0" w:color="auto"/>
              <w:left w:val="single" w:sz="4" w:space="0" w:color="auto"/>
              <w:bottom w:val="nil"/>
              <w:right w:val="single" w:sz="4" w:space="0" w:color="auto"/>
            </w:tcBorders>
            <w:shd w:val="clear" w:color="auto" w:fill="E2E2E2"/>
          </w:tcPr>
          <w:p w:rsidR="003501A1" w:rsidRPr="00A179AE" w:rsidRDefault="003501A1" w:rsidP="007B71A4">
            <w:pPr>
              <w:rPr>
                <w:b/>
              </w:rPr>
            </w:pPr>
            <w:r w:rsidRPr="00A179AE">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2637DB"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rPr>
                <w:b/>
              </w:rPr>
            </w:pPr>
            <w:r w:rsidRPr="00A179AE">
              <w:rPr>
                <w:b/>
              </w:rPr>
              <w:t>Pozitívne</w:t>
            </w:r>
          </w:p>
        </w:tc>
        <w:sdt>
          <w:sdtPr>
            <w:rPr>
              <w:b/>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C71D0C" w:rsidP="007B71A4">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rPr>
                <w:b/>
              </w:rPr>
            </w:pPr>
            <w:r w:rsidRPr="00A179AE">
              <w:rPr>
                <w:b/>
              </w:rPr>
              <w:t>Negatívne</w:t>
            </w:r>
          </w:p>
        </w:tc>
      </w:tr>
      <w:tr w:rsidR="003501A1" w:rsidRPr="00A179AE" w:rsidTr="004F6F1F">
        <w:tc>
          <w:tcPr>
            <w:tcW w:w="3812" w:type="dxa"/>
            <w:tcBorders>
              <w:top w:val="nil"/>
              <w:left w:val="single" w:sz="4" w:space="0" w:color="auto"/>
              <w:bottom w:val="single" w:sz="4" w:space="0" w:color="000000" w:themeColor="text1"/>
              <w:right w:val="single" w:sz="4" w:space="0" w:color="auto"/>
            </w:tcBorders>
            <w:shd w:val="clear" w:color="auto" w:fill="E2E2E2"/>
          </w:tcPr>
          <w:p w:rsidR="003501A1" w:rsidRPr="00E102C4" w:rsidRDefault="003501A1" w:rsidP="007B71A4">
            <w:r w:rsidRPr="00E102C4">
              <w:t xml:space="preserve">    z toho rozpočtovo zabezpečené vplyvy</w:t>
            </w:r>
          </w:p>
        </w:tc>
        <w:sdt>
          <w:sdt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E102C4" w:rsidRDefault="00343953"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E102C4" w:rsidRDefault="003501A1" w:rsidP="007B71A4">
            <w:r w:rsidRPr="00E102C4">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E102C4" w:rsidRDefault="00826A8E" w:rsidP="007B71A4">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rsidR="003501A1" w:rsidRPr="00E102C4" w:rsidRDefault="003501A1" w:rsidP="007B71A4">
            <w:r w:rsidRPr="00E102C4">
              <w:t>Nie</w:t>
            </w:r>
          </w:p>
        </w:tc>
        <w:sdt>
          <w:sdtPr>
            <w:id w:val="361940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E102C4" w:rsidRDefault="00826A8E" w:rsidP="007B71A4">
                <w:pPr>
                  <w:ind w:left="-107" w:right="-108"/>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rsidR="003501A1" w:rsidRPr="00E102C4" w:rsidRDefault="003501A1" w:rsidP="007B71A4">
            <w:pPr>
              <w:ind w:left="34"/>
            </w:pPr>
            <w:r w:rsidRPr="00E102C4">
              <w:t>Čiastočne</w:t>
            </w:r>
          </w:p>
        </w:tc>
      </w:tr>
      <w:tr w:rsidR="003501A1" w:rsidRPr="00A179AE" w:rsidTr="004F6F1F">
        <w:tc>
          <w:tcPr>
            <w:tcW w:w="3812" w:type="dxa"/>
            <w:tcBorders>
              <w:top w:val="single" w:sz="4" w:space="0" w:color="000000" w:themeColor="text1"/>
              <w:left w:val="single" w:sz="4" w:space="0" w:color="auto"/>
              <w:bottom w:val="nil"/>
              <w:right w:val="single" w:sz="4" w:space="0" w:color="auto"/>
            </w:tcBorders>
            <w:shd w:val="clear" w:color="auto" w:fill="E2E2E2"/>
          </w:tcPr>
          <w:p w:rsidR="003501A1" w:rsidRPr="00E102C4" w:rsidRDefault="003501A1" w:rsidP="004C794A">
            <w:pPr>
              <w:rPr>
                <w:b/>
              </w:rPr>
            </w:pPr>
            <w:r w:rsidRPr="00E102C4">
              <w:rPr>
                <w:b/>
              </w:rPr>
              <w:t>Vplyvy na podnikateľské prostredie</w:t>
            </w:r>
          </w:p>
        </w:tc>
        <w:sdt>
          <w:sdtPr>
            <w:rPr>
              <w:b/>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E102C4" w:rsidRDefault="002637DB"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E102C4" w:rsidRDefault="003501A1" w:rsidP="007B71A4">
            <w:pPr>
              <w:ind w:right="-108"/>
              <w:rPr>
                <w:b/>
              </w:rPr>
            </w:pPr>
            <w:r w:rsidRPr="00E102C4">
              <w:rPr>
                <w:b/>
              </w:rPr>
              <w:t>Pozitívne</w:t>
            </w:r>
          </w:p>
        </w:tc>
        <w:sdt>
          <w:sdtPr>
            <w:rPr>
              <w:b/>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E102C4" w:rsidRDefault="002637DB"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E102C4" w:rsidRDefault="003501A1" w:rsidP="007B71A4">
            <w:pPr>
              <w:rPr>
                <w:b/>
              </w:rPr>
            </w:pPr>
            <w:r w:rsidRPr="00E102C4">
              <w:rPr>
                <w:b/>
              </w:rPr>
              <w:t>Žiadne</w:t>
            </w:r>
          </w:p>
        </w:tc>
        <w:sdt>
          <w:sdtPr>
            <w:rPr>
              <w:b/>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E102C4" w:rsidRDefault="003501A1" w:rsidP="007B71A4">
                <w:pPr>
                  <w:jc w:val="center"/>
                  <w:rPr>
                    <w:b/>
                  </w:rPr>
                </w:pPr>
                <w:r w:rsidRPr="00E102C4">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E102C4" w:rsidRDefault="003501A1" w:rsidP="007B71A4">
            <w:pPr>
              <w:ind w:left="54"/>
              <w:rPr>
                <w:b/>
              </w:rPr>
            </w:pPr>
            <w:r w:rsidRPr="00E102C4">
              <w:rPr>
                <w:b/>
              </w:rPr>
              <w:t>Negatívne</w:t>
            </w:r>
          </w:p>
        </w:tc>
      </w:tr>
      <w:tr w:rsidR="003501A1"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A179AE" w:rsidRDefault="003501A1" w:rsidP="007B71A4">
            <w:r w:rsidRPr="00A179AE">
              <w:t xml:space="preserve">    z toho vplyvy na MSP</w:t>
            </w:r>
          </w:p>
        </w:tc>
        <w:sdt>
          <w:sdtPr>
            <w:id w:val="19319380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3501A1" w:rsidRPr="00A179AE" w:rsidRDefault="002637DB"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4B6572" w:rsidP="007B71A4">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Žiadne</w:t>
            </w:r>
          </w:p>
        </w:tc>
        <w:sdt>
          <w:sdt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pPr>
            <w:r w:rsidRPr="00A179AE">
              <w:t>Negatívne</w:t>
            </w:r>
          </w:p>
        </w:tc>
      </w:tr>
      <w:tr w:rsidR="003501A1" w:rsidRPr="00A179AE"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Sociálne vplyvy</w:t>
            </w:r>
          </w:p>
        </w:tc>
        <w:sdt>
          <w:sdtPr>
            <w:rPr>
              <w:b/>
            </w:rPr>
            <w:id w:val="44935786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A94590"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71942536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A94590"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D827D5">
        <w:tc>
          <w:tcPr>
            <w:tcW w:w="3812" w:type="dxa"/>
            <w:tcBorders>
              <w:top w:val="single" w:sz="4" w:space="0" w:color="auto"/>
              <w:left w:val="single" w:sz="4" w:space="0" w:color="auto"/>
              <w:bottom w:val="nil"/>
              <w:right w:val="single" w:sz="4" w:space="0" w:color="auto"/>
            </w:tcBorders>
            <w:shd w:val="clear" w:color="auto" w:fill="E2E2E2"/>
          </w:tcPr>
          <w:p w:rsidR="003501A1" w:rsidRPr="00A179AE" w:rsidRDefault="003501A1" w:rsidP="004C794A">
            <w:pPr>
              <w:rPr>
                <w:b/>
              </w:rPr>
            </w:pPr>
            <w:r w:rsidRPr="00A179AE">
              <w:rPr>
                <w:b/>
              </w:rPr>
              <w:t>Vplyvy na informatizáciu</w:t>
            </w:r>
          </w:p>
        </w:tc>
        <w:sdt>
          <w:sdtPr>
            <w:rPr>
              <w:b/>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nil"/>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nil"/>
              <w:right w:val="nil"/>
            </w:tcBorders>
          </w:tcPr>
          <w:p w:rsidR="003501A1" w:rsidRPr="00A179AE" w:rsidRDefault="003501A1" w:rsidP="007B71A4">
            <w:pPr>
              <w:ind w:right="-108"/>
              <w:rPr>
                <w:b/>
              </w:rPr>
            </w:pPr>
            <w:r w:rsidRPr="00A179AE">
              <w:rPr>
                <w:b/>
              </w:rPr>
              <w:t>Pozitívne</w:t>
            </w:r>
          </w:p>
        </w:tc>
        <w:sdt>
          <w:sdtPr>
            <w:rPr>
              <w:b/>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nil"/>
                  <w:right w:val="nil"/>
                </w:tcBorders>
              </w:tcPr>
              <w:p w:rsidR="003501A1" w:rsidRPr="00A179AE" w:rsidRDefault="00A94590"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nil"/>
              <w:right w:val="nil"/>
            </w:tcBorders>
          </w:tcPr>
          <w:p w:rsidR="003501A1" w:rsidRPr="00A179AE" w:rsidRDefault="003501A1" w:rsidP="007B71A4">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nil"/>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nil"/>
              <w:right w:val="single" w:sz="4" w:space="0" w:color="auto"/>
            </w:tcBorders>
          </w:tcPr>
          <w:p w:rsidR="003501A1" w:rsidRPr="00A179AE" w:rsidRDefault="003501A1" w:rsidP="007B71A4">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rsidTr="00D827D5">
        <w:tc>
          <w:tcPr>
            <w:tcW w:w="3812" w:type="dxa"/>
            <w:tcBorders>
              <w:top w:val="single" w:sz="4" w:space="0" w:color="auto"/>
              <w:left w:val="single" w:sz="4" w:space="0" w:color="auto"/>
              <w:bottom w:val="nil"/>
              <w:right w:val="single" w:sz="4" w:space="0" w:color="auto"/>
            </w:tcBorders>
            <w:shd w:val="clear" w:color="auto" w:fill="E2E2E2"/>
          </w:tcPr>
          <w:p w:rsidR="0045465B" w:rsidRPr="00653ADA" w:rsidRDefault="0045465B" w:rsidP="00B83402">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41" w:type="dxa"/>
            <w:tcBorders>
              <w:top w:val="single" w:sz="4" w:space="0" w:color="auto"/>
              <w:left w:val="single" w:sz="4" w:space="0" w:color="auto"/>
              <w:bottom w:val="nil"/>
              <w:right w:val="nil"/>
            </w:tcBorders>
            <w:shd w:val="clear" w:color="auto" w:fill="auto"/>
          </w:tcPr>
          <w:p w:rsidR="0045465B" w:rsidRPr="00653ADA" w:rsidRDefault="0045465B" w:rsidP="00B83402">
            <w:pPr>
              <w:jc w:val="center"/>
              <w:rPr>
                <w:rFonts w:eastAsia="MS Mincho"/>
                <w:b/>
              </w:rPr>
            </w:pPr>
          </w:p>
        </w:tc>
        <w:tc>
          <w:tcPr>
            <w:tcW w:w="1281" w:type="dxa"/>
            <w:tcBorders>
              <w:top w:val="single" w:sz="4" w:space="0" w:color="auto"/>
              <w:left w:val="nil"/>
              <w:bottom w:val="nil"/>
              <w:right w:val="nil"/>
            </w:tcBorders>
            <w:shd w:val="clear" w:color="auto" w:fill="auto"/>
          </w:tcPr>
          <w:p w:rsidR="0045465B" w:rsidRPr="00653ADA" w:rsidRDefault="0045465B" w:rsidP="00B83402">
            <w:pPr>
              <w:ind w:right="-108"/>
              <w:rPr>
                <w:b/>
              </w:rPr>
            </w:pPr>
          </w:p>
        </w:tc>
        <w:tc>
          <w:tcPr>
            <w:tcW w:w="569"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133" w:type="dxa"/>
            <w:tcBorders>
              <w:top w:val="single" w:sz="4" w:space="0" w:color="auto"/>
              <w:left w:val="nil"/>
              <w:bottom w:val="nil"/>
              <w:right w:val="nil"/>
            </w:tcBorders>
            <w:shd w:val="clear" w:color="auto" w:fill="auto"/>
          </w:tcPr>
          <w:p w:rsidR="0045465B" w:rsidRPr="00653ADA" w:rsidRDefault="0045465B" w:rsidP="00B83402">
            <w:pPr>
              <w:rPr>
                <w:b/>
              </w:rPr>
            </w:pPr>
          </w:p>
        </w:tc>
        <w:tc>
          <w:tcPr>
            <w:tcW w:w="547"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45465B" w:rsidRPr="00653ADA" w:rsidRDefault="0045465B" w:rsidP="00B83402">
            <w:pPr>
              <w:ind w:left="54"/>
              <w:rPr>
                <w:b/>
              </w:rPr>
            </w:pPr>
          </w:p>
        </w:tc>
      </w:tr>
      <w:tr w:rsidR="001A1559" w:rsidRPr="009634B3" w:rsidTr="00D827D5">
        <w:trPr>
          <w:trHeight w:val="388"/>
        </w:trPr>
        <w:tc>
          <w:tcPr>
            <w:tcW w:w="3812" w:type="dxa"/>
            <w:tcBorders>
              <w:top w:val="nil"/>
              <w:left w:val="single" w:sz="4" w:space="0" w:color="auto"/>
              <w:bottom w:val="nil"/>
              <w:right w:val="single" w:sz="4" w:space="0" w:color="auto"/>
            </w:tcBorders>
            <w:shd w:val="clear" w:color="auto" w:fill="E2E2E2"/>
          </w:tcPr>
          <w:p w:rsidR="001A1559" w:rsidRPr="009634B3" w:rsidRDefault="001A1559" w:rsidP="00B83402">
            <w:pPr>
              <w:ind w:left="196" w:hanging="196"/>
              <w:rPr>
                <w:rFonts w:eastAsia="Calibri"/>
                <w:b/>
                <w:lang w:eastAsia="en-US"/>
              </w:rPr>
            </w:pPr>
            <w:r w:rsidRPr="009634B3">
              <w:rPr>
                <w:rFonts w:eastAsia="Calibri"/>
                <w:b/>
                <w:lang w:eastAsia="en-US"/>
              </w:rPr>
              <w:t xml:space="preserve">    vplyvy služieb verejnej správy na občana</w:t>
            </w:r>
          </w:p>
        </w:tc>
        <w:sdt>
          <w:sdtPr>
            <w:rPr>
              <w:b/>
            </w:rPr>
            <w:id w:val="-1688362683"/>
            <w14:checkbox>
              <w14:checked w14:val="1"/>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rsidR="001A1559" w:rsidRPr="00A179AE" w:rsidRDefault="00826A8E" w:rsidP="00EB1608">
                <w:pPr>
                  <w:jc w:val="center"/>
                  <w:rPr>
                    <w:b/>
                  </w:rPr>
                </w:pPr>
                <w:r>
                  <w:rPr>
                    <w:rFonts w:ascii="MS Gothic" w:eastAsia="MS Gothic" w:hAnsi="MS Gothic" w:hint="eastAsia"/>
                    <w:b/>
                  </w:rPr>
                  <w:t>☒</w:t>
                </w:r>
              </w:p>
            </w:tc>
          </w:sdtContent>
        </w:sdt>
        <w:tc>
          <w:tcPr>
            <w:tcW w:w="1281" w:type="dxa"/>
            <w:tcBorders>
              <w:top w:val="nil"/>
              <w:left w:val="nil"/>
              <w:bottom w:val="single" w:sz="4" w:space="0" w:color="auto"/>
              <w:right w:val="nil"/>
            </w:tcBorders>
            <w:shd w:val="clear" w:color="auto" w:fill="auto"/>
          </w:tcPr>
          <w:p w:rsidR="001A1559" w:rsidRPr="00A179AE" w:rsidRDefault="001A1559" w:rsidP="00EB1608">
            <w:pPr>
              <w:ind w:right="-108"/>
              <w:rPr>
                <w:b/>
              </w:rPr>
            </w:pPr>
            <w:r w:rsidRPr="00A179AE">
              <w:rPr>
                <w:b/>
              </w:rPr>
              <w:t>Pozitívne</w:t>
            </w:r>
          </w:p>
        </w:tc>
        <w:sdt>
          <w:sdtPr>
            <w:rPr>
              <w:b/>
            </w:rPr>
            <w:id w:val="884985506"/>
            <w14:checkbox>
              <w14:checked w14:val="0"/>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rsidR="001A1559" w:rsidRPr="00A179AE" w:rsidRDefault="00602D34" w:rsidP="00EB1608">
                <w:pPr>
                  <w:jc w:val="center"/>
                  <w:rPr>
                    <w:b/>
                  </w:rPr>
                </w:pPr>
                <w:r>
                  <w:rPr>
                    <w:rFonts w:ascii="MS Gothic" w:eastAsia="MS Gothic" w:hAnsi="MS Gothic" w:hint="eastAsia"/>
                    <w:b/>
                  </w:rPr>
                  <w:t>☐</w:t>
                </w:r>
              </w:p>
            </w:tc>
          </w:sdtContent>
        </w:sdt>
        <w:tc>
          <w:tcPr>
            <w:tcW w:w="1133" w:type="dxa"/>
            <w:tcBorders>
              <w:top w:val="nil"/>
              <w:left w:val="nil"/>
              <w:bottom w:val="single" w:sz="4" w:space="0" w:color="auto"/>
              <w:right w:val="nil"/>
            </w:tcBorders>
            <w:shd w:val="clear" w:color="auto" w:fill="auto"/>
          </w:tcPr>
          <w:p w:rsidR="001A1559" w:rsidRPr="00A179AE" w:rsidRDefault="001A1559" w:rsidP="00EB1608">
            <w:pPr>
              <w:rPr>
                <w:b/>
              </w:rPr>
            </w:pPr>
            <w:r w:rsidRPr="00A179AE">
              <w:rPr>
                <w:b/>
              </w:rPr>
              <w:t>Žiadne</w:t>
            </w:r>
          </w:p>
        </w:tc>
        <w:sdt>
          <w:sdtPr>
            <w:rPr>
              <w:b/>
            </w:rPr>
            <w:id w:val="-2146805846"/>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97" w:type="dxa"/>
            <w:tcBorders>
              <w:top w:val="nil"/>
              <w:left w:val="nil"/>
              <w:bottom w:val="single" w:sz="4" w:space="0" w:color="auto"/>
              <w:right w:val="single" w:sz="4" w:space="0" w:color="auto"/>
            </w:tcBorders>
            <w:shd w:val="clear" w:color="auto" w:fill="auto"/>
          </w:tcPr>
          <w:p w:rsidR="001A1559" w:rsidRPr="00A179AE" w:rsidRDefault="001A1559" w:rsidP="00EB1608">
            <w:pPr>
              <w:ind w:left="54"/>
              <w:rPr>
                <w:b/>
              </w:rPr>
            </w:pPr>
            <w:r w:rsidRPr="00A179AE">
              <w:rPr>
                <w:b/>
              </w:rPr>
              <w:t>Negatívne</w:t>
            </w:r>
          </w:p>
        </w:tc>
      </w:tr>
      <w:tr w:rsidR="001A1559" w:rsidRPr="009634B3" w:rsidTr="00D827D5">
        <w:tc>
          <w:tcPr>
            <w:tcW w:w="3812" w:type="dxa"/>
            <w:tcBorders>
              <w:top w:val="nil"/>
              <w:left w:val="single" w:sz="4" w:space="0" w:color="auto"/>
              <w:bottom w:val="single" w:sz="4" w:space="0" w:color="auto"/>
              <w:right w:val="single" w:sz="4" w:space="0" w:color="auto"/>
            </w:tcBorders>
            <w:shd w:val="clear" w:color="auto" w:fill="E2E2E2"/>
          </w:tcPr>
          <w:p w:rsidR="001A1559" w:rsidRPr="009634B3" w:rsidRDefault="001A1559" w:rsidP="00B83402">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sdt>
          <w:sdtPr>
            <w:rPr>
              <w:b/>
            </w:rPr>
            <w:id w:val="-113984565"/>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tcPr>
              <w:p w:rsidR="001A1559" w:rsidRPr="00A179AE" w:rsidRDefault="00826A8E" w:rsidP="00EB1608">
                <w:pPr>
                  <w:jc w:val="center"/>
                  <w:rPr>
                    <w:b/>
                  </w:rPr>
                </w:pPr>
                <w:r>
                  <w:rPr>
                    <w:rFonts w:ascii="MS Gothic" w:eastAsia="MS Gothic" w:hAnsi="MS Gothic" w:hint="eastAsia"/>
                    <w:b/>
                  </w:rPr>
                  <w:t>☒</w:t>
                </w:r>
              </w:p>
            </w:tc>
          </w:sdtContent>
        </w:sdt>
        <w:tc>
          <w:tcPr>
            <w:tcW w:w="1281" w:type="dxa"/>
            <w:tcBorders>
              <w:top w:val="single" w:sz="4" w:space="0" w:color="auto"/>
              <w:left w:val="nil"/>
              <w:bottom w:val="single" w:sz="4" w:space="0" w:color="auto"/>
              <w:right w:val="nil"/>
            </w:tcBorders>
            <w:shd w:val="clear" w:color="auto" w:fill="auto"/>
          </w:tcPr>
          <w:p w:rsidR="001A1559" w:rsidRPr="00A179AE" w:rsidRDefault="001A1559" w:rsidP="00EB1608">
            <w:pPr>
              <w:ind w:right="-108"/>
              <w:rPr>
                <w:b/>
              </w:rPr>
            </w:pPr>
            <w:r w:rsidRPr="00A179AE">
              <w:rPr>
                <w:b/>
              </w:rPr>
              <w:t>Pozitívne</w:t>
            </w:r>
          </w:p>
        </w:tc>
        <w:sdt>
          <w:sdtPr>
            <w:rPr>
              <w:b/>
            </w:rPr>
            <w:id w:val="-1325040833"/>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rsidR="001A1559" w:rsidRPr="00A179AE" w:rsidRDefault="00602D34" w:rsidP="00EB1608">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shd w:val="clear" w:color="auto" w:fill="auto"/>
          </w:tcPr>
          <w:p w:rsidR="001A1559" w:rsidRPr="00A179AE" w:rsidRDefault="001A1559" w:rsidP="00EB1608">
            <w:pPr>
              <w:rPr>
                <w:b/>
              </w:rPr>
            </w:pPr>
            <w:r w:rsidRPr="00A179AE">
              <w:rPr>
                <w:b/>
              </w:rPr>
              <w:t>Žiadne</w:t>
            </w:r>
          </w:p>
        </w:tc>
        <w:sdt>
          <w:sdtPr>
            <w:rPr>
              <w:b/>
            </w:rPr>
            <w:id w:val="201802918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shd w:val="clear" w:color="auto" w:fill="auto"/>
          </w:tcPr>
          <w:p w:rsidR="001A1559" w:rsidRPr="00A179AE" w:rsidRDefault="001A1559" w:rsidP="00EB1608">
            <w:pPr>
              <w:ind w:left="54"/>
              <w:rPr>
                <w:b/>
              </w:rPr>
            </w:pPr>
            <w:r w:rsidRPr="00A179AE">
              <w:rPr>
                <w:b/>
              </w:rPr>
              <w:t>Negatívne</w:t>
            </w:r>
          </w:p>
        </w:tc>
      </w:tr>
      <w:tr w:rsidR="00CB60C4" w:rsidRPr="009634B3" w:rsidTr="00D827D5">
        <w:tc>
          <w:tcPr>
            <w:tcW w:w="3812" w:type="dxa"/>
            <w:tcBorders>
              <w:top w:val="single" w:sz="4" w:space="0" w:color="auto"/>
              <w:left w:val="single" w:sz="4" w:space="0" w:color="auto"/>
              <w:bottom w:val="single" w:sz="4" w:space="0" w:color="auto"/>
              <w:right w:val="single" w:sz="4" w:space="0" w:color="auto"/>
            </w:tcBorders>
            <w:shd w:val="clear" w:color="auto" w:fill="E2E2E2"/>
          </w:tcPr>
          <w:p w:rsidR="00CB60C4" w:rsidRDefault="00CB60C4" w:rsidP="00CB60C4">
            <w:pPr>
              <w:ind w:left="168" w:hanging="168"/>
              <w:rPr>
                <w:rFonts w:eastAsia="Calibri"/>
                <w:b/>
                <w:lang w:eastAsia="en-US"/>
              </w:rPr>
            </w:pPr>
            <w:r>
              <w:rPr>
                <w:rFonts w:ascii="Times" w:hAnsi="Times" w:cs="Times"/>
                <w:b/>
                <w:bCs/>
              </w:rPr>
              <w:t>Vplyvy na manželstvo, rodičovstvo a rodinu</w:t>
            </w:r>
          </w:p>
        </w:tc>
        <w:sdt>
          <w:sdtPr>
            <w:rPr>
              <w:b/>
            </w:rPr>
            <w:id w:val="3589307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tcPr>
              <w:p w:rsidR="00CB60C4" w:rsidRDefault="00CB60C4" w:rsidP="00CB60C4">
                <w:pPr>
                  <w:jc w:val="center"/>
                  <w:rPr>
                    <w:b/>
                  </w:rPr>
                </w:pPr>
                <w:r>
                  <w:rPr>
                    <w:rFonts w:ascii="MS Gothic" w:eastAsia="MS Gothic" w:hAnsi="MS Gothic" w:hint="eastAsia"/>
                    <w:b/>
                  </w:rPr>
                  <w:t>☐</w:t>
                </w:r>
              </w:p>
            </w:tc>
          </w:sdtContent>
        </w:sdt>
        <w:tc>
          <w:tcPr>
            <w:tcW w:w="1281" w:type="dxa"/>
            <w:tcBorders>
              <w:top w:val="single" w:sz="4" w:space="0" w:color="auto"/>
              <w:left w:val="nil"/>
              <w:bottom w:val="single" w:sz="4" w:space="0" w:color="auto"/>
              <w:right w:val="nil"/>
            </w:tcBorders>
            <w:shd w:val="clear" w:color="auto" w:fill="auto"/>
          </w:tcPr>
          <w:p w:rsidR="00CB60C4" w:rsidRPr="00A179AE" w:rsidRDefault="00CB60C4" w:rsidP="00CB60C4">
            <w:pPr>
              <w:ind w:right="-108"/>
              <w:rPr>
                <w:b/>
              </w:rPr>
            </w:pPr>
            <w:r w:rsidRPr="00A179AE">
              <w:rPr>
                <w:b/>
              </w:rPr>
              <w:t>Pozitívne</w:t>
            </w:r>
          </w:p>
        </w:tc>
        <w:sdt>
          <w:sdtPr>
            <w:rPr>
              <w:b/>
            </w:rPr>
            <w:id w:val="48505541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rsidR="00CB60C4" w:rsidRDefault="00CB60C4" w:rsidP="00CB60C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shd w:val="clear" w:color="auto" w:fill="auto"/>
          </w:tcPr>
          <w:p w:rsidR="00CB60C4" w:rsidRPr="00A179AE" w:rsidRDefault="00CB60C4" w:rsidP="00CB60C4">
            <w:pPr>
              <w:rPr>
                <w:b/>
              </w:rPr>
            </w:pPr>
            <w:r w:rsidRPr="00A179AE">
              <w:rPr>
                <w:b/>
              </w:rPr>
              <w:t>Žiadne</w:t>
            </w:r>
          </w:p>
        </w:tc>
        <w:sdt>
          <w:sdtPr>
            <w:rPr>
              <w:b/>
            </w:rPr>
            <w:id w:val="32871954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tcPr>
              <w:p w:rsidR="00CB60C4" w:rsidRDefault="00CB60C4" w:rsidP="00CB60C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shd w:val="clear" w:color="auto" w:fill="auto"/>
          </w:tcPr>
          <w:p w:rsidR="00CB60C4" w:rsidRPr="00A179AE" w:rsidRDefault="00CB60C4" w:rsidP="00CB60C4">
            <w:pPr>
              <w:ind w:left="54"/>
              <w:rPr>
                <w:b/>
              </w:rPr>
            </w:pPr>
            <w:r w:rsidRPr="00A179AE">
              <w:rPr>
                <w:b/>
              </w:rPr>
              <w:t>Negatívne</w:t>
            </w:r>
          </w:p>
        </w:tc>
      </w:tr>
    </w:tbl>
    <w:p w:rsidR="003501A1" w:rsidRDefault="003501A1" w:rsidP="003501A1">
      <w:pPr>
        <w:ind w:right="141"/>
        <w:rPr>
          <w:b/>
        </w:rPr>
      </w:pPr>
    </w:p>
    <w:p w:rsidR="00CB60C4" w:rsidRDefault="00CB60C4" w:rsidP="003501A1">
      <w:pPr>
        <w:ind w:right="141"/>
        <w:rPr>
          <w:b/>
        </w:rPr>
      </w:pPr>
    </w:p>
    <w:p w:rsidR="00CB60C4" w:rsidRPr="00A179AE" w:rsidRDefault="00CB60C4"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top w:val="single" w:sz="4" w:space="0" w:color="auto"/>
              <w:left w:val="single" w:sz="4" w:space="0" w:color="auto"/>
              <w:bottom w:val="nil"/>
              <w:right w:val="single" w:sz="4" w:space="0" w:color="auto"/>
            </w:tcBorders>
            <w:shd w:val="clear" w:color="auto" w:fill="E2E2E2"/>
          </w:tcPr>
          <w:p w:rsidR="004F6F1F" w:rsidRPr="00A179AE" w:rsidRDefault="004F6F1F"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rsidR="004F6F1F" w:rsidRPr="00A179AE"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4F6F1F" w:rsidRDefault="006863EA" w:rsidP="00E102C4">
            <w:pPr>
              <w:jc w:val="both"/>
              <w:rPr>
                <w:i/>
                <w:sz w:val="22"/>
                <w:szCs w:val="22"/>
              </w:rPr>
            </w:pPr>
            <w:r w:rsidRPr="002C5628">
              <w:rPr>
                <w:i/>
                <w:sz w:val="22"/>
                <w:szCs w:val="22"/>
                <w:u w:val="single"/>
              </w:rPr>
              <w:t>Vplyvy na rozpočet verejnej správy</w:t>
            </w:r>
            <w:r w:rsidRPr="002C5628">
              <w:rPr>
                <w:i/>
                <w:sz w:val="22"/>
                <w:szCs w:val="22"/>
              </w:rPr>
              <w:t xml:space="preserve"> – </w:t>
            </w:r>
            <w:r w:rsidR="005E5C9B" w:rsidRPr="002C5628">
              <w:rPr>
                <w:i/>
                <w:sz w:val="22"/>
                <w:szCs w:val="22"/>
              </w:rPr>
              <w:t xml:space="preserve">celkový </w:t>
            </w:r>
            <w:r w:rsidR="00930B57" w:rsidRPr="002C5628">
              <w:rPr>
                <w:i/>
                <w:sz w:val="22"/>
                <w:szCs w:val="22"/>
              </w:rPr>
              <w:t>vplyv na rozpočet verejnej správy bude negatívny z dô</w:t>
            </w:r>
            <w:r w:rsidR="004113DB" w:rsidRPr="002C5628">
              <w:rPr>
                <w:i/>
                <w:sz w:val="22"/>
                <w:szCs w:val="22"/>
              </w:rPr>
              <w:t>vodu, že sa predpokladajú</w:t>
            </w:r>
            <w:r w:rsidR="00C22774" w:rsidRPr="002C5628">
              <w:rPr>
                <w:i/>
                <w:sz w:val="22"/>
                <w:szCs w:val="22"/>
              </w:rPr>
              <w:t xml:space="preserve"> vyššie</w:t>
            </w:r>
            <w:r w:rsidR="00930B57" w:rsidRPr="002C5628">
              <w:rPr>
                <w:i/>
                <w:sz w:val="22"/>
                <w:szCs w:val="22"/>
              </w:rPr>
              <w:t xml:space="preserve"> výdavky na</w:t>
            </w:r>
            <w:r w:rsidR="005C3DC5" w:rsidRPr="002C5628">
              <w:rPr>
                <w:i/>
                <w:sz w:val="22"/>
                <w:szCs w:val="22"/>
              </w:rPr>
              <w:t xml:space="preserve"> vyplatenie</w:t>
            </w:r>
            <w:r w:rsidR="00D514B2" w:rsidRPr="002C5628">
              <w:rPr>
                <w:i/>
                <w:sz w:val="22"/>
                <w:szCs w:val="22"/>
              </w:rPr>
              <w:t xml:space="preserve"> pandemického ošetrovného a nemocenského v prípade karantény. </w:t>
            </w:r>
          </w:p>
          <w:p w:rsidR="00826A8E" w:rsidRDefault="00826A8E" w:rsidP="00E102C4">
            <w:pPr>
              <w:jc w:val="both"/>
              <w:rPr>
                <w:i/>
                <w:sz w:val="22"/>
                <w:szCs w:val="22"/>
              </w:rPr>
            </w:pPr>
          </w:p>
          <w:p w:rsidR="00826A8E" w:rsidRPr="00826A8E" w:rsidRDefault="00826A8E" w:rsidP="00826A8E">
            <w:pPr>
              <w:jc w:val="both"/>
              <w:rPr>
                <w:rFonts w:ascii="Times" w:hAnsi="Times" w:cs="Times"/>
                <w:bCs/>
                <w:i/>
                <w:sz w:val="22"/>
                <w:szCs w:val="22"/>
              </w:rPr>
            </w:pPr>
            <w:r w:rsidRPr="00826A8E">
              <w:rPr>
                <w:rFonts w:ascii="Times" w:hAnsi="Times" w:cs="Times"/>
                <w:bCs/>
                <w:i/>
                <w:sz w:val="22"/>
                <w:szCs w:val="22"/>
              </w:rPr>
              <w:t xml:space="preserve">Oprávneným obdobím pre realizáciu projektov na podporu udržania zamestnanosti sa rozumie </w:t>
            </w:r>
            <w:r w:rsidRPr="00826A8E">
              <w:rPr>
                <w:i/>
                <w:sz w:val="22"/>
                <w:szCs w:val="22"/>
              </w:rPr>
              <w:t xml:space="preserve"> mimoriadna situácia podľa zákona NR SR č. 42/1994 Z. z. o civilnej ochrane obyvateľstva a zákona č. 355/2007 Z. z. o ochrane, podpore a rozvoji verejného zdravia alebo núdzový stav alebo </w:t>
            </w:r>
            <w:r w:rsidRPr="00826A8E">
              <w:rPr>
                <w:i/>
                <w:sz w:val="22"/>
                <w:szCs w:val="22"/>
              </w:rPr>
              <w:lastRenderedPageBreak/>
              <w:t>výnimočný stav podľa ústavného zákona č. 227/2002 Z. z. o bezpečnosti štátu v čase vojny, vojnového stavu, výnimočného stavu alebo núdzový stav vyhlásená vládou SR.</w:t>
            </w:r>
          </w:p>
          <w:p w:rsidR="00826A8E" w:rsidRPr="00826A8E" w:rsidRDefault="00826A8E" w:rsidP="00826A8E">
            <w:pPr>
              <w:jc w:val="both"/>
              <w:rPr>
                <w:i/>
              </w:rPr>
            </w:pPr>
          </w:p>
          <w:p w:rsidR="00633761" w:rsidRDefault="00826A8E" w:rsidP="00826A8E">
            <w:pPr>
              <w:jc w:val="both"/>
              <w:rPr>
                <w:i/>
                <w:sz w:val="22"/>
                <w:szCs w:val="22"/>
              </w:rPr>
            </w:pPr>
            <w:r w:rsidRPr="00826A8E">
              <w:rPr>
                <w:i/>
                <w:sz w:val="22"/>
                <w:szCs w:val="22"/>
              </w:rPr>
              <w:t xml:space="preserve">Kvantifikáciu ročných vplyvov </w:t>
            </w:r>
            <w:r w:rsidR="003C5D81">
              <w:rPr>
                <w:i/>
                <w:sz w:val="22"/>
                <w:szCs w:val="22"/>
              </w:rPr>
              <w:t xml:space="preserve">v súvislosti s opatreniami na podporu udržania zamestnanosti resp. na podporu SZČO </w:t>
            </w:r>
            <w:r w:rsidRPr="00826A8E">
              <w:rPr>
                <w:i/>
                <w:sz w:val="22"/>
                <w:szCs w:val="22"/>
              </w:rPr>
              <w:t xml:space="preserve">nie je možné </w:t>
            </w:r>
            <w:r w:rsidR="001D56D3">
              <w:rPr>
                <w:i/>
                <w:sz w:val="22"/>
                <w:szCs w:val="22"/>
              </w:rPr>
              <w:t xml:space="preserve">exaktne </w:t>
            </w:r>
            <w:r w:rsidRPr="00826A8E">
              <w:rPr>
                <w:i/>
                <w:sz w:val="22"/>
                <w:szCs w:val="22"/>
              </w:rPr>
              <w:t>vyjadriť, nakoľko tá bude závisieť od vývoja pandémie a zodpovedajúcej vyhlásenej mimoriadnej situácie alebo núdzového stavu.</w:t>
            </w:r>
            <w:r w:rsidR="001D56D3">
              <w:rPr>
                <w:i/>
                <w:sz w:val="22"/>
                <w:szCs w:val="22"/>
              </w:rPr>
              <w:t xml:space="preserve"> </w:t>
            </w:r>
            <w:r w:rsidR="001D56D3" w:rsidRPr="00746085">
              <w:rPr>
                <w:i/>
                <w:sz w:val="22"/>
                <w:szCs w:val="22"/>
              </w:rPr>
              <w:t xml:space="preserve">Pri predpoklade mesačného trvania </w:t>
            </w:r>
            <w:r w:rsidR="001D56D3">
              <w:rPr>
                <w:i/>
                <w:sz w:val="22"/>
                <w:szCs w:val="22"/>
              </w:rPr>
              <w:t xml:space="preserve">mimoriadnej situácie alebo núdzového stavu </w:t>
            </w:r>
            <w:r w:rsidR="001D56D3" w:rsidRPr="00746085">
              <w:rPr>
                <w:i/>
                <w:sz w:val="22"/>
                <w:szCs w:val="22"/>
              </w:rPr>
              <w:t xml:space="preserve">sa </w:t>
            </w:r>
            <w:r w:rsidR="001D56D3">
              <w:rPr>
                <w:i/>
                <w:sz w:val="22"/>
                <w:szCs w:val="22"/>
              </w:rPr>
              <w:t xml:space="preserve">mesačné </w:t>
            </w:r>
            <w:r w:rsidR="001D56D3" w:rsidRPr="00746085">
              <w:rPr>
                <w:i/>
                <w:sz w:val="22"/>
                <w:szCs w:val="22"/>
              </w:rPr>
              <w:t xml:space="preserve">výdavky na </w:t>
            </w:r>
            <w:r w:rsidR="001D56D3">
              <w:rPr>
                <w:i/>
                <w:sz w:val="22"/>
                <w:szCs w:val="22"/>
              </w:rPr>
              <w:t>realizáciu projektov na podporu udržania zamestnanosti môžu pohybovať</w:t>
            </w:r>
            <w:r w:rsidR="001D56D3" w:rsidRPr="00746085">
              <w:rPr>
                <w:i/>
                <w:sz w:val="22"/>
                <w:szCs w:val="22"/>
              </w:rPr>
              <w:t xml:space="preserve"> v rozmedzí </w:t>
            </w:r>
            <w:r w:rsidR="001D56D3">
              <w:rPr>
                <w:i/>
                <w:sz w:val="22"/>
                <w:szCs w:val="22"/>
              </w:rPr>
              <w:t>254,3 – 299,4</w:t>
            </w:r>
            <w:r w:rsidR="001D56D3" w:rsidRPr="00746085">
              <w:rPr>
                <w:i/>
                <w:sz w:val="22"/>
                <w:szCs w:val="22"/>
              </w:rPr>
              <w:t xml:space="preserve"> mil. eur.</w:t>
            </w:r>
            <w:r w:rsidR="001D56D3" w:rsidRPr="00826A8E">
              <w:rPr>
                <w:i/>
                <w:sz w:val="22"/>
                <w:szCs w:val="22"/>
              </w:rPr>
              <w:t xml:space="preserve"> </w:t>
            </w:r>
            <w:r w:rsidR="00633761">
              <w:rPr>
                <w:i/>
                <w:sz w:val="22"/>
                <w:szCs w:val="22"/>
              </w:rPr>
              <w:t xml:space="preserve">Finančný vplyv je podmienený využívaním iných inštitútov na zmiernenie nepriaznivej situácie súvisiacej s pandémiou COVID-19.  </w:t>
            </w:r>
          </w:p>
          <w:p w:rsidR="00826A8E" w:rsidRPr="00826A8E" w:rsidRDefault="00826A8E" w:rsidP="00826A8E">
            <w:pPr>
              <w:jc w:val="both"/>
              <w:rPr>
                <w:i/>
                <w:sz w:val="22"/>
                <w:szCs w:val="22"/>
              </w:rPr>
            </w:pPr>
          </w:p>
          <w:p w:rsidR="00826A8E" w:rsidRPr="00826A8E" w:rsidRDefault="00826A8E" w:rsidP="00826A8E">
            <w:pPr>
              <w:jc w:val="both"/>
              <w:rPr>
                <w:i/>
                <w:sz w:val="22"/>
                <w:szCs w:val="22"/>
              </w:rPr>
            </w:pPr>
            <w:r w:rsidRPr="00826A8E">
              <w:rPr>
                <w:i/>
                <w:sz w:val="22"/>
                <w:szCs w:val="22"/>
              </w:rPr>
              <w:t xml:space="preserve">V prípade pretrvávania núdzového stavu alebo mimoriadnej situácie je predpoklad navyšovania okruhu dotknutých subjektov z dôvodu poklesu výkonnosti ekonomiky. Rozpočtový vplyv bude hradený predovšetkým zo zdrojov európskych štrukturálnych fondov a štátneho rozpočtu. </w:t>
            </w:r>
          </w:p>
          <w:p w:rsidR="008A6844" w:rsidRPr="002C5628" w:rsidRDefault="008A6844" w:rsidP="00E102C4">
            <w:pPr>
              <w:jc w:val="both"/>
              <w:rPr>
                <w:i/>
                <w:sz w:val="22"/>
                <w:szCs w:val="22"/>
              </w:rPr>
            </w:pPr>
          </w:p>
          <w:p w:rsidR="00D514B2" w:rsidRDefault="00D514B2" w:rsidP="00D514B2">
            <w:pPr>
              <w:jc w:val="both"/>
              <w:rPr>
                <w:i/>
                <w:sz w:val="22"/>
                <w:szCs w:val="22"/>
              </w:rPr>
            </w:pPr>
            <w:r w:rsidRPr="002C5628">
              <w:rPr>
                <w:i/>
                <w:sz w:val="22"/>
                <w:szCs w:val="22"/>
                <w:u w:val="single"/>
              </w:rPr>
              <w:t>Vplyvy na podnikateľské prostredie</w:t>
            </w:r>
            <w:r w:rsidRPr="002C5628">
              <w:rPr>
                <w:i/>
                <w:sz w:val="22"/>
                <w:szCs w:val="22"/>
              </w:rPr>
              <w:t xml:space="preserve"> – vplyv na podnikateľské prostredie budú pozitívne, nakoľko nebudú musieť platiť zamestnancovi náhradu príjmu pri dočasnej pracovnej neschopnosti pri karanténnom opatrení v súvislosti s pandémiou Covid-19. </w:t>
            </w:r>
          </w:p>
          <w:p w:rsidR="003C5D81" w:rsidRDefault="003C5D81" w:rsidP="00D514B2">
            <w:pPr>
              <w:jc w:val="both"/>
              <w:rPr>
                <w:i/>
                <w:sz w:val="22"/>
                <w:szCs w:val="22"/>
              </w:rPr>
            </w:pPr>
          </w:p>
          <w:p w:rsidR="003C5D81" w:rsidRPr="002C5628" w:rsidRDefault="003C5D81" w:rsidP="003C5D81">
            <w:pPr>
              <w:jc w:val="both"/>
              <w:rPr>
                <w:i/>
                <w:sz w:val="22"/>
                <w:szCs w:val="22"/>
              </w:rPr>
            </w:pPr>
            <w:r>
              <w:rPr>
                <w:i/>
                <w:sz w:val="22"/>
                <w:szCs w:val="22"/>
              </w:rPr>
              <w:t>Takisto očakávame pozitívne vplyvy na podnikateľské prostredie v súvislosti s kompenzáciou vo forme podpory</w:t>
            </w:r>
            <w:r w:rsidRPr="003C5D81">
              <w:rPr>
                <w:i/>
                <w:sz w:val="22"/>
                <w:szCs w:val="22"/>
              </w:rPr>
              <w:t xml:space="preserve"> udržania zamestnanosti v období vyhlásenia mimoriadnej situácie alebo núdzového stavu a po skončení vyhlásenia mimoriadnej situácie alebo núdzového stavu</w:t>
            </w:r>
            <w:r>
              <w:rPr>
                <w:i/>
                <w:sz w:val="22"/>
                <w:szCs w:val="22"/>
              </w:rPr>
              <w:t xml:space="preserve"> a podporou</w:t>
            </w:r>
            <w:r w:rsidRPr="003C5D81">
              <w:rPr>
                <w:i/>
                <w:sz w:val="22"/>
                <w:szCs w:val="22"/>
              </w:rPr>
              <w:t xml:space="preserve"> SZČO v období vyhlásenia mimoriadnej situácie alebo núdzového stavu</w:t>
            </w:r>
          </w:p>
          <w:p w:rsidR="00D514B2" w:rsidRPr="002C5628" w:rsidRDefault="00D514B2" w:rsidP="00E102C4">
            <w:pPr>
              <w:jc w:val="both"/>
              <w:rPr>
                <w:i/>
                <w:sz w:val="22"/>
                <w:szCs w:val="22"/>
              </w:rPr>
            </w:pPr>
          </w:p>
          <w:p w:rsidR="006863EA" w:rsidRDefault="006863EA" w:rsidP="00E102C4">
            <w:pPr>
              <w:jc w:val="both"/>
              <w:rPr>
                <w:rFonts w:eastAsia="Calibri"/>
                <w:i/>
                <w:sz w:val="22"/>
                <w:szCs w:val="22"/>
              </w:rPr>
            </w:pPr>
            <w:r w:rsidRPr="002C5628">
              <w:rPr>
                <w:i/>
                <w:sz w:val="22"/>
                <w:szCs w:val="22"/>
                <w:u w:val="single"/>
              </w:rPr>
              <w:t>Sociálne vplyvy</w:t>
            </w:r>
            <w:r w:rsidRPr="002C5628">
              <w:rPr>
                <w:i/>
                <w:sz w:val="22"/>
                <w:szCs w:val="22"/>
              </w:rPr>
              <w:t xml:space="preserve"> –</w:t>
            </w:r>
            <w:r w:rsidR="002672DA" w:rsidRPr="002C5628">
              <w:rPr>
                <w:i/>
                <w:sz w:val="22"/>
                <w:szCs w:val="22"/>
              </w:rPr>
              <w:t xml:space="preserve"> </w:t>
            </w:r>
            <w:r w:rsidR="004C5867" w:rsidRPr="002C5628">
              <w:rPr>
                <w:rFonts w:eastAsia="Calibri"/>
                <w:i/>
                <w:sz w:val="22"/>
                <w:szCs w:val="22"/>
              </w:rPr>
              <w:t>pozitívny vplyv na hospodáren</w:t>
            </w:r>
            <w:r w:rsidR="00F863B1" w:rsidRPr="002C5628">
              <w:rPr>
                <w:rFonts w:eastAsia="Calibri"/>
                <w:i/>
                <w:sz w:val="22"/>
                <w:szCs w:val="22"/>
              </w:rPr>
              <w:t>ie dotknutých domácností z dôvodu zabezpečenia</w:t>
            </w:r>
            <w:r w:rsidR="002C5628">
              <w:rPr>
                <w:rFonts w:eastAsia="Calibri"/>
                <w:i/>
                <w:sz w:val="22"/>
                <w:szCs w:val="22"/>
              </w:rPr>
              <w:t xml:space="preserve"> príjmu počas starostlivo</w:t>
            </w:r>
            <w:r w:rsidR="00F863B1" w:rsidRPr="002C5628">
              <w:rPr>
                <w:rFonts w:eastAsia="Calibri"/>
                <w:i/>
                <w:sz w:val="22"/>
                <w:szCs w:val="22"/>
              </w:rPr>
              <w:t>sti o deti pri pandémii a</w:t>
            </w:r>
            <w:r w:rsidR="00F238C6" w:rsidRPr="002C5628">
              <w:rPr>
                <w:rFonts w:eastAsia="Calibri"/>
                <w:i/>
                <w:sz w:val="22"/>
                <w:szCs w:val="22"/>
              </w:rPr>
              <w:t> v zásade vyšší p</w:t>
            </w:r>
            <w:r w:rsidR="002C5628">
              <w:rPr>
                <w:rFonts w:eastAsia="Calibri"/>
                <w:i/>
                <w:sz w:val="22"/>
                <w:szCs w:val="22"/>
              </w:rPr>
              <w:t>ríjem pri karanténnom opatrení z dôvodu pandémie</w:t>
            </w:r>
            <w:r w:rsidR="004113DB" w:rsidRPr="002C5628">
              <w:rPr>
                <w:rFonts w:eastAsia="Calibri"/>
                <w:i/>
                <w:sz w:val="22"/>
                <w:szCs w:val="22"/>
              </w:rPr>
              <w:t xml:space="preserve">. </w:t>
            </w:r>
          </w:p>
          <w:p w:rsidR="003C5D81" w:rsidRDefault="003C5D81" w:rsidP="003C5D81">
            <w:pPr>
              <w:jc w:val="both"/>
              <w:rPr>
                <w:rFonts w:eastAsia="Calibri"/>
                <w:i/>
                <w:sz w:val="22"/>
                <w:szCs w:val="22"/>
              </w:rPr>
            </w:pPr>
            <w:r>
              <w:rPr>
                <w:rFonts w:eastAsia="Calibri"/>
                <w:i/>
                <w:sz w:val="22"/>
                <w:szCs w:val="22"/>
              </w:rPr>
              <w:t>Pozitívne sociálne vplyvy na hospodárenie domácností očakávame aj v prípade zamestnancov, pri ktorých bol využitý inštitút na podporu udržania pracovných miest resp. inštitúty kompenzujúce príjmy  SZČO.</w:t>
            </w:r>
          </w:p>
          <w:p w:rsidR="00602D34" w:rsidRDefault="00602D34" w:rsidP="003C5D81">
            <w:pPr>
              <w:jc w:val="both"/>
              <w:rPr>
                <w:rFonts w:eastAsia="Calibri"/>
                <w:i/>
                <w:sz w:val="22"/>
                <w:szCs w:val="22"/>
              </w:rPr>
            </w:pPr>
          </w:p>
          <w:p w:rsidR="00602D34" w:rsidRPr="002C5628" w:rsidRDefault="00602D34" w:rsidP="003C5D81">
            <w:pPr>
              <w:jc w:val="both"/>
              <w:rPr>
                <w:rFonts w:eastAsia="Calibri"/>
                <w:i/>
                <w:sz w:val="22"/>
                <w:szCs w:val="22"/>
              </w:rPr>
            </w:pPr>
            <w:r w:rsidRPr="00602D34">
              <w:rPr>
                <w:rFonts w:eastAsia="Calibri"/>
                <w:i/>
                <w:sz w:val="22"/>
                <w:szCs w:val="22"/>
                <w:u w:val="single"/>
              </w:rPr>
              <w:t>Vplyvy na služby verejnej správy pre občana</w:t>
            </w:r>
            <w:r w:rsidR="001059C9">
              <w:rPr>
                <w:rFonts w:eastAsia="Calibri"/>
                <w:i/>
                <w:sz w:val="22"/>
                <w:szCs w:val="22"/>
              </w:rPr>
              <w:t xml:space="preserve"> -</w:t>
            </w:r>
            <w:r w:rsidRPr="00602D34">
              <w:rPr>
                <w:rFonts w:eastAsia="Calibri"/>
                <w:i/>
                <w:sz w:val="22"/>
                <w:szCs w:val="22"/>
              </w:rPr>
              <w:t xml:space="preserve"> </w:t>
            </w:r>
            <w:r w:rsidR="001059C9">
              <w:rPr>
                <w:rFonts w:eastAsia="Calibri"/>
                <w:i/>
                <w:sz w:val="22"/>
                <w:szCs w:val="22"/>
              </w:rPr>
              <w:t>p</w:t>
            </w:r>
            <w:r w:rsidRPr="00602D34">
              <w:rPr>
                <w:rFonts w:eastAsia="Calibri"/>
                <w:i/>
                <w:sz w:val="22"/>
                <w:szCs w:val="22"/>
              </w:rPr>
              <w:t>ozitívne vplyvy možno očakávať aj  z dôvodu uľahčenia administrácie a to, umožnením požiadania o zaradenie do evidencie uchádzačov o zamestnanie prostredníctvom podania žiadosti elektronickými prostriedkami bez kvalifikovaného elektronického podpisu.</w:t>
            </w:r>
          </w:p>
          <w:p w:rsidR="004F6F1F" w:rsidRPr="00D514B2" w:rsidRDefault="004F6F1F" w:rsidP="00D514B2">
            <w:pPr>
              <w:rPr>
                <w:b/>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Kontakt na spracovateľa</w:t>
            </w:r>
          </w:p>
        </w:tc>
      </w:tr>
      <w:tr w:rsidR="003501A1" w:rsidRPr="00A179AE"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E102C4" w:rsidRDefault="003501A1" w:rsidP="004113DB">
            <w:pPr>
              <w:rPr>
                <w:i/>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Zdroje</w:t>
            </w:r>
          </w:p>
        </w:tc>
      </w:tr>
      <w:tr w:rsidR="003501A1" w:rsidRPr="00A179AE" w:rsidTr="007B71A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930B57" w:rsidRPr="00826A8E" w:rsidRDefault="00D514B2" w:rsidP="00826A8E">
            <w:pPr>
              <w:jc w:val="both"/>
              <w:rPr>
                <w:i/>
                <w:sz w:val="22"/>
                <w:szCs w:val="22"/>
              </w:rPr>
            </w:pPr>
            <w:r w:rsidRPr="00826A8E">
              <w:rPr>
                <w:i/>
                <w:sz w:val="22"/>
                <w:szCs w:val="22"/>
              </w:rPr>
              <w:t>Rozpočet Sociálnej poisťovne na rok 2020 a aktuálne štatistické údaje z nemocenského poistenia</w:t>
            </w:r>
            <w:r w:rsidR="00E102C4" w:rsidRPr="00826A8E">
              <w:rPr>
                <w:i/>
                <w:sz w:val="22"/>
                <w:szCs w:val="22"/>
              </w:rPr>
              <w:t>.</w:t>
            </w:r>
          </w:p>
          <w:p w:rsidR="003501A1" w:rsidRPr="00826A8E" w:rsidRDefault="00826A8E" w:rsidP="00826A8E">
            <w:pPr>
              <w:jc w:val="both"/>
              <w:rPr>
                <w:i/>
              </w:rPr>
            </w:pPr>
            <w:r w:rsidRPr="00826A8E">
              <w:rPr>
                <w:i/>
                <w:sz w:val="22"/>
                <w:szCs w:val="22"/>
              </w:rPr>
              <w:t>Dáta spol. Trexima, Sociálnej poisťovne a vlastné prepočty Inštitútu sociálnej politiky; štatistiky, štvrťročného výkazu o cene práce (ISCP)</w:t>
            </w:r>
          </w:p>
          <w:p w:rsidR="003501A1" w:rsidRPr="00A179AE" w:rsidRDefault="003501A1" w:rsidP="007B71A4">
            <w:pPr>
              <w:rPr>
                <w:b/>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rsidR="003501A1" w:rsidRPr="00461F5E" w:rsidTr="007B71A4">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461F5E" w:rsidRDefault="003501A1" w:rsidP="007B71A4">
            <w:pPr>
              <w:rPr>
                <w:b/>
                <w:sz w:val="22"/>
                <w:szCs w:val="22"/>
              </w:rPr>
            </w:pPr>
          </w:p>
          <w:p w:rsidR="003501A1" w:rsidRPr="00461F5E" w:rsidRDefault="003501A1" w:rsidP="00343953">
            <w:pPr>
              <w:tabs>
                <w:tab w:val="center" w:pos="6379"/>
              </w:tabs>
              <w:ind w:left="4536" w:right="-2"/>
              <w:jc w:val="center"/>
              <w:rPr>
                <w:b/>
                <w:sz w:val="22"/>
                <w:szCs w:val="22"/>
              </w:rPr>
            </w:pPr>
          </w:p>
        </w:tc>
      </w:tr>
    </w:tbl>
    <w:p w:rsidR="003501A1" w:rsidRPr="00461F5E" w:rsidRDefault="003501A1" w:rsidP="003501A1">
      <w:pPr>
        <w:rPr>
          <w:b/>
          <w:sz w:val="22"/>
          <w:szCs w:val="22"/>
        </w:rPr>
      </w:pPr>
    </w:p>
    <w:p w:rsidR="003501A1" w:rsidRPr="00461F5E" w:rsidRDefault="003501A1" w:rsidP="003501A1">
      <w:pPr>
        <w:rPr>
          <w:b/>
          <w:sz w:val="22"/>
          <w:szCs w:val="22"/>
        </w:rPr>
      </w:pPr>
    </w:p>
    <w:p w:rsidR="00CB3623" w:rsidRPr="00461F5E" w:rsidRDefault="00CB3623">
      <w:pPr>
        <w:rPr>
          <w:sz w:val="22"/>
          <w:szCs w:val="22"/>
        </w:rPr>
      </w:pPr>
    </w:p>
    <w:sectPr w:rsidR="00CB3623" w:rsidRPr="00461F5E" w:rsidSect="004C60B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5F" w:rsidRDefault="00B82B5F" w:rsidP="003501A1">
      <w:r>
        <w:separator/>
      </w:r>
    </w:p>
  </w:endnote>
  <w:endnote w:type="continuationSeparator" w:id="0">
    <w:p w:rsidR="00B82B5F" w:rsidRDefault="00B82B5F"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622137"/>
      <w:docPartObj>
        <w:docPartGallery w:val="Page Numbers (Bottom of Page)"/>
        <w:docPartUnique/>
      </w:docPartObj>
    </w:sdtPr>
    <w:sdtEndPr/>
    <w:sdtContent>
      <w:p w:rsidR="0011129D" w:rsidRDefault="0011129D">
        <w:pPr>
          <w:pStyle w:val="Pta"/>
          <w:jc w:val="center"/>
        </w:pPr>
        <w:r>
          <w:fldChar w:fldCharType="begin"/>
        </w:r>
        <w:r>
          <w:instrText>PAGE   \* MERGEFORMAT</w:instrText>
        </w:r>
        <w:r>
          <w:fldChar w:fldCharType="separate"/>
        </w:r>
        <w:r w:rsidR="005D330D">
          <w:rPr>
            <w:noProof/>
          </w:rPr>
          <w:t>1</w:t>
        </w:r>
        <w:r>
          <w:fldChar w:fldCharType="end"/>
        </w:r>
      </w:p>
    </w:sdtContent>
  </w:sdt>
  <w:p w:rsidR="0011129D" w:rsidRDefault="001112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5F" w:rsidRDefault="00B82B5F" w:rsidP="003501A1">
      <w:r>
        <w:separator/>
      </w:r>
    </w:p>
  </w:footnote>
  <w:footnote w:type="continuationSeparator" w:id="0">
    <w:p w:rsidR="00B82B5F" w:rsidRDefault="00B82B5F" w:rsidP="00350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C35D82"/>
    <w:multiLevelType w:val="hybridMultilevel"/>
    <w:tmpl w:val="A9A80F4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24DC612E">
      <w:start w:val="1"/>
      <w:numFmt w:val="bullet"/>
      <w:lvlText w:val="-"/>
      <w:lvlJc w:val="left"/>
      <w:pPr>
        <w:ind w:left="2160" w:hanging="360"/>
      </w:pPr>
      <w:rPr>
        <w:rFonts w:ascii="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2B952547"/>
    <w:multiLevelType w:val="hybridMultilevel"/>
    <w:tmpl w:val="C1BE337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4BD74CB6"/>
    <w:multiLevelType w:val="hybridMultilevel"/>
    <w:tmpl w:val="BE44E6E4"/>
    <w:lvl w:ilvl="0" w:tplc="F9560B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86"/>
    <w:rsid w:val="000316A9"/>
    <w:rsid w:val="00036A60"/>
    <w:rsid w:val="00043E3C"/>
    <w:rsid w:val="00085CD2"/>
    <w:rsid w:val="00093169"/>
    <w:rsid w:val="000A1733"/>
    <w:rsid w:val="000A2143"/>
    <w:rsid w:val="000B474D"/>
    <w:rsid w:val="000C039E"/>
    <w:rsid w:val="000C5789"/>
    <w:rsid w:val="000D40AB"/>
    <w:rsid w:val="000E01A7"/>
    <w:rsid w:val="000F653A"/>
    <w:rsid w:val="001059C9"/>
    <w:rsid w:val="0011129D"/>
    <w:rsid w:val="0011693A"/>
    <w:rsid w:val="00126902"/>
    <w:rsid w:val="00142423"/>
    <w:rsid w:val="00145764"/>
    <w:rsid w:val="001552BB"/>
    <w:rsid w:val="001554B4"/>
    <w:rsid w:val="00157301"/>
    <w:rsid w:val="00175FD8"/>
    <w:rsid w:val="00176D6A"/>
    <w:rsid w:val="001A1559"/>
    <w:rsid w:val="001A2225"/>
    <w:rsid w:val="001D56D3"/>
    <w:rsid w:val="001E235A"/>
    <w:rsid w:val="001E7F7D"/>
    <w:rsid w:val="001F0FE6"/>
    <w:rsid w:val="0020153D"/>
    <w:rsid w:val="00203A4E"/>
    <w:rsid w:val="00210FED"/>
    <w:rsid w:val="0021247A"/>
    <w:rsid w:val="00217FFD"/>
    <w:rsid w:val="00227B96"/>
    <w:rsid w:val="00235A62"/>
    <w:rsid w:val="00247830"/>
    <w:rsid w:val="002637DB"/>
    <w:rsid w:val="002672DA"/>
    <w:rsid w:val="00286BE1"/>
    <w:rsid w:val="002A177B"/>
    <w:rsid w:val="002B64A6"/>
    <w:rsid w:val="002C5628"/>
    <w:rsid w:val="002C6B8A"/>
    <w:rsid w:val="002D6CDE"/>
    <w:rsid w:val="003027A2"/>
    <w:rsid w:val="00313BDC"/>
    <w:rsid w:val="00332F34"/>
    <w:rsid w:val="00341C6B"/>
    <w:rsid w:val="00343953"/>
    <w:rsid w:val="003501A1"/>
    <w:rsid w:val="00361D11"/>
    <w:rsid w:val="003669E9"/>
    <w:rsid w:val="00375032"/>
    <w:rsid w:val="00376A3F"/>
    <w:rsid w:val="003855CF"/>
    <w:rsid w:val="00395098"/>
    <w:rsid w:val="003A5582"/>
    <w:rsid w:val="003B5589"/>
    <w:rsid w:val="003C5D81"/>
    <w:rsid w:val="003D3FF0"/>
    <w:rsid w:val="003D41A9"/>
    <w:rsid w:val="004113DB"/>
    <w:rsid w:val="004536CC"/>
    <w:rsid w:val="0045465B"/>
    <w:rsid w:val="00457F05"/>
    <w:rsid w:val="00461F5E"/>
    <w:rsid w:val="004746DB"/>
    <w:rsid w:val="0047707F"/>
    <w:rsid w:val="004812BF"/>
    <w:rsid w:val="004865AB"/>
    <w:rsid w:val="004868DD"/>
    <w:rsid w:val="004B6572"/>
    <w:rsid w:val="004C5867"/>
    <w:rsid w:val="004C60B8"/>
    <w:rsid w:val="004C794A"/>
    <w:rsid w:val="004D1607"/>
    <w:rsid w:val="004F6F1F"/>
    <w:rsid w:val="004F7D6F"/>
    <w:rsid w:val="0055095B"/>
    <w:rsid w:val="0056696C"/>
    <w:rsid w:val="00570B48"/>
    <w:rsid w:val="005742ED"/>
    <w:rsid w:val="005754DB"/>
    <w:rsid w:val="005757A1"/>
    <w:rsid w:val="00596B7D"/>
    <w:rsid w:val="005A3D74"/>
    <w:rsid w:val="005B7A8D"/>
    <w:rsid w:val="005C1717"/>
    <w:rsid w:val="005C3DC5"/>
    <w:rsid w:val="005C731F"/>
    <w:rsid w:val="005D330D"/>
    <w:rsid w:val="005D5ED8"/>
    <w:rsid w:val="005D6D5A"/>
    <w:rsid w:val="005E5C9B"/>
    <w:rsid w:val="005F126E"/>
    <w:rsid w:val="00602D34"/>
    <w:rsid w:val="00624114"/>
    <w:rsid w:val="00633761"/>
    <w:rsid w:val="00641D56"/>
    <w:rsid w:val="00646E55"/>
    <w:rsid w:val="0067530E"/>
    <w:rsid w:val="0068428D"/>
    <w:rsid w:val="006863EA"/>
    <w:rsid w:val="00686473"/>
    <w:rsid w:val="006C3B7D"/>
    <w:rsid w:val="006C423E"/>
    <w:rsid w:val="006C6236"/>
    <w:rsid w:val="006D0D62"/>
    <w:rsid w:val="006D0E79"/>
    <w:rsid w:val="006E2421"/>
    <w:rsid w:val="00710294"/>
    <w:rsid w:val="0071461E"/>
    <w:rsid w:val="0076179A"/>
    <w:rsid w:val="00761B28"/>
    <w:rsid w:val="00763F83"/>
    <w:rsid w:val="00765335"/>
    <w:rsid w:val="00777D6E"/>
    <w:rsid w:val="0078631C"/>
    <w:rsid w:val="00786F5D"/>
    <w:rsid w:val="00793A50"/>
    <w:rsid w:val="007A0919"/>
    <w:rsid w:val="007B4594"/>
    <w:rsid w:val="007C1096"/>
    <w:rsid w:val="007C7803"/>
    <w:rsid w:val="007D01D6"/>
    <w:rsid w:val="007D5810"/>
    <w:rsid w:val="007E270F"/>
    <w:rsid w:val="00802CF6"/>
    <w:rsid w:val="00826A8E"/>
    <w:rsid w:val="0083154A"/>
    <w:rsid w:val="00856E45"/>
    <w:rsid w:val="00862008"/>
    <w:rsid w:val="00881440"/>
    <w:rsid w:val="00881452"/>
    <w:rsid w:val="0088309E"/>
    <w:rsid w:val="008962EB"/>
    <w:rsid w:val="008A11E5"/>
    <w:rsid w:val="008A24AA"/>
    <w:rsid w:val="008A6844"/>
    <w:rsid w:val="008A7FE0"/>
    <w:rsid w:val="008B4061"/>
    <w:rsid w:val="008C27D2"/>
    <w:rsid w:val="008F4A24"/>
    <w:rsid w:val="00913956"/>
    <w:rsid w:val="00916499"/>
    <w:rsid w:val="00930B57"/>
    <w:rsid w:val="0095375D"/>
    <w:rsid w:val="00962B3D"/>
    <w:rsid w:val="00981329"/>
    <w:rsid w:val="009A1E02"/>
    <w:rsid w:val="009B0950"/>
    <w:rsid w:val="009C1600"/>
    <w:rsid w:val="009C70AE"/>
    <w:rsid w:val="009E13B1"/>
    <w:rsid w:val="009E659C"/>
    <w:rsid w:val="009F0F07"/>
    <w:rsid w:val="009F687D"/>
    <w:rsid w:val="00A06ED0"/>
    <w:rsid w:val="00A32797"/>
    <w:rsid w:val="00A4443A"/>
    <w:rsid w:val="00A63885"/>
    <w:rsid w:val="00A94590"/>
    <w:rsid w:val="00AA0570"/>
    <w:rsid w:val="00AA0968"/>
    <w:rsid w:val="00AC2477"/>
    <w:rsid w:val="00AD4B5C"/>
    <w:rsid w:val="00AF1868"/>
    <w:rsid w:val="00AF2E59"/>
    <w:rsid w:val="00B12230"/>
    <w:rsid w:val="00B47776"/>
    <w:rsid w:val="00B65A86"/>
    <w:rsid w:val="00B7477A"/>
    <w:rsid w:val="00B82B5F"/>
    <w:rsid w:val="00B83E20"/>
    <w:rsid w:val="00BB644B"/>
    <w:rsid w:val="00C22774"/>
    <w:rsid w:val="00C42BE6"/>
    <w:rsid w:val="00C47651"/>
    <w:rsid w:val="00C65043"/>
    <w:rsid w:val="00C71D0C"/>
    <w:rsid w:val="00C94568"/>
    <w:rsid w:val="00CB3623"/>
    <w:rsid w:val="00CB60C4"/>
    <w:rsid w:val="00CB7F0E"/>
    <w:rsid w:val="00CD6902"/>
    <w:rsid w:val="00CE050B"/>
    <w:rsid w:val="00CF6197"/>
    <w:rsid w:val="00D03769"/>
    <w:rsid w:val="00D041B7"/>
    <w:rsid w:val="00D13B6F"/>
    <w:rsid w:val="00D17FCD"/>
    <w:rsid w:val="00D21E58"/>
    <w:rsid w:val="00D23A76"/>
    <w:rsid w:val="00D272B6"/>
    <w:rsid w:val="00D514B2"/>
    <w:rsid w:val="00D57907"/>
    <w:rsid w:val="00D57B2E"/>
    <w:rsid w:val="00D75D35"/>
    <w:rsid w:val="00D76598"/>
    <w:rsid w:val="00D8159C"/>
    <w:rsid w:val="00D827D5"/>
    <w:rsid w:val="00D90B3C"/>
    <w:rsid w:val="00D92287"/>
    <w:rsid w:val="00D9324A"/>
    <w:rsid w:val="00DB1153"/>
    <w:rsid w:val="00DE2A12"/>
    <w:rsid w:val="00DE4A6B"/>
    <w:rsid w:val="00DF4095"/>
    <w:rsid w:val="00E03F52"/>
    <w:rsid w:val="00E102C4"/>
    <w:rsid w:val="00E34AD4"/>
    <w:rsid w:val="00E45010"/>
    <w:rsid w:val="00E45461"/>
    <w:rsid w:val="00E6400A"/>
    <w:rsid w:val="00EB59E3"/>
    <w:rsid w:val="00ED1D2E"/>
    <w:rsid w:val="00EF466C"/>
    <w:rsid w:val="00F11DE4"/>
    <w:rsid w:val="00F130FE"/>
    <w:rsid w:val="00F16505"/>
    <w:rsid w:val="00F22831"/>
    <w:rsid w:val="00F238C6"/>
    <w:rsid w:val="00F30003"/>
    <w:rsid w:val="00F5052F"/>
    <w:rsid w:val="00F531FC"/>
    <w:rsid w:val="00F62771"/>
    <w:rsid w:val="00F722EF"/>
    <w:rsid w:val="00F863B1"/>
    <w:rsid w:val="00F93B05"/>
    <w:rsid w:val="00FC3AF6"/>
    <w:rsid w:val="00FD466C"/>
    <w:rsid w:val="00FE23BE"/>
    <w:rsid w:val="00FF1E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Zkladntext"/>
    <w:link w:val="Nadpis4Char"/>
    <w:qFormat/>
    <w:rsid w:val="00DF4095"/>
    <w:pPr>
      <w:keepNext/>
      <w:numPr>
        <w:ilvl w:val="3"/>
        <w:numId w:val="2"/>
      </w:numPr>
      <w:suppressAutoHyphens/>
      <w:spacing w:line="100" w:lineRule="atLeast"/>
      <w:ind w:left="0" w:right="-2" w:firstLine="0"/>
      <w:jc w:val="center"/>
      <w:outlineLvl w:val="3"/>
    </w:pPr>
    <w:rPr>
      <w:b/>
      <w:smallCaps/>
      <w:sz w:val="26"/>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D90B3C"/>
    <w:rPr>
      <w:color w:val="0000FF" w:themeColor="hyperlink"/>
      <w:u w:val="single"/>
    </w:rPr>
  </w:style>
  <w:style w:type="character" w:styleId="PouitHypertextovPrepojenie">
    <w:name w:val="FollowedHyperlink"/>
    <w:basedOn w:val="Predvolenpsmoodseku"/>
    <w:uiPriority w:val="99"/>
    <w:semiHidden/>
    <w:unhideWhenUsed/>
    <w:rsid w:val="00D90B3C"/>
    <w:rPr>
      <w:color w:val="800080" w:themeColor="followedHyperlink"/>
      <w:u w:val="single"/>
    </w:rPr>
  </w:style>
  <w:style w:type="character" w:customStyle="1" w:styleId="Nadpis4Char">
    <w:name w:val="Nadpis 4 Char"/>
    <w:basedOn w:val="Predvolenpsmoodseku"/>
    <w:link w:val="Nadpis4"/>
    <w:rsid w:val="00DF4095"/>
    <w:rPr>
      <w:rFonts w:ascii="Times New Roman" w:eastAsia="Times New Roman" w:hAnsi="Times New Roman" w:cs="Times New Roman"/>
      <w:b/>
      <w:smallCaps/>
      <w:sz w:val="26"/>
      <w:szCs w:val="20"/>
      <w:lang w:eastAsia="ar-SA"/>
    </w:rPr>
  </w:style>
  <w:style w:type="paragraph" w:styleId="Zkladntext">
    <w:name w:val="Body Text"/>
    <w:basedOn w:val="Normlny"/>
    <w:link w:val="ZkladntextChar"/>
    <w:uiPriority w:val="99"/>
    <w:semiHidden/>
    <w:unhideWhenUsed/>
    <w:rsid w:val="00DF4095"/>
    <w:pPr>
      <w:spacing w:after="120"/>
    </w:pPr>
  </w:style>
  <w:style w:type="character" w:customStyle="1" w:styleId="ZkladntextChar">
    <w:name w:val="Základný text Char"/>
    <w:basedOn w:val="Predvolenpsmoodseku"/>
    <w:link w:val="Zkladntext"/>
    <w:uiPriority w:val="99"/>
    <w:semiHidden/>
    <w:rsid w:val="00DF4095"/>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semiHidden/>
    <w:unhideWhenUsed/>
    <w:rsid w:val="008A6844"/>
    <w:pPr>
      <w:spacing w:after="120" w:line="480" w:lineRule="auto"/>
    </w:pPr>
  </w:style>
  <w:style w:type="character" w:customStyle="1" w:styleId="Zkladntext2Char">
    <w:name w:val="Základný text 2 Char"/>
    <w:basedOn w:val="Predvolenpsmoodseku"/>
    <w:link w:val="Zkladntext2"/>
    <w:uiPriority w:val="99"/>
    <w:semiHidden/>
    <w:rsid w:val="008A6844"/>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Zkladntext"/>
    <w:link w:val="Nadpis4Char"/>
    <w:qFormat/>
    <w:rsid w:val="00DF4095"/>
    <w:pPr>
      <w:keepNext/>
      <w:numPr>
        <w:ilvl w:val="3"/>
        <w:numId w:val="2"/>
      </w:numPr>
      <w:suppressAutoHyphens/>
      <w:spacing w:line="100" w:lineRule="atLeast"/>
      <w:ind w:left="0" w:right="-2" w:firstLine="0"/>
      <w:jc w:val="center"/>
      <w:outlineLvl w:val="3"/>
    </w:pPr>
    <w:rPr>
      <w:b/>
      <w:smallCaps/>
      <w:sz w:val="26"/>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D90B3C"/>
    <w:rPr>
      <w:color w:val="0000FF" w:themeColor="hyperlink"/>
      <w:u w:val="single"/>
    </w:rPr>
  </w:style>
  <w:style w:type="character" w:styleId="PouitHypertextovPrepojenie">
    <w:name w:val="FollowedHyperlink"/>
    <w:basedOn w:val="Predvolenpsmoodseku"/>
    <w:uiPriority w:val="99"/>
    <w:semiHidden/>
    <w:unhideWhenUsed/>
    <w:rsid w:val="00D90B3C"/>
    <w:rPr>
      <w:color w:val="800080" w:themeColor="followedHyperlink"/>
      <w:u w:val="single"/>
    </w:rPr>
  </w:style>
  <w:style w:type="character" w:customStyle="1" w:styleId="Nadpis4Char">
    <w:name w:val="Nadpis 4 Char"/>
    <w:basedOn w:val="Predvolenpsmoodseku"/>
    <w:link w:val="Nadpis4"/>
    <w:rsid w:val="00DF4095"/>
    <w:rPr>
      <w:rFonts w:ascii="Times New Roman" w:eastAsia="Times New Roman" w:hAnsi="Times New Roman" w:cs="Times New Roman"/>
      <w:b/>
      <w:smallCaps/>
      <w:sz w:val="26"/>
      <w:szCs w:val="20"/>
      <w:lang w:eastAsia="ar-SA"/>
    </w:rPr>
  </w:style>
  <w:style w:type="paragraph" w:styleId="Zkladntext">
    <w:name w:val="Body Text"/>
    <w:basedOn w:val="Normlny"/>
    <w:link w:val="ZkladntextChar"/>
    <w:uiPriority w:val="99"/>
    <w:semiHidden/>
    <w:unhideWhenUsed/>
    <w:rsid w:val="00DF4095"/>
    <w:pPr>
      <w:spacing w:after="120"/>
    </w:pPr>
  </w:style>
  <w:style w:type="character" w:customStyle="1" w:styleId="ZkladntextChar">
    <w:name w:val="Základný text Char"/>
    <w:basedOn w:val="Predvolenpsmoodseku"/>
    <w:link w:val="Zkladntext"/>
    <w:uiPriority w:val="99"/>
    <w:semiHidden/>
    <w:rsid w:val="00DF4095"/>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semiHidden/>
    <w:unhideWhenUsed/>
    <w:rsid w:val="008A6844"/>
    <w:pPr>
      <w:spacing w:after="120" w:line="480" w:lineRule="auto"/>
    </w:pPr>
  </w:style>
  <w:style w:type="character" w:customStyle="1" w:styleId="Zkladntext2Char">
    <w:name w:val="Základný text 2 Char"/>
    <w:basedOn w:val="Predvolenpsmoodseku"/>
    <w:link w:val="Zkladntext2"/>
    <w:uiPriority w:val="99"/>
    <w:semiHidden/>
    <w:rsid w:val="008A6844"/>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1682">
      <w:bodyDiv w:val="1"/>
      <w:marLeft w:val="0"/>
      <w:marRight w:val="0"/>
      <w:marTop w:val="0"/>
      <w:marBottom w:val="0"/>
      <w:divBdr>
        <w:top w:val="none" w:sz="0" w:space="0" w:color="auto"/>
        <w:left w:val="none" w:sz="0" w:space="0" w:color="auto"/>
        <w:bottom w:val="none" w:sz="0" w:space="0" w:color="auto"/>
        <w:right w:val="none" w:sz="0" w:space="0" w:color="auto"/>
      </w:divBdr>
    </w:div>
    <w:div w:id="1712194251">
      <w:bodyDiv w:val="1"/>
      <w:marLeft w:val="0"/>
      <w:marRight w:val="0"/>
      <w:marTop w:val="0"/>
      <w:marBottom w:val="0"/>
      <w:divBdr>
        <w:top w:val="none" w:sz="0" w:space="0" w:color="auto"/>
        <w:left w:val="none" w:sz="0" w:space="0" w:color="auto"/>
        <w:bottom w:val="none" w:sz="0" w:space="0" w:color="auto"/>
        <w:right w:val="none" w:sz="0" w:space="0" w:color="auto"/>
      </w:divBdr>
    </w:div>
    <w:div w:id="20951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439C-D75C-4C15-AE98-B4F1E172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1192</Words>
  <Characters>6795</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Hertelova Karin</cp:lastModifiedBy>
  <cp:revision>11</cp:revision>
  <cp:lastPrinted>2019-02-26T11:56:00Z</cp:lastPrinted>
  <dcterms:created xsi:type="dcterms:W3CDTF">2020-03-24T08:23:00Z</dcterms:created>
  <dcterms:modified xsi:type="dcterms:W3CDTF">2020-03-24T17:46:00Z</dcterms:modified>
</cp:coreProperties>
</file>