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F57" w:rsidRDefault="00737F57">
      <w:pPr>
        <w:pStyle w:val="Pagedecouverture"/>
        <w:rPr>
          <w:noProof/>
        </w:rPr>
      </w:pPr>
      <w:bookmarkStart w:id="0" w:name="LW_BM_COVERPAGE"/>
      <w:bookmarkStart w:id="1" w:name="_GoBack"/>
      <w:bookmarkEnd w:id="1"/>
    </w:p>
    <w:bookmarkEnd w:id="0"/>
    <w:p w:rsidR="00737F57" w:rsidRDefault="00EA352F">
      <w:pPr>
        <w:spacing w:after="360"/>
        <w:jc w:val="center"/>
        <w:outlineLvl w:val="0"/>
        <w:rPr>
          <w:b/>
          <w:noProof/>
          <w:sz w:val="28"/>
          <w:szCs w:val="28"/>
          <w:u w:val="single"/>
        </w:rPr>
      </w:pPr>
      <w:r>
        <w:rPr>
          <w:b/>
          <w:bCs/>
          <w:noProof/>
          <w:sz w:val="28"/>
          <w:szCs w:val="28"/>
          <w:u w:val="single"/>
        </w:rPr>
        <w:t>P</w:t>
      </w:r>
      <w:r w:rsidR="00B675B3">
        <w:rPr>
          <w:b/>
          <w:bCs/>
          <w:noProof/>
          <w:sz w:val="28"/>
          <w:szCs w:val="28"/>
          <w:u w:val="single"/>
        </w:rPr>
        <w:t>ríloha I: Nové iniciatívy</w:t>
      </w:r>
      <w:r w:rsidR="00B675B3">
        <w:rPr>
          <w:rStyle w:val="Odkaznapoznmkupodiarou"/>
          <w:noProof/>
          <w:sz w:val="20"/>
        </w:rPr>
        <w:footnoteReference w:id="2"/>
      </w:r>
    </w:p>
    <w:tbl>
      <w:tblPr>
        <w:tblStyle w:val="Mriekatabuky"/>
        <w:tblW w:w="14596" w:type="dxa"/>
        <w:tblLayout w:type="fixed"/>
        <w:tblCellMar>
          <w:top w:w="57" w:type="dxa"/>
          <w:left w:w="85" w:type="dxa"/>
          <w:bottom w:w="57" w:type="dxa"/>
          <w:right w:w="85" w:type="dxa"/>
        </w:tblCellMar>
        <w:tblLook w:val="04A0" w:firstRow="1" w:lastRow="0" w:firstColumn="1" w:lastColumn="0" w:noHBand="0" w:noVBand="1"/>
      </w:tblPr>
      <w:tblGrid>
        <w:gridCol w:w="511"/>
        <w:gridCol w:w="1752"/>
        <w:gridCol w:w="4111"/>
        <w:gridCol w:w="1418"/>
        <w:gridCol w:w="6804"/>
      </w:tblGrid>
      <w:tr w:rsidR="00B675B3" w:rsidTr="008A2C73">
        <w:trPr>
          <w:cantSplit/>
          <w:tblHeader/>
        </w:trPr>
        <w:tc>
          <w:tcPr>
            <w:tcW w:w="511" w:type="dxa"/>
            <w:tcBorders>
              <w:top w:val="single" w:sz="4" w:space="0" w:color="auto"/>
              <w:left w:val="single" w:sz="4" w:space="0" w:color="auto"/>
              <w:bottom w:val="single" w:sz="4" w:space="0" w:color="auto"/>
              <w:right w:val="single" w:sz="4" w:space="0" w:color="auto"/>
            </w:tcBorders>
            <w:shd w:val="clear" w:color="auto" w:fill="99CCFF"/>
            <w:vAlign w:val="center"/>
          </w:tcPr>
          <w:p w:rsidR="00B675B3" w:rsidRDefault="00B675B3">
            <w:pPr>
              <w:spacing w:after="0"/>
              <w:rPr>
                <w:b/>
                <w:bCs/>
                <w:noProof/>
                <w:sz w:val="20"/>
              </w:rPr>
            </w:pPr>
            <w:r>
              <w:rPr>
                <w:b/>
                <w:bCs/>
                <w:noProof/>
                <w:sz w:val="20"/>
              </w:rPr>
              <w:t>Č.</w:t>
            </w:r>
          </w:p>
        </w:tc>
        <w:tc>
          <w:tcPr>
            <w:tcW w:w="1752" w:type="dxa"/>
            <w:tcBorders>
              <w:top w:val="single" w:sz="4" w:space="0" w:color="auto"/>
              <w:left w:val="single" w:sz="4" w:space="0" w:color="auto"/>
              <w:bottom w:val="single" w:sz="4" w:space="0" w:color="auto"/>
              <w:right w:val="single" w:sz="4" w:space="0" w:color="auto"/>
            </w:tcBorders>
            <w:shd w:val="clear" w:color="auto" w:fill="99CCFF"/>
            <w:vAlign w:val="center"/>
          </w:tcPr>
          <w:p w:rsidR="00B675B3" w:rsidRDefault="00B675B3">
            <w:pPr>
              <w:spacing w:before="60" w:after="60"/>
              <w:jc w:val="center"/>
              <w:rPr>
                <w:b/>
                <w:bCs/>
                <w:noProof/>
                <w:sz w:val="20"/>
              </w:rPr>
            </w:pPr>
            <w:r>
              <w:rPr>
                <w:b/>
                <w:bCs/>
                <w:noProof/>
                <w:sz w:val="20"/>
              </w:rPr>
              <w:t>Cieľ politiky</w:t>
            </w:r>
          </w:p>
        </w:tc>
        <w:tc>
          <w:tcPr>
            <w:tcW w:w="4111" w:type="dxa"/>
            <w:tcBorders>
              <w:top w:val="single" w:sz="4" w:space="0" w:color="auto"/>
              <w:left w:val="single" w:sz="4" w:space="0" w:color="auto"/>
              <w:bottom w:val="single" w:sz="4" w:space="0" w:color="auto"/>
              <w:right w:val="single" w:sz="4" w:space="0" w:color="auto"/>
            </w:tcBorders>
            <w:shd w:val="clear" w:color="auto" w:fill="99CCFF"/>
            <w:vAlign w:val="center"/>
          </w:tcPr>
          <w:p w:rsidR="00B675B3" w:rsidRDefault="00B675B3">
            <w:pPr>
              <w:spacing w:after="0"/>
              <w:jc w:val="center"/>
              <w:rPr>
                <w:b/>
                <w:bCs/>
                <w:noProof/>
                <w:sz w:val="20"/>
              </w:rPr>
            </w:pPr>
            <w:r>
              <w:rPr>
                <w:b/>
                <w:bCs/>
                <w:noProof/>
                <w:sz w:val="20"/>
              </w:rPr>
              <w:t>Iniciatívy</w:t>
            </w:r>
          </w:p>
        </w:tc>
        <w:tc>
          <w:tcPr>
            <w:tcW w:w="1418" w:type="dxa"/>
            <w:tcBorders>
              <w:top w:val="single" w:sz="4" w:space="0" w:color="auto"/>
              <w:left w:val="single" w:sz="4" w:space="0" w:color="auto"/>
              <w:bottom w:val="single" w:sz="4" w:space="0" w:color="auto"/>
              <w:right w:val="single" w:sz="4" w:space="0" w:color="auto"/>
            </w:tcBorders>
            <w:shd w:val="clear" w:color="auto" w:fill="99CCFF"/>
          </w:tcPr>
          <w:p w:rsidR="00B675B3" w:rsidRDefault="00120127">
            <w:pPr>
              <w:spacing w:after="0"/>
              <w:jc w:val="center"/>
              <w:rPr>
                <w:b/>
                <w:bCs/>
                <w:noProof/>
                <w:sz w:val="20"/>
              </w:rPr>
            </w:pPr>
            <w:r>
              <w:rPr>
                <w:b/>
                <w:bCs/>
                <w:noProof/>
                <w:sz w:val="20"/>
              </w:rPr>
              <w:t>Gestor</w:t>
            </w:r>
          </w:p>
        </w:tc>
        <w:tc>
          <w:tcPr>
            <w:tcW w:w="6804" w:type="dxa"/>
            <w:tcBorders>
              <w:top w:val="single" w:sz="4" w:space="0" w:color="auto"/>
              <w:left w:val="single" w:sz="4" w:space="0" w:color="auto"/>
              <w:bottom w:val="single" w:sz="4" w:space="0" w:color="auto"/>
              <w:right w:val="single" w:sz="4" w:space="0" w:color="auto"/>
            </w:tcBorders>
            <w:shd w:val="clear" w:color="auto" w:fill="99CCFF"/>
          </w:tcPr>
          <w:p w:rsidR="00B675B3" w:rsidRDefault="003227AF">
            <w:pPr>
              <w:spacing w:after="0"/>
              <w:jc w:val="center"/>
              <w:rPr>
                <w:b/>
                <w:bCs/>
                <w:noProof/>
                <w:sz w:val="20"/>
              </w:rPr>
            </w:pPr>
            <w:r w:rsidRPr="003227AF">
              <w:rPr>
                <w:b/>
                <w:bCs/>
                <w:noProof/>
                <w:sz w:val="20"/>
              </w:rPr>
              <w:t>Stupeň priority a pozíciu SR</w:t>
            </w:r>
          </w:p>
        </w:tc>
      </w:tr>
      <w:tr w:rsidR="00B675B3" w:rsidTr="008A2C73">
        <w:trPr>
          <w:cantSplit/>
        </w:trPr>
        <w:tc>
          <w:tcPr>
            <w:tcW w:w="6374" w:type="dxa"/>
            <w:gridSpan w:val="3"/>
            <w:tcBorders>
              <w:top w:val="single" w:sz="4" w:space="0" w:color="auto"/>
              <w:left w:val="single" w:sz="4" w:space="0" w:color="auto"/>
              <w:bottom w:val="single" w:sz="4" w:space="0" w:color="auto"/>
            </w:tcBorders>
            <w:shd w:val="clear" w:color="auto" w:fill="9ACA3C" w:themeFill="accent1"/>
          </w:tcPr>
          <w:p w:rsidR="00B675B3" w:rsidRDefault="00B675B3">
            <w:pPr>
              <w:keepNext/>
              <w:spacing w:before="60" w:after="60"/>
              <w:jc w:val="left"/>
              <w:rPr>
                <w:b/>
                <w:bCs/>
                <w:noProof/>
                <w:color w:val="FFFFFF" w:themeColor="background1"/>
                <w:sz w:val="20"/>
              </w:rPr>
            </w:pPr>
            <w:r>
              <w:rPr>
                <w:b/>
                <w:bCs/>
                <w:noProof/>
                <w:color w:val="FFFFFF" w:themeColor="background1"/>
                <w:sz w:val="20"/>
              </w:rPr>
              <w:t>Európsky ekologický dohovor</w:t>
            </w:r>
          </w:p>
        </w:tc>
        <w:tc>
          <w:tcPr>
            <w:tcW w:w="1418" w:type="dxa"/>
            <w:tcBorders>
              <w:top w:val="single" w:sz="4" w:space="0" w:color="auto"/>
              <w:left w:val="single" w:sz="4" w:space="0" w:color="auto"/>
              <w:bottom w:val="single" w:sz="4" w:space="0" w:color="auto"/>
            </w:tcBorders>
            <w:shd w:val="clear" w:color="auto" w:fill="9ACA3C" w:themeFill="accent1"/>
          </w:tcPr>
          <w:p w:rsidR="00B675B3" w:rsidRDefault="00B675B3">
            <w:pPr>
              <w:keepNext/>
              <w:spacing w:before="60" w:after="60"/>
              <w:jc w:val="left"/>
              <w:rPr>
                <w:b/>
                <w:bCs/>
                <w:noProof/>
                <w:color w:val="FFFFFF" w:themeColor="background1"/>
                <w:sz w:val="20"/>
              </w:rPr>
            </w:pPr>
          </w:p>
        </w:tc>
        <w:tc>
          <w:tcPr>
            <w:tcW w:w="6804" w:type="dxa"/>
            <w:tcBorders>
              <w:top w:val="single" w:sz="4" w:space="0" w:color="auto"/>
              <w:left w:val="single" w:sz="4" w:space="0" w:color="auto"/>
              <w:bottom w:val="single" w:sz="4" w:space="0" w:color="auto"/>
            </w:tcBorders>
            <w:shd w:val="clear" w:color="auto" w:fill="9ACA3C" w:themeFill="accent1"/>
          </w:tcPr>
          <w:p w:rsidR="00B675B3" w:rsidRDefault="00B675B3">
            <w:pPr>
              <w:keepNext/>
              <w:spacing w:before="60" w:after="60"/>
              <w:jc w:val="left"/>
              <w:rPr>
                <w:b/>
                <w:bCs/>
                <w:noProof/>
                <w:color w:val="FFFFFF" w:themeColor="background1"/>
                <w:sz w:val="20"/>
              </w:rPr>
            </w:pPr>
          </w:p>
        </w:tc>
      </w:tr>
      <w:tr w:rsidR="00B675B3" w:rsidTr="008A2C73">
        <w:trPr>
          <w:cantSplit/>
        </w:trPr>
        <w:tc>
          <w:tcPr>
            <w:tcW w:w="511" w:type="dxa"/>
            <w:tcBorders>
              <w:bottom w:val="single" w:sz="4" w:space="0" w:color="auto"/>
              <w:right w:val="single" w:sz="4" w:space="0" w:color="auto"/>
            </w:tcBorders>
          </w:tcPr>
          <w:p w:rsidR="00B675B3" w:rsidRDefault="00B675B3">
            <w:pPr>
              <w:pStyle w:val="Odsekzoznamu"/>
              <w:numPr>
                <w:ilvl w:val="0"/>
                <w:numId w:val="18"/>
              </w:numPr>
              <w:spacing w:after="0"/>
              <w:ind w:left="426"/>
              <w:jc w:val="left"/>
              <w:rPr>
                <w:noProof/>
                <w:sz w:val="20"/>
              </w:rPr>
            </w:pPr>
          </w:p>
        </w:tc>
        <w:tc>
          <w:tcPr>
            <w:tcW w:w="1752" w:type="dxa"/>
            <w:tcBorders>
              <w:left w:val="single" w:sz="4" w:space="0" w:color="auto"/>
              <w:bottom w:val="single" w:sz="4" w:space="0" w:color="auto"/>
              <w:right w:val="single" w:sz="4" w:space="0" w:color="auto"/>
            </w:tcBorders>
            <w:tcMar>
              <w:top w:w="85" w:type="dxa"/>
              <w:bottom w:w="85" w:type="dxa"/>
            </w:tcMar>
          </w:tcPr>
          <w:p w:rsidR="00B675B3" w:rsidRDefault="00B675B3" w:rsidP="00B675B3">
            <w:pPr>
              <w:spacing w:after="0"/>
              <w:jc w:val="left"/>
              <w:rPr>
                <w:noProof/>
                <w:sz w:val="20"/>
              </w:rPr>
            </w:pPr>
            <w:r>
              <w:rPr>
                <w:b/>
                <w:bCs/>
                <w:noProof/>
                <w:sz w:val="20"/>
              </w:rPr>
              <w:t>Európsky ekologický dohovor</w:t>
            </w:r>
          </w:p>
        </w:tc>
        <w:tc>
          <w:tcPr>
            <w:tcW w:w="4111" w:type="dxa"/>
            <w:tcBorders>
              <w:left w:val="single" w:sz="4" w:space="0" w:color="auto"/>
              <w:bottom w:val="single" w:sz="4" w:space="0" w:color="auto"/>
              <w:right w:val="single" w:sz="4" w:space="0" w:color="auto"/>
            </w:tcBorders>
            <w:tcMar>
              <w:top w:w="85" w:type="dxa"/>
              <w:bottom w:w="85" w:type="dxa"/>
            </w:tcMar>
          </w:tcPr>
          <w:p w:rsidR="00B675B3" w:rsidRDefault="00B675B3">
            <w:pPr>
              <w:spacing w:after="0"/>
              <w:jc w:val="left"/>
              <w:rPr>
                <w:noProof/>
                <w:sz w:val="20"/>
              </w:rPr>
            </w:pPr>
            <w:r>
              <w:rPr>
                <w:b/>
                <w:bCs/>
                <w:noProof/>
                <w:sz w:val="20"/>
              </w:rPr>
              <w:t>Oznámenie o európskom ekologickom dohovore</w:t>
            </w:r>
            <w:r>
              <w:rPr>
                <w:noProof/>
                <w:sz w:val="20"/>
              </w:rPr>
              <w:t xml:space="preserve"> (nelegislatívna iniciatíva, 4. štvrťrok 2019); </w:t>
            </w:r>
          </w:p>
          <w:p w:rsidR="00692DFC" w:rsidRDefault="00B675B3">
            <w:pPr>
              <w:spacing w:after="0"/>
              <w:jc w:val="left"/>
              <w:rPr>
                <w:b/>
                <w:bCs/>
                <w:noProof/>
                <w:sz w:val="20"/>
              </w:rPr>
            </w:pPr>
            <w:r>
              <w:rPr>
                <w:noProof/>
                <w:sz w:val="20"/>
              </w:rPr>
              <w:br/>
            </w:r>
          </w:p>
          <w:p w:rsidR="00692DFC" w:rsidRDefault="00692DFC">
            <w:pPr>
              <w:spacing w:after="0"/>
              <w:jc w:val="left"/>
              <w:rPr>
                <w:b/>
                <w:bCs/>
                <w:noProof/>
                <w:sz w:val="20"/>
              </w:rPr>
            </w:pPr>
          </w:p>
          <w:p w:rsidR="00692DFC" w:rsidRDefault="00692DFC">
            <w:pPr>
              <w:spacing w:after="0"/>
              <w:jc w:val="left"/>
              <w:rPr>
                <w:b/>
                <w:bCs/>
                <w:noProof/>
                <w:sz w:val="20"/>
              </w:rPr>
            </w:pPr>
          </w:p>
          <w:p w:rsidR="00692DFC" w:rsidRDefault="00692DFC">
            <w:pPr>
              <w:spacing w:after="0"/>
              <w:jc w:val="left"/>
              <w:rPr>
                <w:b/>
                <w:bCs/>
                <w:noProof/>
                <w:sz w:val="20"/>
              </w:rPr>
            </w:pPr>
          </w:p>
          <w:p w:rsidR="00692DFC" w:rsidRDefault="00692DFC">
            <w:pPr>
              <w:spacing w:after="0"/>
              <w:jc w:val="left"/>
              <w:rPr>
                <w:b/>
                <w:bCs/>
                <w:noProof/>
                <w:sz w:val="20"/>
              </w:rPr>
            </w:pPr>
          </w:p>
          <w:p w:rsidR="00692DFC" w:rsidRDefault="00692DFC">
            <w:pPr>
              <w:spacing w:after="0"/>
              <w:jc w:val="left"/>
              <w:rPr>
                <w:b/>
                <w:bCs/>
                <w:noProof/>
                <w:sz w:val="20"/>
              </w:rPr>
            </w:pPr>
          </w:p>
          <w:p w:rsidR="00692DFC" w:rsidRDefault="00692DFC">
            <w:pPr>
              <w:spacing w:after="0"/>
              <w:jc w:val="left"/>
              <w:rPr>
                <w:b/>
                <w:bCs/>
                <w:noProof/>
                <w:sz w:val="20"/>
              </w:rPr>
            </w:pPr>
          </w:p>
          <w:p w:rsidR="00692DFC" w:rsidRDefault="00692DFC">
            <w:pPr>
              <w:spacing w:after="0"/>
              <w:jc w:val="left"/>
              <w:rPr>
                <w:b/>
                <w:bCs/>
                <w:noProof/>
                <w:sz w:val="20"/>
              </w:rPr>
            </w:pPr>
          </w:p>
          <w:p w:rsidR="00484347" w:rsidRDefault="00484347">
            <w:pPr>
              <w:spacing w:after="0"/>
              <w:jc w:val="left"/>
              <w:rPr>
                <w:b/>
                <w:bCs/>
                <w:noProof/>
                <w:sz w:val="20"/>
              </w:rPr>
            </w:pPr>
          </w:p>
          <w:p w:rsidR="00B675B3" w:rsidRDefault="00B675B3">
            <w:pPr>
              <w:spacing w:after="0"/>
              <w:jc w:val="left"/>
              <w:rPr>
                <w:noProof/>
                <w:sz w:val="20"/>
              </w:rPr>
            </w:pPr>
            <w:r>
              <w:rPr>
                <w:b/>
                <w:bCs/>
                <w:noProof/>
                <w:sz w:val="20"/>
              </w:rPr>
              <w:t>Európsky právny predpis v oblasti klímy, v ktorom je zakotvený cieľ dosiahnutia klimatickej neutrality do roku 2050</w:t>
            </w:r>
            <w:r>
              <w:rPr>
                <w:noProof/>
                <w:sz w:val="20"/>
              </w:rPr>
              <w:t xml:space="preserve"> (legislatívna iniciatíva, článok 192 ods. 1 ZFEÚ, 1. štvrťrok 2020); </w:t>
            </w:r>
          </w:p>
          <w:p w:rsidR="00692DFC" w:rsidRDefault="00B675B3">
            <w:pPr>
              <w:spacing w:after="0"/>
              <w:jc w:val="left"/>
              <w:rPr>
                <w:b/>
                <w:bCs/>
                <w:noProof/>
                <w:sz w:val="20"/>
              </w:rPr>
            </w:pPr>
            <w:r>
              <w:rPr>
                <w:noProof/>
                <w:sz w:val="20"/>
              </w:rPr>
              <w:br/>
            </w:r>
          </w:p>
          <w:p w:rsidR="00692DFC" w:rsidRDefault="00692DFC">
            <w:pPr>
              <w:spacing w:after="0"/>
              <w:jc w:val="left"/>
              <w:rPr>
                <w:b/>
                <w:bCs/>
                <w:noProof/>
                <w:sz w:val="20"/>
              </w:rPr>
            </w:pPr>
          </w:p>
          <w:p w:rsidR="00692DFC" w:rsidRDefault="00692DFC">
            <w:pPr>
              <w:spacing w:after="0"/>
              <w:jc w:val="left"/>
              <w:rPr>
                <w:b/>
                <w:bCs/>
                <w:noProof/>
                <w:sz w:val="20"/>
              </w:rPr>
            </w:pPr>
          </w:p>
          <w:p w:rsidR="00B675B3" w:rsidRDefault="00B675B3">
            <w:pPr>
              <w:spacing w:after="0"/>
              <w:jc w:val="left"/>
              <w:rPr>
                <w:noProof/>
                <w:sz w:val="20"/>
              </w:rPr>
            </w:pPr>
            <w:r>
              <w:rPr>
                <w:b/>
                <w:bCs/>
                <w:noProof/>
                <w:sz w:val="20"/>
              </w:rPr>
              <w:t>Európsky klimatický pakt</w:t>
            </w:r>
            <w:r>
              <w:rPr>
                <w:noProof/>
                <w:sz w:val="20"/>
              </w:rPr>
              <w:t xml:space="preserve"> (nelegislatívna iniciatíva, 3. štvrťrok 2020)</w:t>
            </w:r>
          </w:p>
        </w:tc>
        <w:tc>
          <w:tcPr>
            <w:tcW w:w="1418" w:type="dxa"/>
            <w:tcBorders>
              <w:left w:val="single" w:sz="4" w:space="0" w:color="auto"/>
              <w:bottom w:val="single" w:sz="4" w:space="0" w:color="auto"/>
              <w:right w:val="single" w:sz="4" w:space="0" w:color="auto"/>
            </w:tcBorders>
          </w:tcPr>
          <w:p w:rsidR="006B4579" w:rsidRDefault="006B4579" w:rsidP="00A026B9">
            <w:pPr>
              <w:spacing w:after="0"/>
              <w:jc w:val="center"/>
              <w:rPr>
                <w:b/>
                <w:bCs/>
                <w:noProof/>
                <w:sz w:val="20"/>
              </w:rPr>
            </w:pPr>
            <w:r>
              <w:rPr>
                <w:b/>
                <w:bCs/>
                <w:noProof/>
                <w:sz w:val="20"/>
              </w:rPr>
              <w:t>MŽP SR</w:t>
            </w:r>
          </w:p>
          <w:p w:rsidR="00B675B3" w:rsidRDefault="00120127" w:rsidP="00A026B9">
            <w:pPr>
              <w:spacing w:after="0"/>
              <w:jc w:val="center"/>
              <w:rPr>
                <w:b/>
                <w:bCs/>
                <w:noProof/>
                <w:sz w:val="20"/>
              </w:rPr>
            </w:pPr>
            <w:r>
              <w:rPr>
                <w:b/>
                <w:bCs/>
                <w:noProof/>
                <w:sz w:val="20"/>
              </w:rPr>
              <w:t>MH SR</w:t>
            </w:r>
          </w:p>
          <w:p w:rsidR="00692DFC" w:rsidRDefault="00692DFC" w:rsidP="00A026B9">
            <w:pPr>
              <w:spacing w:after="0"/>
              <w:jc w:val="center"/>
              <w:rPr>
                <w:b/>
                <w:bCs/>
                <w:noProof/>
                <w:sz w:val="20"/>
              </w:rPr>
            </w:pPr>
          </w:p>
          <w:p w:rsidR="00692DFC" w:rsidRDefault="00692DFC" w:rsidP="00A026B9">
            <w:pPr>
              <w:spacing w:after="0"/>
              <w:jc w:val="center"/>
              <w:rPr>
                <w:b/>
                <w:bCs/>
                <w:noProof/>
                <w:sz w:val="20"/>
              </w:rPr>
            </w:pPr>
          </w:p>
          <w:p w:rsidR="00692DFC" w:rsidRDefault="00692DFC" w:rsidP="00A026B9">
            <w:pPr>
              <w:spacing w:after="0"/>
              <w:jc w:val="center"/>
              <w:rPr>
                <w:b/>
                <w:bCs/>
                <w:noProof/>
                <w:sz w:val="20"/>
              </w:rPr>
            </w:pPr>
          </w:p>
          <w:p w:rsidR="00692DFC" w:rsidRDefault="00692DFC" w:rsidP="00A026B9">
            <w:pPr>
              <w:spacing w:after="0"/>
              <w:jc w:val="center"/>
              <w:rPr>
                <w:b/>
                <w:bCs/>
                <w:noProof/>
                <w:sz w:val="20"/>
              </w:rPr>
            </w:pPr>
          </w:p>
          <w:p w:rsidR="00692DFC" w:rsidRDefault="00692DFC" w:rsidP="00A026B9">
            <w:pPr>
              <w:spacing w:after="0"/>
              <w:jc w:val="center"/>
              <w:rPr>
                <w:b/>
                <w:bCs/>
                <w:noProof/>
                <w:sz w:val="20"/>
              </w:rPr>
            </w:pPr>
          </w:p>
          <w:p w:rsidR="00692DFC" w:rsidRDefault="00692DFC" w:rsidP="00A026B9">
            <w:pPr>
              <w:spacing w:after="0"/>
              <w:jc w:val="center"/>
              <w:rPr>
                <w:b/>
                <w:bCs/>
                <w:noProof/>
                <w:sz w:val="20"/>
              </w:rPr>
            </w:pPr>
          </w:p>
          <w:p w:rsidR="00692DFC" w:rsidRDefault="00692DFC" w:rsidP="00A026B9">
            <w:pPr>
              <w:spacing w:after="0"/>
              <w:jc w:val="center"/>
              <w:rPr>
                <w:b/>
                <w:bCs/>
                <w:noProof/>
                <w:sz w:val="20"/>
              </w:rPr>
            </w:pPr>
          </w:p>
          <w:p w:rsidR="00692DFC" w:rsidRDefault="00692DFC" w:rsidP="00A026B9">
            <w:pPr>
              <w:spacing w:after="0"/>
              <w:jc w:val="center"/>
              <w:rPr>
                <w:b/>
                <w:bCs/>
                <w:noProof/>
                <w:sz w:val="20"/>
              </w:rPr>
            </w:pPr>
          </w:p>
          <w:p w:rsidR="00692DFC" w:rsidRDefault="00692DFC" w:rsidP="00A026B9">
            <w:pPr>
              <w:spacing w:after="0"/>
              <w:jc w:val="center"/>
              <w:rPr>
                <w:b/>
                <w:bCs/>
                <w:noProof/>
                <w:sz w:val="20"/>
              </w:rPr>
            </w:pPr>
          </w:p>
          <w:p w:rsidR="00692DFC" w:rsidRDefault="00692DFC" w:rsidP="00A026B9">
            <w:pPr>
              <w:spacing w:after="0"/>
              <w:jc w:val="center"/>
              <w:rPr>
                <w:b/>
                <w:bCs/>
                <w:noProof/>
                <w:sz w:val="20"/>
              </w:rPr>
            </w:pPr>
          </w:p>
          <w:p w:rsidR="006B4579" w:rsidRDefault="006B4579" w:rsidP="00A026B9">
            <w:pPr>
              <w:spacing w:after="0"/>
              <w:jc w:val="center"/>
              <w:rPr>
                <w:b/>
                <w:bCs/>
                <w:noProof/>
                <w:sz w:val="20"/>
              </w:rPr>
            </w:pPr>
            <w:r>
              <w:rPr>
                <w:b/>
                <w:bCs/>
                <w:noProof/>
                <w:sz w:val="20"/>
              </w:rPr>
              <w:t>MF SR</w:t>
            </w:r>
          </w:p>
          <w:p w:rsidR="00692DFC" w:rsidRDefault="00692DFC" w:rsidP="00A026B9">
            <w:pPr>
              <w:spacing w:after="0"/>
              <w:jc w:val="center"/>
              <w:rPr>
                <w:b/>
                <w:bCs/>
                <w:noProof/>
                <w:sz w:val="20"/>
              </w:rPr>
            </w:pPr>
            <w:r>
              <w:rPr>
                <w:b/>
                <w:bCs/>
                <w:noProof/>
                <w:sz w:val="20"/>
              </w:rPr>
              <w:t>MŽP SR</w:t>
            </w:r>
          </w:p>
          <w:p w:rsidR="00692DFC" w:rsidRDefault="006B4579" w:rsidP="00A026B9">
            <w:pPr>
              <w:spacing w:after="0"/>
              <w:jc w:val="center"/>
              <w:rPr>
                <w:b/>
                <w:bCs/>
                <w:noProof/>
                <w:sz w:val="20"/>
              </w:rPr>
            </w:pPr>
            <w:r>
              <w:rPr>
                <w:b/>
                <w:bCs/>
                <w:noProof/>
                <w:sz w:val="20"/>
              </w:rPr>
              <w:t>ÚPVII</w:t>
            </w:r>
          </w:p>
          <w:p w:rsidR="00692DFC" w:rsidRDefault="00692DFC" w:rsidP="00A026B9">
            <w:pPr>
              <w:spacing w:after="0"/>
              <w:jc w:val="center"/>
              <w:rPr>
                <w:b/>
                <w:bCs/>
                <w:noProof/>
                <w:sz w:val="20"/>
              </w:rPr>
            </w:pPr>
          </w:p>
          <w:p w:rsidR="00692DFC" w:rsidRDefault="00692DFC" w:rsidP="00A026B9">
            <w:pPr>
              <w:spacing w:after="0"/>
              <w:jc w:val="center"/>
              <w:rPr>
                <w:b/>
                <w:bCs/>
                <w:noProof/>
                <w:sz w:val="20"/>
              </w:rPr>
            </w:pPr>
          </w:p>
          <w:p w:rsidR="00692DFC" w:rsidRDefault="00692DFC" w:rsidP="00A026B9">
            <w:pPr>
              <w:spacing w:after="0"/>
              <w:jc w:val="center"/>
              <w:rPr>
                <w:b/>
                <w:bCs/>
                <w:noProof/>
                <w:sz w:val="20"/>
              </w:rPr>
            </w:pPr>
          </w:p>
          <w:p w:rsidR="00692DFC" w:rsidRDefault="00692DFC" w:rsidP="00A026B9">
            <w:pPr>
              <w:spacing w:after="0"/>
              <w:jc w:val="center"/>
              <w:rPr>
                <w:b/>
                <w:bCs/>
                <w:noProof/>
                <w:sz w:val="20"/>
              </w:rPr>
            </w:pPr>
          </w:p>
          <w:p w:rsidR="00560167" w:rsidRDefault="00560167" w:rsidP="00A026B9">
            <w:pPr>
              <w:spacing w:after="0"/>
              <w:jc w:val="center"/>
              <w:rPr>
                <w:b/>
                <w:bCs/>
                <w:noProof/>
                <w:sz w:val="20"/>
              </w:rPr>
            </w:pPr>
          </w:p>
          <w:p w:rsidR="00692DFC" w:rsidRDefault="00692DFC" w:rsidP="00A026B9">
            <w:pPr>
              <w:spacing w:after="0"/>
              <w:jc w:val="center"/>
              <w:rPr>
                <w:b/>
                <w:bCs/>
                <w:noProof/>
                <w:sz w:val="20"/>
              </w:rPr>
            </w:pPr>
          </w:p>
          <w:p w:rsidR="00692DFC" w:rsidRDefault="00692DFC" w:rsidP="00A026B9">
            <w:pPr>
              <w:spacing w:after="0"/>
              <w:jc w:val="center"/>
              <w:rPr>
                <w:b/>
                <w:bCs/>
                <w:noProof/>
                <w:sz w:val="20"/>
              </w:rPr>
            </w:pPr>
          </w:p>
          <w:p w:rsidR="00692DFC" w:rsidRDefault="00692DFC" w:rsidP="00A026B9">
            <w:pPr>
              <w:spacing w:after="0"/>
              <w:jc w:val="center"/>
              <w:rPr>
                <w:b/>
                <w:bCs/>
                <w:noProof/>
                <w:sz w:val="20"/>
              </w:rPr>
            </w:pPr>
            <w:r>
              <w:rPr>
                <w:b/>
                <w:bCs/>
                <w:noProof/>
                <w:sz w:val="20"/>
              </w:rPr>
              <w:t>MŽP SR</w:t>
            </w:r>
          </w:p>
        </w:tc>
        <w:tc>
          <w:tcPr>
            <w:tcW w:w="6804" w:type="dxa"/>
            <w:tcBorders>
              <w:left w:val="single" w:sz="4" w:space="0" w:color="auto"/>
              <w:bottom w:val="single" w:sz="4" w:space="0" w:color="auto"/>
              <w:right w:val="single" w:sz="4" w:space="0" w:color="auto"/>
            </w:tcBorders>
          </w:tcPr>
          <w:p w:rsidR="00B675B3" w:rsidRDefault="0057711F" w:rsidP="00C46663">
            <w:pPr>
              <w:spacing w:after="0"/>
              <w:ind w:right="112"/>
              <w:rPr>
                <w:sz w:val="20"/>
              </w:rPr>
            </w:pPr>
            <w:r w:rsidRPr="0057711F">
              <w:rPr>
                <w:b/>
                <w:sz w:val="20"/>
                <w:u w:val="single"/>
              </w:rPr>
              <w:t>Vysoká priorita</w:t>
            </w:r>
            <w:r>
              <w:rPr>
                <w:sz w:val="20"/>
              </w:rPr>
              <w:t xml:space="preserve">- </w:t>
            </w:r>
            <w:r w:rsidR="00120127">
              <w:rPr>
                <w:sz w:val="20"/>
              </w:rPr>
              <w:t xml:space="preserve"> </w:t>
            </w:r>
            <w:r w:rsidR="00120127" w:rsidRPr="00AA18D9">
              <w:rPr>
                <w:sz w:val="20"/>
              </w:rPr>
              <w:t xml:space="preserve">Oznámenie EK bolo predstavené v decembri 2019, ako nová stratégia rastu a transformácie EÚ. European Green Deal predstavuje </w:t>
            </w:r>
            <w:r w:rsidR="00120127">
              <w:rPr>
                <w:sz w:val="20"/>
              </w:rPr>
              <w:t>víziu</w:t>
            </w:r>
            <w:r w:rsidR="00120127" w:rsidRPr="00AA18D9">
              <w:rPr>
                <w:sz w:val="20"/>
              </w:rPr>
              <w:t xml:space="preserve"> </w:t>
            </w:r>
            <w:r w:rsidR="00120127">
              <w:rPr>
                <w:sz w:val="20"/>
              </w:rPr>
              <w:t>pre</w:t>
            </w:r>
            <w:r w:rsidR="00120127" w:rsidRPr="00AA18D9">
              <w:rPr>
                <w:sz w:val="20"/>
              </w:rPr>
              <w:t xml:space="preserve"> dosiahnutie férovej a prosperujúcej spoločnosti, modernej, zdrojovo efektívnej a konkurencieschopnej ekonomike, s nulovými emisiami skleníkových plynov a ekonomickým rastom nezávislý od využívania zdrojov. Slovenská republika víta </w:t>
            </w:r>
            <w:r w:rsidR="00120127">
              <w:rPr>
                <w:sz w:val="20"/>
              </w:rPr>
              <w:t>predstavený rámec</w:t>
            </w:r>
            <w:r w:rsidR="00120127" w:rsidRPr="00AA18D9">
              <w:rPr>
                <w:sz w:val="20"/>
              </w:rPr>
              <w:t xml:space="preserve"> a plne podporuje potrebné aktivity, avšak s ohľadom na </w:t>
            </w:r>
            <w:r w:rsidR="00120127">
              <w:rPr>
                <w:sz w:val="20"/>
              </w:rPr>
              <w:t xml:space="preserve">špecifikácie </w:t>
            </w:r>
            <w:r w:rsidR="00120127" w:rsidRPr="00AA18D9">
              <w:rPr>
                <w:sz w:val="20"/>
              </w:rPr>
              <w:t xml:space="preserve">každého ČŠ. </w:t>
            </w:r>
            <w:r w:rsidR="00120127">
              <w:rPr>
                <w:sz w:val="20"/>
              </w:rPr>
              <w:t>Pre SR bude dôležité najmä nastavenie aktivít vyplývajúcich z Green Deal a to napr. pri revíziách spojených s ETS systémom, príprave EÚ priemyselnej stratégie, ako aj prijatia nového Akčného plánu pre obehové hospodárstvo. Súčasne budú ciele a aktivity vyplávajúce z predmetného oznámenia premietnuté do konkrétnych revízií smerníc, ako aj finančných nástrojov.</w:t>
            </w:r>
          </w:p>
          <w:p w:rsidR="00484347" w:rsidRDefault="00484347" w:rsidP="00C46663">
            <w:pPr>
              <w:spacing w:after="0"/>
              <w:ind w:right="112"/>
              <w:rPr>
                <w:sz w:val="20"/>
              </w:rPr>
            </w:pPr>
          </w:p>
          <w:p w:rsidR="00692DFC" w:rsidRDefault="00692DFC" w:rsidP="00692DFC">
            <w:pPr>
              <w:spacing w:after="0"/>
              <w:rPr>
                <w:bCs/>
                <w:sz w:val="20"/>
              </w:rPr>
            </w:pPr>
            <w:r w:rsidRPr="00692DFC">
              <w:rPr>
                <w:b/>
                <w:sz w:val="20"/>
                <w:u w:val="single"/>
              </w:rPr>
              <w:t>Vysoká priorita</w:t>
            </w:r>
            <w:r w:rsidRPr="00692DFC">
              <w:rPr>
                <w:sz w:val="20"/>
              </w:rPr>
              <w:t xml:space="preserve"> -</w:t>
            </w:r>
            <w:r w:rsidRPr="00692DFC">
              <w:rPr>
                <w:bCs/>
                <w:sz w:val="20"/>
              </w:rPr>
              <w:t>Legislatívny návrh, ktorý bude podliehať riadnemu legislatívnemu postupu, by mal do európskeho právneho poriadku preniesť záväzný cieľ pre EÚ na dosiahnutie klimatickej neutrality do roku 2050. V závislosti od formy legislatívneho návrhu, jeho obsahu a vzhľadom na proces prijímania, kde bude ambícia prijať ho v čo najkratšom možnom čase, čo znemožní dôkladnú diskusiu o návrhu, môžu byť dopady na SR významné. Problémom bude aj to, že tento legislatívny návrh nebude sprevádzať dopadová štúdia a pravdepodobne bude vychádzať z dlhodobej stratégie EÚ.</w:t>
            </w:r>
          </w:p>
          <w:p w:rsidR="00692DFC" w:rsidRDefault="00692DFC" w:rsidP="00692DFC">
            <w:pPr>
              <w:spacing w:after="0"/>
              <w:rPr>
                <w:bCs/>
                <w:sz w:val="20"/>
              </w:rPr>
            </w:pPr>
          </w:p>
          <w:p w:rsidR="00692DFC" w:rsidRPr="00692DFC" w:rsidRDefault="004D73FA" w:rsidP="004D73FA">
            <w:pPr>
              <w:spacing w:after="0"/>
              <w:rPr>
                <w:b/>
                <w:bCs/>
                <w:sz w:val="20"/>
                <w:u w:val="single"/>
              </w:rPr>
            </w:pPr>
            <w:r w:rsidRPr="004D73FA">
              <w:rPr>
                <w:b/>
                <w:bCs/>
                <w:sz w:val="20"/>
                <w:u w:val="single"/>
              </w:rPr>
              <w:t>Stredná priorita-</w:t>
            </w:r>
            <w:r>
              <w:rPr>
                <w:bCs/>
                <w:sz w:val="20"/>
              </w:rPr>
              <w:t xml:space="preserve"> Vzhľadom na to, že sa bude pravdepodobne jednať hlavne o európsku nelegislatívnu iniciatívu, ktorú bude iniciovať EK a budú sa využívať existujúce platformy (napr.: dohovor primátorov a starostov) a nástroje (národné integrované energetické a klimatické plány, navrhované strategické plány na vykonávanie spoločnej poľnohospodárskej platformy, európsky semester) nebude mať táto iniciatíva zásadné priame implikácie na SR. Na druhej strane nevieme do akej formy sa táto iniciatíva rozvinie, to čo by však mala riešiť je dôležité aj pre Slovensko</w:t>
            </w:r>
          </w:p>
        </w:tc>
      </w:tr>
      <w:tr w:rsidR="00B675B3" w:rsidTr="008A2C73">
        <w:trPr>
          <w:cantSplit/>
        </w:trPr>
        <w:tc>
          <w:tcPr>
            <w:tcW w:w="511" w:type="dxa"/>
            <w:tcBorders>
              <w:bottom w:val="single" w:sz="4" w:space="0" w:color="auto"/>
              <w:right w:val="single" w:sz="4" w:space="0" w:color="auto"/>
            </w:tcBorders>
            <w:shd w:val="clear" w:color="auto" w:fill="FFFFFF" w:themeFill="background1"/>
          </w:tcPr>
          <w:p w:rsidR="00B675B3" w:rsidRDefault="00B675B3">
            <w:pPr>
              <w:pStyle w:val="Odsekzoznamu"/>
              <w:numPr>
                <w:ilvl w:val="0"/>
                <w:numId w:val="18"/>
              </w:numPr>
              <w:spacing w:after="0"/>
              <w:ind w:left="426"/>
              <w:rPr>
                <w:noProof/>
                <w:sz w:val="20"/>
              </w:rPr>
            </w:pPr>
          </w:p>
        </w:tc>
        <w:tc>
          <w:tcPr>
            <w:tcW w:w="1752" w:type="dxa"/>
            <w:tcBorders>
              <w:left w:val="single" w:sz="4" w:space="0" w:color="auto"/>
              <w:bottom w:val="single" w:sz="4" w:space="0" w:color="auto"/>
              <w:right w:val="single" w:sz="4" w:space="0" w:color="auto"/>
            </w:tcBorders>
            <w:shd w:val="clear" w:color="auto" w:fill="FFFFFF" w:themeFill="background1"/>
            <w:tcMar>
              <w:top w:w="85" w:type="dxa"/>
              <w:bottom w:w="85" w:type="dxa"/>
            </w:tcMar>
          </w:tcPr>
          <w:p w:rsidR="00B675B3" w:rsidRDefault="00B675B3" w:rsidP="00B675B3">
            <w:pPr>
              <w:spacing w:after="0"/>
              <w:jc w:val="left"/>
              <w:rPr>
                <w:noProof/>
                <w:sz w:val="20"/>
              </w:rPr>
            </w:pPr>
            <w:r>
              <w:rPr>
                <w:b/>
                <w:noProof/>
                <w:sz w:val="20"/>
              </w:rPr>
              <w:t>Financovanie udržateľnej transformácie</w:t>
            </w:r>
          </w:p>
        </w:tc>
        <w:tc>
          <w:tcPr>
            <w:tcW w:w="4111" w:type="dxa"/>
            <w:tcBorders>
              <w:left w:val="single" w:sz="4" w:space="0" w:color="auto"/>
              <w:bottom w:val="single" w:sz="4" w:space="0" w:color="auto"/>
              <w:right w:val="single" w:sz="4" w:space="0" w:color="auto"/>
            </w:tcBorders>
            <w:shd w:val="clear" w:color="auto" w:fill="FFFFFF" w:themeFill="background1"/>
            <w:tcMar>
              <w:top w:w="85" w:type="dxa"/>
              <w:bottom w:w="85" w:type="dxa"/>
            </w:tcMar>
          </w:tcPr>
          <w:p w:rsidR="00B675B3" w:rsidRDefault="00B675B3">
            <w:pPr>
              <w:spacing w:after="0"/>
              <w:jc w:val="left"/>
              <w:rPr>
                <w:noProof/>
                <w:sz w:val="20"/>
              </w:rPr>
            </w:pPr>
            <w:r>
              <w:rPr>
                <w:b/>
                <w:bCs/>
                <w:noProof/>
                <w:sz w:val="20"/>
              </w:rPr>
              <w:t>Investičný plán pre udržateľnú Európu</w:t>
            </w:r>
            <w:r>
              <w:rPr>
                <w:noProof/>
                <w:sz w:val="20"/>
              </w:rPr>
              <w:t xml:space="preserve"> (nelegislatívna iniciatíva, 1. štvrťrok 2020); </w:t>
            </w:r>
          </w:p>
          <w:p w:rsidR="00AC065F" w:rsidRDefault="00B675B3">
            <w:pPr>
              <w:spacing w:after="0"/>
              <w:jc w:val="left"/>
              <w:rPr>
                <w:b/>
                <w:bCs/>
                <w:noProof/>
                <w:sz w:val="20"/>
              </w:rPr>
            </w:pPr>
            <w:r>
              <w:rPr>
                <w:noProof/>
                <w:sz w:val="20"/>
              </w:rPr>
              <w:br/>
            </w:r>
          </w:p>
          <w:p w:rsidR="00AC065F" w:rsidRDefault="00AC065F">
            <w:pPr>
              <w:spacing w:after="0"/>
              <w:jc w:val="left"/>
              <w:rPr>
                <w:b/>
                <w:bCs/>
                <w:noProof/>
                <w:sz w:val="20"/>
              </w:rPr>
            </w:pPr>
          </w:p>
          <w:p w:rsidR="00AC065F" w:rsidRDefault="00AC065F">
            <w:pPr>
              <w:spacing w:after="0"/>
              <w:jc w:val="left"/>
              <w:rPr>
                <w:b/>
                <w:bCs/>
                <w:noProof/>
                <w:sz w:val="20"/>
              </w:rPr>
            </w:pPr>
          </w:p>
          <w:p w:rsidR="00692DFC" w:rsidRDefault="00692DFC">
            <w:pPr>
              <w:spacing w:after="0"/>
              <w:jc w:val="left"/>
              <w:rPr>
                <w:b/>
                <w:bCs/>
                <w:noProof/>
                <w:sz w:val="20"/>
              </w:rPr>
            </w:pPr>
          </w:p>
          <w:p w:rsidR="00692DFC" w:rsidRDefault="00692DFC">
            <w:pPr>
              <w:spacing w:after="0"/>
              <w:jc w:val="left"/>
              <w:rPr>
                <w:b/>
                <w:bCs/>
                <w:noProof/>
                <w:sz w:val="20"/>
              </w:rPr>
            </w:pPr>
          </w:p>
          <w:p w:rsidR="00692DFC" w:rsidRDefault="00692DFC">
            <w:pPr>
              <w:spacing w:after="0"/>
              <w:jc w:val="left"/>
              <w:rPr>
                <w:b/>
                <w:bCs/>
                <w:noProof/>
                <w:sz w:val="20"/>
              </w:rPr>
            </w:pPr>
          </w:p>
          <w:p w:rsidR="00692DFC" w:rsidRDefault="00692DFC">
            <w:pPr>
              <w:spacing w:after="0"/>
              <w:jc w:val="left"/>
              <w:rPr>
                <w:b/>
                <w:bCs/>
                <w:noProof/>
                <w:sz w:val="20"/>
              </w:rPr>
            </w:pPr>
          </w:p>
          <w:p w:rsidR="00692DFC" w:rsidRDefault="00692DFC">
            <w:pPr>
              <w:spacing w:after="0"/>
              <w:jc w:val="left"/>
              <w:rPr>
                <w:b/>
                <w:bCs/>
                <w:noProof/>
                <w:sz w:val="20"/>
              </w:rPr>
            </w:pPr>
          </w:p>
          <w:p w:rsidR="00692DFC" w:rsidRDefault="00692DFC">
            <w:pPr>
              <w:spacing w:after="0"/>
              <w:jc w:val="left"/>
              <w:rPr>
                <w:b/>
                <w:bCs/>
                <w:noProof/>
                <w:sz w:val="20"/>
              </w:rPr>
            </w:pPr>
          </w:p>
          <w:p w:rsidR="00692DFC" w:rsidRDefault="00692DFC">
            <w:pPr>
              <w:spacing w:after="0"/>
              <w:jc w:val="left"/>
              <w:rPr>
                <w:b/>
                <w:bCs/>
                <w:noProof/>
                <w:sz w:val="20"/>
              </w:rPr>
            </w:pPr>
          </w:p>
          <w:p w:rsidR="00692DFC" w:rsidRDefault="00692DFC">
            <w:pPr>
              <w:spacing w:after="0"/>
              <w:jc w:val="left"/>
              <w:rPr>
                <w:b/>
                <w:bCs/>
                <w:noProof/>
                <w:sz w:val="20"/>
              </w:rPr>
            </w:pPr>
          </w:p>
          <w:p w:rsidR="00692DFC" w:rsidRDefault="00692DFC">
            <w:pPr>
              <w:spacing w:after="0"/>
              <w:jc w:val="left"/>
              <w:rPr>
                <w:b/>
                <w:bCs/>
                <w:noProof/>
                <w:sz w:val="20"/>
              </w:rPr>
            </w:pPr>
          </w:p>
          <w:p w:rsidR="00692DFC" w:rsidRDefault="00692DFC">
            <w:pPr>
              <w:spacing w:after="0"/>
              <w:jc w:val="left"/>
              <w:rPr>
                <w:b/>
                <w:bCs/>
                <w:noProof/>
                <w:sz w:val="20"/>
              </w:rPr>
            </w:pPr>
          </w:p>
          <w:p w:rsidR="00692DFC" w:rsidRDefault="00692DFC">
            <w:pPr>
              <w:spacing w:after="0"/>
              <w:jc w:val="left"/>
              <w:rPr>
                <w:b/>
                <w:bCs/>
                <w:noProof/>
                <w:sz w:val="20"/>
              </w:rPr>
            </w:pPr>
          </w:p>
          <w:p w:rsidR="00692DFC" w:rsidRDefault="00692DFC">
            <w:pPr>
              <w:spacing w:after="0"/>
              <w:jc w:val="left"/>
              <w:rPr>
                <w:b/>
                <w:bCs/>
                <w:noProof/>
                <w:sz w:val="20"/>
              </w:rPr>
            </w:pPr>
          </w:p>
          <w:p w:rsidR="00692DFC" w:rsidRDefault="00692DFC">
            <w:pPr>
              <w:spacing w:after="0"/>
              <w:jc w:val="left"/>
              <w:rPr>
                <w:b/>
                <w:bCs/>
                <w:noProof/>
                <w:sz w:val="20"/>
              </w:rPr>
            </w:pPr>
          </w:p>
          <w:p w:rsidR="00692DFC" w:rsidRDefault="00692DFC">
            <w:pPr>
              <w:spacing w:after="0"/>
              <w:jc w:val="left"/>
              <w:rPr>
                <w:b/>
                <w:bCs/>
                <w:noProof/>
                <w:sz w:val="20"/>
              </w:rPr>
            </w:pPr>
          </w:p>
          <w:p w:rsidR="00692DFC" w:rsidRDefault="00692DFC">
            <w:pPr>
              <w:spacing w:after="0"/>
              <w:jc w:val="left"/>
              <w:rPr>
                <w:b/>
                <w:bCs/>
                <w:noProof/>
                <w:sz w:val="20"/>
              </w:rPr>
            </w:pPr>
          </w:p>
          <w:p w:rsidR="00692DFC" w:rsidRDefault="00692DFC">
            <w:pPr>
              <w:spacing w:after="0"/>
              <w:jc w:val="left"/>
              <w:rPr>
                <w:b/>
                <w:bCs/>
                <w:noProof/>
                <w:sz w:val="20"/>
              </w:rPr>
            </w:pPr>
          </w:p>
          <w:p w:rsidR="00692DFC" w:rsidRDefault="00692DFC">
            <w:pPr>
              <w:spacing w:after="0"/>
              <w:jc w:val="left"/>
              <w:rPr>
                <w:b/>
                <w:bCs/>
                <w:noProof/>
                <w:sz w:val="20"/>
              </w:rPr>
            </w:pPr>
          </w:p>
          <w:p w:rsidR="00692DFC" w:rsidRDefault="00692DFC">
            <w:pPr>
              <w:spacing w:after="0"/>
              <w:jc w:val="left"/>
              <w:rPr>
                <w:b/>
                <w:bCs/>
                <w:noProof/>
                <w:sz w:val="20"/>
              </w:rPr>
            </w:pPr>
          </w:p>
          <w:p w:rsidR="00692DFC" w:rsidRDefault="00692DFC">
            <w:pPr>
              <w:spacing w:after="0"/>
              <w:jc w:val="left"/>
              <w:rPr>
                <w:b/>
                <w:bCs/>
                <w:noProof/>
                <w:sz w:val="20"/>
              </w:rPr>
            </w:pPr>
          </w:p>
          <w:p w:rsidR="00692DFC" w:rsidRDefault="00692DFC">
            <w:pPr>
              <w:spacing w:after="0"/>
              <w:jc w:val="left"/>
              <w:rPr>
                <w:b/>
                <w:bCs/>
                <w:noProof/>
                <w:sz w:val="20"/>
              </w:rPr>
            </w:pPr>
          </w:p>
          <w:p w:rsidR="00692DFC" w:rsidRDefault="00692DFC">
            <w:pPr>
              <w:spacing w:after="0"/>
              <w:jc w:val="left"/>
              <w:rPr>
                <w:b/>
                <w:bCs/>
                <w:noProof/>
                <w:sz w:val="20"/>
              </w:rPr>
            </w:pPr>
          </w:p>
          <w:p w:rsidR="00692DFC" w:rsidRDefault="00692DFC">
            <w:pPr>
              <w:spacing w:after="0"/>
              <w:jc w:val="left"/>
              <w:rPr>
                <w:b/>
                <w:bCs/>
                <w:noProof/>
                <w:sz w:val="20"/>
              </w:rPr>
            </w:pPr>
          </w:p>
          <w:p w:rsidR="00692DFC" w:rsidRDefault="00692DFC">
            <w:pPr>
              <w:spacing w:after="0"/>
              <w:jc w:val="left"/>
              <w:rPr>
                <w:b/>
                <w:bCs/>
                <w:noProof/>
                <w:sz w:val="20"/>
              </w:rPr>
            </w:pPr>
          </w:p>
          <w:p w:rsidR="00B675B3" w:rsidRDefault="00B675B3">
            <w:pPr>
              <w:spacing w:after="0"/>
              <w:jc w:val="left"/>
              <w:rPr>
                <w:noProof/>
                <w:sz w:val="20"/>
              </w:rPr>
            </w:pPr>
            <w:r>
              <w:rPr>
                <w:b/>
                <w:bCs/>
                <w:noProof/>
                <w:sz w:val="20"/>
              </w:rPr>
              <w:t>Fond pre spravodlivú transformáciu</w:t>
            </w:r>
            <w:r>
              <w:rPr>
                <w:noProof/>
                <w:sz w:val="20"/>
              </w:rPr>
              <w:t xml:space="preserve"> (legislatívna iniciatíva, článok 175 ZFEÚ, 1. štvrťrok 2020); </w:t>
            </w:r>
          </w:p>
          <w:p w:rsidR="00AC065F" w:rsidRDefault="00B675B3">
            <w:pPr>
              <w:spacing w:after="0"/>
              <w:jc w:val="left"/>
              <w:rPr>
                <w:b/>
                <w:bCs/>
                <w:noProof/>
                <w:sz w:val="20"/>
              </w:rPr>
            </w:pPr>
            <w:r>
              <w:rPr>
                <w:noProof/>
                <w:sz w:val="20"/>
              </w:rPr>
              <w:br/>
            </w:r>
          </w:p>
          <w:p w:rsidR="00AC065F" w:rsidRDefault="00AC065F">
            <w:pPr>
              <w:spacing w:after="0"/>
              <w:jc w:val="left"/>
              <w:rPr>
                <w:b/>
                <w:bCs/>
                <w:noProof/>
                <w:sz w:val="20"/>
              </w:rPr>
            </w:pPr>
          </w:p>
          <w:p w:rsidR="00AC065F" w:rsidRDefault="00AC065F">
            <w:pPr>
              <w:spacing w:after="0"/>
              <w:jc w:val="left"/>
              <w:rPr>
                <w:b/>
                <w:bCs/>
                <w:noProof/>
                <w:sz w:val="20"/>
              </w:rPr>
            </w:pPr>
          </w:p>
          <w:p w:rsidR="00AC065F" w:rsidRDefault="00AC065F">
            <w:pPr>
              <w:spacing w:after="0"/>
              <w:jc w:val="left"/>
              <w:rPr>
                <w:b/>
                <w:bCs/>
                <w:noProof/>
                <w:sz w:val="20"/>
              </w:rPr>
            </w:pPr>
          </w:p>
          <w:p w:rsidR="00AC065F" w:rsidRDefault="00AC065F">
            <w:pPr>
              <w:spacing w:after="0"/>
              <w:jc w:val="left"/>
              <w:rPr>
                <w:b/>
                <w:bCs/>
                <w:noProof/>
                <w:sz w:val="20"/>
              </w:rPr>
            </w:pPr>
          </w:p>
          <w:p w:rsidR="00692DFC" w:rsidRDefault="00692DFC">
            <w:pPr>
              <w:spacing w:after="0"/>
              <w:jc w:val="left"/>
              <w:rPr>
                <w:b/>
                <w:bCs/>
                <w:noProof/>
                <w:sz w:val="20"/>
              </w:rPr>
            </w:pPr>
          </w:p>
          <w:p w:rsidR="00CF20B9" w:rsidRDefault="00CF20B9">
            <w:pPr>
              <w:spacing w:after="0"/>
              <w:jc w:val="left"/>
              <w:rPr>
                <w:b/>
                <w:bCs/>
                <w:noProof/>
                <w:sz w:val="20"/>
              </w:rPr>
            </w:pPr>
          </w:p>
          <w:p w:rsidR="00B675B3" w:rsidRDefault="00B675B3">
            <w:pPr>
              <w:spacing w:after="0"/>
              <w:jc w:val="left"/>
              <w:rPr>
                <w:noProof/>
                <w:sz w:val="20"/>
              </w:rPr>
            </w:pPr>
            <w:r>
              <w:rPr>
                <w:b/>
                <w:bCs/>
                <w:noProof/>
                <w:sz w:val="20"/>
              </w:rPr>
              <w:t>Obnovená stratégia udržateľného financovania</w:t>
            </w:r>
            <w:r>
              <w:rPr>
                <w:noProof/>
                <w:sz w:val="20"/>
              </w:rPr>
              <w:t xml:space="preserve"> (nelegislatívna iniciatíva, 3. štvrťrok 2020);</w:t>
            </w:r>
          </w:p>
          <w:p w:rsidR="00B675B3" w:rsidRDefault="00B675B3">
            <w:pPr>
              <w:spacing w:after="0"/>
              <w:jc w:val="left"/>
              <w:rPr>
                <w:noProof/>
                <w:sz w:val="20"/>
              </w:rPr>
            </w:pPr>
          </w:p>
          <w:p w:rsidR="00CF20B9" w:rsidRDefault="00CF20B9">
            <w:pPr>
              <w:spacing w:after="0"/>
              <w:jc w:val="left"/>
              <w:rPr>
                <w:b/>
                <w:bCs/>
                <w:noProof/>
                <w:sz w:val="20"/>
              </w:rPr>
            </w:pPr>
          </w:p>
          <w:p w:rsidR="00CF20B9" w:rsidRDefault="00CF20B9">
            <w:pPr>
              <w:spacing w:after="0"/>
              <w:jc w:val="left"/>
              <w:rPr>
                <w:b/>
                <w:bCs/>
                <w:noProof/>
                <w:sz w:val="20"/>
              </w:rPr>
            </w:pPr>
          </w:p>
          <w:p w:rsidR="00CF20B9" w:rsidRDefault="00CF20B9">
            <w:pPr>
              <w:spacing w:after="0"/>
              <w:jc w:val="left"/>
              <w:rPr>
                <w:b/>
                <w:bCs/>
                <w:noProof/>
                <w:sz w:val="20"/>
              </w:rPr>
            </w:pPr>
          </w:p>
          <w:p w:rsidR="00B675B3" w:rsidRDefault="00B675B3">
            <w:pPr>
              <w:spacing w:after="0"/>
              <w:jc w:val="left"/>
              <w:rPr>
                <w:noProof/>
                <w:sz w:val="20"/>
              </w:rPr>
            </w:pPr>
            <w:r>
              <w:rPr>
                <w:b/>
                <w:bCs/>
                <w:noProof/>
                <w:sz w:val="20"/>
              </w:rPr>
              <w:t>Preskúmanie smernice o zverejňovaní nefinančných informácií</w:t>
            </w:r>
            <w:r>
              <w:rPr>
                <w:noProof/>
                <w:sz w:val="20"/>
              </w:rPr>
              <w:t xml:space="preserve"> (legislatívna iniciatíva, vrátane posúdenia vplyvu, článok 114 ZFEÚ, 4. štvrťrok 2020)</w:t>
            </w:r>
          </w:p>
        </w:tc>
        <w:tc>
          <w:tcPr>
            <w:tcW w:w="1418" w:type="dxa"/>
            <w:tcBorders>
              <w:left w:val="single" w:sz="4" w:space="0" w:color="auto"/>
              <w:bottom w:val="single" w:sz="4" w:space="0" w:color="auto"/>
              <w:right w:val="single" w:sz="4" w:space="0" w:color="auto"/>
            </w:tcBorders>
            <w:shd w:val="clear" w:color="auto" w:fill="FFFFFF" w:themeFill="background1"/>
          </w:tcPr>
          <w:p w:rsidR="00391AC4" w:rsidRDefault="00391AC4" w:rsidP="00A026B9">
            <w:pPr>
              <w:spacing w:after="0"/>
              <w:jc w:val="center"/>
              <w:rPr>
                <w:b/>
                <w:bCs/>
                <w:noProof/>
                <w:sz w:val="20"/>
              </w:rPr>
            </w:pPr>
            <w:r>
              <w:rPr>
                <w:b/>
                <w:bCs/>
                <w:noProof/>
                <w:sz w:val="20"/>
              </w:rPr>
              <w:lastRenderedPageBreak/>
              <w:t>MF SR</w:t>
            </w:r>
          </w:p>
          <w:p w:rsidR="00AC065F" w:rsidRDefault="00391AC4" w:rsidP="00A026B9">
            <w:pPr>
              <w:spacing w:after="0"/>
              <w:jc w:val="center"/>
              <w:rPr>
                <w:b/>
                <w:bCs/>
                <w:noProof/>
                <w:sz w:val="20"/>
              </w:rPr>
            </w:pPr>
            <w:r>
              <w:rPr>
                <w:b/>
                <w:bCs/>
                <w:noProof/>
                <w:sz w:val="20"/>
              </w:rPr>
              <w:t>ÚPVII</w:t>
            </w:r>
          </w:p>
          <w:p w:rsidR="00391AC4" w:rsidRDefault="00391AC4" w:rsidP="00A026B9">
            <w:pPr>
              <w:spacing w:after="0"/>
              <w:jc w:val="center"/>
              <w:rPr>
                <w:b/>
                <w:bCs/>
                <w:noProof/>
                <w:sz w:val="20"/>
              </w:rPr>
            </w:pPr>
            <w:r>
              <w:rPr>
                <w:b/>
                <w:bCs/>
                <w:noProof/>
                <w:sz w:val="20"/>
              </w:rPr>
              <w:t>MŽP SR</w:t>
            </w:r>
          </w:p>
          <w:p w:rsidR="00AC065F" w:rsidRDefault="00AC065F" w:rsidP="00A026B9">
            <w:pPr>
              <w:spacing w:after="0"/>
              <w:jc w:val="center"/>
              <w:rPr>
                <w:b/>
                <w:bCs/>
                <w:noProof/>
                <w:sz w:val="20"/>
              </w:rPr>
            </w:pPr>
          </w:p>
          <w:p w:rsidR="00AC065F" w:rsidRDefault="00AC065F" w:rsidP="00A026B9">
            <w:pPr>
              <w:spacing w:after="0"/>
              <w:jc w:val="center"/>
              <w:rPr>
                <w:b/>
                <w:bCs/>
                <w:noProof/>
                <w:sz w:val="20"/>
              </w:rPr>
            </w:pPr>
          </w:p>
          <w:p w:rsidR="00AC065F" w:rsidRDefault="00AC065F" w:rsidP="00A026B9">
            <w:pPr>
              <w:spacing w:after="0"/>
              <w:jc w:val="center"/>
              <w:rPr>
                <w:b/>
                <w:bCs/>
                <w:noProof/>
                <w:sz w:val="20"/>
              </w:rPr>
            </w:pPr>
          </w:p>
          <w:p w:rsidR="00AC065F" w:rsidRDefault="00AC065F" w:rsidP="00A026B9">
            <w:pPr>
              <w:spacing w:after="0"/>
              <w:jc w:val="center"/>
              <w:rPr>
                <w:b/>
                <w:bCs/>
                <w:noProof/>
                <w:sz w:val="20"/>
              </w:rPr>
            </w:pPr>
          </w:p>
          <w:p w:rsidR="00AC065F" w:rsidRDefault="00AC065F" w:rsidP="00A026B9">
            <w:pPr>
              <w:spacing w:after="0"/>
              <w:ind w:right="112"/>
              <w:jc w:val="center"/>
              <w:rPr>
                <w:b/>
                <w:sz w:val="20"/>
              </w:rPr>
            </w:pPr>
          </w:p>
          <w:p w:rsidR="00692DFC" w:rsidRDefault="00692DFC" w:rsidP="00A026B9">
            <w:pPr>
              <w:spacing w:after="0"/>
              <w:ind w:right="112"/>
              <w:jc w:val="center"/>
              <w:rPr>
                <w:b/>
                <w:sz w:val="20"/>
              </w:rPr>
            </w:pPr>
          </w:p>
          <w:p w:rsidR="00692DFC" w:rsidRDefault="00692DFC" w:rsidP="00A026B9">
            <w:pPr>
              <w:spacing w:after="0"/>
              <w:ind w:right="112"/>
              <w:jc w:val="center"/>
              <w:rPr>
                <w:b/>
                <w:sz w:val="20"/>
              </w:rPr>
            </w:pPr>
          </w:p>
          <w:p w:rsidR="00692DFC" w:rsidRDefault="00692DFC" w:rsidP="00A026B9">
            <w:pPr>
              <w:spacing w:after="0"/>
              <w:ind w:right="112"/>
              <w:jc w:val="center"/>
              <w:rPr>
                <w:b/>
                <w:sz w:val="20"/>
              </w:rPr>
            </w:pPr>
          </w:p>
          <w:p w:rsidR="00692DFC" w:rsidRDefault="00692DFC" w:rsidP="00A026B9">
            <w:pPr>
              <w:spacing w:after="0"/>
              <w:ind w:right="112"/>
              <w:jc w:val="center"/>
              <w:rPr>
                <w:b/>
                <w:sz w:val="20"/>
              </w:rPr>
            </w:pPr>
          </w:p>
          <w:p w:rsidR="00692DFC" w:rsidRDefault="00692DFC" w:rsidP="00A026B9">
            <w:pPr>
              <w:spacing w:after="0"/>
              <w:ind w:right="112"/>
              <w:jc w:val="center"/>
              <w:rPr>
                <w:b/>
                <w:sz w:val="20"/>
              </w:rPr>
            </w:pPr>
          </w:p>
          <w:p w:rsidR="00692DFC" w:rsidRDefault="00692DFC" w:rsidP="00A026B9">
            <w:pPr>
              <w:spacing w:after="0"/>
              <w:ind w:right="112"/>
              <w:jc w:val="center"/>
              <w:rPr>
                <w:b/>
                <w:sz w:val="20"/>
              </w:rPr>
            </w:pPr>
          </w:p>
          <w:p w:rsidR="00692DFC" w:rsidRDefault="00692DFC" w:rsidP="00A026B9">
            <w:pPr>
              <w:spacing w:after="0"/>
              <w:ind w:right="112"/>
              <w:jc w:val="center"/>
              <w:rPr>
                <w:b/>
                <w:sz w:val="20"/>
              </w:rPr>
            </w:pPr>
          </w:p>
          <w:p w:rsidR="00692DFC" w:rsidRDefault="00692DFC" w:rsidP="00A026B9">
            <w:pPr>
              <w:spacing w:after="0"/>
              <w:ind w:right="112"/>
              <w:jc w:val="center"/>
              <w:rPr>
                <w:b/>
                <w:sz w:val="20"/>
              </w:rPr>
            </w:pPr>
          </w:p>
          <w:p w:rsidR="00692DFC" w:rsidRDefault="00692DFC" w:rsidP="00A026B9">
            <w:pPr>
              <w:spacing w:after="0"/>
              <w:ind w:right="112"/>
              <w:jc w:val="center"/>
              <w:rPr>
                <w:b/>
                <w:sz w:val="20"/>
              </w:rPr>
            </w:pPr>
          </w:p>
          <w:p w:rsidR="00692DFC" w:rsidRDefault="00692DFC" w:rsidP="00A026B9">
            <w:pPr>
              <w:spacing w:after="0"/>
              <w:ind w:right="112"/>
              <w:jc w:val="center"/>
              <w:rPr>
                <w:b/>
                <w:sz w:val="20"/>
              </w:rPr>
            </w:pPr>
          </w:p>
          <w:p w:rsidR="00692DFC" w:rsidRDefault="00692DFC" w:rsidP="00A026B9">
            <w:pPr>
              <w:spacing w:after="0"/>
              <w:ind w:right="112"/>
              <w:jc w:val="center"/>
              <w:rPr>
                <w:b/>
                <w:sz w:val="20"/>
              </w:rPr>
            </w:pPr>
          </w:p>
          <w:p w:rsidR="00692DFC" w:rsidRDefault="00692DFC" w:rsidP="00A026B9">
            <w:pPr>
              <w:spacing w:after="0"/>
              <w:ind w:right="112"/>
              <w:jc w:val="center"/>
              <w:rPr>
                <w:b/>
                <w:sz w:val="20"/>
              </w:rPr>
            </w:pPr>
          </w:p>
          <w:p w:rsidR="00692DFC" w:rsidRDefault="00692DFC" w:rsidP="00A026B9">
            <w:pPr>
              <w:spacing w:after="0"/>
              <w:ind w:right="112"/>
              <w:jc w:val="center"/>
              <w:rPr>
                <w:b/>
                <w:sz w:val="20"/>
              </w:rPr>
            </w:pPr>
          </w:p>
          <w:p w:rsidR="00692DFC" w:rsidRDefault="00692DFC" w:rsidP="00A026B9">
            <w:pPr>
              <w:spacing w:after="0"/>
              <w:ind w:right="112"/>
              <w:jc w:val="center"/>
              <w:rPr>
                <w:b/>
                <w:sz w:val="20"/>
              </w:rPr>
            </w:pPr>
          </w:p>
          <w:p w:rsidR="00692DFC" w:rsidRDefault="00692DFC" w:rsidP="00A026B9">
            <w:pPr>
              <w:spacing w:after="0"/>
              <w:ind w:right="112"/>
              <w:jc w:val="center"/>
              <w:rPr>
                <w:b/>
                <w:sz w:val="20"/>
              </w:rPr>
            </w:pPr>
          </w:p>
          <w:p w:rsidR="00692DFC" w:rsidRDefault="00692DFC" w:rsidP="00A026B9">
            <w:pPr>
              <w:spacing w:after="0"/>
              <w:ind w:right="112"/>
              <w:jc w:val="center"/>
              <w:rPr>
                <w:b/>
                <w:sz w:val="20"/>
              </w:rPr>
            </w:pPr>
          </w:p>
          <w:p w:rsidR="00692DFC" w:rsidRDefault="00692DFC" w:rsidP="00A026B9">
            <w:pPr>
              <w:spacing w:after="0"/>
              <w:ind w:right="112"/>
              <w:jc w:val="center"/>
              <w:rPr>
                <w:b/>
                <w:sz w:val="20"/>
              </w:rPr>
            </w:pPr>
          </w:p>
          <w:p w:rsidR="00692DFC" w:rsidRDefault="00692DFC" w:rsidP="00A026B9">
            <w:pPr>
              <w:spacing w:after="0"/>
              <w:ind w:right="112"/>
              <w:jc w:val="center"/>
              <w:rPr>
                <w:b/>
                <w:sz w:val="20"/>
              </w:rPr>
            </w:pPr>
          </w:p>
          <w:p w:rsidR="00692DFC" w:rsidRDefault="00692DFC" w:rsidP="00A026B9">
            <w:pPr>
              <w:spacing w:after="0"/>
              <w:ind w:right="112"/>
              <w:jc w:val="center"/>
              <w:rPr>
                <w:b/>
                <w:sz w:val="20"/>
              </w:rPr>
            </w:pPr>
          </w:p>
          <w:p w:rsidR="00692DFC" w:rsidRDefault="00692DFC" w:rsidP="00A026B9">
            <w:pPr>
              <w:spacing w:after="0"/>
              <w:ind w:right="112"/>
              <w:jc w:val="center"/>
              <w:rPr>
                <w:b/>
                <w:sz w:val="20"/>
              </w:rPr>
            </w:pPr>
          </w:p>
          <w:p w:rsidR="00692DFC" w:rsidRDefault="00692DFC" w:rsidP="00A026B9">
            <w:pPr>
              <w:spacing w:after="0"/>
              <w:ind w:right="112"/>
              <w:jc w:val="center"/>
              <w:rPr>
                <w:b/>
                <w:sz w:val="20"/>
              </w:rPr>
            </w:pPr>
          </w:p>
          <w:p w:rsidR="00B675B3" w:rsidRDefault="00AC065F" w:rsidP="00A026B9">
            <w:pPr>
              <w:spacing w:after="0"/>
              <w:ind w:right="112"/>
              <w:jc w:val="center"/>
              <w:rPr>
                <w:b/>
                <w:sz w:val="20"/>
              </w:rPr>
            </w:pPr>
            <w:r w:rsidRPr="00AC065F">
              <w:rPr>
                <w:b/>
                <w:sz w:val="20"/>
              </w:rPr>
              <w:t xml:space="preserve">ÚPVII, </w:t>
            </w:r>
            <w:r>
              <w:rPr>
                <w:b/>
                <w:sz w:val="20"/>
              </w:rPr>
              <w:t>MŽP SR</w:t>
            </w:r>
            <w:r w:rsidRPr="00AC065F">
              <w:rPr>
                <w:b/>
                <w:sz w:val="20"/>
              </w:rPr>
              <w:t xml:space="preserve"> </w:t>
            </w:r>
            <w:r>
              <w:rPr>
                <w:b/>
                <w:sz w:val="20"/>
              </w:rPr>
              <w:t xml:space="preserve">MF SR, MH SR </w:t>
            </w:r>
            <w:r w:rsidRPr="00AC065F">
              <w:rPr>
                <w:b/>
                <w:sz w:val="20"/>
              </w:rPr>
              <w:t xml:space="preserve">MPSVR  MPRV </w:t>
            </w:r>
            <w:r>
              <w:rPr>
                <w:b/>
                <w:sz w:val="20"/>
              </w:rPr>
              <w:t xml:space="preserve">MV SR </w:t>
            </w:r>
            <w:r w:rsidRPr="00AC065F">
              <w:rPr>
                <w:b/>
                <w:sz w:val="20"/>
              </w:rPr>
              <w:t xml:space="preserve">MZ SR, </w:t>
            </w:r>
            <w:r w:rsidR="005A5D83">
              <w:rPr>
                <w:b/>
                <w:sz w:val="20"/>
              </w:rPr>
              <w:t xml:space="preserve">MŠVVaŠ SR </w:t>
            </w:r>
            <w:r w:rsidRPr="00AC065F">
              <w:rPr>
                <w:b/>
                <w:sz w:val="20"/>
              </w:rPr>
              <w:t xml:space="preserve"> MDV</w:t>
            </w:r>
            <w:r>
              <w:rPr>
                <w:b/>
                <w:sz w:val="20"/>
              </w:rPr>
              <w:t xml:space="preserve"> SR</w:t>
            </w:r>
          </w:p>
          <w:p w:rsidR="00CF20B9" w:rsidRDefault="00CF20B9" w:rsidP="00A026B9">
            <w:pPr>
              <w:spacing w:after="0"/>
              <w:ind w:right="112"/>
              <w:jc w:val="center"/>
              <w:rPr>
                <w:b/>
                <w:sz w:val="20"/>
              </w:rPr>
            </w:pPr>
          </w:p>
          <w:p w:rsidR="00CF20B9" w:rsidRDefault="00CF20B9" w:rsidP="00A026B9">
            <w:pPr>
              <w:spacing w:after="0"/>
              <w:ind w:right="112"/>
              <w:jc w:val="center"/>
              <w:rPr>
                <w:b/>
                <w:sz w:val="20"/>
              </w:rPr>
            </w:pPr>
          </w:p>
          <w:p w:rsidR="00CF20B9" w:rsidRDefault="00CF20B9" w:rsidP="00A026B9">
            <w:pPr>
              <w:spacing w:after="0"/>
              <w:ind w:right="112"/>
              <w:jc w:val="center"/>
              <w:rPr>
                <w:b/>
                <w:sz w:val="20"/>
              </w:rPr>
            </w:pPr>
          </w:p>
          <w:p w:rsidR="00692DFC" w:rsidRDefault="00692DFC" w:rsidP="00A026B9">
            <w:pPr>
              <w:spacing w:after="0"/>
              <w:ind w:right="112"/>
              <w:jc w:val="center"/>
              <w:rPr>
                <w:b/>
                <w:sz w:val="20"/>
              </w:rPr>
            </w:pPr>
          </w:p>
          <w:p w:rsidR="00CF20B9" w:rsidRDefault="00CF20B9" w:rsidP="00A026B9">
            <w:pPr>
              <w:spacing w:after="0"/>
              <w:ind w:right="112"/>
              <w:jc w:val="center"/>
              <w:rPr>
                <w:b/>
                <w:sz w:val="20"/>
              </w:rPr>
            </w:pPr>
            <w:r>
              <w:rPr>
                <w:b/>
                <w:sz w:val="20"/>
              </w:rPr>
              <w:t>MF SR</w:t>
            </w:r>
          </w:p>
          <w:p w:rsidR="00692DFC" w:rsidRDefault="00692DFC" w:rsidP="00A026B9">
            <w:pPr>
              <w:spacing w:after="0"/>
              <w:ind w:right="112"/>
              <w:jc w:val="center"/>
              <w:rPr>
                <w:b/>
                <w:sz w:val="20"/>
              </w:rPr>
            </w:pPr>
            <w:r>
              <w:rPr>
                <w:b/>
                <w:sz w:val="20"/>
              </w:rPr>
              <w:t>MŽP SR</w:t>
            </w:r>
          </w:p>
          <w:p w:rsidR="00CF20B9" w:rsidRDefault="00CF20B9" w:rsidP="00A026B9">
            <w:pPr>
              <w:spacing w:after="0"/>
              <w:ind w:right="112"/>
              <w:jc w:val="center"/>
              <w:rPr>
                <w:b/>
                <w:sz w:val="20"/>
              </w:rPr>
            </w:pPr>
          </w:p>
          <w:p w:rsidR="00CF20B9" w:rsidRDefault="00CF20B9" w:rsidP="00A026B9">
            <w:pPr>
              <w:spacing w:after="0"/>
              <w:ind w:right="112"/>
              <w:jc w:val="center"/>
              <w:rPr>
                <w:b/>
                <w:sz w:val="20"/>
              </w:rPr>
            </w:pPr>
          </w:p>
          <w:p w:rsidR="00CF20B9" w:rsidRDefault="00CF20B9" w:rsidP="00A026B9">
            <w:pPr>
              <w:spacing w:after="0"/>
              <w:ind w:right="112"/>
              <w:jc w:val="center"/>
              <w:rPr>
                <w:b/>
                <w:sz w:val="20"/>
              </w:rPr>
            </w:pPr>
          </w:p>
          <w:p w:rsidR="00CF20B9" w:rsidRDefault="00CF20B9" w:rsidP="00A026B9">
            <w:pPr>
              <w:spacing w:after="0"/>
              <w:ind w:right="112"/>
              <w:jc w:val="center"/>
              <w:rPr>
                <w:b/>
                <w:sz w:val="20"/>
              </w:rPr>
            </w:pPr>
          </w:p>
          <w:p w:rsidR="00CF20B9" w:rsidRDefault="00CF20B9" w:rsidP="00A026B9">
            <w:pPr>
              <w:spacing w:after="0"/>
              <w:ind w:right="112"/>
              <w:jc w:val="center"/>
              <w:rPr>
                <w:b/>
                <w:sz w:val="20"/>
              </w:rPr>
            </w:pPr>
          </w:p>
          <w:p w:rsidR="00CF20B9" w:rsidRDefault="00CF20B9" w:rsidP="00A026B9">
            <w:pPr>
              <w:spacing w:after="0"/>
              <w:ind w:right="112"/>
              <w:jc w:val="center"/>
              <w:rPr>
                <w:b/>
                <w:sz w:val="20"/>
              </w:rPr>
            </w:pPr>
          </w:p>
          <w:p w:rsidR="00CF20B9" w:rsidRDefault="00CF20B9" w:rsidP="00A026B9">
            <w:pPr>
              <w:spacing w:after="0"/>
              <w:ind w:right="112"/>
              <w:jc w:val="center"/>
              <w:rPr>
                <w:b/>
                <w:sz w:val="20"/>
              </w:rPr>
            </w:pPr>
            <w:r>
              <w:rPr>
                <w:b/>
                <w:sz w:val="20"/>
              </w:rPr>
              <w:t>MF SR</w:t>
            </w:r>
          </w:p>
          <w:p w:rsidR="009F414D" w:rsidRPr="00AC065F" w:rsidRDefault="009F414D" w:rsidP="00A026B9">
            <w:pPr>
              <w:spacing w:after="0"/>
              <w:ind w:right="112"/>
              <w:jc w:val="center"/>
              <w:rPr>
                <w:b/>
                <w:sz w:val="20"/>
              </w:rPr>
            </w:pPr>
          </w:p>
        </w:tc>
        <w:tc>
          <w:tcPr>
            <w:tcW w:w="6804" w:type="dxa"/>
            <w:tcBorders>
              <w:left w:val="single" w:sz="4" w:space="0" w:color="auto"/>
              <w:bottom w:val="single" w:sz="4" w:space="0" w:color="auto"/>
              <w:right w:val="single" w:sz="4" w:space="0" w:color="auto"/>
            </w:tcBorders>
            <w:shd w:val="clear" w:color="auto" w:fill="FFFFFF" w:themeFill="background1"/>
          </w:tcPr>
          <w:p w:rsidR="00AC065F" w:rsidRPr="00CF20B9" w:rsidRDefault="00CF20B9" w:rsidP="00CF20B9">
            <w:pPr>
              <w:spacing w:after="0"/>
              <w:rPr>
                <w:sz w:val="20"/>
              </w:rPr>
            </w:pPr>
            <w:r w:rsidRPr="00CF20B9">
              <w:rPr>
                <w:b/>
                <w:sz w:val="20"/>
                <w:u w:val="single"/>
              </w:rPr>
              <w:lastRenderedPageBreak/>
              <w:t>Vysoká priorita</w:t>
            </w:r>
            <w:r w:rsidR="00120127">
              <w:rPr>
                <w:sz w:val="20"/>
              </w:rPr>
              <w:t xml:space="preserve"> </w:t>
            </w:r>
            <w:r>
              <w:rPr>
                <w:sz w:val="20"/>
              </w:rPr>
              <w:t xml:space="preserve">- </w:t>
            </w:r>
            <w:r w:rsidR="00120127" w:rsidRPr="00C9526A">
              <w:rPr>
                <w:sz w:val="20"/>
              </w:rPr>
              <w:t>The European Green Deal vytvára rámec transformácie EÚ</w:t>
            </w:r>
            <w:r w:rsidR="00120127">
              <w:rPr>
                <w:sz w:val="20"/>
              </w:rPr>
              <w:t>v nadchádzajúcom obodbí. European green Deal Invesment plan víta SR ako koordinovaný plán na podporu krokov stanovených v rámcovom dokumente European Green Deal, k tomuto plánu pridané aj ďalšie nástroje vníma SR ako užitočný nástroj pre dosiahnutie stanovených výsledkov v danej oblasti.</w:t>
            </w:r>
            <w:r w:rsidR="00AC065F" w:rsidRPr="000E62E1">
              <w:rPr>
                <w:sz w:val="20"/>
              </w:rPr>
              <w:t xml:space="preserve">SR víta, že Fond na spravodlivú transformáciu </w:t>
            </w:r>
            <w:r w:rsidR="00AC065F">
              <w:rPr>
                <w:sz w:val="20"/>
              </w:rPr>
              <w:t>(</w:t>
            </w:r>
            <w:r w:rsidR="00AC065F" w:rsidRPr="000E62E1">
              <w:rPr>
                <w:sz w:val="20"/>
              </w:rPr>
              <w:t>FST</w:t>
            </w:r>
            <w:r w:rsidR="00AC065F">
              <w:rPr>
                <w:sz w:val="20"/>
              </w:rPr>
              <w:t>)</w:t>
            </w:r>
            <w:r w:rsidR="00AC065F" w:rsidRPr="000E62E1">
              <w:rPr>
                <w:sz w:val="20"/>
              </w:rPr>
              <w:t xml:space="preserve"> bu</w:t>
            </w:r>
            <w:r w:rsidR="00AC065F">
              <w:rPr>
                <w:sz w:val="20"/>
              </w:rPr>
              <w:t xml:space="preserve">de </w:t>
            </w:r>
            <w:r w:rsidR="00AC065F" w:rsidRPr="000E62E1">
              <w:rPr>
                <w:sz w:val="20"/>
              </w:rPr>
              <w:t xml:space="preserve">podporovať, okrem zániku činností spojených s výrobou a používaním uhlia, aj odstavovanie uhlíkovo náročného priemyslu. Pre SR je však zároveň kľúčové, aby alokácia FST (7,5 mld. EUR) nebola viazaná na úkor politiky súdržnosti EÚ, či iných politík EÚ, ktoré výrazne prispievajú ku klimatickým cieľom EÚ. V kontexte viacročného finančného rámca EÚ na roky 2021 – 2027 (VFR) preto musí skutočne ísť o tzv. „fresh money“, t. j. dodatočné finančné zdroje z rozpočtu EÚ. SR rovnako podporuje záujem o zásadnejšie rozšírenie rozsahu oprávnených aktivít, ktoré sú navrhované na financovanie prostredníctvom FST. V opačnom prípade má FST pre SR len malú pridanú hodnotu najmä, ak majú byť z FST financované také aktivity, ktoré už v súčasnom programovom období sú oprávnené na podporu z fondov politiky súdržnosti EÚ.  </w:t>
            </w:r>
            <w:r w:rsidR="00AC065F" w:rsidRPr="000E62E1">
              <w:rPr>
                <w:color w:val="000000"/>
                <w:sz w:val="20"/>
              </w:rPr>
              <w:t xml:space="preserve">SR vo všeobecnosti podporuje iniciatívu prechodu na klimaticky neutrálne a obehové hospodárstvo. V prvotných diskusiách však očakávame od EK bližšie objasnenie pridanej hodnoty zavedenia nového FST, keďže spustenie legislatívneho procesu k tomuto navrhovanému fondu EÚ môže priniesť oneskorenie prijatia novej legislatívy EÚ pre politiku súdržnosti na obdobie 2021 – 2027. </w:t>
            </w:r>
            <w:r w:rsidR="00AC065F" w:rsidRPr="000E62E1">
              <w:rPr>
                <w:sz w:val="20"/>
              </w:rPr>
              <w:t>V súvislosti s jasným zámerom EK smerovať významné zdroje na investície podporujúce zlepšenie klímy sa preto o to viac ukazuje ako opodstatnená potreba väčšej flexibility v rámci podmienok pre tematickú koncentráciu (stanovená v návrhu nariadenia EÚ o Európskom fonde regionálneho rozvoja a Kohéznom fonde EÚ na obdobie 2021 - 2027).</w:t>
            </w:r>
            <w:r w:rsidR="00AC065F">
              <w:rPr>
                <w:sz w:val="20"/>
              </w:rPr>
              <w:t xml:space="preserve"> SR preto nemôže súhlasiť</w:t>
            </w:r>
            <w:r w:rsidR="00AC065F" w:rsidRPr="000E62E1">
              <w:rPr>
                <w:sz w:val="20"/>
              </w:rPr>
              <w:t xml:space="preserve"> s takým návrhom, aby doplnkové zdroje, ktoré majú byť povinne prevedené z EFFR a ESF+ do FST neboli zahrnuté do výpočtu tematickej koncentrácie.</w:t>
            </w:r>
          </w:p>
          <w:p w:rsidR="00CF20B9" w:rsidRDefault="00CF20B9" w:rsidP="00CF20B9">
            <w:pPr>
              <w:spacing w:after="0"/>
              <w:ind w:right="112"/>
              <w:jc w:val="left"/>
              <w:rPr>
                <w:sz w:val="20"/>
              </w:rPr>
            </w:pPr>
          </w:p>
          <w:p w:rsidR="00692DFC" w:rsidRPr="00692DFC" w:rsidRDefault="00692DFC" w:rsidP="00692DFC">
            <w:pPr>
              <w:spacing w:after="0"/>
              <w:jc w:val="left"/>
              <w:rPr>
                <w:b/>
                <w:bCs/>
                <w:i/>
                <w:sz w:val="20"/>
                <w:u w:val="single"/>
              </w:rPr>
            </w:pPr>
            <w:r w:rsidRPr="00692DFC">
              <w:rPr>
                <w:b/>
                <w:bCs/>
                <w:sz w:val="20"/>
                <w:u w:val="single"/>
              </w:rPr>
              <w:t>Vysoká priorita</w:t>
            </w:r>
            <w:r>
              <w:rPr>
                <w:bCs/>
                <w:sz w:val="20"/>
              </w:rPr>
              <w:t xml:space="preserve"> </w:t>
            </w:r>
            <w:r w:rsidRPr="00692DFC">
              <w:rPr>
                <w:bCs/>
                <w:sz w:val="20"/>
              </w:rPr>
              <w:t>- Z pohľadu SR je kľúčové, aby JTF predstavoval „fresh money“ (t.j. jeho vznik nebol financovaný na úkor kohézie či SPP), a aby rozsah podpory zodpovedal potrebám Slovenska. EK v prípade SR navrhuje financovanie projektov v Trenčianskom a Košickom kraji.</w:t>
            </w:r>
            <w:r w:rsidRPr="00692DFC">
              <w:rPr>
                <w:sz w:val="20"/>
              </w:rPr>
              <w:t xml:space="preserve">Zatiaľ čo EK a kohézne krajiny trvajú na „fresh money“, čistí platcovia požadujú zdroje JTF získať reprioritizáciou v rámci návrhu VFR 2021 - 2027.  Medzi ČŠ rezonujú </w:t>
            </w:r>
            <w:r w:rsidRPr="00692DFC">
              <w:rPr>
                <w:bCs/>
                <w:sz w:val="20"/>
              </w:rPr>
              <w:t>obavy z hľadiska spravodlivosti (</w:t>
            </w:r>
            <w:r w:rsidRPr="00692DFC">
              <w:rPr>
                <w:bCs/>
                <w:i/>
                <w:iCs/>
                <w:sz w:val="20"/>
              </w:rPr>
              <w:t>fairness</w:t>
            </w:r>
            <w:r w:rsidRPr="00692DFC">
              <w:rPr>
                <w:bCs/>
                <w:sz w:val="20"/>
              </w:rPr>
              <w:t>) alokačného kľúča</w:t>
            </w:r>
            <w:r w:rsidRPr="00692DFC">
              <w:rPr>
                <w:sz w:val="20"/>
              </w:rPr>
              <w:t>, ktorý navyšuje národné obálky najväčším znečisťovateľom a vyspelým ekonomikám a nezohľadňuje doterajšie národné náklady na dekarbonizáciu ekonomiky. Z obsahového hľadiska ČŠ najviac diskutujú o výške povinných transferov z ERDF/ESF, rozsahu oprávnených aktivít JTF a obsahu územného plánu spravodlivej transformácie, ktorý (ako jedinú kondicionalitu pre využívanie JTF) musí schváliť EK.</w:t>
            </w:r>
          </w:p>
          <w:p w:rsidR="00CF20B9" w:rsidRDefault="00CF20B9" w:rsidP="00CF20B9">
            <w:pPr>
              <w:spacing w:after="0"/>
              <w:ind w:right="112"/>
              <w:jc w:val="left"/>
              <w:rPr>
                <w:sz w:val="20"/>
              </w:rPr>
            </w:pPr>
            <w:r w:rsidRPr="00CF20B9">
              <w:rPr>
                <w:b/>
                <w:sz w:val="20"/>
                <w:u w:val="single"/>
              </w:rPr>
              <w:t>Stredná priorita</w:t>
            </w:r>
            <w:r>
              <w:rPr>
                <w:sz w:val="20"/>
              </w:rPr>
              <w:t xml:space="preserve"> -  </w:t>
            </w:r>
            <w:r w:rsidRPr="002D0F5B">
              <w:rPr>
                <w:sz w:val="20"/>
              </w:rPr>
              <w:t xml:space="preserve">Vítame iniciatívu Európskej komisie v oblasti udržateľných financií, vrátane jej cieľa transformovať európske hospodárstvo na ekologickejší, </w:t>
            </w:r>
            <w:r w:rsidRPr="002D0F5B">
              <w:rPr>
                <w:sz w:val="20"/>
              </w:rPr>
              <w:lastRenderedPageBreak/>
              <w:t>odolnejší a</w:t>
            </w:r>
            <w:r w:rsidR="004D73FA">
              <w:rPr>
                <w:sz w:val="20"/>
              </w:rPr>
              <w:t xml:space="preserve"> obehový </w:t>
            </w:r>
            <w:r w:rsidRPr="002D0F5B">
              <w:rPr>
                <w:sz w:val="20"/>
              </w:rPr>
              <w:t>systém. Sme toho názoru, že udržateľné financovanie má, a v budúcnosti ešte viac bude mať, veľký význam. Z tohto dôvodu zvyšovanie povedomia účastníkov trhu o ESG faktoroch a prvkoch udržateľnosti investícií je jednou zo základných metód, ako podporiť rozvoj udržateľného financovania a nadviazať na progres, ktorý už bol doteraz dosiahnutý.</w:t>
            </w:r>
          </w:p>
          <w:p w:rsidR="00CF20B9" w:rsidRDefault="00CF20B9" w:rsidP="00CF20B9">
            <w:pPr>
              <w:spacing w:after="0"/>
              <w:ind w:right="112"/>
              <w:jc w:val="left"/>
              <w:rPr>
                <w:sz w:val="20"/>
              </w:rPr>
            </w:pPr>
          </w:p>
          <w:p w:rsidR="00AC065F" w:rsidRPr="00CF20B9" w:rsidRDefault="00CF20B9" w:rsidP="00CF20B9">
            <w:pPr>
              <w:jc w:val="left"/>
              <w:rPr>
                <w:sz w:val="20"/>
              </w:rPr>
            </w:pPr>
            <w:r w:rsidRPr="00CF20B9">
              <w:rPr>
                <w:b/>
                <w:sz w:val="20"/>
                <w:u w:val="single"/>
              </w:rPr>
              <w:t>Stredná priorita</w:t>
            </w:r>
            <w:r w:rsidRPr="00CF20B9">
              <w:rPr>
                <w:b/>
                <w:i/>
                <w:sz w:val="20"/>
              </w:rPr>
              <w:t xml:space="preserve"> -</w:t>
            </w:r>
            <w:r>
              <w:rPr>
                <w:b/>
                <w:sz w:val="20"/>
                <w:u w:val="single"/>
              </w:rPr>
              <w:t xml:space="preserve"> </w:t>
            </w:r>
            <w:r w:rsidRPr="00A670C8">
              <w:rPr>
                <w:sz w:val="20"/>
              </w:rPr>
              <w:t>SR iniciatívu víta, pozícia sa bude odvíjať od obsahu návrhu.</w:t>
            </w:r>
          </w:p>
        </w:tc>
      </w:tr>
      <w:tr w:rsidR="00B675B3" w:rsidTr="008A2C73">
        <w:trPr>
          <w:cantSplit/>
        </w:trPr>
        <w:tc>
          <w:tcPr>
            <w:tcW w:w="511" w:type="dxa"/>
            <w:tcBorders>
              <w:bottom w:val="single" w:sz="4" w:space="0" w:color="auto"/>
              <w:right w:val="single" w:sz="4" w:space="0" w:color="auto"/>
            </w:tcBorders>
          </w:tcPr>
          <w:p w:rsidR="00B675B3" w:rsidRDefault="00B675B3">
            <w:pPr>
              <w:pStyle w:val="Odsekzoznamu"/>
              <w:numPr>
                <w:ilvl w:val="0"/>
                <w:numId w:val="18"/>
              </w:numPr>
              <w:spacing w:after="0"/>
              <w:ind w:left="426"/>
              <w:rPr>
                <w:noProof/>
                <w:sz w:val="20"/>
              </w:rPr>
            </w:pPr>
          </w:p>
        </w:tc>
        <w:tc>
          <w:tcPr>
            <w:tcW w:w="1752" w:type="dxa"/>
            <w:tcBorders>
              <w:left w:val="single" w:sz="4" w:space="0" w:color="auto"/>
              <w:bottom w:val="single" w:sz="4" w:space="0" w:color="auto"/>
              <w:right w:val="single" w:sz="4" w:space="0" w:color="auto"/>
            </w:tcBorders>
            <w:tcMar>
              <w:top w:w="85" w:type="dxa"/>
              <w:bottom w:w="85" w:type="dxa"/>
            </w:tcMar>
          </w:tcPr>
          <w:p w:rsidR="00B675B3" w:rsidRDefault="00B675B3" w:rsidP="00B675B3">
            <w:pPr>
              <w:spacing w:after="0"/>
              <w:jc w:val="left"/>
              <w:rPr>
                <w:noProof/>
                <w:sz w:val="20"/>
              </w:rPr>
            </w:pPr>
            <w:r>
              <w:rPr>
                <w:b/>
                <w:bCs/>
                <w:noProof/>
                <w:sz w:val="20"/>
              </w:rPr>
              <w:t>Príspevok Komisie na konferenciu COP26 v Glasgowe</w:t>
            </w:r>
          </w:p>
        </w:tc>
        <w:tc>
          <w:tcPr>
            <w:tcW w:w="4111" w:type="dxa"/>
            <w:tcBorders>
              <w:left w:val="single" w:sz="4" w:space="0" w:color="auto"/>
              <w:bottom w:val="single" w:sz="4" w:space="0" w:color="auto"/>
              <w:right w:val="single" w:sz="4" w:space="0" w:color="auto"/>
            </w:tcBorders>
            <w:tcMar>
              <w:top w:w="85" w:type="dxa"/>
              <w:bottom w:w="85" w:type="dxa"/>
            </w:tcMar>
          </w:tcPr>
          <w:p w:rsidR="00B675B3" w:rsidRDefault="00B675B3">
            <w:pPr>
              <w:spacing w:after="0"/>
              <w:jc w:val="left"/>
              <w:rPr>
                <w:noProof/>
                <w:sz w:val="20"/>
              </w:rPr>
            </w:pPr>
            <w:r>
              <w:rPr>
                <w:b/>
                <w:bCs/>
                <w:noProof/>
                <w:sz w:val="20"/>
              </w:rPr>
              <w:t>Plán cieľov v oblasti klímy do roku 2030</w:t>
            </w:r>
            <w:r>
              <w:rPr>
                <w:noProof/>
                <w:sz w:val="20"/>
              </w:rPr>
              <w:t xml:space="preserve"> (nelegislatívna iniciatíva vrátane posúdenia vplyvu, 3. štvrťrok 2020); </w:t>
            </w:r>
          </w:p>
          <w:p w:rsidR="00692DFC" w:rsidRDefault="00B675B3">
            <w:pPr>
              <w:spacing w:after="0"/>
              <w:jc w:val="left"/>
              <w:rPr>
                <w:b/>
                <w:bCs/>
                <w:noProof/>
                <w:sz w:val="20"/>
              </w:rPr>
            </w:pPr>
            <w:r>
              <w:rPr>
                <w:noProof/>
                <w:sz w:val="20"/>
              </w:rPr>
              <w:br/>
            </w:r>
          </w:p>
          <w:p w:rsidR="00692DFC" w:rsidRDefault="00692DFC">
            <w:pPr>
              <w:spacing w:after="0"/>
              <w:jc w:val="left"/>
              <w:rPr>
                <w:b/>
                <w:bCs/>
                <w:noProof/>
                <w:sz w:val="20"/>
              </w:rPr>
            </w:pPr>
          </w:p>
          <w:p w:rsidR="00692DFC" w:rsidRDefault="00692DFC">
            <w:pPr>
              <w:spacing w:after="0"/>
              <w:jc w:val="left"/>
              <w:rPr>
                <w:b/>
                <w:bCs/>
                <w:noProof/>
                <w:sz w:val="20"/>
              </w:rPr>
            </w:pPr>
          </w:p>
          <w:p w:rsidR="00692DFC" w:rsidRDefault="00692DFC">
            <w:pPr>
              <w:spacing w:after="0"/>
              <w:jc w:val="left"/>
              <w:rPr>
                <w:b/>
                <w:bCs/>
                <w:noProof/>
                <w:sz w:val="20"/>
              </w:rPr>
            </w:pPr>
          </w:p>
          <w:p w:rsidR="00692DFC" w:rsidRDefault="00692DFC">
            <w:pPr>
              <w:spacing w:after="0"/>
              <w:jc w:val="left"/>
              <w:rPr>
                <w:b/>
                <w:bCs/>
                <w:noProof/>
                <w:sz w:val="20"/>
              </w:rPr>
            </w:pPr>
          </w:p>
          <w:p w:rsidR="00B675B3" w:rsidRDefault="00B675B3">
            <w:pPr>
              <w:spacing w:after="0"/>
              <w:jc w:val="left"/>
              <w:rPr>
                <w:noProof/>
                <w:sz w:val="20"/>
              </w:rPr>
            </w:pPr>
            <w:r>
              <w:rPr>
                <w:b/>
                <w:bCs/>
                <w:noProof/>
                <w:sz w:val="20"/>
              </w:rPr>
              <w:t>Nová stratégia EÚ pre adaptáciu na zmenu klímy</w:t>
            </w:r>
            <w:r>
              <w:rPr>
                <w:noProof/>
                <w:sz w:val="20"/>
              </w:rPr>
              <w:t xml:space="preserve"> (nelegislatívna iniciatíva, 4. štvrťrok 2020);</w:t>
            </w:r>
          </w:p>
          <w:p w:rsidR="00B675B3" w:rsidRDefault="00B675B3">
            <w:pPr>
              <w:spacing w:after="0"/>
              <w:jc w:val="left"/>
              <w:rPr>
                <w:noProof/>
                <w:sz w:val="20"/>
              </w:rPr>
            </w:pPr>
          </w:p>
          <w:p w:rsidR="00692DFC" w:rsidRDefault="00692DFC">
            <w:pPr>
              <w:spacing w:after="0"/>
              <w:jc w:val="left"/>
              <w:rPr>
                <w:b/>
                <w:bCs/>
                <w:noProof/>
                <w:sz w:val="20"/>
              </w:rPr>
            </w:pPr>
          </w:p>
          <w:p w:rsidR="00692DFC" w:rsidRDefault="00692DFC">
            <w:pPr>
              <w:spacing w:after="0"/>
              <w:jc w:val="left"/>
              <w:rPr>
                <w:b/>
                <w:bCs/>
                <w:noProof/>
                <w:sz w:val="20"/>
              </w:rPr>
            </w:pPr>
          </w:p>
          <w:p w:rsidR="00B675B3" w:rsidRDefault="00B675B3">
            <w:pPr>
              <w:spacing w:after="0"/>
              <w:jc w:val="left"/>
              <w:rPr>
                <w:noProof/>
                <w:sz w:val="20"/>
              </w:rPr>
            </w:pPr>
            <w:r>
              <w:rPr>
                <w:b/>
                <w:bCs/>
                <w:noProof/>
                <w:sz w:val="20"/>
              </w:rPr>
              <w:t>Nová stratégia lesného hospodárstva EÚ</w:t>
            </w:r>
            <w:r>
              <w:rPr>
                <w:noProof/>
                <w:sz w:val="20"/>
              </w:rPr>
              <w:t xml:space="preserve"> (nelegislatívna iniciatíva, 4. štvrťrok 2020);</w:t>
            </w:r>
          </w:p>
        </w:tc>
        <w:tc>
          <w:tcPr>
            <w:tcW w:w="1418" w:type="dxa"/>
            <w:tcBorders>
              <w:left w:val="single" w:sz="4" w:space="0" w:color="auto"/>
              <w:bottom w:val="single" w:sz="4" w:space="0" w:color="auto"/>
              <w:right w:val="single" w:sz="4" w:space="0" w:color="auto"/>
            </w:tcBorders>
          </w:tcPr>
          <w:p w:rsidR="00B675B3" w:rsidRDefault="00692DFC" w:rsidP="00A026B9">
            <w:pPr>
              <w:spacing w:after="0"/>
              <w:jc w:val="center"/>
              <w:rPr>
                <w:b/>
                <w:bCs/>
                <w:noProof/>
                <w:sz w:val="20"/>
              </w:rPr>
            </w:pPr>
            <w:r>
              <w:rPr>
                <w:b/>
                <w:bCs/>
                <w:noProof/>
                <w:sz w:val="20"/>
              </w:rPr>
              <w:t>MŽP SR</w:t>
            </w:r>
          </w:p>
          <w:p w:rsidR="004D73FA" w:rsidRDefault="004D73FA" w:rsidP="00A026B9">
            <w:pPr>
              <w:spacing w:after="0"/>
              <w:jc w:val="center"/>
              <w:rPr>
                <w:b/>
                <w:bCs/>
                <w:noProof/>
                <w:sz w:val="20"/>
              </w:rPr>
            </w:pPr>
            <w:r>
              <w:rPr>
                <w:b/>
                <w:bCs/>
                <w:noProof/>
                <w:sz w:val="20"/>
              </w:rPr>
              <w:t>MH SR</w:t>
            </w:r>
          </w:p>
          <w:p w:rsidR="00692DFC" w:rsidRDefault="00692DFC" w:rsidP="00A026B9">
            <w:pPr>
              <w:spacing w:after="0"/>
              <w:jc w:val="center"/>
              <w:rPr>
                <w:b/>
                <w:bCs/>
                <w:noProof/>
                <w:sz w:val="20"/>
              </w:rPr>
            </w:pPr>
          </w:p>
          <w:p w:rsidR="00692DFC" w:rsidRDefault="00692DFC" w:rsidP="00A026B9">
            <w:pPr>
              <w:spacing w:after="0"/>
              <w:jc w:val="center"/>
              <w:rPr>
                <w:b/>
                <w:bCs/>
                <w:noProof/>
                <w:sz w:val="20"/>
              </w:rPr>
            </w:pPr>
          </w:p>
          <w:p w:rsidR="00692DFC" w:rsidRDefault="00692DFC" w:rsidP="00A026B9">
            <w:pPr>
              <w:spacing w:after="0"/>
              <w:jc w:val="center"/>
              <w:rPr>
                <w:b/>
                <w:bCs/>
                <w:noProof/>
                <w:sz w:val="20"/>
              </w:rPr>
            </w:pPr>
          </w:p>
          <w:p w:rsidR="00692DFC" w:rsidRDefault="00692DFC" w:rsidP="00A026B9">
            <w:pPr>
              <w:spacing w:after="0"/>
              <w:jc w:val="center"/>
              <w:rPr>
                <w:b/>
                <w:bCs/>
                <w:noProof/>
                <w:sz w:val="20"/>
              </w:rPr>
            </w:pPr>
          </w:p>
          <w:p w:rsidR="00692DFC" w:rsidRDefault="00692DFC" w:rsidP="00A026B9">
            <w:pPr>
              <w:spacing w:after="0"/>
              <w:jc w:val="center"/>
              <w:rPr>
                <w:b/>
                <w:bCs/>
                <w:noProof/>
                <w:sz w:val="20"/>
              </w:rPr>
            </w:pPr>
          </w:p>
          <w:p w:rsidR="00692DFC" w:rsidRDefault="00692DFC" w:rsidP="00A026B9">
            <w:pPr>
              <w:spacing w:after="0"/>
              <w:jc w:val="center"/>
              <w:rPr>
                <w:b/>
                <w:bCs/>
                <w:noProof/>
                <w:sz w:val="20"/>
              </w:rPr>
            </w:pPr>
          </w:p>
          <w:p w:rsidR="00692DFC" w:rsidRDefault="00692DFC" w:rsidP="00A026B9">
            <w:pPr>
              <w:spacing w:after="0"/>
              <w:jc w:val="center"/>
              <w:rPr>
                <w:b/>
                <w:bCs/>
                <w:noProof/>
                <w:sz w:val="20"/>
              </w:rPr>
            </w:pPr>
          </w:p>
          <w:p w:rsidR="00692DFC" w:rsidRDefault="00692DFC" w:rsidP="00A026B9">
            <w:pPr>
              <w:spacing w:after="0"/>
              <w:jc w:val="center"/>
              <w:rPr>
                <w:b/>
                <w:bCs/>
                <w:noProof/>
                <w:sz w:val="20"/>
              </w:rPr>
            </w:pPr>
            <w:r>
              <w:rPr>
                <w:b/>
                <w:bCs/>
                <w:noProof/>
                <w:sz w:val="20"/>
              </w:rPr>
              <w:t>MŽP SR</w:t>
            </w:r>
          </w:p>
          <w:p w:rsidR="00692DFC" w:rsidRDefault="00692DFC" w:rsidP="00A026B9">
            <w:pPr>
              <w:spacing w:after="0"/>
              <w:jc w:val="center"/>
              <w:rPr>
                <w:b/>
                <w:bCs/>
                <w:noProof/>
                <w:sz w:val="20"/>
              </w:rPr>
            </w:pPr>
          </w:p>
          <w:p w:rsidR="00692DFC" w:rsidRDefault="00692DFC" w:rsidP="00A026B9">
            <w:pPr>
              <w:spacing w:after="0"/>
              <w:jc w:val="center"/>
              <w:rPr>
                <w:b/>
                <w:bCs/>
                <w:noProof/>
                <w:sz w:val="20"/>
              </w:rPr>
            </w:pPr>
          </w:p>
          <w:p w:rsidR="004D73FA" w:rsidRDefault="004D73FA" w:rsidP="00A026B9">
            <w:pPr>
              <w:spacing w:after="0"/>
              <w:jc w:val="center"/>
              <w:rPr>
                <w:b/>
                <w:bCs/>
                <w:noProof/>
                <w:sz w:val="20"/>
              </w:rPr>
            </w:pPr>
          </w:p>
          <w:p w:rsidR="00692DFC" w:rsidRDefault="00692DFC" w:rsidP="00A026B9">
            <w:pPr>
              <w:spacing w:after="0"/>
              <w:jc w:val="center"/>
              <w:rPr>
                <w:b/>
                <w:bCs/>
                <w:noProof/>
                <w:sz w:val="20"/>
              </w:rPr>
            </w:pPr>
          </w:p>
          <w:p w:rsidR="004D73FA" w:rsidRDefault="004D73FA" w:rsidP="00A026B9">
            <w:pPr>
              <w:spacing w:after="0"/>
              <w:jc w:val="center"/>
              <w:rPr>
                <w:b/>
                <w:bCs/>
                <w:noProof/>
                <w:sz w:val="20"/>
              </w:rPr>
            </w:pPr>
          </w:p>
          <w:p w:rsidR="00692DFC" w:rsidRDefault="00A27C5A" w:rsidP="00A026B9">
            <w:pPr>
              <w:spacing w:after="0"/>
              <w:jc w:val="center"/>
              <w:rPr>
                <w:b/>
                <w:bCs/>
                <w:noProof/>
                <w:sz w:val="20"/>
              </w:rPr>
            </w:pPr>
            <w:r w:rsidRPr="00A27C5A">
              <w:rPr>
                <w:b/>
                <w:bCs/>
                <w:noProof/>
                <w:sz w:val="20"/>
              </w:rPr>
              <w:t>MPRV SR</w:t>
            </w:r>
            <w:r>
              <w:t xml:space="preserve"> </w:t>
            </w:r>
            <w:r w:rsidR="00692DFC">
              <w:rPr>
                <w:b/>
                <w:bCs/>
                <w:noProof/>
                <w:sz w:val="20"/>
              </w:rPr>
              <w:t>MŽP SR</w:t>
            </w:r>
          </w:p>
        </w:tc>
        <w:tc>
          <w:tcPr>
            <w:tcW w:w="6804" w:type="dxa"/>
            <w:tcBorders>
              <w:left w:val="single" w:sz="4" w:space="0" w:color="auto"/>
              <w:bottom w:val="single" w:sz="4" w:space="0" w:color="auto"/>
              <w:right w:val="single" w:sz="4" w:space="0" w:color="auto"/>
            </w:tcBorders>
          </w:tcPr>
          <w:p w:rsidR="00B675B3" w:rsidRDefault="00692DFC" w:rsidP="00692DFC">
            <w:pPr>
              <w:spacing w:after="0"/>
              <w:rPr>
                <w:sz w:val="20"/>
              </w:rPr>
            </w:pPr>
            <w:r w:rsidRPr="00692DFC">
              <w:rPr>
                <w:b/>
                <w:sz w:val="20"/>
                <w:u w:val="single"/>
              </w:rPr>
              <w:t>Vysoká priorita</w:t>
            </w:r>
            <w:r w:rsidRPr="00692DFC">
              <w:rPr>
                <w:sz w:val="20"/>
              </w:rPr>
              <w:t xml:space="preserve"> -Tento nelegislatívny návrh a dopadová štúdia budú tvoriť základ na revíziu všetkých klimatických a energetických legislatív, ktoré by mali byť následne predstavené v júni 2021. Okrem toho bude tento nelegislatívny návrh vstupom do diskusie o navýšení cieľov EÚ do roku 2030, ktoré by následne mali byť komunikované aj na medzinárodnej konferencii zmluvných strán Rámcového dohovoru OSN o zmene klímy (GOP26), ktorý sa uskutoční v novembri 2020 v Glasgowe.Následné zvýšenie cieľov bude mať dopady na priemysel, energetiku, ale aj iné sociálno-ekonomické dopady.</w:t>
            </w:r>
          </w:p>
          <w:p w:rsidR="00692DFC" w:rsidRDefault="00692DFC" w:rsidP="00692DFC">
            <w:pPr>
              <w:spacing w:after="0"/>
              <w:rPr>
                <w:sz w:val="20"/>
              </w:rPr>
            </w:pPr>
          </w:p>
          <w:p w:rsidR="00692DFC" w:rsidRDefault="004D73FA" w:rsidP="00692DFC">
            <w:pPr>
              <w:spacing w:after="0"/>
              <w:rPr>
                <w:sz w:val="20"/>
              </w:rPr>
            </w:pPr>
            <w:r>
              <w:rPr>
                <w:b/>
                <w:sz w:val="20"/>
                <w:u w:val="single"/>
              </w:rPr>
              <w:t>Vysoká</w:t>
            </w:r>
            <w:r w:rsidR="00692DFC" w:rsidRPr="00692DFC">
              <w:rPr>
                <w:b/>
                <w:sz w:val="20"/>
                <w:u w:val="single"/>
              </w:rPr>
              <w:t xml:space="preserve"> priorita</w:t>
            </w:r>
            <w:r w:rsidR="00692DFC" w:rsidRPr="00692DFC">
              <w:rPr>
                <w:sz w:val="20"/>
              </w:rPr>
              <w:t xml:space="preserve"> - SR má prijatú aktualizovanú národnú stratégiu adaptácie na zmenu klímy (2018) a pripravuje adaptačný akčný plán. Otázkou preto ostáva, či EU adaptačná stratégia bude zohľadňovať prijaté národné stratégie a bude ich dopĺňať súborom nástrojov a opatrení na európskej úrovni, alebo pôjde o nový nástroj, ktorý bude musieť byť premietnutý do národných stratégií.</w:t>
            </w:r>
          </w:p>
          <w:p w:rsidR="00692DFC" w:rsidRDefault="00692DFC" w:rsidP="00692DFC">
            <w:pPr>
              <w:spacing w:after="0"/>
              <w:rPr>
                <w:sz w:val="20"/>
              </w:rPr>
            </w:pPr>
          </w:p>
          <w:p w:rsidR="00692DFC" w:rsidRPr="00692DFC" w:rsidRDefault="004D73FA" w:rsidP="00692DFC">
            <w:pPr>
              <w:spacing w:after="0"/>
              <w:rPr>
                <w:b/>
                <w:bCs/>
                <w:sz w:val="20"/>
              </w:rPr>
            </w:pPr>
            <w:r>
              <w:rPr>
                <w:b/>
                <w:bCs/>
                <w:sz w:val="20"/>
                <w:u w:val="single"/>
              </w:rPr>
              <w:t>Vysoká</w:t>
            </w:r>
            <w:r w:rsidR="00692DFC" w:rsidRPr="00692DFC">
              <w:rPr>
                <w:b/>
                <w:bCs/>
                <w:sz w:val="20"/>
                <w:u w:val="single"/>
              </w:rPr>
              <w:t xml:space="preserve"> priorita</w:t>
            </w:r>
            <w:r w:rsidR="00692DFC" w:rsidRPr="00692DFC">
              <w:rPr>
                <w:bCs/>
                <w:sz w:val="20"/>
              </w:rPr>
              <w:t>- zabezpečenie rovnováhy medzi všetkými tromi piliermi udržateľnosti (ekonomický, environmentálny a sociálny) pri hospodárení v lesoch.</w:t>
            </w:r>
          </w:p>
        </w:tc>
      </w:tr>
      <w:tr w:rsidR="00B675B3" w:rsidTr="008A2C73">
        <w:trPr>
          <w:cantSplit/>
        </w:trPr>
        <w:tc>
          <w:tcPr>
            <w:tcW w:w="511" w:type="dxa"/>
            <w:tcBorders>
              <w:bottom w:val="single" w:sz="4" w:space="0" w:color="auto"/>
              <w:right w:val="single" w:sz="4" w:space="0" w:color="auto"/>
            </w:tcBorders>
          </w:tcPr>
          <w:p w:rsidR="00B675B3" w:rsidRDefault="00B675B3">
            <w:pPr>
              <w:pStyle w:val="Odsekzoznamu"/>
              <w:numPr>
                <w:ilvl w:val="0"/>
                <w:numId w:val="18"/>
              </w:numPr>
              <w:spacing w:after="0"/>
              <w:ind w:left="426"/>
              <w:rPr>
                <w:noProof/>
                <w:sz w:val="20"/>
              </w:rPr>
            </w:pPr>
          </w:p>
        </w:tc>
        <w:tc>
          <w:tcPr>
            <w:tcW w:w="1752" w:type="dxa"/>
            <w:tcBorders>
              <w:left w:val="single" w:sz="4" w:space="0" w:color="auto"/>
              <w:bottom w:val="single" w:sz="4" w:space="0" w:color="auto"/>
            </w:tcBorders>
            <w:tcMar>
              <w:top w:w="85" w:type="dxa"/>
              <w:bottom w:w="85" w:type="dxa"/>
            </w:tcMar>
          </w:tcPr>
          <w:p w:rsidR="00B675B3" w:rsidRDefault="00B675B3" w:rsidP="00B675B3">
            <w:pPr>
              <w:spacing w:after="0"/>
              <w:jc w:val="left"/>
              <w:rPr>
                <w:b/>
                <w:noProof/>
                <w:color w:val="000000"/>
                <w:sz w:val="20"/>
              </w:rPr>
            </w:pPr>
            <w:r>
              <w:rPr>
                <w:b/>
                <w:noProof/>
                <w:sz w:val="20"/>
              </w:rPr>
              <w:t>Udržateľnosť potravinových systémov</w:t>
            </w:r>
          </w:p>
        </w:tc>
        <w:tc>
          <w:tcPr>
            <w:tcW w:w="4111" w:type="dxa"/>
            <w:tcBorders>
              <w:bottom w:val="single" w:sz="4" w:space="0" w:color="auto"/>
            </w:tcBorders>
            <w:tcMar>
              <w:top w:w="85" w:type="dxa"/>
              <w:bottom w:w="85" w:type="dxa"/>
            </w:tcMar>
          </w:tcPr>
          <w:p w:rsidR="00B675B3" w:rsidRDefault="00B675B3">
            <w:pPr>
              <w:spacing w:after="0"/>
              <w:jc w:val="left"/>
              <w:rPr>
                <w:noProof/>
                <w:color w:val="FF0000"/>
                <w:sz w:val="20"/>
              </w:rPr>
            </w:pPr>
            <w:r>
              <w:rPr>
                <w:b/>
                <w:bCs/>
                <w:noProof/>
                <w:sz w:val="20"/>
              </w:rPr>
              <w:t>Stratégia „z farmy na stôl“</w:t>
            </w:r>
            <w:r>
              <w:rPr>
                <w:noProof/>
                <w:sz w:val="20"/>
              </w:rPr>
              <w:t xml:space="preserve"> (nelegislatívna iniciatíva, 1. štvrťrok 2020);</w:t>
            </w:r>
          </w:p>
        </w:tc>
        <w:tc>
          <w:tcPr>
            <w:tcW w:w="1418" w:type="dxa"/>
            <w:tcBorders>
              <w:bottom w:val="single" w:sz="4" w:space="0" w:color="auto"/>
            </w:tcBorders>
          </w:tcPr>
          <w:p w:rsidR="00B675B3" w:rsidRDefault="005C61B6" w:rsidP="00A026B9">
            <w:pPr>
              <w:spacing w:after="0"/>
              <w:jc w:val="center"/>
              <w:rPr>
                <w:b/>
                <w:bCs/>
                <w:noProof/>
                <w:sz w:val="20"/>
              </w:rPr>
            </w:pPr>
            <w:r>
              <w:rPr>
                <w:b/>
                <w:bCs/>
                <w:noProof/>
                <w:sz w:val="20"/>
              </w:rPr>
              <w:t>MPRV SR</w:t>
            </w:r>
          </w:p>
          <w:p w:rsidR="004D73FA" w:rsidRDefault="004D73FA" w:rsidP="00A026B9">
            <w:pPr>
              <w:spacing w:after="0"/>
              <w:jc w:val="center"/>
              <w:rPr>
                <w:b/>
                <w:bCs/>
                <w:noProof/>
                <w:sz w:val="20"/>
              </w:rPr>
            </w:pPr>
            <w:r>
              <w:rPr>
                <w:b/>
                <w:bCs/>
                <w:noProof/>
                <w:sz w:val="20"/>
              </w:rPr>
              <w:t>MŽP SR</w:t>
            </w:r>
          </w:p>
        </w:tc>
        <w:tc>
          <w:tcPr>
            <w:tcW w:w="6804" w:type="dxa"/>
            <w:tcBorders>
              <w:bottom w:val="single" w:sz="4" w:space="0" w:color="auto"/>
            </w:tcBorders>
          </w:tcPr>
          <w:p w:rsidR="00B675B3" w:rsidRPr="001F52F5" w:rsidRDefault="005C61B6" w:rsidP="001F52F5">
            <w:pPr>
              <w:spacing w:after="0"/>
              <w:ind w:right="112"/>
              <w:rPr>
                <w:b/>
                <w:sz w:val="20"/>
                <w:u w:val="single"/>
              </w:rPr>
            </w:pPr>
            <w:r w:rsidRPr="001F52F5">
              <w:rPr>
                <w:b/>
                <w:sz w:val="20"/>
                <w:u w:val="single"/>
              </w:rPr>
              <w:t>Vysoká priorita</w:t>
            </w:r>
            <w:r w:rsidR="001F52F5">
              <w:rPr>
                <w:b/>
                <w:sz w:val="20"/>
                <w:u w:val="single"/>
              </w:rPr>
              <w:t xml:space="preserve"> </w:t>
            </w:r>
            <w:r w:rsidR="001F52F5" w:rsidRPr="001F52F5">
              <w:rPr>
                <w:b/>
                <w:sz w:val="20"/>
              </w:rPr>
              <w:t xml:space="preserve">- </w:t>
            </w:r>
            <w:r>
              <w:rPr>
                <w:sz w:val="20"/>
              </w:rPr>
              <w:t>Iniciatíva z farmy na stôl, prináša potenciál sústredenia sa na regionálnu výrobu a spotrebu vypestovaných plodín, čím sa podporí rozvoj vidieka, udržateľnejšie hospodárenie v pôdohospodárstve, uzavretejšie agro-ekosystémy a v neposlednom rade sa zníži riziko zavlečenia škodlivých organizmov na územie SR a EÚ. Prírode blízke systémy v rámci ekoregiónov, môžu prilákať moderne zmýšľajúcich nadšencov a zaistiť tak ďalšiu generáciu farmárov starajúcich sa o krajinu.</w:t>
            </w:r>
          </w:p>
        </w:tc>
      </w:tr>
      <w:tr w:rsidR="00B675B3" w:rsidTr="008A2C73">
        <w:trPr>
          <w:cantSplit/>
        </w:trPr>
        <w:tc>
          <w:tcPr>
            <w:tcW w:w="511" w:type="dxa"/>
            <w:tcBorders>
              <w:bottom w:val="single" w:sz="4" w:space="0" w:color="auto"/>
              <w:right w:val="single" w:sz="4" w:space="0" w:color="auto"/>
            </w:tcBorders>
          </w:tcPr>
          <w:p w:rsidR="00B675B3" w:rsidRDefault="00B675B3">
            <w:pPr>
              <w:pStyle w:val="Odsekzoznamu"/>
              <w:numPr>
                <w:ilvl w:val="0"/>
                <w:numId w:val="18"/>
              </w:numPr>
              <w:spacing w:after="0"/>
              <w:ind w:left="426"/>
              <w:rPr>
                <w:noProof/>
                <w:sz w:val="20"/>
              </w:rPr>
            </w:pPr>
          </w:p>
        </w:tc>
        <w:tc>
          <w:tcPr>
            <w:tcW w:w="1752" w:type="dxa"/>
            <w:tcBorders>
              <w:left w:val="single" w:sz="4" w:space="0" w:color="auto"/>
              <w:bottom w:val="single" w:sz="4" w:space="0" w:color="auto"/>
            </w:tcBorders>
            <w:tcMar>
              <w:top w:w="85" w:type="dxa"/>
              <w:bottom w:w="85" w:type="dxa"/>
            </w:tcMar>
          </w:tcPr>
          <w:p w:rsidR="00B675B3" w:rsidRDefault="00B675B3" w:rsidP="00B675B3">
            <w:pPr>
              <w:spacing w:after="0"/>
              <w:jc w:val="left"/>
              <w:rPr>
                <w:b/>
                <w:bCs/>
                <w:noProof/>
                <w:color w:val="000000"/>
                <w:sz w:val="20"/>
              </w:rPr>
            </w:pPr>
            <w:r>
              <w:rPr>
                <w:b/>
                <w:bCs/>
                <w:noProof/>
                <w:sz w:val="20"/>
              </w:rPr>
              <w:t>Dekarbonizácia energie</w:t>
            </w:r>
          </w:p>
        </w:tc>
        <w:tc>
          <w:tcPr>
            <w:tcW w:w="4111" w:type="dxa"/>
            <w:tcBorders>
              <w:bottom w:val="single" w:sz="4" w:space="0" w:color="auto"/>
            </w:tcBorders>
            <w:tcMar>
              <w:top w:w="85" w:type="dxa"/>
              <w:bottom w:w="85" w:type="dxa"/>
            </w:tcMar>
          </w:tcPr>
          <w:p w:rsidR="00B675B3" w:rsidRDefault="00B675B3">
            <w:pPr>
              <w:spacing w:after="0"/>
              <w:jc w:val="left"/>
              <w:rPr>
                <w:noProof/>
                <w:sz w:val="20"/>
              </w:rPr>
            </w:pPr>
            <w:r>
              <w:rPr>
                <w:b/>
                <w:bCs/>
                <w:noProof/>
                <w:sz w:val="20"/>
              </w:rPr>
              <w:t>Stratégia pre inteligentnú integráciu odvetví</w:t>
            </w:r>
            <w:r>
              <w:rPr>
                <w:noProof/>
                <w:sz w:val="20"/>
              </w:rPr>
              <w:t xml:space="preserve"> (nelegislatívna iniciatíva, 2. štvrťrok 2020);</w:t>
            </w:r>
          </w:p>
          <w:p w:rsidR="00B675B3" w:rsidRDefault="00B675B3">
            <w:pPr>
              <w:spacing w:after="0"/>
              <w:jc w:val="left"/>
              <w:rPr>
                <w:noProof/>
                <w:sz w:val="20"/>
              </w:rPr>
            </w:pPr>
          </w:p>
          <w:p w:rsidR="00B675B3" w:rsidRDefault="00B675B3">
            <w:pPr>
              <w:spacing w:after="0"/>
              <w:jc w:val="left"/>
              <w:rPr>
                <w:noProof/>
                <w:sz w:val="20"/>
              </w:rPr>
            </w:pPr>
            <w:r>
              <w:rPr>
                <w:b/>
                <w:noProof/>
                <w:sz w:val="20"/>
              </w:rPr>
              <w:t>Vlna obnovy</w:t>
            </w:r>
            <w:r>
              <w:rPr>
                <w:noProof/>
                <w:sz w:val="20"/>
              </w:rPr>
              <w:t xml:space="preserve"> (nelegislatívna iniciatíva, 3. štvrťrok 2020);</w:t>
            </w:r>
          </w:p>
          <w:p w:rsidR="00B675B3" w:rsidRDefault="00B675B3">
            <w:pPr>
              <w:spacing w:after="0"/>
              <w:jc w:val="left"/>
              <w:rPr>
                <w:noProof/>
                <w:sz w:val="20"/>
              </w:rPr>
            </w:pPr>
          </w:p>
          <w:p w:rsidR="00B675B3" w:rsidRDefault="00B675B3">
            <w:pPr>
              <w:spacing w:after="0"/>
              <w:jc w:val="left"/>
              <w:rPr>
                <w:noProof/>
                <w:sz w:val="20"/>
              </w:rPr>
            </w:pPr>
            <w:r>
              <w:rPr>
                <w:b/>
                <w:noProof/>
                <w:sz w:val="20"/>
              </w:rPr>
              <w:t>Energia z obnoviteľných zdrojov na mori</w:t>
            </w:r>
            <w:r>
              <w:rPr>
                <w:noProof/>
                <w:sz w:val="20"/>
              </w:rPr>
              <w:t xml:space="preserve"> (nelegislatívna iniciatíva, 4. štvrťrok 2020)</w:t>
            </w:r>
          </w:p>
        </w:tc>
        <w:tc>
          <w:tcPr>
            <w:tcW w:w="1418" w:type="dxa"/>
            <w:tcBorders>
              <w:bottom w:val="single" w:sz="4" w:space="0" w:color="auto"/>
            </w:tcBorders>
          </w:tcPr>
          <w:p w:rsidR="00120127" w:rsidRPr="00120127" w:rsidRDefault="00120127" w:rsidP="00A026B9">
            <w:pPr>
              <w:spacing w:after="0"/>
              <w:ind w:right="112"/>
              <w:jc w:val="center"/>
              <w:rPr>
                <w:b/>
                <w:bCs/>
                <w:noProof/>
                <w:sz w:val="20"/>
              </w:rPr>
            </w:pPr>
            <w:r w:rsidRPr="00120127">
              <w:rPr>
                <w:b/>
                <w:bCs/>
                <w:noProof/>
                <w:sz w:val="20"/>
              </w:rPr>
              <w:t>MH SR</w:t>
            </w:r>
          </w:p>
          <w:p w:rsidR="00120127" w:rsidRPr="00120127" w:rsidRDefault="00120127" w:rsidP="00A026B9">
            <w:pPr>
              <w:spacing w:after="0"/>
              <w:ind w:right="112"/>
              <w:jc w:val="center"/>
              <w:rPr>
                <w:b/>
                <w:bCs/>
                <w:noProof/>
                <w:sz w:val="20"/>
              </w:rPr>
            </w:pPr>
          </w:p>
          <w:p w:rsidR="00120127" w:rsidRDefault="00120127" w:rsidP="00A026B9">
            <w:pPr>
              <w:spacing w:after="0"/>
              <w:ind w:right="112"/>
              <w:jc w:val="center"/>
              <w:rPr>
                <w:b/>
                <w:bCs/>
                <w:noProof/>
                <w:sz w:val="20"/>
              </w:rPr>
            </w:pPr>
          </w:p>
          <w:p w:rsidR="00120127" w:rsidRPr="00120127" w:rsidRDefault="00120127" w:rsidP="00A026B9">
            <w:pPr>
              <w:spacing w:after="0"/>
              <w:ind w:right="112"/>
              <w:jc w:val="center"/>
              <w:rPr>
                <w:b/>
                <w:bCs/>
                <w:noProof/>
                <w:sz w:val="20"/>
              </w:rPr>
            </w:pPr>
            <w:r w:rsidRPr="00120127">
              <w:rPr>
                <w:b/>
                <w:bCs/>
                <w:noProof/>
                <w:sz w:val="20"/>
              </w:rPr>
              <w:t>MDV SR</w:t>
            </w:r>
          </w:p>
          <w:p w:rsidR="00120127" w:rsidRPr="00120127" w:rsidRDefault="00120127" w:rsidP="00A026B9">
            <w:pPr>
              <w:spacing w:after="0"/>
              <w:ind w:right="112"/>
              <w:jc w:val="center"/>
              <w:rPr>
                <w:b/>
                <w:bCs/>
                <w:noProof/>
                <w:sz w:val="20"/>
              </w:rPr>
            </w:pPr>
            <w:r w:rsidRPr="00120127">
              <w:rPr>
                <w:b/>
                <w:bCs/>
                <w:noProof/>
                <w:sz w:val="20"/>
              </w:rPr>
              <w:t>MH SR</w:t>
            </w:r>
          </w:p>
          <w:p w:rsidR="00120127" w:rsidRPr="00120127" w:rsidRDefault="00120127" w:rsidP="00A026B9">
            <w:pPr>
              <w:spacing w:after="0"/>
              <w:jc w:val="center"/>
              <w:rPr>
                <w:b/>
                <w:bCs/>
                <w:noProof/>
                <w:sz w:val="20"/>
              </w:rPr>
            </w:pPr>
          </w:p>
          <w:p w:rsidR="00B675B3" w:rsidRDefault="00120127" w:rsidP="00A026B9">
            <w:pPr>
              <w:spacing w:after="0"/>
              <w:jc w:val="center"/>
              <w:rPr>
                <w:b/>
                <w:bCs/>
                <w:noProof/>
                <w:sz w:val="20"/>
              </w:rPr>
            </w:pPr>
            <w:r w:rsidRPr="00120127">
              <w:rPr>
                <w:b/>
                <w:bCs/>
                <w:noProof/>
                <w:sz w:val="20"/>
              </w:rPr>
              <w:t>MH SR</w:t>
            </w:r>
          </w:p>
        </w:tc>
        <w:tc>
          <w:tcPr>
            <w:tcW w:w="6804" w:type="dxa"/>
            <w:tcBorders>
              <w:bottom w:val="single" w:sz="4" w:space="0" w:color="auto"/>
            </w:tcBorders>
          </w:tcPr>
          <w:p w:rsidR="00120127" w:rsidRPr="00120127" w:rsidRDefault="00120127" w:rsidP="00120127">
            <w:pPr>
              <w:spacing w:after="0"/>
              <w:ind w:right="112"/>
              <w:rPr>
                <w:sz w:val="20"/>
              </w:rPr>
            </w:pPr>
            <w:r>
              <w:rPr>
                <w:b/>
                <w:sz w:val="20"/>
                <w:u w:val="single"/>
              </w:rPr>
              <w:t>Vysoká priorita</w:t>
            </w:r>
            <w:r>
              <w:rPr>
                <w:sz w:val="20"/>
              </w:rPr>
              <w:t xml:space="preserve"> - Dokument je kľúčový pre prepájanie sektorov, hlavne elektro-energetiky a plynárenstva a budúce využívanie robustnej plynárenskej siete.</w:t>
            </w:r>
          </w:p>
          <w:p w:rsidR="00120127" w:rsidRDefault="00120127" w:rsidP="00120127">
            <w:pPr>
              <w:spacing w:after="0"/>
              <w:ind w:right="112"/>
              <w:jc w:val="left"/>
              <w:rPr>
                <w:b/>
                <w:sz w:val="20"/>
              </w:rPr>
            </w:pPr>
          </w:p>
          <w:p w:rsidR="00120127" w:rsidRPr="00BD15E0" w:rsidRDefault="00120127" w:rsidP="00120127">
            <w:pPr>
              <w:spacing w:after="0"/>
              <w:ind w:right="112"/>
              <w:jc w:val="left"/>
              <w:rPr>
                <w:b/>
                <w:sz w:val="20"/>
              </w:rPr>
            </w:pPr>
            <w:r w:rsidRPr="00120127">
              <w:rPr>
                <w:b/>
                <w:sz w:val="20"/>
                <w:u w:val="single"/>
              </w:rPr>
              <w:t>Stredná priorita</w:t>
            </w:r>
            <w:r>
              <w:rPr>
                <w:b/>
                <w:sz w:val="20"/>
                <w:u w:val="single"/>
              </w:rPr>
              <w:t xml:space="preserve">- </w:t>
            </w:r>
            <w:r>
              <w:rPr>
                <w:sz w:val="20"/>
              </w:rPr>
              <w:t xml:space="preserve"> Obnova budov patrí medzi dôležité aspkety pri dosiahnutí klimatickej neutrality do roku 2050. Gesciou patrí primárne na MDV SR.</w:t>
            </w:r>
          </w:p>
          <w:p w:rsidR="00120127" w:rsidRPr="00036247" w:rsidRDefault="00120127" w:rsidP="00120127">
            <w:pPr>
              <w:spacing w:after="0"/>
              <w:ind w:right="112"/>
              <w:jc w:val="left"/>
              <w:rPr>
                <w:b/>
                <w:sz w:val="20"/>
              </w:rPr>
            </w:pPr>
          </w:p>
          <w:p w:rsidR="00120127" w:rsidRPr="00B01056" w:rsidRDefault="00120127" w:rsidP="00120127">
            <w:pPr>
              <w:rPr>
                <w:b/>
                <w:sz w:val="20"/>
              </w:rPr>
            </w:pPr>
            <w:r w:rsidRPr="00120127">
              <w:rPr>
                <w:b/>
                <w:sz w:val="20"/>
                <w:u w:val="single"/>
              </w:rPr>
              <w:t>Nízka priorita</w:t>
            </w:r>
            <w:r>
              <w:rPr>
                <w:sz w:val="20"/>
              </w:rPr>
              <w:t xml:space="preserve"> - SR ako vnútrozemský štát nemá potenciál na off-shore OZE. </w:t>
            </w:r>
          </w:p>
          <w:p w:rsidR="00B675B3" w:rsidRDefault="00B675B3">
            <w:pPr>
              <w:spacing w:after="0"/>
              <w:jc w:val="left"/>
              <w:rPr>
                <w:b/>
                <w:bCs/>
                <w:noProof/>
                <w:sz w:val="20"/>
              </w:rPr>
            </w:pPr>
          </w:p>
        </w:tc>
      </w:tr>
      <w:tr w:rsidR="00B675B3" w:rsidTr="008A2C73">
        <w:trPr>
          <w:cantSplit/>
        </w:trPr>
        <w:tc>
          <w:tcPr>
            <w:tcW w:w="511" w:type="dxa"/>
            <w:tcBorders>
              <w:bottom w:val="single" w:sz="4" w:space="0" w:color="auto"/>
              <w:right w:val="single" w:sz="4" w:space="0" w:color="auto"/>
            </w:tcBorders>
          </w:tcPr>
          <w:p w:rsidR="00B675B3" w:rsidRDefault="00B675B3">
            <w:pPr>
              <w:pStyle w:val="Odsekzoznamu"/>
              <w:numPr>
                <w:ilvl w:val="0"/>
                <w:numId w:val="18"/>
              </w:numPr>
              <w:spacing w:after="0"/>
              <w:ind w:left="426"/>
              <w:rPr>
                <w:noProof/>
                <w:sz w:val="20"/>
              </w:rPr>
            </w:pPr>
          </w:p>
        </w:tc>
        <w:tc>
          <w:tcPr>
            <w:tcW w:w="1752" w:type="dxa"/>
            <w:tcBorders>
              <w:left w:val="single" w:sz="4" w:space="0" w:color="auto"/>
              <w:bottom w:val="single" w:sz="4" w:space="0" w:color="auto"/>
            </w:tcBorders>
            <w:tcMar>
              <w:top w:w="85" w:type="dxa"/>
              <w:bottom w:w="85" w:type="dxa"/>
            </w:tcMar>
          </w:tcPr>
          <w:p w:rsidR="00B675B3" w:rsidRDefault="00B675B3" w:rsidP="00B675B3">
            <w:pPr>
              <w:spacing w:after="0"/>
              <w:jc w:val="left"/>
              <w:rPr>
                <w:b/>
                <w:bCs/>
                <w:noProof/>
                <w:color w:val="000000"/>
                <w:sz w:val="20"/>
              </w:rPr>
            </w:pPr>
            <w:r>
              <w:rPr>
                <w:b/>
                <w:bCs/>
                <w:noProof/>
                <w:sz w:val="20"/>
              </w:rPr>
              <w:t>Udržateľná výroba a spotreba</w:t>
            </w:r>
          </w:p>
        </w:tc>
        <w:tc>
          <w:tcPr>
            <w:tcW w:w="4111" w:type="dxa"/>
            <w:tcBorders>
              <w:bottom w:val="single" w:sz="4" w:space="0" w:color="auto"/>
            </w:tcBorders>
            <w:tcMar>
              <w:top w:w="85" w:type="dxa"/>
              <w:bottom w:w="85" w:type="dxa"/>
            </w:tcMar>
          </w:tcPr>
          <w:p w:rsidR="00B675B3" w:rsidRDefault="00B675B3">
            <w:pPr>
              <w:spacing w:after="0"/>
              <w:jc w:val="left"/>
              <w:rPr>
                <w:noProof/>
                <w:sz w:val="20"/>
              </w:rPr>
            </w:pPr>
            <w:r>
              <w:rPr>
                <w:b/>
                <w:bCs/>
                <w:noProof/>
                <w:sz w:val="20"/>
              </w:rPr>
              <w:t>Nový akčný plán EÚ pre obehové hospodárstvo</w:t>
            </w:r>
            <w:r>
              <w:rPr>
                <w:noProof/>
                <w:sz w:val="20"/>
              </w:rPr>
              <w:t xml:space="preserve"> (nelegislatívna iniciatíva, 1. štvrťrok 2020);</w:t>
            </w:r>
          </w:p>
          <w:p w:rsidR="00B675B3" w:rsidRDefault="00B675B3">
            <w:pPr>
              <w:spacing w:after="0"/>
              <w:jc w:val="left"/>
              <w:rPr>
                <w:noProof/>
                <w:sz w:val="20"/>
              </w:rPr>
            </w:pPr>
          </w:p>
          <w:p w:rsidR="000F3FD5" w:rsidRDefault="000F3FD5">
            <w:pPr>
              <w:spacing w:after="0"/>
              <w:jc w:val="left"/>
              <w:rPr>
                <w:b/>
                <w:bCs/>
                <w:noProof/>
                <w:sz w:val="20"/>
              </w:rPr>
            </w:pPr>
          </w:p>
          <w:p w:rsidR="000F3FD5" w:rsidRDefault="000F3FD5">
            <w:pPr>
              <w:spacing w:after="0"/>
              <w:jc w:val="left"/>
              <w:rPr>
                <w:b/>
                <w:bCs/>
                <w:noProof/>
                <w:sz w:val="20"/>
              </w:rPr>
            </w:pPr>
          </w:p>
          <w:p w:rsidR="000F3FD5" w:rsidRDefault="000F3FD5">
            <w:pPr>
              <w:spacing w:after="0"/>
              <w:jc w:val="left"/>
              <w:rPr>
                <w:b/>
                <w:bCs/>
                <w:noProof/>
                <w:sz w:val="20"/>
              </w:rPr>
            </w:pPr>
          </w:p>
          <w:p w:rsidR="000F3FD5" w:rsidRDefault="000F3FD5">
            <w:pPr>
              <w:spacing w:after="0"/>
              <w:jc w:val="left"/>
              <w:rPr>
                <w:b/>
                <w:bCs/>
                <w:noProof/>
                <w:sz w:val="20"/>
              </w:rPr>
            </w:pPr>
          </w:p>
          <w:p w:rsidR="00B675B3" w:rsidRDefault="00B675B3">
            <w:pPr>
              <w:spacing w:after="0"/>
              <w:jc w:val="left"/>
              <w:rPr>
                <w:noProof/>
                <w:sz w:val="20"/>
              </w:rPr>
            </w:pPr>
            <w:r>
              <w:rPr>
                <w:b/>
                <w:bCs/>
                <w:noProof/>
                <w:sz w:val="20"/>
              </w:rPr>
              <w:t>Posilnenie postavenia spotrebiteľa pre ekologickú transformáciu</w:t>
            </w:r>
            <w:r>
              <w:rPr>
                <w:noProof/>
                <w:sz w:val="20"/>
              </w:rPr>
              <w:t xml:space="preserve"> (legislatívna iniciatíva vrátane posúdenia vplyvu, článok 114 ZFEÚ, 4. štvrťrok 2020)</w:t>
            </w:r>
          </w:p>
          <w:p w:rsidR="00B675B3" w:rsidRDefault="00B675B3">
            <w:pPr>
              <w:spacing w:after="0"/>
              <w:jc w:val="left"/>
              <w:rPr>
                <w:b/>
                <w:bCs/>
                <w:noProof/>
                <w:sz w:val="20"/>
              </w:rPr>
            </w:pPr>
          </w:p>
        </w:tc>
        <w:tc>
          <w:tcPr>
            <w:tcW w:w="1418" w:type="dxa"/>
            <w:tcBorders>
              <w:bottom w:val="single" w:sz="4" w:space="0" w:color="auto"/>
            </w:tcBorders>
          </w:tcPr>
          <w:p w:rsidR="004D73FA" w:rsidRDefault="004D73FA" w:rsidP="00A026B9">
            <w:pPr>
              <w:spacing w:after="0"/>
              <w:jc w:val="center"/>
              <w:rPr>
                <w:b/>
                <w:bCs/>
                <w:noProof/>
                <w:sz w:val="20"/>
              </w:rPr>
            </w:pPr>
            <w:r>
              <w:rPr>
                <w:b/>
                <w:bCs/>
                <w:noProof/>
                <w:sz w:val="20"/>
              </w:rPr>
              <w:t>MŽP SR</w:t>
            </w:r>
          </w:p>
          <w:p w:rsidR="00B675B3" w:rsidRDefault="00120127" w:rsidP="00A026B9">
            <w:pPr>
              <w:spacing w:after="0"/>
              <w:jc w:val="center"/>
              <w:rPr>
                <w:b/>
                <w:bCs/>
                <w:noProof/>
                <w:sz w:val="20"/>
              </w:rPr>
            </w:pPr>
            <w:r>
              <w:rPr>
                <w:b/>
                <w:bCs/>
                <w:noProof/>
                <w:sz w:val="20"/>
              </w:rPr>
              <w:t>MH SR</w:t>
            </w:r>
          </w:p>
          <w:p w:rsidR="000F3FD5" w:rsidRDefault="000F3FD5" w:rsidP="00A026B9">
            <w:pPr>
              <w:spacing w:after="0"/>
              <w:jc w:val="center"/>
              <w:rPr>
                <w:b/>
                <w:bCs/>
                <w:noProof/>
                <w:sz w:val="20"/>
              </w:rPr>
            </w:pPr>
          </w:p>
          <w:p w:rsidR="000F3FD5" w:rsidRDefault="000F3FD5" w:rsidP="00A026B9">
            <w:pPr>
              <w:spacing w:after="0"/>
              <w:jc w:val="center"/>
              <w:rPr>
                <w:b/>
                <w:bCs/>
                <w:noProof/>
                <w:sz w:val="20"/>
              </w:rPr>
            </w:pPr>
          </w:p>
          <w:p w:rsidR="000F3FD5" w:rsidRDefault="000F3FD5" w:rsidP="00A026B9">
            <w:pPr>
              <w:spacing w:after="0"/>
              <w:jc w:val="center"/>
              <w:rPr>
                <w:b/>
                <w:bCs/>
                <w:noProof/>
                <w:sz w:val="20"/>
              </w:rPr>
            </w:pPr>
          </w:p>
          <w:p w:rsidR="000F3FD5" w:rsidRDefault="000F3FD5" w:rsidP="00A026B9">
            <w:pPr>
              <w:spacing w:after="0"/>
              <w:jc w:val="center"/>
              <w:rPr>
                <w:b/>
                <w:bCs/>
                <w:noProof/>
                <w:sz w:val="20"/>
              </w:rPr>
            </w:pPr>
          </w:p>
          <w:p w:rsidR="000F3FD5" w:rsidRDefault="000F3FD5" w:rsidP="00A026B9">
            <w:pPr>
              <w:spacing w:after="0"/>
              <w:jc w:val="center"/>
              <w:rPr>
                <w:b/>
                <w:bCs/>
                <w:noProof/>
                <w:sz w:val="20"/>
              </w:rPr>
            </w:pPr>
          </w:p>
          <w:p w:rsidR="000F3FD5" w:rsidRDefault="000F3FD5" w:rsidP="00A026B9">
            <w:pPr>
              <w:spacing w:after="0"/>
              <w:jc w:val="center"/>
              <w:rPr>
                <w:b/>
                <w:bCs/>
                <w:noProof/>
                <w:sz w:val="20"/>
              </w:rPr>
            </w:pPr>
          </w:p>
          <w:p w:rsidR="00C46663" w:rsidRDefault="004D73FA" w:rsidP="00A026B9">
            <w:pPr>
              <w:spacing w:after="0"/>
              <w:jc w:val="center"/>
              <w:rPr>
                <w:b/>
                <w:bCs/>
                <w:noProof/>
                <w:sz w:val="20"/>
              </w:rPr>
            </w:pPr>
            <w:r>
              <w:rPr>
                <w:b/>
                <w:bCs/>
                <w:noProof/>
                <w:sz w:val="20"/>
              </w:rPr>
              <w:t>MH SR</w:t>
            </w:r>
          </w:p>
          <w:p w:rsidR="004D73FA" w:rsidRDefault="004D73FA" w:rsidP="00A026B9">
            <w:pPr>
              <w:spacing w:after="0"/>
              <w:jc w:val="center"/>
              <w:rPr>
                <w:b/>
                <w:bCs/>
                <w:noProof/>
                <w:sz w:val="20"/>
              </w:rPr>
            </w:pPr>
            <w:r>
              <w:rPr>
                <w:b/>
                <w:bCs/>
                <w:noProof/>
                <w:sz w:val="20"/>
              </w:rPr>
              <w:t>MŽP SR</w:t>
            </w:r>
          </w:p>
          <w:p w:rsidR="001F52F5" w:rsidRDefault="001F52F5" w:rsidP="00A026B9">
            <w:pPr>
              <w:spacing w:after="0"/>
              <w:jc w:val="center"/>
              <w:rPr>
                <w:b/>
                <w:bCs/>
                <w:noProof/>
                <w:sz w:val="20"/>
              </w:rPr>
            </w:pPr>
            <w:r>
              <w:rPr>
                <w:b/>
                <w:bCs/>
                <w:noProof/>
                <w:sz w:val="20"/>
              </w:rPr>
              <w:t>MPRV SR</w:t>
            </w:r>
          </w:p>
          <w:p w:rsidR="000F3FD5" w:rsidRDefault="000F3FD5" w:rsidP="00A026B9">
            <w:pPr>
              <w:spacing w:after="0"/>
              <w:jc w:val="center"/>
              <w:rPr>
                <w:b/>
                <w:bCs/>
                <w:noProof/>
                <w:sz w:val="20"/>
              </w:rPr>
            </w:pPr>
            <w:r>
              <w:rPr>
                <w:b/>
                <w:bCs/>
                <w:noProof/>
                <w:sz w:val="20"/>
              </w:rPr>
              <w:t>MH SR</w:t>
            </w:r>
          </w:p>
        </w:tc>
        <w:tc>
          <w:tcPr>
            <w:tcW w:w="6804" w:type="dxa"/>
            <w:tcBorders>
              <w:bottom w:val="single" w:sz="4" w:space="0" w:color="auto"/>
            </w:tcBorders>
          </w:tcPr>
          <w:p w:rsidR="00B675B3" w:rsidRDefault="000F3FD5">
            <w:pPr>
              <w:spacing w:after="0"/>
              <w:jc w:val="left"/>
              <w:rPr>
                <w:sz w:val="20"/>
              </w:rPr>
            </w:pPr>
            <w:r>
              <w:rPr>
                <w:b/>
                <w:sz w:val="20"/>
                <w:u w:val="single"/>
              </w:rPr>
              <w:t>Vysoká priorita</w:t>
            </w:r>
            <w:r>
              <w:rPr>
                <w:sz w:val="20"/>
              </w:rPr>
              <w:t xml:space="preserve"> - </w:t>
            </w:r>
            <w:r w:rsidR="00120127" w:rsidRPr="00972F5F">
              <w:rPr>
                <w:sz w:val="20"/>
              </w:rPr>
              <w:t xml:space="preserve">Nový Akčný plán pre obehové hospodárstva, je v poradí druhým nelegislatívnym AP na úrovni EÚ. SR víta prípravu návrhu a plne podporuje potrebu </w:t>
            </w:r>
            <w:r w:rsidR="00120127">
              <w:rPr>
                <w:sz w:val="20"/>
              </w:rPr>
              <w:t>jednotnej vízie pre transformácie hospodárstv</w:t>
            </w:r>
            <w:r w:rsidR="00120127" w:rsidRPr="00972F5F">
              <w:rPr>
                <w:sz w:val="20"/>
              </w:rPr>
              <w:t>. Očakáva sa, že nový AP na úrovni E</w:t>
            </w:r>
            <w:r w:rsidR="00120127">
              <w:rPr>
                <w:sz w:val="20"/>
              </w:rPr>
              <w:t>Ú bude konkrétnejší</w:t>
            </w:r>
            <w:r w:rsidR="00120127" w:rsidRPr="00E35354">
              <w:rPr>
                <w:sz w:val="20"/>
              </w:rPr>
              <w:t>, na ktoré je dôležité sa v nasledujúcom období zamerať z pohľadu prechodu na obehového hos</w:t>
            </w:r>
            <w:r>
              <w:rPr>
                <w:sz w:val="20"/>
              </w:rPr>
              <w:t xml:space="preserve">podárstvo. </w:t>
            </w:r>
            <w:r w:rsidR="00120127" w:rsidRPr="00E35354">
              <w:rPr>
                <w:sz w:val="20"/>
              </w:rPr>
              <w:t>Vypracovanie rámca pre obehového hospodárstvo na nasledujúce obdobie je výzvou aj pre SR, téma transformácie je zakotvená aj v Stratégií hospodárskej politiky SR do 2030.</w:t>
            </w:r>
          </w:p>
          <w:p w:rsidR="00C46663" w:rsidRDefault="00C46663" w:rsidP="001F52F5">
            <w:pPr>
              <w:spacing w:after="0"/>
              <w:ind w:right="112"/>
              <w:jc w:val="left"/>
              <w:rPr>
                <w:b/>
                <w:sz w:val="20"/>
                <w:u w:val="single"/>
              </w:rPr>
            </w:pPr>
          </w:p>
          <w:p w:rsidR="000F3FD5" w:rsidRPr="001F52F5" w:rsidRDefault="000F3FD5" w:rsidP="001F52F5">
            <w:pPr>
              <w:spacing w:after="0"/>
              <w:ind w:right="112"/>
              <w:jc w:val="left"/>
              <w:rPr>
                <w:b/>
                <w:sz w:val="20"/>
              </w:rPr>
            </w:pPr>
            <w:r w:rsidRPr="000F3FD5">
              <w:rPr>
                <w:b/>
                <w:sz w:val="20"/>
                <w:u w:val="single"/>
              </w:rPr>
              <w:t>Vysoká priorita</w:t>
            </w:r>
            <w:r>
              <w:rPr>
                <w:sz w:val="20"/>
              </w:rPr>
              <w:t xml:space="preserve"> - </w:t>
            </w:r>
            <w:r w:rsidRPr="000F3FD5">
              <w:rPr>
                <w:sz w:val="20"/>
              </w:rPr>
              <w:t>EÚ čelí otázkam, ktoré sa týkajú či už zeleného hospodárstva, ochrany životného prostredia alebo klimatickej zmeny, SR skutočne víta snahu EK zapojiť spotrebiteľa do problematiky udržateľnej produkcie a spotreby, ktorý je cieľovou skupinou samotných obchodníkov.</w:t>
            </w:r>
            <w:r w:rsidR="001F52F5" w:rsidRPr="00577422">
              <w:rPr>
                <w:sz w:val="20"/>
              </w:rPr>
              <w:t xml:space="preserve"> </w:t>
            </w:r>
            <w:r w:rsidR="001F52F5" w:rsidRPr="00BF1C59">
              <w:rPr>
                <w:sz w:val="20"/>
              </w:rPr>
              <w:t>Podpora lokálnej ekologickej produkcie, posilnením potravinovej bezpečnosti SR a EÚ. Zachovanie tradičných kultivarov a starých odrôd, ktoré sú odolnejšie voči škodlivým organizmom a abiotickým činiteľom. Vzhľadom na klimatickú zmenu a uplatňovanie rôznych princípov GAP, sa nie je možné spoliehať na dovozy z tretích krajín.</w:t>
            </w:r>
          </w:p>
        </w:tc>
      </w:tr>
      <w:tr w:rsidR="00B675B3" w:rsidTr="008A2C73">
        <w:trPr>
          <w:cantSplit/>
        </w:trPr>
        <w:tc>
          <w:tcPr>
            <w:tcW w:w="511" w:type="dxa"/>
            <w:tcBorders>
              <w:bottom w:val="single" w:sz="4" w:space="0" w:color="auto"/>
              <w:right w:val="single" w:sz="4" w:space="0" w:color="auto"/>
            </w:tcBorders>
          </w:tcPr>
          <w:p w:rsidR="00B675B3" w:rsidRDefault="00B675B3">
            <w:pPr>
              <w:pStyle w:val="Odsekzoznamu"/>
              <w:numPr>
                <w:ilvl w:val="0"/>
                <w:numId w:val="18"/>
              </w:numPr>
              <w:spacing w:after="0"/>
              <w:ind w:left="426"/>
              <w:rPr>
                <w:noProof/>
                <w:sz w:val="20"/>
              </w:rPr>
            </w:pPr>
          </w:p>
        </w:tc>
        <w:tc>
          <w:tcPr>
            <w:tcW w:w="1752" w:type="dxa"/>
            <w:tcBorders>
              <w:left w:val="single" w:sz="4" w:space="0" w:color="auto"/>
              <w:bottom w:val="single" w:sz="4" w:space="0" w:color="auto"/>
            </w:tcBorders>
            <w:tcMar>
              <w:top w:w="85" w:type="dxa"/>
              <w:bottom w:w="85" w:type="dxa"/>
            </w:tcMar>
          </w:tcPr>
          <w:p w:rsidR="00B675B3" w:rsidRDefault="00B675B3" w:rsidP="00B675B3">
            <w:pPr>
              <w:spacing w:after="0"/>
              <w:jc w:val="left"/>
              <w:rPr>
                <w:noProof/>
                <w:sz w:val="20"/>
              </w:rPr>
            </w:pPr>
            <w:r>
              <w:rPr>
                <w:b/>
                <w:bCs/>
                <w:noProof/>
                <w:sz w:val="20"/>
              </w:rPr>
              <w:t>Ochrana nášho životného prostredia</w:t>
            </w:r>
          </w:p>
        </w:tc>
        <w:tc>
          <w:tcPr>
            <w:tcW w:w="4111" w:type="dxa"/>
            <w:tcBorders>
              <w:bottom w:val="single" w:sz="4" w:space="0" w:color="auto"/>
            </w:tcBorders>
            <w:tcMar>
              <w:top w:w="85" w:type="dxa"/>
              <w:bottom w:w="85" w:type="dxa"/>
            </w:tcMar>
          </w:tcPr>
          <w:p w:rsidR="00B675B3" w:rsidRDefault="00B675B3">
            <w:pPr>
              <w:spacing w:after="0"/>
              <w:jc w:val="left"/>
              <w:rPr>
                <w:noProof/>
                <w:sz w:val="20"/>
              </w:rPr>
            </w:pPr>
            <w:r>
              <w:rPr>
                <w:b/>
                <w:bCs/>
                <w:noProof/>
                <w:sz w:val="20"/>
              </w:rPr>
              <w:t>Stratégia EÚ v oblasti biodiverzity do roku 2030</w:t>
            </w:r>
            <w:r>
              <w:rPr>
                <w:noProof/>
                <w:sz w:val="20"/>
              </w:rPr>
              <w:t xml:space="preserve"> (nelegislatívna iniciatíva, 1. štvrťrok 2020);</w:t>
            </w:r>
          </w:p>
          <w:p w:rsidR="00B675B3" w:rsidRDefault="00B675B3">
            <w:pPr>
              <w:spacing w:after="0"/>
              <w:jc w:val="left"/>
              <w:rPr>
                <w:noProof/>
                <w:sz w:val="20"/>
              </w:rPr>
            </w:pPr>
          </w:p>
          <w:p w:rsidR="00B95F81" w:rsidRDefault="00B95F81">
            <w:pPr>
              <w:spacing w:after="0"/>
              <w:jc w:val="left"/>
              <w:rPr>
                <w:b/>
                <w:bCs/>
                <w:noProof/>
                <w:sz w:val="20"/>
              </w:rPr>
            </w:pPr>
          </w:p>
          <w:p w:rsidR="00B95F81" w:rsidRDefault="00B95F81">
            <w:pPr>
              <w:spacing w:after="0"/>
              <w:jc w:val="left"/>
              <w:rPr>
                <w:b/>
                <w:bCs/>
                <w:noProof/>
                <w:sz w:val="20"/>
              </w:rPr>
            </w:pPr>
          </w:p>
          <w:p w:rsidR="00B95F81" w:rsidRDefault="00B95F81">
            <w:pPr>
              <w:spacing w:after="0"/>
              <w:jc w:val="left"/>
              <w:rPr>
                <w:b/>
                <w:bCs/>
                <w:noProof/>
                <w:sz w:val="20"/>
              </w:rPr>
            </w:pPr>
          </w:p>
          <w:p w:rsidR="00B675B3" w:rsidRDefault="00B675B3">
            <w:pPr>
              <w:spacing w:after="0"/>
              <w:jc w:val="left"/>
              <w:rPr>
                <w:noProof/>
                <w:sz w:val="20"/>
              </w:rPr>
            </w:pPr>
            <w:r>
              <w:rPr>
                <w:b/>
                <w:bCs/>
                <w:noProof/>
                <w:sz w:val="20"/>
              </w:rPr>
              <w:t>8. environmentálny akčný program</w:t>
            </w:r>
            <w:r>
              <w:rPr>
                <w:noProof/>
                <w:sz w:val="20"/>
              </w:rPr>
              <w:t xml:space="preserve"> (legislatívna iniciatíva, článok 192 ods. 3 ZFEÚ, 2. štvrťrok 2020);</w:t>
            </w:r>
          </w:p>
          <w:p w:rsidR="004D73FA" w:rsidRDefault="00B675B3">
            <w:pPr>
              <w:spacing w:after="0"/>
              <w:jc w:val="left"/>
              <w:rPr>
                <w:b/>
                <w:noProof/>
                <w:sz w:val="20"/>
              </w:rPr>
            </w:pPr>
            <w:r>
              <w:rPr>
                <w:b/>
                <w:bCs/>
                <w:noProof/>
                <w:sz w:val="20"/>
              </w:rPr>
              <w:br/>
            </w:r>
          </w:p>
          <w:p w:rsidR="004D73FA" w:rsidRDefault="004D73FA">
            <w:pPr>
              <w:spacing w:after="0"/>
              <w:jc w:val="left"/>
              <w:rPr>
                <w:b/>
                <w:noProof/>
                <w:sz w:val="20"/>
              </w:rPr>
            </w:pPr>
          </w:p>
          <w:p w:rsidR="00B675B3" w:rsidRDefault="00B675B3">
            <w:pPr>
              <w:spacing w:after="0"/>
              <w:jc w:val="left"/>
              <w:rPr>
                <w:noProof/>
                <w:sz w:val="20"/>
              </w:rPr>
            </w:pPr>
            <w:r>
              <w:rPr>
                <w:b/>
                <w:noProof/>
                <w:sz w:val="20"/>
              </w:rPr>
              <w:t>Stratégia v oblasti chemických látok na dosiahnutie udržateľnosti</w:t>
            </w:r>
            <w:r>
              <w:rPr>
                <w:noProof/>
                <w:sz w:val="20"/>
              </w:rPr>
              <w:t xml:space="preserve"> (nelegislatívna iniciatíva, 3. štvrťrok 2020)</w:t>
            </w:r>
          </w:p>
        </w:tc>
        <w:tc>
          <w:tcPr>
            <w:tcW w:w="1418" w:type="dxa"/>
            <w:tcBorders>
              <w:bottom w:val="single" w:sz="4" w:space="0" w:color="auto"/>
            </w:tcBorders>
          </w:tcPr>
          <w:p w:rsidR="00B95F81" w:rsidRDefault="00B95F81" w:rsidP="00A026B9">
            <w:pPr>
              <w:spacing w:after="0"/>
              <w:jc w:val="center"/>
              <w:rPr>
                <w:b/>
                <w:bCs/>
                <w:noProof/>
                <w:sz w:val="20"/>
              </w:rPr>
            </w:pPr>
            <w:r>
              <w:rPr>
                <w:b/>
                <w:bCs/>
                <w:noProof/>
                <w:sz w:val="20"/>
              </w:rPr>
              <w:t>MŽP SR</w:t>
            </w:r>
          </w:p>
          <w:p w:rsidR="00B95F81" w:rsidRDefault="00B95F81" w:rsidP="00A026B9">
            <w:pPr>
              <w:spacing w:after="0"/>
              <w:jc w:val="center"/>
              <w:rPr>
                <w:b/>
                <w:bCs/>
                <w:noProof/>
                <w:sz w:val="20"/>
              </w:rPr>
            </w:pPr>
          </w:p>
          <w:p w:rsidR="00B95F81" w:rsidRDefault="00B95F81" w:rsidP="00A026B9">
            <w:pPr>
              <w:spacing w:after="0"/>
              <w:jc w:val="center"/>
              <w:rPr>
                <w:b/>
                <w:bCs/>
                <w:noProof/>
                <w:sz w:val="20"/>
              </w:rPr>
            </w:pPr>
          </w:p>
          <w:p w:rsidR="00B95F81" w:rsidRDefault="00B95F81" w:rsidP="00A026B9">
            <w:pPr>
              <w:spacing w:after="0"/>
              <w:jc w:val="center"/>
              <w:rPr>
                <w:b/>
                <w:bCs/>
                <w:noProof/>
                <w:sz w:val="20"/>
              </w:rPr>
            </w:pPr>
          </w:p>
          <w:p w:rsidR="00B95F81" w:rsidRDefault="00B95F81" w:rsidP="00A026B9">
            <w:pPr>
              <w:spacing w:after="0"/>
              <w:jc w:val="center"/>
              <w:rPr>
                <w:b/>
                <w:bCs/>
                <w:noProof/>
                <w:sz w:val="20"/>
              </w:rPr>
            </w:pPr>
          </w:p>
          <w:p w:rsidR="00B95F81" w:rsidRDefault="00B95F81" w:rsidP="00A026B9">
            <w:pPr>
              <w:spacing w:after="0"/>
              <w:jc w:val="center"/>
              <w:rPr>
                <w:b/>
                <w:bCs/>
                <w:noProof/>
                <w:sz w:val="20"/>
              </w:rPr>
            </w:pPr>
          </w:p>
          <w:p w:rsidR="004D73FA" w:rsidRDefault="004D73FA" w:rsidP="00A026B9">
            <w:pPr>
              <w:spacing w:after="0"/>
              <w:jc w:val="center"/>
              <w:rPr>
                <w:b/>
                <w:bCs/>
                <w:noProof/>
                <w:sz w:val="20"/>
              </w:rPr>
            </w:pPr>
          </w:p>
          <w:p w:rsidR="004D73FA" w:rsidRDefault="00B95F81" w:rsidP="00A026B9">
            <w:pPr>
              <w:spacing w:after="0"/>
              <w:jc w:val="center"/>
              <w:rPr>
                <w:b/>
                <w:bCs/>
                <w:noProof/>
                <w:sz w:val="20"/>
              </w:rPr>
            </w:pPr>
            <w:r>
              <w:rPr>
                <w:b/>
                <w:bCs/>
                <w:noProof/>
                <w:sz w:val="20"/>
              </w:rPr>
              <w:t>MŽP SR</w:t>
            </w:r>
            <w:r w:rsidR="004D73FA">
              <w:rPr>
                <w:b/>
                <w:bCs/>
                <w:noProof/>
                <w:sz w:val="20"/>
              </w:rPr>
              <w:t xml:space="preserve"> UPVVII</w:t>
            </w:r>
          </w:p>
          <w:p w:rsidR="004D73FA" w:rsidRDefault="004D73FA" w:rsidP="00A026B9">
            <w:pPr>
              <w:spacing w:after="0"/>
              <w:jc w:val="center"/>
              <w:rPr>
                <w:b/>
                <w:bCs/>
                <w:noProof/>
                <w:sz w:val="20"/>
              </w:rPr>
            </w:pPr>
            <w:r>
              <w:rPr>
                <w:b/>
                <w:bCs/>
                <w:noProof/>
                <w:sz w:val="20"/>
              </w:rPr>
              <w:t>MH SR</w:t>
            </w:r>
          </w:p>
          <w:p w:rsidR="004D73FA" w:rsidRDefault="004D73FA" w:rsidP="00A026B9">
            <w:pPr>
              <w:spacing w:after="0"/>
              <w:jc w:val="center"/>
              <w:rPr>
                <w:b/>
                <w:bCs/>
                <w:noProof/>
                <w:sz w:val="20"/>
              </w:rPr>
            </w:pPr>
            <w:r>
              <w:rPr>
                <w:b/>
                <w:bCs/>
                <w:noProof/>
                <w:sz w:val="20"/>
              </w:rPr>
              <w:t>MPRV SR</w:t>
            </w:r>
          </w:p>
          <w:p w:rsidR="004D73FA" w:rsidRDefault="004D73FA" w:rsidP="00A026B9">
            <w:pPr>
              <w:spacing w:after="0"/>
              <w:jc w:val="center"/>
              <w:rPr>
                <w:szCs w:val="24"/>
                <w:lang w:eastAsia="sk-SK"/>
              </w:rPr>
            </w:pPr>
            <w:r>
              <w:rPr>
                <w:b/>
                <w:bCs/>
                <w:noProof/>
                <w:sz w:val="20"/>
              </w:rPr>
              <w:t>MDaV SR</w:t>
            </w:r>
          </w:p>
          <w:p w:rsidR="00B95F81" w:rsidRDefault="00B95F81" w:rsidP="00A026B9">
            <w:pPr>
              <w:spacing w:after="0"/>
              <w:jc w:val="center"/>
              <w:rPr>
                <w:b/>
                <w:bCs/>
                <w:noProof/>
                <w:sz w:val="20"/>
              </w:rPr>
            </w:pPr>
          </w:p>
          <w:p w:rsidR="00B95F81" w:rsidRDefault="004D73FA" w:rsidP="00A026B9">
            <w:pPr>
              <w:spacing w:after="0"/>
              <w:jc w:val="center"/>
              <w:rPr>
                <w:b/>
                <w:bCs/>
                <w:noProof/>
                <w:sz w:val="20"/>
              </w:rPr>
            </w:pPr>
            <w:r>
              <w:rPr>
                <w:b/>
                <w:bCs/>
                <w:noProof/>
                <w:sz w:val="20"/>
              </w:rPr>
              <w:t>MH SR</w:t>
            </w:r>
          </w:p>
          <w:p w:rsidR="00B95F81" w:rsidRDefault="00B95F81" w:rsidP="00A026B9">
            <w:pPr>
              <w:spacing w:after="0"/>
              <w:jc w:val="center"/>
              <w:rPr>
                <w:b/>
                <w:bCs/>
                <w:noProof/>
                <w:sz w:val="20"/>
              </w:rPr>
            </w:pPr>
            <w:r>
              <w:rPr>
                <w:b/>
                <w:bCs/>
                <w:noProof/>
                <w:sz w:val="20"/>
              </w:rPr>
              <w:t>MŽP SR</w:t>
            </w:r>
          </w:p>
        </w:tc>
        <w:tc>
          <w:tcPr>
            <w:tcW w:w="6804" w:type="dxa"/>
            <w:tcBorders>
              <w:bottom w:val="single" w:sz="4" w:space="0" w:color="auto"/>
            </w:tcBorders>
          </w:tcPr>
          <w:p w:rsidR="00B675B3" w:rsidRDefault="001F52F5" w:rsidP="00B95F81">
            <w:pPr>
              <w:spacing w:after="0"/>
              <w:ind w:right="112"/>
              <w:rPr>
                <w:sz w:val="20"/>
              </w:rPr>
            </w:pPr>
            <w:r w:rsidRPr="001F52F5">
              <w:rPr>
                <w:b/>
                <w:sz w:val="20"/>
                <w:u w:val="single"/>
              </w:rPr>
              <w:t>Vysoká priorita</w:t>
            </w:r>
            <w:r>
              <w:rPr>
                <w:sz w:val="20"/>
              </w:rPr>
              <w:t xml:space="preserve"> - </w:t>
            </w:r>
            <w:r w:rsidRPr="00BF53E1">
              <w:rPr>
                <w:sz w:val="20"/>
              </w:rPr>
              <w:t xml:space="preserve">Podporením </w:t>
            </w:r>
            <w:r>
              <w:rPr>
                <w:sz w:val="20"/>
              </w:rPr>
              <w:t>vyvážených agroekosystémov, ktorá spočíva v lokálnej špeciálnej rastlinnej výrobe a výrobe plodín s vysokou pracnosťou a veľmi vysokou pracnosťou, sa prispeje k zníženiu potreby aplikácie prípravkov na ochranu rastlín a anorganických hnojív. Zvýšením rozmanitosti druhov v agroekosystémoch, vyváženými osevnými postupmi a zavedením ekologickej infraštruktúry krajiny, sa podporí aj zvýšenie druhovej rozmanitosti v krajine.</w:t>
            </w:r>
          </w:p>
          <w:p w:rsidR="00B95F81" w:rsidRDefault="00B95F81" w:rsidP="00B95F81">
            <w:pPr>
              <w:spacing w:after="0"/>
              <w:ind w:right="112"/>
              <w:rPr>
                <w:sz w:val="20"/>
              </w:rPr>
            </w:pPr>
          </w:p>
          <w:p w:rsidR="00B95F81" w:rsidRPr="00B95F81" w:rsidRDefault="00B95F81" w:rsidP="00B95F81">
            <w:pPr>
              <w:spacing w:after="0"/>
              <w:rPr>
                <w:b/>
                <w:bCs/>
                <w:sz w:val="20"/>
                <w:u w:val="single"/>
              </w:rPr>
            </w:pPr>
            <w:r w:rsidRPr="00B95F81">
              <w:rPr>
                <w:b/>
                <w:bCs/>
                <w:sz w:val="20"/>
                <w:u w:val="single"/>
              </w:rPr>
              <w:t>Vysoká priorita</w:t>
            </w:r>
            <w:r w:rsidRPr="00B95F81">
              <w:rPr>
                <w:b/>
                <w:bCs/>
                <w:sz w:val="20"/>
              </w:rPr>
              <w:t xml:space="preserve"> </w:t>
            </w:r>
            <w:r w:rsidRPr="00B95F81">
              <w:rPr>
                <w:bCs/>
                <w:sz w:val="20"/>
              </w:rPr>
              <w:t>- Strategický koncepčný dokument, ktorý nastaví smerovanie environmentálnej politiky v nasledujúcom krátkom a dlhodobom horizonte. V nadväznosti na uvedený program bude Komisia predkladať príslušné legislatívne a nelegislatívne návrhy na ďalší legislatívny proces.</w:t>
            </w:r>
          </w:p>
          <w:p w:rsidR="00B95F81" w:rsidRDefault="00B95F81" w:rsidP="00B95F81">
            <w:pPr>
              <w:spacing w:after="0"/>
              <w:ind w:right="112"/>
              <w:rPr>
                <w:sz w:val="20"/>
              </w:rPr>
            </w:pPr>
          </w:p>
          <w:p w:rsidR="004D73FA" w:rsidRDefault="004D73FA" w:rsidP="00B95F81">
            <w:pPr>
              <w:spacing w:after="0"/>
              <w:rPr>
                <w:b/>
                <w:bCs/>
                <w:sz w:val="20"/>
                <w:u w:val="single"/>
              </w:rPr>
            </w:pPr>
          </w:p>
          <w:p w:rsidR="00B95F81" w:rsidRPr="00B95F81" w:rsidRDefault="00B95F81" w:rsidP="00B95F81">
            <w:pPr>
              <w:spacing w:after="0"/>
              <w:rPr>
                <w:b/>
                <w:bCs/>
                <w:i/>
                <w:sz w:val="20"/>
                <w:u w:val="single"/>
              </w:rPr>
            </w:pPr>
            <w:r w:rsidRPr="00B95F81">
              <w:rPr>
                <w:b/>
                <w:bCs/>
                <w:sz w:val="20"/>
                <w:u w:val="single"/>
              </w:rPr>
              <w:t>Stredná priorita</w:t>
            </w:r>
            <w:r w:rsidRPr="00B95F81">
              <w:rPr>
                <w:b/>
                <w:bCs/>
                <w:sz w:val="20"/>
              </w:rPr>
              <w:t xml:space="preserve"> -</w:t>
            </w:r>
            <w:r w:rsidRPr="00B95F81">
              <w:rPr>
                <w:bCs/>
                <w:sz w:val="20"/>
              </w:rPr>
              <w:t xml:space="preserve"> Jedná sa o strategický dokument, ktorý nastaví smerovanie politiky manažmentu chemických látok v nasledujúcom období, dlhodobé a strednodobé ciele a zámery. Je potrebné dosiahnuť čo najlepšiu právnu reguláciu vzhľadom na negatívne vplyvy nebezpečných chemických látok na ŽP a zdravie ľudí.Pozn. Stratégia pre netoxické ŽP bola jednou z úloh EK už v rámci 7. Environmentálneho akčného programu, nebola však splnená.</w:t>
            </w:r>
          </w:p>
        </w:tc>
      </w:tr>
      <w:tr w:rsidR="00B675B3" w:rsidTr="008A2C73">
        <w:trPr>
          <w:cantSplit/>
        </w:trPr>
        <w:tc>
          <w:tcPr>
            <w:tcW w:w="511" w:type="dxa"/>
            <w:tcBorders>
              <w:bottom w:val="single" w:sz="4" w:space="0" w:color="auto"/>
              <w:right w:val="single" w:sz="4" w:space="0" w:color="auto"/>
            </w:tcBorders>
          </w:tcPr>
          <w:p w:rsidR="00B675B3" w:rsidRDefault="00B675B3">
            <w:pPr>
              <w:pStyle w:val="Odsekzoznamu"/>
              <w:numPr>
                <w:ilvl w:val="0"/>
                <w:numId w:val="18"/>
              </w:numPr>
              <w:spacing w:after="0"/>
              <w:ind w:left="426"/>
              <w:rPr>
                <w:noProof/>
                <w:sz w:val="20"/>
              </w:rPr>
            </w:pPr>
          </w:p>
        </w:tc>
        <w:tc>
          <w:tcPr>
            <w:tcW w:w="1752" w:type="dxa"/>
            <w:tcBorders>
              <w:left w:val="single" w:sz="4" w:space="0" w:color="auto"/>
              <w:bottom w:val="single" w:sz="4" w:space="0" w:color="auto"/>
              <w:right w:val="single" w:sz="4" w:space="0" w:color="auto"/>
            </w:tcBorders>
            <w:tcMar>
              <w:top w:w="85" w:type="dxa"/>
              <w:bottom w:w="85" w:type="dxa"/>
            </w:tcMar>
          </w:tcPr>
          <w:p w:rsidR="00B675B3" w:rsidRDefault="00B675B3" w:rsidP="00B675B3">
            <w:pPr>
              <w:spacing w:after="0"/>
              <w:jc w:val="left"/>
              <w:rPr>
                <w:b/>
                <w:bCs/>
                <w:noProof/>
                <w:sz w:val="20"/>
              </w:rPr>
            </w:pPr>
            <w:r>
              <w:rPr>
                <w:b/>
                <w:bCs/>
                <w:noProof/>
                <w:sz w:val="20"/>
              </w:rPr>
              <w:t>Udržateľná a inteligentná mobilita</w:t>
            </w:r>
          </w:p>
        </w:tc>
        <w:tc>
          <w:tcPr>
            <w:tcW w:w="4111" w:type="dxa"/>
            <w:tcBorders>
              <w:left w:val="single" w:sz="4" w:space="0" w:color="auto"/>
              <w:bottom w:val="single" w:sz="4" w:space="0" w:color="auto"/>
              <w:right w:val="single" w:sz="4" w:space="0" w:color="auto"/>
            </w:tcBorders>
            <w:tcMar>
              <w:top w:w="85" w:type="dxa"/>
              <w:bottom w:w="85" w:type="dxa"/>
            </w:tcMar>
          </w:tcPr>
          <w:p w:rsidR="00B675B3" w:rsidRDefault="00B675B3">
            <w:pPr>
              <w:spacing w:after="0"/>
              <w:jc w:val="left"/>
              <w:rPr>
                <w:noProof/>
                <w:sz w:val="20"/>
              </w:rPr>
            </w:pPr>
            <w:r>
              <w:rPr>
                <w:b/>
                <w:bCs/>
                <w:noProof/>
                <w:sz w:val="20"/>
              </w:rPr>
              <w:t>Stratégia pre udržateľnú a inteligentnú mobilitu</w:t>
            </w:r>
            <w:r>
              <w:rPr>
                <w:noProof/>
                <w:sz w:val="20"/>
              </w:rPr>
              <w:t xml:space="preserve"> (nelegislatívna iniciatíva, 4. štvrťrok 2020);</w:t>
            </w:r>
          </w:p>
          <w:p w:rsidR="00B675B3" w:rsidRDefault="00B675B3">
            <w:pPr>
              <w:spacing w:after="0"/>
              <w:jc w:val="left"/>
              <w:rPr>
                <w:noProof/>
                <w:sz w:val="20"/>
              </w:rPr>
            </w:pPr>
          </w:p>
          <w:p w:rsidR="009B37B3" w:rsidRDefault="009B37B3">
            <w:pPr>
              <w:spacing w:after="0"/>
              <w:jc w:val="left"/>
              <w:rPr>
                <w:b/>
                <w:bCs/>
                <w:noProof/>
                <w:sz w:val="20"/>
              </w:rPr>
            </w:pPr>
          </w:p>
          <w:p w:rsidR="009B37B3" w:rsidRDefault="009B37B3">
            <w:pPr>
              <w:spacing w:after="0"/>
              <w:jc w:val="left"/>
              <w:rPr>
                <w:b/>
                <w:bCs/>
                <w:noProof/>
                <w:sz w:val="20"/>
              </w:rPr>
            </w:pPr>
          </w:p>
          <w:p w:rsidR="009B37B3" w:rsidRDefault="009B37B3">
            <w:pPr>
              <w:spacing w:after="0"/>
              <w:jc w:val="left"/>
              <w:rPr>
                <w:b/>
                <w:bCs/>
                <w:noProof/>
                <w:sz w:val="20"/>
              </w:rPr>
            </w:pPr>
          </w:p>
          <w:p w:rsidR="009B37B3" w:rsidRDefault="009B37B3">
            <w:pPr>
              <w:spacing w:after="0"/>
              <w:jc w:val="left"/>
              <w:rPr>
                <w:b/>
                <w:bCs/>
                <w:noProof/>
                <w:sz w:val="20"/>
              </w:rPr>
            </w:pPr>
          </w:p>
          <w:p w:rsidR="009B37B3" w:rsidRDefault="009B37B3">
            <w:pPr>
              <w:spacing w:after="0"/>
              <w:jc w:val="left"/>
              <w:rPr>
                <w:b/>
                <w:bCs/>
                <w:noProof/>
                <w:sz w:val="20"/>
              </w:rPr>
            </w:pPr>
          </w:p>
          <w:p w:rsidR="009B37B3" w:rsidRDefault="009B37B3">
            <w:pPr>
              <w:spacing w:after="0"/>
              <w:jc w:val="left"/>
              <w:rPr>
                <w:b/>
                <w:bCs/>
                <w:noProof/>
                <w:sz w:val="20"/>
              </w:rPr>
            </w:pPr>
          </w:p>
          <w:p w:rsidR="009B37B3" w:rsidRDefault="009B37B3">
            <w:pPr>
              <w:spacing w:after="0"/>
              <w:jc w:val="left"/>
              <w:rPr>
                <w:b/>
                <w:bCs/>
                <w:noProof/>
                <w:sz w:val="20"/>
              </w:rPr>
            </w:pPr>
          </w:p>
          <w:p w:rsidR="009B37B3" w:rsidRDefault="009B37B3">
            <w:pPr>
              <w:spacing w:after="0"/>
              <w:jc w:val="left"/>
              <w:rPr>
                <w:b/>
                <w:bCs/>
                <w:noProof/>
                <w:sz w:val="20"/>
              </w:rPr>
            </w:pPr>
          </w:p>
          <w:p w:rsidR="00B675B3" w:rsidRDefault="00B675B3">
            <w:pPr>
              <w:spacing w:after="0"/>
              <w:jc w:val="left"/>
              <w:rPr>
                <w:noProof/>
                <w:sz w:val="20"/>
              </w:rPr>
            </w:pPr>
            <w:r>
              <w:rPr>
                <w:b/>
                <w:bCs/>
                <w:noProof/>
                <w:sz w:val="20"/>
              </w:rPr>
              <w:t>„ReFuelEU Aviation“ – udržateľné letecké palivá</w:t>
            </w:r>
            <w:r>
              <w:rPr>
                <w:noProof/>
                <w:sz w:val="20"/>
              </w:rPr>
              <w:t xml:space="preserve"> (legislatívna iniciatíva vrátane posúdenia vplyvu, článok 100 ods. 2 ZFEÚ a/alebo článok 192 ods. 1 ZFEÚ, 4. štvrťrok 2020);</w:t>
            </w:r>
          </w:p>
          <w:p w:rsidR="00B675B3" w:rsidRDefault="00B675B3">
            <w:pPr>
              <w:spacing w:after="0"/>
              <w:jc w:val="left"/>
              <w:rPr>
                <w:noProof/>
                <w:sz w:val="20"/>
              </w:rPr>
            </w:pPr>
          </w:p>
          <w:p w:rsidR="00B675B3" w:rsidRDefault="00B675B3">
            <w:pPr>
              <w:spacing w:after="0"/>
              <w:jc w:val="left"/>
              <w:rPr>
                <w:noProof/>
                <w:sz w:val="20"/>
              </w:rPr>
            </w:pPr>
            <w:r>
              <w:rPr>
                <w:b/>
                <w:bCs/>
                <w:noProof/>
                <w:sz w:val="20"/>
              </w:rPr>
              <w:t>„FuelEU Maritime“ – ekologický európsky námorný priestor</w:t>
            </w:r>
            <w:r>
              <w:rPr>
                <w:noProof/>
                <w:sz w:val="20"/>
              </w:rPr>
              <w:t xml:space="preserve"> (legislatívna iniciatíva vrátane posúdenia vplyvu, článok 100 ods. 2 ZFEÚ a/alebo článok 192 ods. 1 ZFEÚ, 4. štvrťrok 2020)</w:t>
            </w:r>
          </w:p>
        </w:tc>
        <w:tc>
          <w:tcPr>
            <w:tcW w:w="1418" w:type="dxa"/>
            <w:tcBorders>
              <w:left w:val="single" w:sz="4" w:space="0" w:color="auto"/>
              <w:bottom w:val="single" w:sz="4" w:space="0" w:color="auto"/>
              <w:right w:val="single" w:sz="4" w:space="0" w:color="auto"/>
            </w:tcBorders>
          </w:tcPr>
          <w:p w:rsidR="009B37B3" w:rsidRPr="00AC065F" w:rsidRDefault="009B37B3" w:rsidP="00A026B9">
            <w:pPr>
              <w:spacing w:after="0"/>
              <w:ind w:right="112"/>
              <w:jc w:val="center"/>
              <w:rPr>
                <w:b/>
                <w:bCs/>
                <w:noProof/>
                <w:sz w:val="20"/>
              </w:rPr>
            </w:pPr>
            <w:r w:rsidRPr="00AC065F">
              <w:rPr>
                <w:b/>
                <w:bCs/>
                <w:noProof/>
                <w:sz w:val="20"/>
              </w:rPr>
              <w:t>MDV SR</w:t>
            </w:r>
          </w:p>
          <w:p w:rsidR="00B675B3" w:rsidRDefault="00120127" w:rsidP="00A026B9">
            <w:pPr>
              <w:spacing w:after="0"/>
              <w:jc w:val="center"/>
              <w:rPr>
                <w:b/>
                <w:bCs/>
                <w:noProof/>
                <w:sz w:val="20"/>
              </w:rPr>
            </w:pPr>
            <w:r>
              <w:rPr>
                <w:b/>
                <w:bCs/>
                <w:noProof/>
                <w:sz w:val="20"/>
              </w:rPr>
              <w:t>MH SR</w:t>
            </w:r>
          </w:p>
          <w:p w:rsidR="004D73FA" w:rsidRDefault="00AC065F" w:rsidP="00A026B9">
            <w:pPr>
              <w:spacing w:after="0"/>
              <w:jc w:val="center"/>
              <w:rPr>
                <w:b/>
                <w:bCs/>
                <w:noProof/>
                <w:sz w:val="20"/>
              </w:rPr>
            </w:pPr>
            <w:r w:rsidRPr="00AC065F">
              <w:rPr>
                <w:b/>
                <w:bCs/>
                <w:noProof/>
                <w:sz w:val="20"/>
              </w:rPr>
              <w:t>ÚPVII</w:t>
            </w:r>
          </w:p>
          <w:p w:rsidR="004D73FA" w:rsidRDefault="004D73FA" w:rsidP="00A026B9">
            <w:pPr>
              <w:spacing w:after="0"/>
              <w:jc w:val="center"/>
              <w:rPr>
                <w:b/>
                <w:bCs/>
                <w:noProof/>
                <w:sz w:val="20"/>
              </w:rPr>
            </w:pPr>
            <w:r>
              <w:rPr>
                <w:b/>
                <w:bCs/>
                <w:noProof/>
                <w:sz w:val="20"/>
              </w:rPr>
              <w:t>MŽP SR</w:t>
            </w:r>
          </w:p>
          <w:p w:rsidR="009B37B3" w:rsidRDefault="009B37B3" w:rsidP="00A026B9">
            <w:pPr>
              <w:spacing w:after="0"/>
              <w:jc w:val="center"/>
              <w:rPr>
                <w:b/>
                <w:bCs/>
                <w:noProof/>
                <w:sz w:val="20"/>
              </w:rPr>
            </w:pPr>
          </w:p>
          <w:p w:rsidR="009B37B3" w:rsidRDefault="009B37B3" w:rsidP="00A026B9">
            <w:pPr>
              <w:spacing w:after="0"/>
              <w:jc w:val="center"/>
              <w:rPr>
                <w:b/>
                <w:bCs/>
                <w:noProof/>
                <w:sz w:val="20"/>
              </w:rPr>
            </w:pPr>
          </w:p>
          <w:p w:rsidR="009B37B3" w:rsidRDefault="009B37B3" w:rsidP="00A026B9">
            <w:pPr>
              <w:spacing w:after="0"/>
              <w:jc w:val="center"/>
              <w:rPr>
                <w:b/>
                <w:bCs/>
                <w:noProof/>
                <w:sz w:val="20"/>
              </w:rPr>
            </w:pPr>
          </w:p>
          <w:p w:rsidR="009B37B3" w:rsidRDefault="009B37B3" w:rsidP="00A026B9">
            <w:pPr>
              <w:spacing w:after="0"/>
              <w:jc w:val="center"/>
              <w:rPr>
                <w:b/>
                <w:bCs/>
                <w:noProof/>
                <w:sz w:val="20"/>
              </w:rPr>
            </w:pPr>
          </w:p>
          <w:p w:rsidR="009B37B3" w:rsidRDefault="009B37B3" w:rsidP="00A026B9">
            <w:pPr>
              <w:spacing w:after="0"/>
              <w:jc w:val="center"/>
              <w:rPr>
                <w:b/>
                <w:bCs/>
                <w:noProof/>
                <w:sz w:val="20"/>
              </w:rPr>
            </w:pPr>
          </w:p>
          <w:p w:rsidR="009B37B3" w:rsidRDefault="009B37B3" w:rsidP="00A026B9">
            <w:pPr>
              <w:spacing w:after="0"/>
              <w:jc w:val="center"/>
              <w:rPr>
                <w:b/>
                <w:bCs/>
                <w:noProof/>
                <w:sz w:val="20"/>
              </w:rPr>
            </w:pPr>
          </w:p>
          <w:p w:rsidR="009B37B3" w:rsidRDefault="009B37B3" w:rsidP="00A026B9">
            <w:pPr>
              <w:spacing w:after="0"/>
              <w:jc w:val="center"/>
              <w:rPr>
                <w:b/>
                <w:bCs/>
                <w:noProof/>
                <w:sz w:val="20"/>
              </w:rPr>
            </w:pPr>
          </w:p>
          <w:p w:rsidR="009B37B3" w:rsidRDefault="009B37B3" w:rsidP="00A026B9">
            <w:pPr>
              <w:spacing w:after="0"/>
              <w:ind w:right="112"/>
              <w:jc w:val="center"/>
              <w:rPr>
                <w:sz w:val="20"/>
                <w:highlight w:val="yellow"/>
              </w:rPr>
            </w:pPr>
          </w:p>
          <w:p w:rsidR="009B37B3" w:rsidRDefault="009B37B3" w:rsidP="00A026B9">
            <w:pPr>
              <w:spacing w:after="0"/>
              <w:jc w:val="center"/>
              <w:rPr>
                <w:b/>
                <w:sz w:val="20"/>
              </w:rPr>
            </w:pPr>
            <w:r w:rsidRPr="009B37B3">
              <w:rPr>
                <w:b/>
                <w:sz w:val="20"/>
              </w:rPr>
              <w:t>MDV SR</w:t>
            </w:r>
          </w:p>
          <w:p w:rsidR="009B37B3" w:rsidRDefault="009B37B3" w:rsidP="00A026B9">
            <w:pPr>
              <w:spacing w:after="0"/>
              <w:jc w:val="center"/>
              <w:rPr>
                <w:b/>
                <w:sz w:val="20"/>
              </w:rPr>
            </w:pPr>
            <w:r w:rsidRPr="009B37B3">
              <w:rPr>
                <w:b/>
                <w:sz w:val="20"/>
              </w:rPr>
              <w:t>MŽP SR</w:t>
            </w:r>
          </w:p>
          <w:p w:rsidR="009B37B3" w:rsidRDefault="009B37B3" w:rsidP="00A026B9">
            <w:pPr>
              <w:spacing w:after="0"/>
              <w:jc w:val="center"/>
              <w:rPr>
                <w:b/>
                <w:sz w:val="20"/>
              </w:rPr>
            </w:pPr>
            <w:r w:rsidRPr="009B37B3">
              <w:rPr>
                <w:b/>
                <w:sz w:val="20"/>
              </w:rPr>
              <w:t>MH SR</w:t>
            </w:r>
          </w:p>
          <w:p w:rsidR="009B37B3" w:rsidRDefault="009B37B3" w:rsidP="00A026B9">
            <w:pPr>
              <w:spacing w:after="0"/>
              <w:jc w:val="center"/>
              <w:rPr>
                <w:b/>
                <w:sz w:val="20"/>
              </w:rPr>
            </w:pPr>
          </w:p>
          <w:p w:rsidR="009B37B3" w:rsidRDefault="009B37B3" w:rsidP="00A026B9">
            <w:pPr>
              <w:spacing w:after="0"/>
              <w:jc w:val="center"/>
              <w:rPr>
                <w:b/>
                <w:sz w:val="20"/>
              </w:rPr>
            </w:pPr>
          </w:p>
          <w:p w:rsidR="009B37B3" w:rsidRDefault="009B37B3" w:rsidP="00A026B9">
            <w:pPr>
              <w:spacing w:after="0"/>
              <w:jc w:val="center"/>
              <w:rPr>
                <w:b/>
                <w:sz w:val="20"/>
              </w:rPr>
            </w:pPr>
            <w:r w:rsidRPr="009B37B3">
              <w:rPr>
                <w:b/>
                <w:sz w:val="20"/>
              </w:rPr>
              <w:t>MDV SR</w:t>
            </w:r>
          </w:p>
          <w:p w:rsidR="009B37B3" w:rsidRDefault="009B37B3" w:rsidP="00A026B9">
            <w:pPr>
              <w:spacing w:after="0"/>
              <w:jc w:val="center"/>
              <w:rPr>
                <w:b/>
                <w:sz w:val="20"/>
              </w:rPr>
            </w:pPr>
            <w:r w:rsidRPr="009B37B3">
              <w:rPr>
                <w:b/>
                <w:sz w:val="20"/>
              </w:rPr>
              <w:t>MŽP SR</w:t>
            </w:r>
          </w:p>
          <w:p w:rsidR="009B37B3" w:rsidRPr="009B37B3" w:rsidRDefault="009B37B3" w:rsidP="00A026B9">
            <w:pPr>
              <w:spacing w:after="0"/>
              <w:jc w:val="center"/>
              <w:rPr>
                <w:b/>
                <w:sz w:val="20"/>
              </w:rPr>
            </w:pPr>
            <w:r w:rsidRPr="009B37B3">
              <w:rPr>
                <w:b/>
                <w:sz w:val="20"/>
              </w:rPr>
              <w:t>MH SR</w:t>
            </w:r>
          </w:p>
          <w:p w:rsidR="009B37B3" w:rsidRPr="009B37B3" w:rsidRDefault="009B37B3" w:rsidP="00A026B9">
            <w:pPr>
              <w:spacing w:after="0"/>
              <w:jc w:val="center"/>
              <w:rPr>
                <w:b/>
                <w:sz w:val="20"/>
              </w:rPr>
            </w:pPr>
          </w:p>
          <w:p w:rsidR="009B37B3" w:rsidRDefault="009B37B3" w:rsidP="00A026B9">
            <w:pPr>
              <w:spacing w:after="0"/>
              <w:jc w:val="center"/>
              <w:rPr>
                <w:b/>
                <w:bCs/>
                <w:noProof/>
                <w:sz w:val="20"/>
              </w:rPr>
            </w:pPr>
          </w:p>
        </w:tc>
        <w:tc>
          <w:tcPr>
            <w:tcW w:w="6804" w:type="dxa"/>
            <w:tcBorders>
              <w:left w:val="single" w:sz="4" w:space="0" w:color="auto"/>
              <w:bottom w:val="single" w:sz="4" w:space="0" w:color="auto"/>
              <w:right w:val="single" w:sz="4" w:space="0" w:color="auto"/>
            </w:tcBorders>
          </w:tcPr>
          <w:p w:rsidR="009B37B3" w:rsidRPr="009B37B3" w:rsidRDefault="009B37B3" w:rsidP="009B37B3">
            <w:pPr>
              <w:spacing w:after="0"/>
              <w:jc w:val="left"/>
              <w:rPr>
                <w:bCs/>
                <w:sz w:val="20"/>
              </w:rPr>
            </w:pPr>
            <w:r w:rsidRPr="009B37B3">
              <w:rPr>
                <w:b/>
                <w:bCs/>
                <w:sz w:val="20"/>
                <w:u w:val="single"/>
              </w:rPr>
              <w:t>Vysoká priorita</w:t>
            </w:r>
            <w:r>
              <w:rPr>
                <w:bCs/>
                <w:sz w:val="20"/>
              </w:rPr>
              <w:t xml:space="preserve"> - </w:t>
            </w:r>
            <w:r w:rsidRPr="008924A2">
              <w:rPr>
                <w:bCs/>
                <w:sz w:val="20"/>
              </w:rPr>
              <w:t xml:space="preserve">Revízia nariadenia TEN-T by mala reagovať aj na predpokladané nesplnenie cieľa, t.j. dobudovanie základnej siete do roku 2030. Rovnako môže dôjsť k zmene termínu dokončenie súhrnnej siete (momentálne 2050). SR nenavrhuje doplnenie nových TEN-T koridorov, avšak podporuje iniciatívu PL zaradiť do základnej siete koridor Via Carpatia.  EK sa rozhodla stiahnuť pôvodný návrh revízie smernice o kombinovanej doprave z roku 2017, keďže počas rokovaní bol ambiciózny návrh EK významne zmenený členskými štátmi. EK o.i. pôvodne navrhovala článok, ktorý vytváral pre ČŠ povinnosť investovať do intermodálnych terminálov. SR v tejto súvislosti upozorňovalo na potrebu vyjasnenia tohto ustanovenia vo vzťahu k pravidlám o poskytovaní štátnej pomoci, pokiaľ by malo dôsjť k vytvoreniu takejto povinnosti. </w:t>
            </w:r>
          </w:p>
          <w:p w:rsidR="009B37B3" w:rsidRDefault="009B37B3" w:rsidP="000F3FD5">
            <w:pPr>
              <w:spacing w:after="0"/>
              <w:ind w:right="112"/>
              <w:rPr>
                <w:sz w:val="20"/>
                <w:highlight w:val="yellow"/>
              </w:rPr>
            </w:pPr>
          </w:p>
          <w:p w:rsidR="009B37B3" w:rsidRPr="009B37B3" w:rsidRDefault="009B37B3" w:rsidP="009B37B3">
            <w:pPr>
              <w:spacing w:after="0"/>
              <w:ind w:right="112"/>
              <w:jc w:val="left"/>
              <w:rPr>
                <w:bCs/>
                <w:sz w:val="20"/>
              </w:rPr>
            </w:pPr>
            <w:r w:rsidRPr="009B37B3">
              <w:rPr>
                <w:b/>
                <w:bCs/>
                <w:sz w:val="20"/>
              </w:rPr>
              <w:t>S</w:t>
            </w:r>
            <w:r w:rsidRPr="009B37B3">
              <w:rPr>
                <w:b/>
                <w:bCs/>
                <w:sz w:val="20"/>
                <w:u w:val="single"/>
              </w:rPr>
              <w:t>tredná priorita</w:t>
            </w:r>
            <w:r>
              <w:rPr>
                <w:bCs/>
                <w:sz w:val="20"/>
              </w:rPr>
              <w:t xml:space="preserve"> - Z</w:t>
            </w:r>
            <w:r w:rsidRPr="008924A2">
              <w:rPr>
                <w:bCs/>
                <w:sz w:val="20"/>
              </w:rPr>
              <w:t>pohľadu SR vítaná iniciatíva, keďže jej cieľom je zavádzanie stimulov pre rozvoj SAF, ktoré môžu byť nástrojom na znižovanie emisií z leteckej dopravy (na rozdiel od zdaňovania kerozínu, resp. leteniek).</w:t>
            </w:r>
          </w:p>
          <w:p w:rsidR="009B37B3" w:rsidRDefault="009B37B3" w:rsidP="009B37B3">
            <w:pPr>
              <w:spacing w:after="0"/>
              <w:ind w:right="112"/>
              <w:jc w:val="left"/>
              <w:rPr>
                <w:b/>
                <w:bCs/>
                <w:sz w:val="20"/>
              </w:rPr>
            </w:pPr>
          </w:p>
          <w:p w:rsidR="009B37B3" w:rsidRDefault="009B37B3" w:rsidP="009B37B3">
            <w:pPr>
              <w:spacing w:after="0"/>
              <w:ind w:right="112"/>
              <w:jc w:val="left"/>
              <w:rPr>
                <w:b/>
                <w:bCs/>
                <w:sz w:val="20"/>
                <w:u w:val="single"/>
              </w:rPr>
            </w:pPr>
          </w:p>
          <w:p w:rsidR="009B37B3" w:rsidRPr="009B37B3" w:rsidRDefault="009B37B3" w:rsidP="009B37B3">
            <w:pPr>
              <w:spacing w:after="0"/>
              <w:ind w:right="112"/>
              <w:jc w:val="left"/>
              <w:rPr>
                <w:b/>
                <w:bCs/>
                <w:sz w:val="20"/>
                <w:u w:val="single"/>
              </w:rPr>
            </w:pPr>
            <w:r w:rsidRPr="009B37B3">
              <w:rPr>
                <w:b/>
                <w:bCs/>
                <w:sz w:val="20"/>
                <w:u w:val="single"/>
              </w:rPr>
              <w:t>Nízka priorita</w:t>
            </w:r>
            <w:r w:rsidRPr="009B37B3">
              <w:rPr>
                <w:b/>
                <w:bCs/>
                <w:sz w:val="20"/>
              </w:rPr>
              <w:t xml:space="preserve"> - </w:t>
            </w:r>
            <w:r w:rsidRPr="008924A2">
              <w:rPr>
                <w:bCs/>
                <w:sz w:val="20"/>
              </w:rPr>
              <w:t>SR z pozície vnútrozemského ČŠ podporuje uvedené ambície.</w:t>
            </w:r>
          </w:p>
          <w:p w:rsidR="009B37B3" w:rsidRDefault="009B37B3" w:rsidP="000F3FD5">
            <w:pPr>
              <w:spacing w:after="0"/>
              <w:ind w:right="112"/>
              <w:rPr>
                <w:sz w:val="20"/>
                <w:highlight w:val="yellow"/>
              </w:rPr>
            </w:pPr>
          </w:p>
          <w:p w:rsidR="009B37B3" w:rsidRDefault="009B37B3" w:rsidP="000F3FD5">
            <w:pPr>
              <w:spacing w:after="0"/>
              <w:ind w:right="112"/>
              <w:rPr>
                <w:sz w:val="20"/>
                <w:highlight w:val="yellow"/>
              </w:rPr>
            </w:pPr>
          </w:p>
          <w:p w:rsidR="009B37B3" w:rsidRDefault="009B37B3" w:rsidP="000F3FD5">
            <w:pPr>
              <w:spacing w:after="0"/>
              <w:ind w:right="112"/>
              <w:rPr>
                <w:sz w:val="20"/>
                <w:highlight w:val="yellow"/>
              </w:rPr>
            </w:pPr>
          </w:p>
          <w:p w:rsidR="00B675B3" w:rsidRDefault="00B675B3" w:rsidP="009B37B3">
            <w:pPr>
              <w:spacing w:after="0"/>
              <w:ind w:right="112"/>
              <w:rPr>
                <w:b/>
                <w:bCs/>
                <w:noProof/>
                <w:sz w:val="20"/>
              </w:rPr>
            </w:pPr>
          </w:p>
        </w:tc>
      </w:tr>
      <w:tr w:rsidR="00B675B3" w:rsidTr="008A2C73">
        <w:trPr>
          <w:cantSplit/>
        </w:trPr>
        <w:tc>
          <w:tcPr>
            <w:tcW w:w="6374" w:type="dxa"/>
            <w:gridSpan w:val="3"/>
            <w:tcBorders>
              <w:bottom w:val="single" w:sz="4" w:space="0" w:color="auto"/>
            </w:tcBorders>
            <w:shd w:val="clear" w:color="auto" w:fill="18BAA8" w:themeFill="accent2"/>
          </w:tcPr>
          <w:p w:rsidR="00B675B3" w:rsidRDefault="00B675B3">
            <w:pPr>
              <w:keepNext/>
              <w:spacing w:before="60" w:after="60"/>
              <w:rPr>
                <w:b/>
                <w:bCs/>
                <w:noProof/>
                <w:sz w:val="20"/>
              </w:rPr>
            </w:pPr>
            <w:r>
              <w:rPr>
                <w:b/>
                <w:bCs/>
                <w:noProof/>
                <w:color w:val="FFFFFF" w:themeColor="background1"/>
                <w:sz w:val="20"/>
              </w:rPr>
              <w:lastRenderedPageBreak/>
              <w:t>Európa pripravená na digitálny vek</w:t>
            </w:r>
          </w:p>
        </w:tc>
        <w:tc>
          <w:tcPr>
            <w:tcW w:w="1418" w:type="dxa"/>
            <w:tcBorders>
              <w:bottom w:val="single" w:sz="4" w:space="0" w:color="auto"/>
            </w:tcBorders>
            <w:shd w:val="clear" w:color="auto" w:fill="18BAA8" w:themeFill="accent2"/>
          </w:tcPr>
          <w:p w:rsidR="00B675B3" w:rsidRDefault="00B675B3" w:rsidP="00A026B9">
            <w:pPr>
              <w:keepNext/>
              <w:spacing w:before="60" w:after="60"/>
              <w:jc w:val="center"/>
              <w:rPr>
                <w:b/>
                <w:bCs/>
                <w:noProof/>
                <w:color w:val="FFFFFF" w:themeColor="background1"/>
                <w:sz w:val="20"/>
              </w:rPr>
            </w:pPr>
          </w:p>
        </w:tc>
        <w:tc>
          <w:tcPr>
            <w:tcW w:w="6804" w:type="dxa"/>
            <w:tcBorders>
              <w:bottom w:val="single" w:sz="4" w:space="0" w:color="auto"/>
            </w:tcBorders>
            <w:shd w:val="clear" w:color="auto" w:fill="18BAA8" w:themeFill="accent2"/>
          </w:tcPr>
          <w:p w:rsidR="00B675B3" w:rsidRDefault="00B675B3">
            <w:pPr>
              <w:keepNext/>
              <w:spacing w:before="60" w:after="60"/>
              <w:rPr>
                <w:b/>
                <w:bCs/>
                <w:noProof/>
                <w:color w:val="FFFFFF" w:themeColor="background1"/>
                <w:sz w:val="20"/>
              </w:rPr>
            </w:pPr>
          </w:p>
        </w:tc>
      </w:tr>
      <w:tr w:rsidR="00AC065F" w:rsidTr="008A2C73">
        <w:trPr>
          <w:cantSplit/>
        </w:trPr>
        <w:tc>
          <w:tcPr>
            <w:tcW w:w="511" w:type="dxa"/>
            <w:tcBorders>
              <w:bottom w:val="single" w:sz="4" w:space="0" w:color="auto"/>
              <w:right w:val="single" w:sz="4" w:space="0" w:color="auto"/>
            </w:tcBorders>
          </w:tcPr>
          <w:p w:rsidR="00AC065F" w:rsidRDefault="00AC065F" w:rsidP="00AC065F">
            <w:pPr>
              <w:pStyle w:val="Odsekzoznamu"/>
              <w:numPr>
                <w:ilvl w:val="0"/>
                <w:numId w:val="18"/>
              </w:numPr>
              <w:spacing w:after="0"/>
              <w:ind w:left="426"/>
              <w:rPr>
                <w:noProof/>
                <w:sz w:val="20"/>
              </w:rPr>
            </w:pPr>
            <w:r>
              <w:rPr>
                <w:noProof/>
                <w:color w:val="FFFFFF" w:themeColor="background1"/>
                <w:sz w:val="20"/>
              </w:rPr>
              <w:t>.</w:t>
            </w:r>
          </w:p>
        </w:tc>
        <w:tc>
          <w:tcPr>
            <w:tcW w:w="1752" w:type="dxa"/>
            <w:tcBorders>
              <w:left w:val="single" w:sz="4" w:space="0" w:color="auto"/>
              <w:bottom w:val="single" w:sz="4" w:space="0" w:color="auto"/>
            </w:tcBorders>
            <w:tcMar>
              <w:top w:w="85" w:type="dxa"/>
              <w:bottom w:w="85" w:type="dxa"/>
            </w:tcMar>
          </w:tcPr>
          <w:p w:rsidR="00AC065F" w:rsidRDefault="00AC065F" w:rsidP="00AC065F">
            <w:pPr>
              <w:spacing w:after="0"/>
              <w:rPr>
                <w:b/>
                <w:bCs/>
                <w:noProof/>
                <w:color w:val="000000"/>
                <w:sz w:val="20"/>
              </w:rPr>
            </w:pPr>
            <w:r>
              <w:rPr>
                <w:b/>
                <w:bCs/>
                <w:noProof/>
                <w:sz w:val="20"/>
              </w:rPr>
              <w:t>Európa pripravená na digitálny vek</w:t>
            </w:r>
          </w:p>
        </w:tc>
        <w:tc>
          <w:tcPr>
            <w:tcW w:w="4111" w:type="dxa"/>
            <w:tcBorders>
              <w:bottom w:val="single" w:sz="4" w:space="0" w:color="auto"/>
            </w:tcBorders>
            <w:tcMar>
              <w:top w:w="85" w:type="dxa"/>
              <w:bottom w:w="85" w:type="dxa"/>
            </w:tcMar>
          </w:tcPr>
          <w:p w:rsidR="00AC065F" w:rsidRDefault="00AC065F" w:rsidP="00AC065F">
            <w:pPr>
              <w:spacing w:after="0"/>
              <w:jc w:val="left"/>
              <w:rPr>
                <w:noProof/>
                <w:sz w:val="20"/>
              </w:rPr>
            </w:pPr>
            <w:r>
              <w:rPr>
                <w:b/>
                <w:bCs/>
                <w:noProof/>
                <w:sz w:val="20"/>
              </w:rPr>
              <w:t>Stratégia pre Európu – Európa pripravená na digitálny vek</w:t>
            </w:r>
            <w:r>
              <w:rPr>
                <w:noProof/>
                <w:sz w:val="20"/>
              </w:rPr>
              <w:t xml:space="preserve"> (nelegislatívna iniciatíva, 1. štvrťrok 2020);</w:t>
            </w:r>
          </w:p>
          <w:p w:rsidR="00AC065F" w:rsidRDefault="00AC065F" w:rsidP="00AC065F">
            <w:pPr>
              <w:spacing w:after="0"/>
              <w:jc w:val="left"/>
              <w:rPr>
                <w:noProof/>
                <w:sz w:val="20"/>
              </w:rPr>
            </w:pPr>
          </w:p>
          <w:p w:rsidR="00923700" w:rsidRDefault="00923700" w:rsidP="00AC065F">
            <w:pPr>
              <w:spacing w:after="0"/>
              <w:jc w:val="left"/>
              <w:rPr>
                <w:b/>
                <w:bCs/>
                <w:noProof/>
                <w:sz w:val="20"/>
              </w:rPr>
            </w:pPr>
          </w:p>
          <w:p w:rsidR="00923700" w:rsidRDefault="00923700" w:rsidP="00AC065F">
            <w:pPr>
              <w:spacing w:after="0"/>
              <w:jc w:val="left"/>
              <w:rPr>
                <w:b/>
                <w:bCs/>
                <w:noProof/>
                <w:sz w:val="20"/>
              </w:rPr>
            </w:pPr>
          </w:p>
          <w:p w:rsidR="00923700" w:rsidRDefault="00923700" w:rsidP="00AC065F">
            <w:pPr>
              <w:spacing w:after="0"/>
              <w:jc w:val="left"/>
              <w:rPr>
                <w:b/>
                <w:bCs/>
                <w:noProof/>
                <w:sz w:val="20"/>
              </w:rPr>
            </w:pPr>
          </w:p>
          <w:p w:rsidR="00923700" w:rsidRDefault="00923700" w:rsidP="00AC065F">
            <w:pPr>
              <w:spacing w:after="0"/>
              <w:jc w:val="left"/>
              <w:rPr>
                <w:b/>
                <w:bCs/>
                <w:noProof/>
                <w:sz w:val="20"/>
              </w:rPr>
            </w:pPr>
          </w:p>
          <w:p w:rsidR="00923700" w:rsidRDefault="00923700" w:rsidP="00AC065F">
            <w:pPr>
              <w:spacing w:after="0"/>
              <w:jc w:val="left"/>
              <w:rPr>
                <w:b/>
                <w:bCs/>
                <w:noProof/>
                <w:sz w:val="20"/>
              </w:rPr>
            </w:pPr>
          </w:p>
          <w:p w:rsidR="00923700" w:rsidRDefault="00923700" w:rsidP="00AC065F">
            <w:pPr>
              <w:spacing w:after="0"/>
              <w:jc w:val="left"/>
              <w:rPr>
                <w:b/>
                <w:bCs/>
                <w:noProof/>
                <w:sz w:val="20"/>
              </w:rPr>
            </w:pPr>
          </w:p>
          <w:p w:rsidR="00923700" w:rsidRDefault="00923700" w:rsidP="00AC065F">
            <w:pPr>
              <w:spacing w:after="0"/>
              <w:jc w:val="left"/>
              <w:rPr>
                <w:b/>
                <w:bCs/>
                <w:noProof/>
                <w:sz w:val="20"/>
              </w:rPr>
            </w:pPr>
          </w:p>
          <w:p w:rsidR="00923700" w:rsidRDefault="00923700" w:rsidP="00AC065F">
            <w:pPr>
              <w:spacing w:after="0"/>
              <w:jc w:val="left"/>
              <w:rPr>
                <w:b/>
                <w:bCs/>
                <w:noProof/>
                <w:sz w:val="20"/>
              </w:rPr>
            </w:pPr>
          </w:p>
          <w:p w:rsidR="00923700" w:rsidRDefault="00923700" w:rsidP="00AC065F">
            <w:pPr>
              <w:spacing w:after="0"/>
              <w:jc w:val="left"/>
              <w:rPr>
                <w:b/>
                <w:bCs/>
                <w:noProof/>
                <w:sz w:val="20"/>
              </w:rPr>
            </w:pPr>
          </w:p>
          <w:p w:rsidR="00923700" w:rsidRDefault="00923700" w:rsidP="00AC065F">
            <w:pPr>
              <w:spacing w:after="0"/>
              <w:jc w:val="left"/>
              <w:rPr>
                <w:b/>
                <w:bCs/>
                <w:noProof/>
                <w:sz w:val="20"/>
              </w:rPr>
            </w:pPr>
          </w:p>
          <w:p w:rsidR="00923700" w:rsidRDefault="00923700" w:rsidP="00AC065F">
            <w:pPr>
              <w:spacing w:after="0"/>
              <w:jc w:val="left"/>
              <w:rPr>
                <w:b/>
                <w:bCs/>
                <w:noProof/>
                <w:sz w:val="20"/>
              </w:rPr>
            </w:pPr>
          </w:p>
          <w:p w:rsidR="00923700" w:rsidRDefault="00923700" w:rsidP="00AC065F">
            <w:pPr>
              <w:spacing w:after="0"/>
              <w:jc w:val="left"/>
              <w:rPr>
                <w:b/>
                <w:bCs/>
                <w:noProof/>
                <w:sz w:val="20"/>
              </w:rPr>
            </w:pPr>
          </w:p>
          <w:p w:rsidR="00AC065F" w:rsidRDefault="00AC065F" w:rsidP="00AC065F">
            <w:pPr>
              <w:spacing w:after="0"/>
              <w:jc w:val="left"/>
              <w:rPr>
                <w:noProof/>
                <w:color w:val="000000" w:themeColor="text1"/>
                <w:sz w:val="20"/>
              </w:rPr>
            </w:pPr>
            <w:r>
              <w:rPr>
                <w:b/>
                <w:bCs/>
                <w:noProof/>
                <w:sz w:val="20"/>
              </w:rPr>
              <w:t>Akčný plán digitálneho vzdelávania (aktualizácia)</w:t>
            </w:r>
            <w:r>
              <w:rPr>
                <w:noProof/>
                <w:sz w:val="20"/>
              </w:rPr>
              <w:t xml:space="preserve"> (nelegislatívna iniciatíva, 2. štvrťrok 2020)</w:t>
            </w:r>
          </w:p>
        </w:tc>
        <w:tc>
          <w:tcPr>
            <w:tcW w:w="1418" w:type="dxa"/>
            <w:tcBorders>
              <w:bottom w:val="single" w:sz="4" w:space="0" w:color="auto"/>
            </w:tcBorders>
          </w:tcPr>
          <w:p w:rsidR="00923700" w:rsidRDefault="00923700" w:rsidP="00A026B9">
            <w:pPr>
              <w:spacing w:after="0"/>
              <w:ind w:right="112"/>
              <w:jc w:val="center"/>
              <w:rPr>
                <w:b/>
                <w:sz w:val="20"/>
              </w:rPr>
            </w:pPr>
            <w:r w:rsidRPr="00923700">
              <w:rPr>
                <w:b/>
                <w:sz w:val="20"/>
              </w:rPr>
              <w:t>ÚPVII</w:t>
            </w:r>
          </w:p>
          <w:p w:rsidR="00923700" w:rsidRDefault="00923700" w:rsidP="00A026B9">
            <w:pPr>
              <w:spacing w:after="0"/>
              <w:ind w:right="112"/>
              <w:jc w:val="center"/>
              <w:rPr>
                <w:b/>
                <w:sz w:val="20"/>
              </w:rPr>
            </w:pPr>
          </w:p>
          <w:p w:rsidR="00923700" w:rsidRDefault="00923700" w:rsidP="00A026B9">
            <w:pPr>
              <w:spacing w:after="0"/>
              <w:ind w:right="112"/>
              <w:jc w:val="center"/>
              <w:rPr>
                <w:b/>
                <w:sz w:val="20"/>
              </w:rPr>
            </w:pPr>
          </w:p>
          <w:p w:rsidR="00923700" w:rsidRDefault="00923700" w:rsidP="00A026B9">
            <w:pPr>
              <w:spacing w:after="0"/>
              <w:ind w:right="112"/>
              <w:jc w:val="center"/>
              <w:rPr>
                <w:b/>
                <w:sz w:val="20"/>
              </w:rPr>
            </w:pPr>
          </w:p>
          <w:p w:rsidR="00923700" w:rsidRDefault="00923700" w:rsidP="00A026B9">
            <w:pPr>
              <w:spacing w:after="0"/>
              <w:ind w:right="112"/>
              <w:jc w:val="center"/>
              <w:rPr>
                <w:b/>
                <w:sz w:val="20"/>
              </w:rPr>
            </w:pPr>
          </w:p>
          <w:p w:rsidR="00923700" w:rsidRDefault="00923700" w:rsidP="00A026B9">
            <w:pPr>
              <w:spacing w:after="0"/>
              <w:ind w:right="112"/>
              <w:jc w:val="center"/>
              <w:rPr>
                <w:b/>
                <w:sz w:val="20"/>
              </w:rPr>
            </w:pPr>
          </w:p>
          <w:p w:rsidR="00923700" w:rsidRDefault="00923700" w:rsidP="00A026B9">
            <w:pPr>
              <w:spacing w:after="0"/>
              <w:ind w:right="112"/>
              <w:jc w:val="center"/>
              <w:rPr>
                <w:b/>
                <w:sz w:val="20"/>
              </w:rPr>
            </w:pPr>
          </w:p>
          <w:p w:rsidR="00923700" w:rsidRDefault="00923700" w:rsidP="00A026B9">
            <w:pPr>
              <w:spacing w:after="0"/>
              <w:ind w:right="112"/>
              <w:jc w:val="center"/>
              <w:rPr>
                <w:b/>
                <w:sz w:val="20"/>
              </w:rPr>
            </w:pPr>
          </w:p>
          <w:p w:rsidR="00923700" w:rsidRDefault="00923700" w:rsidP="00A026B9">
            <w:pPr>
              <w:spacing w:after="0"/>
              <w:ind w:right="112"/>
              <w:jc w:val="center"/>
              <w:rPr>
                <w:b/>
                <w:sz w:val="20"/>
              </w:rPr>
            </w:pPr>
          </w:p>
          <w:p w:rsidR="00923700" w:rsidRDefault="00923700" w:rsidP="00A026B9">
            <w:pPr>
              <w:spacing w:after="0"/>
              <w:ind w:right="112"/>
              <w:jc w:val="center"/>
              <w:rPr>
                <w:b/>
                <w:sz w:val="20"/>
              </w:rPr>
            </w:pPr>
          </w:p>
          <w:p w:rsidR="00923700" w:rsidRDefault="00923700" w:rsidP="00A026B9">
            <w:pPr>
              <w:spacing w:after="0"/>
              <w:ind w:right="112"/>
              <w:jc w:val="center"/>
              <w:rPr>
                <w:b/>
                <w:sz w:val="20"/>
              </w:rPr>
            </w:pPr>
          </w:p>
          <w:p w:rsidR="00923700" w:rsidRDefault="00923700" w:rsidP="00A026B9">
            <w:pPr>
              <w:spacing w:after="0"/>
              <w:ind w:right="112"/>
              <w:jc w:val="center"/>
              <w:rPr>
                <w:b/>
                <w:sz w:val="20"/>
              </w:rPr>
            </w:pPr>
          </w:p>
          <w:p w:rsidR="00923700" w:rsidRDefault="00923700" w:rsidP="00A026B9">
            <w:pPr>
              <w:spacing w:after="0"/>
              <w:ind w:right="112"/>
              <w:jc w:val="center"/>
              <w:rPr>
                <w:b/>
                <w:sz w:val="20"/>
              </w:rPr>
            </w:pPr>
          </w:p>
          <w:p w:rsidR="00923700" w:rsidRDefault="00923700" w:rsidP="00A026B9">
            <w:pPr>
              <w:spacing w:after="0"/>
              <w:ind w:right="112"/>
              <w:jc w:val="center"/>
              <w:rPr>
                <w:b/>
                <w:sz w:val="20"/>
              </w:rPr>
            </w:pPr>
          </w:p>
          <w:p w:rsidR="00923700" w:rsidRDefault="00923700" w:rsidP="00A026B9">
            <w:pPr>
              <w:spacing w:after="0"/>
              <w:ind w:right="112"/>
              <w:jc w:val="center"/>
              <w:rPr>
                <w:b/>
                <w:sz w:val="20"/>
              </w:rPr>
            </w:pPr>
          </w:p>
          <w:p w:rsidR="00923700" w:rsidRDefault="00923700" w:rsidP="00A026B9">
            <w:pPr>
              <w:spacing w:after="0"/>
              <w:ind w:right="112"/>
              <w:jc w:val="center"/>
              <w:rPr>
                <w:b/>
                <w:sz w:val="20"/>
              </w:rPr>
            </w:pPr>
          </w:p>
          <w:p w:rsidR="006258BD" w:rsidRPr="00923700" w:rsidRDefault="006258BD" w:rsidP="00A026B9">
            <w:pPr>
              <w:spacing w:after="0"/>
              <w:ind w:right="112"/>
              <w:jc w:val="center"/>
              <w:rPr>
                <w:b/>
                <w:sz w:val="20"/>
              </w:rPr>
            </w:pPr>
            <w:r>
              <w:rPr>
                <w:b/>
                <w:sz w:val="20"/>
              </w:rPr>
              <w:t xml:space="preserve">MŠVVaŠ </w:t>
            </w:r>
            <w:r w:rsidRPr="00923700">
              <w:rPr>
                <w:b/>
                <w:sz w:val="20"/>
              </w:rPr>
              <w:t xml:space="preserve"> SR</w:t>
            </w:r>
          </w:p>
          <w:p w:rsidR="00123EF9" w:rsidRPr="00923700" w:rsidRDefault="00123EF9" w:rsidP="00A026B9">
            <w:pPr>
              <w:spacing w:after="0"/>
              <w:ind w:right="112"/>
              <w:jc w:val="center"/>
              <w:rPr>
                <w:b/>
                <w:sz w:val="20"/>
              </w:rPr>
            </w:pPr>
            <w:r w:rsidRPr="00923700">
              <w:rPr>
                <w:b/>
                <w:sz w:val="20"/>
              </w:rPr>
              <w:t>ÚPVII</w:t>
            </w:r>
          </w:p>
          <w:p w:rsidR="00AC065F" w:rsidRDefault="00AC065F" w:rsidP="00A026B9">
            <w:pPr>
              <w:spacing w:after="0"/>
              <w:ind w:right="112"/>
              <w:jc w:val="center"/>
              <w:rPr>
                <w:b/>
                <w:bCs/>
                <w:noProof/>
                <w:sz w:val="20"/>
              </w:rPr>
            </w:pPr>
          </w:p>
        </w:tc>
        <w:tc>
          <w:tcPr>
            <w:tcW w:w="6804" w:type="dxa"/>
            <w:tcBorders>
              <w:bottom w:val="single" w:sz="4" w:space="0" w:color="auto"/>
            </w:tcBorders>
          </w:tcPr>
          <w:p w:rsidR="00AC065F" w:rsidRPr="00EB30A6" w:rsidRDefault="00AC065F" w:rsidP="00AC065F">
            <w:pPr>
              <w:spacing w:after="0"/>
              <w:ind w:right="112"/>
              <w:rPr>
                <w:sz w:val="20"/>
              </w:rPr>
            </w:pPr>
            <w:r w:rsidRPr="00EB30A6">
              <w:rPr>
                <w:b/>
                <w:sz w:val="20"/>
                <w:u w:val="single"/>
              </w:rPr>
              <w:t>Vysoká priorita</w:t>
            </w:r>
            <w:r w:rsidR="00923700" w:rsidRPr="00EB30A6">
              <w:rPr>
                <w:b/>
                <w:sz w:val="20"/>
              </w:rPr>
              <w:t xml:space="preserve"> - </w:t>
            </w:r>
            <w:r w:rsidRPr="00EB30A6">
              <w:rPr>
                <w:rFonts w:cstheme="minorHAnsi"/>
                <w:bCs/>
                <w:sz w:val="20"/>
              </w:rPr>
              <w:t>Ide o hlavný strategický dokument EÚ v digitálnej oblasti, ktorý nahradí Stratégiu pre jednotný digitálny trh v Európe z roku 2015</w:t>
            </w:r>
            <w:r w:rsidR="00923700" w:rsidRPr="00EB30A6">
              <w:rPr>
                <w:rFonts w:cstheme="minorHAnsi"/>
                <w:bCs/>
                <w:sz w:val="20"/>
              </w:rPr>
              <w:t>.</w:t>
            </w:r>
            <w:r w:rsidRPr="00EB30A6">
              <w:rPr>
                <w:rFonts w:cstheme="minorHAnsi"/>
                <w:bCs/>
                <w:sz w:val="20"/>
              </w:rPr>
              <w:t xml:space="preserve"> </w:t>
            </w:r>
            <w:r w:rsidRPr="00EB30A6">
              <w:rPr>
                <w:rStyle w:val="tlid-translation"/>
                <w:sz w:val="20"/>
              </w:rPr>
              <w:t>Stratégia je kľúčovým elementom pre úspešnú digitálnu transformáciu EÚ aj Slovenska a tiež predpokladom pre zachovanie jej globálnej konkurencieschopnosti a hospodárskeho rastu. SR podporuje prijatie novej stratégie. Výzvou z pohľadu SR bude, aby pre opatrenia digitálnej transformácie boli alokované dostatočné investičné zdroje</w:t>
            </w:r>
            <w:r w:rsidR="00CC070C" w:rsidRPr="00EB30A6">
              <w:rPr>
                <w:rStyle w:val="tlid-translation"/>
                <w:sz w:val="20"/>
              </w:rPr>
              <w:t xml:space="preserve">. </w:t>
            </w:r>
            <w:r w:rsidRPr="00EB30A6">
              <w:rPr>
                <w:sz w:val="20"/>
              </w:rPr>
              <w:t xml:space="preserve">Pokiaľ ide o konektivitu, SR ju pokladá za nevyhnutný predpoklad digitalizácie. Bol vypracovaný </w:t>
            </w:r>
            <w:r w:rsidRPr="00EB30A6">
              <w:rPr>
                <w:i/>
                <w:sz w:val="20"/>
              </w:rPr>
              <w:t>Národný broadbandový plán</w:t>
            </w:r>
            <w:r w:rsidRPr="00EB30A6">
              <w:rPr>
                <w:sz w:val="20"/>
              </w:rPr>
              <w:t xml:space="preserve"> (NBP), ktorý definuje strategický prístup Slovenska pri budovaní sietí s veľmi vysokou kapacitou a pri zavádzaní ultra-rýchleho širokopásmového pripojenia tak, aby došlo k naplneniu cieľov EÚ pre gigabitovú spoločnosť EÚ,  a strategických zámerov Slovenska v oblasti ďalšieho rozvoja komunikačnej infraštruktúry Uvedený cieľ pre </w:t>
            </w:r>
            <w:r w:rsidRPr="00EB30A6">
              <w:rPr>
                <w:i/>
                <w:sz w:val="20"/>
              </w:rPr>
              <w:t>A Europe Fit for the Digital Age</w:t>
            </w:r>
            <w:r w:rsidRPr="00EB30A6">
              <w:rPr>
                <w:sz w:val="20"/>
              </w:rPr>
              <w:t xml:space="preserve"> je aj cieľom NBP.  SR plánuje pri realizácii NBP využiť prostriedky alokované na programové obdobie 2021 - 2027.</w:t>
            </w:r>
          </w:p>
          <w:p w:rsidR="00083E0E" w:rsidRPr="00EB30A6" w:rsidRDefault="00083E0E" w:rsidP="00AC065F">
            <w:pPr>
              <w:spacing w:after="0"/>
              <w:ind w:right="112"/>
              <w:rPr>
                <w:sz w:val="20"/>
              </w:rPr>
            </w:pPr>
          </w:p>
          <w:p w:rsidR="00083E0E" w:rsidRPr="00EB30A6" w:rsidRDefault="00EB30A6" w:rsidP="006258BD">
            <w:pPr>
              <w:spacing w:after="0"/>
              <w:ind w:right="112"/>
              <w:rPr>
                <w:b/>
                <w:sz w:val="20"/>
              </w:rPr>
            </w:pPr>
            <w:r w:rsidRPr="00EB30A6">
              <w:rPr>
                <w:b/>
                <w:sz w:val="20"/>
                <w:u w:val="single"/>
              </w:rPr>
              <w:t xml:space="preserve">Stredná </w:t>
            </w:r>
            <w:r w:rsidR="00083E0E" w:rsidRPr="00EB30A6">
              <w:rPr>
                <w:b/>
                <w:sz w:val="20"/>
                <w:u w:val="single"/>
              </w:rPr>
              <w:t>priorita</w:t>
            </w:r>
            <w:r w:rsidR="00083E0E" w:rsidRPr="006258BD">
              <w:rPr>
                <w:bCs/>
                <w:color w:val="000000" w:themeColor="text1"/>
                <w:sz w:val="20"/>
              </w:rPr>
              <w:t>-</w:t>
            </w:r>
            <w:r w:rsidRPr="006258BD">
              <w:rPr>
                <w:bCs/>
                <w:color w:val="000000" w:themeColor="text1"/>
                <w:sz w:val="20"/>
              </w:rPr>
              <w:t xml:space="preserve"> </w:t>
            </w:r>
            <w:r w:rsidR="006258BD" w:rsidRPr="006258BD">
              <w:rPr>
                <w:bCs/>
                <w:color w:val="000000" w:themeColor="text1"/>
                <w:sz w:val="20"/>
              </w:rPr>
              <w:t>Kľúčové je, aby predmetný akčný plán reflektoval potreby a požiadavky, ktoré kladie na ľudí a ich zručnosti digitálna doba a dynamicky sa meniaci pracovný trh. Výzvou z pohľadu SR bude, aby pre opatrenia digitálneho vzdelávania boli alokované dostatočné investičné zdroje v súlade so Stratégiou digitálnej transformácie SR do roku 2030, Akčným plánom digitálnej transformácie Slovenska na roky 2019-2022 (Podpora digitálnej transformácie škôl a vzdelávania na skvalitnenie a zlepšenie predpokladov zamestnanosti a získanie digitálnych zručností a kompetencií potrebných pre digitálnu éru), ako aj relevantnými strategickými dokumentmi MŠVV</w:t>
            </w:r>
            <w:r w:rsidR="006258BD">
              <w:rPr>
                <w:bCs/>
                <w:color w:val="000000" w:themeColor="text1"/>
                <w:sz w:val="20"/>
              </w:rPr>
              <w:t>a</w:t>
            </w:r>
            <w:r w:rsidR="006258BD" w:rsidRPr="006258BD">
              <w:rPr>
                <w:bCs/>
                <w:color w:val="000000" w:themeColor="text1"/>
                <w:sz w:val="20"/>
              </w:rPr>
              <w:t>Š SR.</w:t>
            </w:r>
          </w:p>
        </w:tc>
      </w:tr>
      <w:tr w:rsidR="00083E0E" w:rsidTr="008A2C73">
        <w:trPr>
          <w:cantSplit/>
        </w:trPr>
        <w:tc>
          <w:tcPr>
            <w:tcW w:w="511" w:type="dxa"/>
            <w:tcBorders>
              <w:bottom w:val="single" w:sz="4" w:space="0" w:color="auto"/>
              <w:right w:val="single" w:sz="4" w:space="0" w:color="auto"/>
            </w:tcBorders>
          </w:tcPr>
          <w:p w:rsidR="00083E0E" w:rsidRDefault="00083E0E" w:rsidP="00083E0E">
            <w:pPr>
              <w:pStyle w:val="Odsekzoznamu"/>
              <w:numPr>
                <w:ilvl w:val="0"/>
                <w:numId w:val="18"/>
              </w:numPr>
              <w:spacing w:after="0"/>
              <w:ind w:left="426"/>
              <w:rPr>
                <w:noProof/>
                <w:sz w:val="20"/>
              </w:rPr>
            </w:pPr>
          </w:p>
        </w:tc>
        <w:tc>
          <w:tcPr>
            <w:tcW w:w="1752" w:type="dxa"/>
            <w:tcBorders>
              <w:left w:val="single" w:sz="4" w:space="0" w:color="auto"/>
              <w:bottom w:val="single" w:sz="4" w:space="0" w:color="auto"/>
              <w:right w:val="single" w:sz="4" w:space="0" w:color="auto"/>
            </w:tcBorders>
            <w:tcMar>
              <w:top w:w="85" w:type="dxa"/>
              <w:bottom w:w="85" w:type="dxa"/>
            </w:tcMar>
          </w:tcPr>
          <w:p w:rsidR="00083E0E" w:rsidRDefault="00083E0E" w:rsidP="00083E0E">
            <w:pPr>
              <w:spacing w:after="0"/>
              <w:rPr>
                <w:noProof/>
                <w:sz w:val="20"/>
              </w:rPr>
            </w:pPr>
            <w:r>
              <w:rPr>
                <w:b/>
                <w:bCs/>
                <w:noProof/>
                <w:sz w:val="20"/>
              </w:rPr>
              <w:t>Európsky prístup k umelej inteligencii</w:t>
            </w:r>
          </w:p>
        </w:tc>
        <w:tc>
          <w:tcPr>
            <w:tcW w:w="4111" w:type="dxa"/>
            <w:tcBorders>
              <w:left w:val="single" w:sz="4" w:space="0" w:color="auto"/>
              <w:bottom w:val="single" w:sz="4" w:space="0" w:color="auto"/>
              <w:right w:val="single" w:sz="4" w:space="0" w:color="auto"/>
            </w:tcBorders>
            <w:tcMar>
              <w:top w:w="85" w:type="dxa"/>
              <w:bottom w:w="85" w:type="dxa"/>
            </w:tcMar>
          </w:tcPr>
          <w:p w:rsidR="00083E0E" w:rsidRDefault="00083E0E" w:rsidP="00083E0E">
            <w:pPr>
              <w:spacing w:after="0"/>
              <w:jc w:val="left"/>
              <w:rPr>
                <w:noProof/>
                <w:sz w:val="20"/>
              </w:rPr>
            </w:pPr>
            <w:r>
              <w:rPr>
                <w:b/>
                <w:bCs/>
                <w:noProof/>
                <w:sz w:val="20"/>
              </w:rPr>
              <w:t>Biela kniha o umelej inteligencii</w:t>
            </w:r>
            <w:r>
              <w:rPr>
                <w:noProof/>
                <w:sz w:val="20"/>
              </w:rPr>
              <w:t xml:space="preserve"> (nelegislatívna iniciatíva, 1. štvrťrok 2020);</w:t>
            </w:r>
          </w:p>
          <w:p w:rsidR="00083E0E" w:rsidRDefault="00083E0E" w:rsidP="00083E0E">
            <w:pPr>
              <w:spacing w:after="0"/>
              <w:jc w:val="left"/>
              <w:rPr>
                <w:noProof/>
                <w:color w:val="000000" w:themeColor="text1"/>
                <w:sz w:val="20"/>
              </w:rPr>
            </w:pPr>
          </w:p>
          <w:p w:rsidR="00083E0E" w:rsidRDefault="00083E0E" w:rsidP="00083E0E">
            <w:pPr>
              <w:spacing w:after="0"/>
              <w:jc w:val="left"/>
              <w:rPr>
                <w:b/>
                <w:noProof/>
                <w:sz w:val="20"/>
              </w:rPr>
            </w:pPr>
          </w:p>
          <w:p w:rsidR="00083E0E" w:rsidRDefault="00083E0E" w:rsidP="00083E0E">
            <w:pPr>
              <w:spacing w:after="0"/>
              <w:jc w:val="left"/>
              <w:rPr>
                <w:b/>
                <w:noProof/>
                <w:sz w:val="20"/>
              </w:rPr>
            </w:pPr>
          </w:p>
          <w:p w:rsidR="00083E0E" w:rsidRDefault="00083E0E" w:rsidP="00083E0E">
            <w:pPr>
              <w:spacing w:after="0"/>
              <w:jc w:val="left"/>
              <w:rPr>
                <w:b/>
                <w:noProof/>
                <w:sz w:val="20"/>
              </w:rPr>
            </w:pPr>
          </w:p>
          <w:p w:rsidR="00083E0E" w:rsidRDefault="00083E0E" w:rsidP="00083E0E">
            <w:pPr>
              <w:spacing w:after="0"/>
              <w:jc w:val="left"/>
              <w:rPr>
                <w:b/>
                <w:noProof/>
                <w:sz w:val="20"/>
              </w:rPr>
            </w:pPr>
          </w:p>
          <w:p w:rsidR="00083E0E" w:rsidRDefault="00083E0E" w:rsidP="00083E0E">
            <w:pPr>
              <w:spacing w:after="0"/>
              <w:jc w:val="left"/>
              <w:rPr>
                <w:b/>
                <w:noProof/>
                <w:sz w:val="20"/>
              </w:rPr>
            </w:pPr>
          </w:p>
          <w:p w:rsidR="00083E0E" w:rsidRDefault="00083E0E" w:rsidP="00083E0E">
            <w:pPr>
              <w:spacing w:after="0"/>
              <w:jc w:val="left"/>
              <w:rPr>
                <w:noProof/>
                <w:sz w:val="20"/>
              </w:rPr>
            </w:pPr>
            <w:r>
              <w:rPr>
                <w:b/>
                <w:noProof/>
                <w:sz w:val="20"/>
              </w:rPr>
              <w:t>Európska stratégia v oblasti údajov</w:t>
            </w:r>
            <w:r>
              <w:rPr>
                <w:noProof/>
                <w:sz w:val="20"/>
              </w:rPr>
              <w:t xml:space="preserve"> (nelegislatívna iniciatíva, 1. štvrťrok 2020);</w:t>
            </w:r>
          </w:p>
          <w:p w:rsidR="00083E0E" w:rsidRDefault="00083E0E" w:rsidP="00083E0E">
            <w:pPr>
              <w:spacing w:after="0"/>
              <w:jc w:val="left"/>
              <w:rPr>
                <w:noProof/>
                <w:color w:val="000000" w:themeColor="text1"/>
                <w:sz w:val="20"/>
              </w:rPr>
            </w:pPr>
          </w:p>
          <w:p w:rsidR="00083E0E" w:rsidRDefault="00083E0E" w:rsidP="00083E0E">
            <w:pPr>
              <w:spacing w:after="0"/>
              <w:jc w:val="left"/>
              <w:rPr>
                <w:b/>
                <w:bCs/>
                <w:noProof/>
                <w:sz w:val="20"/>
              </w:rPr>
            </w:pPr>
          </w:p>
          <w:p w:rsidR="00083E0E" w:rsidRDefault="00083E0E" w:rsidP="00083E0E">
            <w:pPr>
              <w:spacing w:after="0"/>
              <w:jc w:val="left"/>
              <w:rPr>
                <w:b/>
                <w:bCs/>
                <w:noProof/>
                <w:sz w:val="20"/>
              </w:rPr>
            </w:pPr>
          </w:p>
          <w:p w:rsidR="00083E0E" w:rsidRDefault="00083E0E" w:rsidP="00083E0E">
            <w:pPr>
              <w:spacing w:after="0"/>
              <w:jc w:val="left"/>
              <w:rPr>
                <w:b/>
                <w:bCs/>
                <w:noProof/>
                <w:sz w:val="20"/>
              </w:rPr>
            </w:pPr>
          </w:p>
          <w:p w:rsidR="00083E0E" w:rsidRDefault="00083E0E" w:rsidP="00083E0E">
            <w:pPr>
              <w:spacing w:after="0"/>
              <w:jc w:val="left"/>
              <w:rPr>
                <w:b/>
                <w:bCs/>
                <w:noProof/>
                <w:sz w:val="20"/>
              </w:rPr>
            </w:pPr>
          </w:p>
          <w:p w:rsidR="00083E0E" w:rsidRDefault="00083E0E" w:rsidP="00083E0E">
            <w:pPr>
              <w:spacing w:after="0"/>
              <w:jc w:val="left"/>
              <w:rPr>
                <w:b/>
                <w:bCs/>
                <w:noProof/>
                <w:sz w:val="20"/>
              </w:rPr>
            </w:pPr>
          </w:p>
          <w:p w:rsidR="008A2C73" w:rsidRDefault="008A2C73" w:rsidP="00083E0E">
            <w:pPr>
              <w:spacing w:after="0"/>
              <w:jc w:val="left"/>
              <w:rPr>
                <w:b/>
                <w:bCs/>
                <w:noProof/>
                <w:sz w:val="20"/>
              </w:rPr>
            </w:pPr>
          </w:p>
          <w:p w:rsidR="0044536B" w:rsidRDefault="0044536B" w:rsidP="00083E0E">
            <w:pPr>
              <w:spacing w:after="0"/>
              <w:jc w:val="left"/>
              <w:rPr>
                <w:b/>
                <w:bCs/>
                <w:noProof/>
                <w:sz w:val="20"/>
              </w:rPr>
            </w:pPr>
          </w:p>
          <w:p w:rsidR="0044536B" w:rsidRDefault="0044536B" w:rsidP="00083E0E">
            <w:pPr>
              <w:spacing w:after="0"/>
              <w:jc w:val="left"/>
              <w:rPr>
                <w:b/>
                <w:bCs/>
                <w:noProof/>
                <w:sz w:val="20"/>
              </w:rPr>
            </w:pPr>
          </w:p>
          <w:p w:rsidR="0044536B" w:rsidRDefault="0044536B" w:rsidP="00083E0E">
            <w:pPr>
              <w:spacing w:after="0"/>
              <w:jc w:val="left"/>
              <w:rPr>
                <w:b/>
                <w:bCs/>
                <w:noProof/>
                <w:sz w:val="20"/>
              </w:rPr>
            </w:pPr>
          </w:p>
          <w:p w:rsidR="0044536B" w:rsidRDefault="0044536B" w:rsidP="00083E0E">
            <w:pPr>
              <w:spacing w:after="0"/>
              <w:jc w:val="left"/>
              <w:rPr>
                <w:b/>
                <w:bCs/>
                <w:noProof/>
                <w:sz w:val="20"/>
              </w:rPr>
            </w:pPr>
          </w:p>
          <w:p w:rsidR="00083E0E" w:rsidRDefault="00083E0E" w:rsidP="00083E0E">
            <w:pPr>
              <w:spacing w:after="0"/>
              <w:jc w:val="left"/>
              <w:rPr>
                <w:noProof/>
                <w:sz w:val="20"/>
              </w:rPr>
            </w:pPr>
            <w:r>
              <w:rPr>
                <w:b/>
                <w:bCs/>
                <w:noProof/>
                <w:sz w:val="20"/>
              </w:rPr>
              <w:t>Opatrenia nadväzujúce na bielu knihu o umelej inteligencii vrátane bezpečnosti, zodpovednosti, základných práv a údajov</w:t>
            </w:r>
            <w:r>
              <w:rPr>
                <w:noProof/>
                <w:sz w:val="20"/>
              </w:rPr>
              <w:t xml:space="preserve"> (legislatívna iniciatíva vrátane posúdenia vplyvu, článok 114 ZFEÚ, 4. štvrťrok 2020)</w:t>
            </w:r>
          </w:p>
        </w:tc>
        <w:tc>
          <w:tcPr>
            <w:tcW w:w="1418" w:type="dxa"/>
            <w:tcBorders>
              <w:left w:val="single" w:sz="4" w:space="0" w:color="auto"/>
              <w:bottom w:val="single" w:sz="4" w:space="0" w:color="auto"/>
              <w:right w:val="single" w:sz="4" w:space="0" w:color="auto"/>
            </w:tcBorders>
          </w:tcPr>
          <w:p w:rsidR="00083E0E" w:rsidRPr="00083E0E" w:rsidRDefault="00083E0E" w:rsidP="00A026B9">
            <w:pPr>
              <w:spacing w:after="0"/>
              <w:ind w:right="112"/>
              <w:jc w:val="center"/>
              <w:rPr>
                <w:b/>
                <w:sz w:val="20"/>
              </w:rPr>
            </w:pPr>
            <w:r w:rsidRPr="00083E0E">
              <w:rPr>
                <w:b/>
                <w:sz w:val="20"/>
              </w:rPr>
              <w:t>ÚPVII</w:t>
            </w:r>
          </w:p>
          <w:p w:rsidR="00083E0E" w:rsidRPr="00083E0E" w:rsidRDefault="00083E0E" w:rsidP="00A026B9">
            <w:pPr>
              <w:spacing w:after="0"/>
              <w:jc w:val="center"/>
              <w:rPr>
                <w:b/>
                <w:bCs/>
                <w:noProof/>
                <w:sz w:val="20"/>
              </w:rPr>
            </w:pPr>
            <w:r w:rsidRPr="00083E0E">
              <w:rPr>
                <w:b/>
                <w:sz w:val="20"/>
              </w:rPr>
              <w:t>MH SR, MS SR</w:t>
            </w:r>
          </w:p>
          <w:p w:rsidR="00083E0E" w:rsidRDefault="00083E0E" w:rsidP="00A026B9">
            <w:pPr>
              <w:spacing w:after="0"/>
              <w:jc w:val="center"/>
              <w:rPr>
                <w:b/>
                <w:bCs/>
                <w:noProof/>
                <w:sz w:val="20"/>
              </w:rPr>
            </w:pPr>
          </w:p>
          <w:p w:rsidR="00083E0E" w:rsidRDefault="00083E0E" w:rsidP="00A026B9">
            <w:pPr>
              <w:spacing w:after="0"/>
              <w:jc w:val="center"/>
              <w:rPr>
                <w:b/>
                <w:bCs/>
                <w:noProof/>
                <w:sz w:val="20"/>
              </w:rPr>
            </w:pPr>
          </w:p>
          <w:p w:rsidR="00083E0E" w:rsidRDefault="00083E0E" w:rsidP="00A026B9">
            <w:pPr>
              <w:spacing w:after="0"/>
              <w:jc w:val="center"/>
              <w:rPr>
                <w:b/>
                <w:bCs/>
                <w:noProof/>
                <w:sz w:val="20"/>
              </w:rPr>
            </w:pPr>
          </w:p>
          <w:p w:rsidR="00083E0E" w:rsidRDefault="00083E0E" w:rsidP="00A026B9">
            <w:pPr>
              <w:spacing w:after="0"/>
              <w:jc w:val="center"/>
              <w:rPr>
                <w:b/>
                <w:bCs/>
                <w:noProof/>
                <w:sz w:val="20"/>
              </w:rPr>
            </w:pPr>
          </w:p>
          <w:p w:rsidR="00083E0E" w:rsidRDefault="00083E0E" w:rsidP="00A026B9">
            <w:pPr>
              <w:spacing w:after="0"/>
              <w:jc w:val="center"/>
              <w:rPr>
                <w:b/>
                <w:bCs/>
                <w:noProof/>
                <w:sz w:val="20"/>
              </w:rPr>
            </w:pPr>
          </w:p>
          <w:p w:rsidR="00083E0E" w:rsidRDefault="00083E0E" w:rsidP="00A026B9">
            <w:pPr>
              <w:spacing w:after="0"/>
              <w:jc w:val="center"/>
              <w:rPr>
                <w:b/>
                <w:bCs/>
                <w:noProof/>
                <w:sz w:val="20"/>
              </w:rPr>
            </w:pPr>
            <w:r w:rsidRPr="00083E0E">
              <w:rPr>
                <w:b/>
                <w:bCs/>
                <w:noProof/>
                <w:sz w:val="20"/>
              </w:rPr>
              <w:t>ÚPVII</w:t>
            </w:r>
          </w:p>
          <w:p w:rsidR="00D506D9" w:rsidRDefault="00D506D9" w:rsidP="00A026B9">
            <w:pPr>
              <w:spacing w:after="0"/>
              <w:jc w:val="center"/>
              <w:rPr>
                <w:b/>
                <w:bCs/>
                <w:noProof/>
                <w:sz w:val="20"/>
              </w:rPr>
            </w:pPr>
            <w:r>
              <w:rPr>
                <w:b/>
                <w:bCs/>
                <w:noProof/>
                <w:sz w:val="20"/>
              </w:rPr>
              <w:t>ŠÚ SR</w:t>
            </w:r>
          </w:p>
          <w:p w:rsidR="00083E0E" w:rsidRDefault="00083E0E" w:rsidP="00A026B9">
            <w:pPr>
              <w:spacing w:after="0"/>
              <w:jc w:val="center"/>
              <w:rPr>
                <w:b/>
                <w:bCs/>
                <w:noProof/>
                <w:sz w:val="20"/>
              </w:rPr>
            </w:pPr>
          </w:p>
          <w:p w:rsidR="00083E0E" w:rsidRDefault="00083E0E" w:rsidP="00A026B9">
            <w:pPr>
              <w:spacing w:after="0"/>
              <w:jc w:val="center"/>
              <w:rPr>
                <w:b/>
                <w:bCs/>
                <w:noProof/>
                <w:sz w:val="20"/>
              </w:rPr>
            </w:pPr>
          </w:p>
          <w:p w:rsidR="00083E0E" w:rsidRDefault="00083E0E" w:rsidP="00A026B9">
            <w:pPr>
              <w:spacing w:after="0"/>
              <w:jc w:val="center"/>
              <w:rPr>
                <w:b/>
                <w:bCs/>
                <w:noProof/>
                <w:sz w:val="20"/>
              </w:rPr>
            </w:pPr>
          </w:p>
          <w:p w:rsidR="00083E0E" w:rsidRDefault="00083E0E" w:rsidP="00A026B9">
            <w:pPr>
              <w:spacing w:after="0"/>
              <w:jc w:val="center"/>
              <w:rPr>
                <w:b/>
                <w:bCs/>
                <w:noProof/>
                <w:sz w:val="20"/>
              </w:rPr>
            </w:pPr>
          </w:p>
          <w:p w:rsidR="00083E0E" w:rsidRDefault="00083E0E" w:rsidP="00A026B9">
            <w:pPr>
              <w:spacing w:after="0"/>
              <w:jc w:val="center"/>
              <w:rPr>
                <w:b/>
                <w:bCs/>
                <w:noProof/>
                <w:sz w:val="20"/>
              </w:rPr>
            </w:pPr>
          </w:p>
          <w:p w:rsidR="00083E0E" w:rsidRDefault="00083E0E" w:rsidP="00A026B9">
            <w:pPr>
              <w:spacing w:after="0"/>
              <w:jc w:val="center"/>
              <w:rPr>
                <w:b/>
                <w:bCs/>
                <w:noProof/>
                <w:sz w:val="20"/>
              </w:rPr>
            </w:pPr>
          </w:p>
          <w:p w:rsidR="00083E0E" w:rsidRDefault="00083E0E" w:rsidP="00A026B9">
            <w:pPr>
              <w:spacing w:after="0"/>
              <w:jc w:val="center"/>
              <w:rPr>
                <w:b/>
                <w:bCs/>
                <w:noProof/>
                <w:sz w:val="20"/>
              </w:rPr>
            </w:pPr>
          </w:p>
          <w:p w:rsidR="008A2C73" w:rsidRDefault="008A2C73" w:rsidP="00A026B9">
            <w:pPr>
              <w:spacing w:after="0"/>
              <w:jc w:val="center"/>
              <w:rPr>
                <w:b/>
                <w:bCs/>
                <w:noProof/>
                <w:sz w:val="20"/>
              </w:rPr>
            </w:pPr>
          </w:p>
          <w:p w:rsidR="0044536B" w:rsidRDefault="0044536B" w:rsidP="00A026B9">
            <w:pPr>
              <w:spacing w:after="0"/>
              <w:jc w:val="center"/>
              <w:rPr>
                <w:b/>
                <w:bCs/>
                <w:noProof/>
                <w:sz w:val="20"/>
              </w:rPr>
            </w:pPr>
          </w:p>
          <w:p w:rsidR="0044536B" w:rsidRDefault="0044536B" w:rsidP="00A026B9">
            <w:pPr>
              <w:spacing w:after="0"/>
              <w:jc w:val="center"/>
              <w:rPr>
                <w:b/>
                <w:bCs/>
                <w:noProof/>
                <w:sz w:val="20"/>
              </w:rPr>
            </w:pPr>
          </w:p>
          <w:p w:rsidR="0044536B" w:rsidRDefault="0044536B" w:rsidP="00A026B9">
            <w:pPr>
              <w:spacing w:after="0"/>
              <w:jc w:val="center"/>
              <w:rPr>
                <w:b/>
                <w:bCs/>
                <w:noProof/>
                <w:sz w:val="20"/>
              </w:rPr>
            </w:pPr>
          </w:p>
          <w:p w:rsidR="00083E0E" w:rsidRDefault="00083E0E" w:rsidP="00A026B9">
            <w:pPr>
              <w:spacing w:after="0"/>
              <w:jc w:val="center"/>
              <w:rPr>
                <w:b/>
                <w:bCs/>
                <w:noProof/>
                <w:sz w:val="20"/>
              </w:rPr>
            </w:pPr>
            <w:r w:rsidRPr="00083E0E">
              <w:rPr>
                <w:b/>
                <w:bCs/>
                <w:noProof/>
                <w:sz w:val="20"/>
              </w:rPr>
              <w:t>ÚPVII</w:t>
            </w:r>
          </w:p>
          <w:p w:rsidR="00083E0E" w:rsidRDefault="00083E0E" w:rsidP="00A026B9">
            <w:pPr>
              <w:spacing w:after="0"/>
              <w:jc w:val="center"/>
              <w:rPr>
                <w:b/>
                <w:bCs/>
                <w:noProof/>
                <w:sz w:val="20"/>
              </w:rPr>
            </w:pPr>
            <w:r>
              <w:rPr>
                <w:b/>
                <w:bCs/>
                <w:noProof/>
                <w:sz w:val="20"/>
              </w:rPr>
              <w:t>MH SR MS SR</w:t>
            </w:r>
          </w:p>
          <w:p w:rsidR="00083E0E" w:rsidRDefault="00083E0E" w:rsidP="00A026B9">
            <w:pPr>
              <w:spacing w:after="0"/>
              <w:jc w:val="center"/>
              <w:rPr>
                <w:b/>
                <w:bCs/>
                <w:noProof/>
                <w:sz w:val="20"/>
              </w:rPr>
            </w:pPr>
          </w:p>
          <w:p w:rsidR="00083E0E" w:rsidRDefault="00083E0E" w:rsidP="00A026B9">
            <w:pPr>
              <w:spacing w:after="0"/>
              <w:jc w:val="center"/>
              <w:rPr>
                <w:b/>
                <w:bCs/>
                <w:noProof/>
                <w:sz w:val="20"/>
              </w:rPr>
            </w:pPr>
          </w:p>
        </w:tc>
        <w:tc>
          <w:tcPr>
            <w:tcW w:w="6804" w:type="dxa"/>
            <w:tcBorders>
              <w:left w:val="single" w:sz="4" w:space="0" w:color="auto"/>
              <w:bottom w:val="single" w:sz="4" w:space="0" w:color="auto"/>
              <w:right w:val="single" w:sz="4" w:space="0" w:color="auto"/>
            </w:tcBorders>
          </w:tcPr>
          <w:p w:rsidR="00083E0E" w:rsidRDefault="00083E0E" w:rsidP="00083E0E">
            <w:pPr>
              <w:spacing w:after="0"/>
            </w:pPr>
            <w:r w:rsidRPr="00EB30A6">
              <w:rPr>
                <w:b/>
                <w:sz w:val="20"/>
                <w:u w:val="single"/>
              </w:rPr>
              <w:t>Vysoká priorita</w:t>
            </w:r>
            <w:r w:rsidRPr="00EB30A6">
              <w:rPr>
                <w:rFonts w:cstheme="minorHAnsi"/>
                <w:bCs/>
                <w:sz w:val="20"/>
              </w:rPr>
              <w:t xml:space="preserve"> -</w:t>
            </w:r>
            <w:r w:rsidRPr="006258BD">
              <w:rPr>
                <w:sz w:val="20"/>
                <w:szCs w:val="24"/>
              </w:rPr>
              <w:t xml:space="preserve"> </w:t>
            </w:r>
            <w:r w:rsidR="006258BD" w:rsidRPr="006258BD">
              <w:rPr>
                <w:sz w:val="20"/>
                <w:szCs w:val="24"/>
              </w:rPr>
              <w:t>Pre SR je potrebné vyčleniť v rozpočte dostatočný objem financií na implementáciu relevantných opatrení na úrovni EÚ, ako aj opatrení zo Stratégie digitálnej transformácie SR do roku 2030, Akčného plánu digitálnej transformácie Slovenska na roky 2019-2022 (Podpora vzniku a aktivít platformy pre výskum a využitie umelej inteligencie), ako aj z Koncepcie inteligentného priemyslu pre Slovensko a súvisiaceho akčného plánu.</w:t>
            </w:r>
          </w:p>
          <w:p w:rsidR="006258BD" w:rsidRPr="00EB30A6" w:rsidRDefault="006258BD" w:rsidP="00083E0E">
            <w:pPr>
              <w:spacing w:after="0"/>
              <w:rPr>
                <w:rFonts w:cstheme="minorHAnsi"/>
                <w:b/>
                <w:sz w:val="20"/>
              </w:rPr>
            </w:pPr>
          </w:p>
          <w:p w:rsidR="00083E0E" w:rsidRPr="00EB30A6" w:rsidRDefault="00083E0E" w:rsidP="00083E0E">
            <w:pPr>
              <w:spacing w:after="0"/>
              <w:rPr>
                <w:rFonts w:cstheme="minorHAnsi"/>
                <w:sz w:val="20"/>
              </w:rPr>
            </w:pPr>
            <w:r w:rsidRPr="00EB30A6">
              <w:rPr>
                <w:b/>
                <w:sz w:val="20"/>
                <w:u w:val="single"/>
              </w:rPr>
              <w:t>Vysoká priorita</w:t>
            </w:r>
            <w:r w:rsidRPr="00EB30A6">
              <w:rPr>
                <w:rFonts w:cstheme="minorHAnsi"/>
                <w:bCs/>
                <w:sz w:val="20"/>
              </w:rPr>
              <w:t xml:space="preserve"> - </w:t>
            </w:r>
            <w:r w:rsidRPr="00EB30A6">
              <w:rPr>
                <w:rFonts w:cstheme="minorHAnsi"/>
                <w:sz w:val="20"/>
              </w:rPr>
              <w:t xml:space="preserve">Európska dátová stratégia navrhne opatrenia, ktorých cieľom bude čo najlepšie využiť obrovskú hodnotu údajov, ako najdôležitejšieho aktíva v digitálnej ekonomike EÚ. </w:t>
            </w:r>
            <w:r w:rsidRPr="00EB30A6">
              <w:rPr>
                <w:sz w:val="20"/>
                <w:szCs w:val="24"/>
              </w:rPr>
              <w:t xml:space="preserve">Umožní tiež čo najlepšie využiť obrovskú hodnotu neosobných údajov, ako stále sa rozširujúceho a opakovane použiteľného majetku v rámci digitálnej ekonomiky.  </w:t>
            </w:r>
            <w:r w:rsidRPr="00EB30A6">
              <w:rPr>
                <w:rFonts w:cstheme="minorHAnsi"/>
                <w:sz w:val="20"/>
              </w:rPr>
              <w:t>SR podporuje skoré prijatie tejto stratégie. Kľúčovou otázkou bude nájdenie rovnováhy medzi motivačnými nástrojmi a pridanou hodnotou vyplývajúcou zo zdieľania údajov, ktorými disponuje súkromný sektor, a ochranou obchodného tajomstva a investícií v rámci súkromného sektora.</w:t>
            </w:r>
            <w:r w:rsidR="0044536B">
              <w:rPr>
                <w:rFonts w:cstheme="minorHAnsi"/>
                <w:sz w:val="20"/>
              </w:rPr>
              <w:t xml:space="preserve"> </w:t>
            </w:r>
            <w:r w:rsidR="0044536B" w:rsidRPr="0044536B">
              <w:rPr>
                <w:rFonts w:cstheme="minorHAnsi"/>
                <w:sz w:val="20"/>
              </w:rPr>
              <w:t>Výzvou z pohľadu SK bude, aby pre opatrenia dátovej stratégie EÚ boli alokované dostatočné investičné zdroje, a to aj v súlade so Stratégiou digitálnej transformácie SR do roku 2030 a Akčným plánom digitálnej transformácie Slovenska na roky 2019-2022 (Vytvorenie základov pre moderné digitálne a údajové hospodárstvo a pre digitálnu transformáciu širšej ekonomiky</w:t>
            </w:r>
            <w:r w:rsidRPr="00EB30A6">
              <w:rPr>
                <w:rFonts w:cstheme="minorHAnsi"/>
                <w:sz w:val="20"/>
              </w:rPr>
              <w:t xml:space="preserve">  </w:t>
            </w:r>
          </w:p>
          <w:p w:rsidR="00083E0E" w:rsidRPr="00EB30A6" w:rsidRDefault="00083E0E" w:rsidP="00083E0E">
            <w:pPr>
              <w:spacing w:after="0"/>
              <w:rPr>
                <w:b/>
                <w:bCs/>
                <w:color w:val="000000" w:themeColor="text1"/>
                <w:sz w:val="20"/>
                <w:szCs w:val="24"/>
              </w:rPr>
            </w:pPr>
          </w:p>
          <w:p w:rsidR="00083E0E" w:rsidRPr="00EB30A6" w:rsidRDefault="00083E0E" w:rsidP="00083E0E">
            <w:pPr>
              <w:spacing w:after="0"/>
              <w:rPr>
                <w:rFonts w:cstheme="minorHAnsi"/>
                <w:b/>
                <w:bCs/>
                <w:sz w:val="20"/>
                <w:u w:val="single"/>
              </w:rPr>
            </w:pPr>
            <w:r w:rsidRPr="00EB30A6">
              <w:rPr>
                <w:rFonts w:cstheme="minorHAnsi"/>
                <w:b/>
                <w:bCs/>
                <w:sz w:val="20"/>
                <w:u w:val="single"/>
              </w:rPr>
              <w:t>Vysoká priorita</w:t>
            </w:r>
            <w:r w:rsidRPr="00EB30A6">
              <w:rPr>
                <w:rFonts w:cstheme="minorHAnsi"/>
                <w:b/>
                <w:bCs/>
                <w:sz w:val="20"/>
              </w:rPr>
              <w:t xml:space="preserve"> </w:t>
            </w:r>
            <w:r w:rsidRPr="00EB30A6">
              <w:rPr>
                <w:rFonts w:cstheme="minorHAnsi"/>
                <w:bCs/>
                <w:sz w:val="20"/>
              </w:rPr>
              <w:t xml:space="preserve">- </w:t>
            </w:r>
            <w:r w:rsidRPr="00EB30A6">
              <w:rPr>
                <w:bCs/>
                <w:color w:val="000000" w:themeColor="text1"/>
                <w:sz w:val="20"/>
              </w:rPr>
              <w:t>Na Bielu knihu o AI nadviaže niekoľko legislatívnych návrhov týkajúcich sa oblastí ako dáta pre AI, bezpečnosť, zodpovednosť a základné práva v kontexte AI. Presný počet a forma legislatívnych návrhov zatiaľ nie je známa. V kontexte AI bude nutná komplexná aktualizácia relevantného legislatívneho rámca. Na úrovni SR bude potrebné, aby v nadväznosti na legislatívne návrhy EK boli identifikované a navrhnuté právne predpisy, ktoré bude potrebné</w:t>
            </w:r>
            <w:r w:rsidR="008A2C73" w:rsidRPr="00EB30A6">
              <w:rPr>
                <w:bCs/>
                <w:color w:val="000000" w:themeColor="text1"/>
                <w:sz w:val="20"/>
              </w:rPr>
              <w:t xml:space="preserve"> prijať alebo novelizovať.</w:t>
            </w:r>
          </w:p>
        </w:tc>
      </w:tr>
      <w:tr w:rsidR="00083E0E" w:rsidTr="008A2C73">
        <w:trPr>
          <w:cantSplit/>
        </w:trPr>
        <w:tc>
          <w:tcPr>
            <w:tcW w:w="511" w:type="dxa"/>
            <w:tcBorders>
              <w:bottom w:val="single" w:sz="4" w:space="0" w:color="auto"/>
              <w:right w:val="single" w:sz="4" w:space="0" w:color="auto"/>
            </w:tcBorders>
          </w:tcPr>
          <w:p w:rsidR="00083E0E" w:rsidRDefault="00083E0E" w:rsidP="00083E0E">
            <w:pPr>
              <w:pStyle w:val="Odsekzoznamu"/>
              <w:numPr>
                <w:ilvl w:val="0"/>
                <w:numId w:val="18"/>
              </w:numPr>
              <w:spacing w:after="0"/>
              <w:ind w:left="426"/>
              <w:rPr>
                <w:noProof/>
                <w:sz w:val="20"/>
              </w:rPr>
            </w:pPr>
          </w:p>
        </w:tc>
        <w:tc>
          <w:tcPr>
            <w:tcW w:w="1752" w:type="dxa"/>
            <w:tcBorders>
              <w:left w:val="single" w:sz="4" w:space="0" w:color="auto"/>
              <w:bottom w:val="single" w:sz="4" w:space="0" w:color="auto"/>
              <w:right w:val="single" w:sz="4" w:space="0" w:color="auto"/>
            </w:tcBorders>
            <w:tcMar>
              <w:top w:w="85" w:type="dxa"/>
              <w:bottom w:w="85" w:type="dxa"/>
            </w:tcMar>
          </w:tcPr>
          <w:p w:rsidR="00083E0E" w:rsidRDefault="00083E0E" w:rsidP="00083E0E">
            <w:pPr>
              <w:spacing w:after="0"/>
              <w:rPr>
                <w:b/>
                <w:bCs/>
                <w:noProof/>
                <w:sz w:val="20"/>
              </w:rPr>
            </w:pPr>
            <w:r>
              <w:rPr>
                <w:b/>
                <w:bCs/>
                <w:noProof/>
                <w:sz w:val="20"/>
              </w:rPr>
              <w:t>Digitálne služby</w:t>
            </w:r>
          </w:p>
        </w:tc>
        <w:tc>
          <w:tcPr>
            <w:tcW w:w="4111" w:type="dxa"/>
            <w:tcBorders>
              <w:left w:val="single" w:sz="4" w:space="0" w:color="auto"/>
              <w:bottom w:val="single" w:sz="4" w:space="0" w:color="auto"/>
              <w:right w:val="single" w:sz="4" w:space="0" w:color="auto"/>
            </w:tcBorders>
            <w:tcMar>
              <w:top w:w="85" w:type="dxa"/>
              <w:bottom w:w="85" w:type="dxa"/>
            </w:tcMar>
          </w:tcPr>
          <w:p w:rsidR="00083E0E" w:rsidRDefault="00083E0E" w:rsidP="00083E0E">
            <w:pPr>
              <w:spacing w:after="0"/>
              <w:rPr>
                <w:noProof/>
                <w:sz w:val="20"/>
              </w:rPr>
            </w:pPr>
            <w:r>
              <w:rPr>
                <w:b/>
                <w:bCs/>
                <w:noProof/>
                <w:sz w:val="20"/>
              </w:rPr>
              <w:t>Akt o digitálnych službách</w:t>
            </w:r>
            <w:r>
              <w:rPr>
                <w:noProof/>
                <w:sz w:val="20"/>
              </w:rPr>
              <w:t xml:space="preserve"> (legislatívna iniciatíva vrátane posúdenia vplyvu, článok 114 ZFEÚ, 4. štvrťrok 2020)</w:t>
            </w:r>
          </w:p>
        </w:tc>
        <w:tc>
          <w:tcPr>
            <w:tcW w:w="1418" w:type="dxa"/>
            <w:tcBorders>
              <w:left w:val="single" w:sz="4" w:space="0" w:color="auto"/>
              <w:bottom w:val="single" w:sz="4" w:space="0" w:color="auto"/>
              <w:right w:val="single" w:sz="4" w:space="0" w:color="auto"/>
            </w:tcBorders>
          </w:tcPr>
          <w:p w:rsidR="008A2C73" w:rsidRDefault="008A2C73" w:rsidP="008A2C73">
            <w:pPr>
              <w:spacing w:after="0"/>
              <w:jc w:val="center"/>
              <w:rPr>
                <w:b/>
                <w:bCs/>
                <w:noProof/>
                <w:sz w:val="20"/>
              </w:rPr>
            </w:pPr>
            <w:r w:rsidRPr="00083E0E">
              <w:rPr>
                <w:b/>
                <w:bCs/>
                <w:noProof/>
                <w:sz w:val="20"/>
              </w:rPr>
              <w:t>ÚPVII</w:t>
            </w:r>
          </w:p>
          <w:p w:rsidR="00083E0E" w:rsidRDefault="00083E0E" w:rsidP="008A2C73">
            <w:pPr>
              <w:spacing w:after="0"/>
              <w:jc w:val="center"/>
              <w:rPr>
                <w:b/>
                <w:bCs/>
                <w:noProof/>
                <w:sz w:val="20"/>
              </w:rPr>
            </w:pPr>
            <w:r>
              <w:rPr>
                <w:b/>
                <w:bCs/>
                <w:noProof/>
                <w:sz w:val="20"/>
              </w:rPr>
              <w:t>MH SR</w:t>
            </w:r>
          </w:p>
        </w:tc>
        <w:tc>
          <w:tcPr>
            <w:tcW w:w="6804" w:type="dxa"/>
            <w:tcBorders>
              <w:left w:val="single" w:sz="4" w:space="0" w:color="auto"/>
              <w:bottom w:val="single" w:sz="4" w:space="0" w:color="auto"/>
              <w:right w:val="single" w:sz="4" w:space="0" w:color="auto"/>
            </w:tcBorders>
          </w:tcPr>
          <w:p w:rsidR="00083E0E" w:rsidRPr="0044536B" w:rsidRDefault="00083E0E" w:rsidP="0044536B">
            <w:pPr>
              <w:spacing w:after="0"/>
              <w:ind w:right="112"/>
              <w:rPr>
                <w:bCs/>
                <w:color w:val="000000" w:themeColor="text1"/>
                <w:sz w:val="20"/>
              </w:rPr>
            </w:pPr>
            <w:r w:rsidRPr="000F3FD5">
              <w:rPr>
                <w:b/>
                <w:sz w:val="20"/>
                <w:u w:val="single"/>
              </w:rPr>
              <w:t>Vysoká priorita</w:t>
            </w:r>
            <w:r w:rsidRPr="000F3FD5">
              <w:rPr>
                <w:sz w:val="20"/>
              </w:rPr>
              <w:t xml:space="preserve"> - </w:t>
            </w:r>
            <w:r w:rsidRPr="008A2C73">
              <w:rPr>
                <w:bCs/>
                <w:color w:val="000000" w:themeColor="text1"/>
                <w:sz w:val="20"/>
              </w:rPr>
              <w:t xml:space="preserve">SR víta snahu EK reagovať na vývoj hospodásrtva v oblasti digitalizácie. </w:t>
            </w:r>
            <w:r w:rsidR="008A2C73" w:rsidRPr="008A2C73">
              <w:rPr>
                <w:bCs/>
                <w:color w:val="000000" w:themeColor="text1"/>
                <w:sz w:val="20"/>
              </w:rPr>
              <w:t>Prijatím nového aktu pre digitálne služby sa posilní fungovanie jednotného digitálneho trhu. Dokument vyjasní pravidlá pre menšie podniky, ako aj pravidlá pre ochranu občanov EÚ a ich práv. Jadrom úsilia EK bude  sloboda prejavu. Akt pre digitálne služby  bude zameraný na  pravidlá, týkajúce sa zodpovednosti a bezpečnosti služieb a produktov v rámci jednotného digitálneho trhu.. Akt by mal vytvoriť podmienky pre lepšiu ochranu používateľov online, pomáhať pri rozširovaní nových platforiem z EÚ a priniesť prísnejšie pravidlá a dohľad nad online službami, najmä lepšou spoluprácou medzi vnútroštátnymi orgánmi a cezhraničným vymáhaním.</w:t>
            </w:r>
            <w:r w:rsidR="0044536B">
              <w:rPr>
                <w:bCs/>
                <w:color w:val="000000" w:themeColor="text1"/>
                <w:sz w:val="20"/>
              </w:rPr>
              <w:t xml:space="preserve"> </w:t>
            </w:r>
            <w:r w:rsidR="0044536B" w:rsidRPr="0044536B">
              <w:rPr>
                <w:bCs/>
                <w:color w:val="000000" w:themeColor="text1"/>
                <w:sz w:val="20"/>
              </w:rPr>
              <w:t>SK si uvedomuje, že je potrebné, aby v online prostredí boli zabezpečené férové a transparentné podmienky pri poskytovaní digitálnych služieb, ktoré budú ochraňovať slabších účastníkov trhu (spotrebiteľov a MSP). Na druhej strane, SK bude trvať na zachovaní kľúčových princípov SK smernice o eCommerce (princíp krajiny pôvodu a princíp obmedzenej zodpovednosti), ktoré boli a sú dôležité pre rozvoj podnikania online platforiem. Kľúčovou otázkou bude nájsť správnu rovnováhu medzi dvomi uvedenými aspektami.</w:t>
            </w:r>
          </w:p>
        </w:tc>
      </w:tr>
      <w:tr w:rsidR="00083E0E" w:rsidTr="008A2C73">
        <w:trPr>
          <w:cantSplit/>
        </w:trPr>
        <w:tc>
          <w:tcPr>
            <w:tcW w:w="511" w:type="dxa"/>
            <w:tcBorders>
              <w:bottom w:val="single" w:sz="4" w:space="0" w:color="auto"/>
              <w:right w:val="single" w:sz="4" w:space="0" w:color="auto"/>
            </w:tcBorders>
          </w:tcPr>
          <w:p w:rsidR="00083E0E" w:rsidRDefault="00083E0E" w:rsidP="00083E0E">
            <w:pPr>
              <w:pStyle w:val="Odsekzoznamu"/>
              <w:numPr>
                <w:ilvl w:val="0"/>
                <w:numId w:val="18"/>
              </w:numPr>
              <w:spacing w:after="0"/>
              <w:ind w:left="426"/>
              <w:rPr>
                <w:noProof/>
                <w:sz w:val="20"/>
              </w:rPr>
            </w:pPr>
          </w:p>
        </w:tc>
        <w:tc>
          <w:tcPr>
            <w:tcW w:w="1752" w:type="dxa"/>
            <w:tcBorders>
              <w:left w:val="single" w:sz="4" w:space="0" w:color="auto"/>
              <w:bottom w:val="single" w:sz="4" w:space="0" w:color="auto"/>
              <w:right w:val="single" w:sz="4" w:space="0" w:color="auto"/>
            </w:tcBorders>
            <w:tcMar>
              <w:top w:w="85" w:type="dxa"/>
              <w:bottom w:w="85" w:type="dxa"/>
            </w:tcMar>
          </w:tcPr>
          <w:p w:rsidR="00083E0E" w:rsidRDefault="00083E0E" w:rsidP="00083E0E">
            <w:pPr>
              <w:spacing w:after="0"/>
              <w:rPr>
                <w:b/>
                <w:bCs/>
                <w:noProof/>
                <w:sz w:val="20"/>
              </w:rPr>
            </w:pPr>
            <w:r>
              <w:rPr>
                <w:b/>
                <w:bCs/>
                <w:noProof/>
                <w:sz w:val="20"/>
              </w:rPr>
              <w:t>Zvyšovanie kybernetickej bezpečnosti</w:t>
            </w:r>
          </w:p>
        </w:tc>
        <w:tc>
          <w:tcPr>
            <w:tcW w:w="4111" w:type="dxa"/>
            <w:tcBorders>
              <w:left w:val="single" w:sz="4" w:space="0" w:color="auto"/>
              <w:bottom w:val="single" w:sz="4" w:space="0" w:color="auto"/>
              <w:right w:val="single" w:sz="4" w:space="0" w:color="auto"/>
            </w:tcBorders>
            <w:tcMar>
              <w:top w:w="85" w:type="dxa"/>
              <w:bottom w:w="85" w:type="dxa"/>
            </w:tcMar>
          </w:tcPr>
          <w:p w:rsidR="00083E0E" w:rsidRDefault="00083E0E" w:rsidP="00083E0E">
            <w:pPr>
              <w:spacing w:after="0"/>
              <w:rPr>
                <w:b/>
                <w:bCs/>
                <w:noProof/>
                <w:color w:val="000000" w:themeColor="text1"/>
                <w:sz w:val="20"/>
              </w:rPr>
            </w:pPr>
            <w:r>
              <w:rPr>
                <w:b/>
                <w:bCs/>
                <w:noProof/>
                <w:sz w:val="20"/>
              </w:rPr>
              <w:t>Preskúmanie smernice o bezpečnosti sietí a informačných systémov (smernica NIS)</w:t>
            </w:r>
            <w:r>
              <w:rPr>
                <w:noProof/>
                <w:sz w:val="20"/>
              </w:rPr>
              <w:t xml:space="preserve"> (legislatívna iniciatíva vrátane posúdenia vplyvu, článok 114 ZFEÚ, 4. štvrťrok 2020)</w:t>
            </w:r>
          </w:p>
        </w:tc>
        <w:tc>
          <w:tcPr>
            <w:tcW w:w="1418" w:type="dxa"/>
            <w:tcBorders>
              <w:left w:val="single" w:sz="4" w:space="0" w:color="auto"/>
              <w:bottom w:val="single" w:sz="4" w:space="0" w:color="auto"/>
              <w:right w:val="single" w:sz="4" w:space="0" w:color="auto"/>
            </w:tcBorders>
          </w:tcPr>
          <w:p w:rsidR="00B93A91" w:rsidRDefault="008A2C73" w:rsidP="00B93A91">
            <w:pPr>
              <w:spacing w:after="0"/>
              <w:jc w:val="center"/>
              <w:rPr>
                <w:b/>
                <w:bCs/>
                <w:noProof/>
                <w:sz w:val="20"/>
              </w:rPr>
            </w:pPr>
            <w:r>
              <w:rPr>
                <w:b/>
                <w:bCs/>
                <w:noProof/>
                <w:sz w:val="20"/>
              </w:rPr>
              <w:t xml:space="preserve">NBÚ SR </w:t>
            </w:r>
          </w:p>
          <w:p w:rsidR="00083E0E" w:rsidRDefault="00083E0E" w:rsidP="009B37B3">
            <w:pPr>
              <w:spacing w:after="0"/>
              <w:jc w:val="center"/>
              <w:rPr>
                <w:b/>
                <w:bCs/>
                <w:noProof/>
                <w:sz w:val="20"/>
              </w:rPr>
            </w:pPr>
          </w:p>
        </w:tc>
        <w:tc>
          <w:tcPr>
            <w:tcW w:w="6804" w:type="dxa"/>
            <w:tcBorders>
              <w:left w:val="single" w:sz="4" w:space="0" w:color="auto"/>
              <w:bottom w:val="single" w:sz="4" w:space="0" w:color="auto"/>
              <w:right w:val="single" w:sz="4" w:space="0" w:color="auto"/>
            </w:tcBorders>
          </w:tcPr>
          <w:p w:rsidR="00083E0E" w:rsidRPr="000F3FD5" w:rsidRDefault="00B93A91" w:rsidP="00B93A91">
            <w:pPr>
              <w:spacing w:after="0"/>
              <w:ind w:right="112"/>
              <w:rPr>
                <w:b/>
                <w:sz w:val="20"/>
              </w:rPr>
            </w:pPr>
            <w:r>
              <w:rPr>
                <w:b/>
                <w:sz w:val="20"/>
                <w:u w:val="single"/>
              </w:rPr>
              <w:t>Vysoká p</w:t>
            </w:r>
            <w:r w:rsidR="008A2C73" w:rsidRPr="008A2C73">
              <w:rPr>
                <w:b/>
                <w:sz w:val="20"/>
                <w:u w:val="single"/>
              </w:rPr>
              <w:t>riorita</w:t>
            </w:r>
            <w:r w:rsidR="008A2C73">
              <w:rPr>
                <w:sz w:val="20"/>
              </w:rPr>
              <w:t xml:space="preserve"> </w:t>
            </w:r>
            <w:r w:rsidR="008A2C73" w:rsidRPr="008A2C73">
              <w:rPr>
                <w:sz w:val="20"/>
              </w:rPr>
              <w:t>-</w:t>
            </w:r>
            <w:r w:rsidR="008A2C73" w:rsidRPr="00B93A91">
              <w:rPr>
                <w:bCs/>
                <w:color w:val="000000" w:themeColor="text1"/>
                <w:sz w:val="20"/>
              </w:rPr>
              <w:t xml:space="preserve"> </w:t>
            </w:r>
            <w:r w:rsidRPr="00B93A91">
              <w:rPr>
                <w:bCs/>
                <w:color w:val="000000" w:themeColor="text1"/>
                <w:sz w:val="20"/>
              </w:rPr>
              <w:t>Kybernetická bezpečnosť z krátkodobého ako aj dlhodobého časového horizontu patrí medzi základné priority Slovenska v oblasti vnútornej a vonkajšej bezpečnosti štátu. Prioritou Slovenska je realizovať tento cieľ nielen na národnej, ale aj na Európskej a medzinárodnej úrovni. Slovensko aj na základe implementácie uvedeného právneho nástroja EÚ (smernice NIS) chce byť zodpovedným a aktívnym partnerom pri dosahovaní stanovených cieľov a zvyšovať tak odolnosť štátu voči bezpečnostným hrozbám</w:t>
            </w:r>
            <w:r>
              <w:rPr>
                <w:bCs/>
                <w:color w:val="000000" w:themeColor="text1"/>
                <w:sz w:val="20"/>
              </w:rPr>
              <w:t>.</w:t>
            </w:r>
          </w:p>
        </w:tc>
      </w:tr>
      <w:tr w:rsidR="009B37B3" w:rsidTr="008A2C73">
        <w:trPr>
          <w:cantSplit/>
        </w:trPr>
        <w:tc>
          <w:tcPr>
            <w:tcW w:w="511" w:type="dxa"/>
            <w:tcBorders>
              <w:right w:val="single" w:sz="4" w:space="0" w:color="auto"/>
            </w:tcBorders>
            <w:shd w:val="clear" w:color="auto" w:fill="FFFFFF" w:themeFill="background1"/>
          </w:tcPr>
          <w:p w:rsidR="009B37B3" w:rsidRDefault="009B37B3" w:rsidP="009B37B3">
            <w:pPr>
              <w:pStyle w:val="Odsekzoznamu"/>
              <w:numPr>
                <w:ilvl w:val="0"/>
                <w:numId w:val="18"/>
              </w:numPr>
              <w:spacing w:after="0"/>
              <w:ind w:left="426"/>
              <w:rPr>
                <w:noProof/>
                <w:sz w:val="20"/>
              </w:rPr>
            </w:pPr>
          </w:p>
        </w:tc>
        <w:tc>
          <w:tcPr>
            <w:tcW w:w="1752" w:type="dxa"/>
            <w:tcBorders>
              <w:left w:val="single" w:sz="4" w:space="0" w:color="auto"/>
            </w:tcBorders>
            <w:shd w:val="clear" w:color="auto" w:fill="FFFFFF" w:themeFill="background1"/>
            <w:tcMar>
              <w:top w:w="85" w:type="dxa"/>
              <w:bottom w:w="85" w:type="dxa"/>
            </w:tcMar>
          </w:tcPr>
          <w:p w:rsidR="009B37B3" w:rsidRDefault="009B37B3" w:rsidP="009B37B3">
            <w:pPr>
              <w:spacing w:after="0"/>
              <w:rPr>
                <w:b/>
                <w:bCs/>
                <w:noProof/>
                <w:color w:val="000000"/>
                <w:sz w:val="20"/>
              </w:rPr>
            </w:pPr>
            <w:r>
              <w:rPr>
                <w:b/>
                <w:bCs/>
                <w:noProof/>
                <w:sz w:val="20"/>
              </w:rPr>
              <w:t>Digitalizácia pre spotrebiteľov</w:t>
            </w:r>
          </w:p>
        </w:tc>
        <w:tc>
          <w:tcPr>
            <w:tcW w:w="4111" w:type="dxa"/>
            <w:shd w:val="clear" w:color="auto" w:fill="FFFFFF" w:themeFill="background1"/>
            <w:tcMar>
              <w:top w:w="85" w:type="dxa"/>
              <w:bottom w:w="85" w:type="dxa"/>
            </w:tcMar>
          </w:tcPr>
          <w:p w:rsidR="009B37B3" w:rsidRDefault="009B37B3" w:rsidP="009B37B3">
            <w:pPr>
              <w:spacing w:after="0"/>
              <w:rPr>
                <w:noProof/>
                <w:sz w:val="20"/>
              </w:rPr>
            </w:pPr>
            <w:r>
              <w:rPr>
                <w:b/>
                <w:bCs/>
                <w:noProof/>
                <w:sz w:val="20"/>
              </w:rPr>
              <w:t>Spoločné nabíjačky pre mobilné telefóny a podobné zariadenia</w:t>
            </w:r>
            <w:r>
              <w:rPr>
                <w:noProof/>
                <w:sz w:val="20"/>
              </w:rPr>
              <w:t xml:space="preserve"> (legislatívna iniciatíva vrátane posúdenia vplyvu, článok 114 ZFEÚ, 3. štvrťrok 2020);</w:t>
            </w:r>
          </w:p>
          <w:p w:rsidR="009B37B3" w:rsidRDefault="009B37B3" w:rsidP="009B37B3">
            <w:pPr>
              <w:spacing w:after="0"/>
              <w:rPr>
                <w:noProof/>
                <w:sz w:val="20"/>
              </w:rPr>
            </w:pPr>
          </w:p>
          <w:p w:rsidR="009B37B3" w:rsidRDefault="009B37B3" w:rsidP="009B37B3">
            <w:pPr>
              <w:spacing w:after="0"/>
              <w:rPr>
                <w:b/>
                <w:bCs/>
                <w:noProof/>
                <w:sz w:val="20"/>
              </w:rPr>
            </w:pPr>
          </w:p>
          <w:p w:rsidR="009B37B3" w:rsidRDefault="009B37B3" w:rsidP="009B37B3">
            <w:pPr>
              <w:spacing w:after="0"/>
              <w:rPr>
                <w:noProof/>
                <w:sz w:val="20"/>
              </w:rPr>
            </w:pPr>
            <w:r>
              <w:rPr>
                <w:b/>
                <w:bCs/>
                <w:noProof/>
                <w:sz w:val="20"/>
              </w:rPr>
              <w:t>Preskúmanie nariadenia o roamingu</w:t>
            </w:r>
            <w:r>
              <w:rPr>
                <w:noProof/>
                <w:sz w:val="20"/>
              </w:rPr>
              <w:t xml:space="preserve"> (legislatívna iniciatíva vrátane posúdenia vplyvu, článok 114 ZFEÚ, 4. štvrťrok 2020)</w:t>
            </w:r>
          </w:p>
        </w:tc>
        <w:tc>
          <w:tcPr>
            <w:tcW w:w="1418" w:type="dxa"/>
            <w:shd w:val="clear" w:color="auto" w:fill="FFFFFF" w:themeFill="background1"/>
          </w:tcPr>
          <w:p w:rsidR="009B37B3" w:rsidRDefault="001240B4" w:rsidP="001240B4">
            <w:pPr>
              <w:spacing w:after="0"/>
              <w:jc w:val="center"/>
              <w:rPr>
                <w:b/>
                <w:sz w:val="20"/>
              </w:rPr>
            </w:pPr>
            <w:r>
              <w:rPr>
                <w:b/>
                <w:sz w:val="20"/>
              </w:rPr>
              <w:t>ÚNMS SR</w:t>
            </w:r>
          </w:p>
          <w:p w:rsidR="001240B4" w:rsidRPr="009B37B3" w:rsidRDefault="001240B4" w:rsidP="001240B4">
            <w:pPr>
              <w:spacing w:after="0"/>
              <w:jc w:val="center"/>
              <w:rPr>
                <w:b/>
                <w:sz w:val="20"/>
              </w:rPr>
            </w:pPr>
            <w:r>
              <w:rPr>
                <w:b/>
                <w:sz w:val="20"/>
              </w:rPr>
              <w:t>MHSR</w:t>
            </w:r>
          </w:p>
          <w:p w:rsidR="009B37B3" w:rsidRDefault="009B37B3" w:rsidP="003A0118">
            <w:pPr>
              <w:rPr>
                <w:b/>
                <w:sz w:val="20"/>
              </w:rPr>
            </w:pPr>
          </w:p>
          <w:p w:rsidR="003A0118" w:rsidRDefault="003A0118" w:rsidP="003A0118">
            <w:pPr>
              <w:spacing w:after="0"/>
              <w:rPr>
                <w:b/>
                <w:sz w:val="20"/>
              </w:rPr>
            </w:pPr>
          </w:p>
          <w:p w:rsidR="001240B4" w:rsidRDefault="001240B4" w:rsidP="003A0118">
            <w:pPr>
              <w:spacing w:after="0"/>
              <w:rPr>
                <w:b/>
                <w:sz w:val="20"/>
              </w:rPr>
            </w:pPr>
          </w:p>
          <w:p w:rsidR="009B37B3" w:rsidRDefault="009B37B3" w:rsidP="003A0118">
            <w:pPr>
              <w:spacing w:after="0"/>
              <w:jc w:val="center"/>
              <w:rPr>
                <w:b/>
                <w:sz w:val="20"/>
              </w:rPr>
            </w:pPr>
            <w:r w:rsidRPr="009B37B3">
              <w:rPr>
                <w:b/>
                <w:sz w:val="20"/>
              </w:rPr>
              <w:t>MDV SR</w:t>
            </w:r>
          </w:p>
          <w:p w:rsidR="003A0118" w:rsidRPr="008924A2" w:rsidRDefault="003A0118" w:rsidP="003A0118">
            <w:pPr>
              <w:spacing w:after="0"/>
              <w:jc w:val="center"/>
              <w:rPr>
                <w:sz w:val="20"/>
              </w:rPr>
            </w:pPr>
          </w:p>
        </w:tc>
        <w:tc>
          <w:tcPr>
            <w:tcW w:w="6804" w:type="dxa"/>
            <w:shd w:val="clear" w:color="auto" w:fill="FFFFFF" w:themeFill="background1"/>
          </w:tcPr>
          <w:p w:rsidR="009B37B3" w:rsidRPr="009B37B3" w:rsidRDefault="009B37B3" w:rsidP="009B37B3">
            <w:pPr>
              <w:spacing w:after="0"/>
              <w:ind w:right="112"/>
              <w:rPr>
                <w:bCs/>
                <w:sz w:val="20"/>
              </w:rPr>
            </w:pPr>
            <w:r w:rsidRPr="009B37B3">
              <w:rPr>
                <w:b/>
                <w:bCs/>
                <w:sz w:val="20"/>
                <w:u w:val="single"/>
              </w:rPr>
              <w:t>Stredná priorita</w:t>
            </w:r>
            <w:r>
              <w:rPr>
                <w:bCs/>
                <w:sz w:val="20"/>
              </w:rPr>
              <w:t xml:space="preserve"> - </w:t>
            </w:r>
            <w:r w:rsidRPr="00B12A64">
              <w:rPr>
                <w:sz w:val="20"/>
              </w:rPr>
              <w:t>Návrh sa presadzuje nielen z dôvodu pohodlia, ale aj ako spôsob zníženia elektronického odpadu. Odhaduje sa, že nabíjačky vyprodukujú ročne v EÚ viac ako 51 000 metrických ton odpadu. Bežný druh nabíjačky by znížil náklady spotrebiteľov, pretože zariadenia by sa mohli predávať bez špecializovanej nabíjačky.</w:t>
            </w:r>
          </w:p>
          <w:p w:rsidR="009B37B3" w:rsidRPr="00B12A64" w:rsidRDefault="009B37B3" w:rsidP="009B37B3">
            <w:pPr>
              <w:spacing w:after="0"/>
              <w:ind w:right="112"/>
              <w:rPr>
                <w:b/>
                <w:sz w:val="20"/>
              </w:rPr>
            </w:pPr>
          </w:p>
          <w:p w:rsidR="007F619F" w:rsidRPr="007F619F" w:rsidRDefault="009B37B3" w:rsidP="007F619F">
            <w:pPr>
              <w:spacing w:after="0"/>
              <w:rPr>
                <w:sz w:val="20"/>
                <w:lang w:bidi="ne-NP"/>
              </w:rPr>
            </w:pPr>
            <w:r>
              <w:rPr>
                <w:b/>
                <w:bCs/>
                <w:sz w:val="20"/>
                <w:u w:val="single"/>
                <w:lang w:bidi="ne-NP"/>
              </w:rPr>
              <w:t>S</w:t>
            </w:r>
            <w:r w:rsidRPr="009B37B3">
              <w:rPr>
                <w:b/>
                <w:bCs/>
                <w:sz w:val="20"/>
                <w:u w:val="single"/>
                <w:lang w:bidi="ne-NP"/>
              </w:rPr>
              <w:t>tredná priorita</w:t>
            </w:r>
            <w:r>
              <w:rPr>
                <w:bCs/>
                <w:sz w:val="20"/>
                <w:lang w:bidi="ne-NP"/>
              </w:rPr>
              <w:t xml:space="preserve"> - SR</w:t>
            </w:r>
            <w:r w:rsidRPr="00B12A64">
              <w:rPr>
                <w:bCs/>
                <w:sz w:val="20"/>
                <w:lang w:bidi="ne-NP"/>
              </w:rPr>
              <w:t xml:space="preserve"> oceňuje zavedenie RLAH (Roam-Like-At-Home), na základe ktorého sa rýchlo a masívne zvýšil dopyt hlavne po mobilných dátach</w:t>
            </w:r>
            <w:r w:rsidRPr="00B12A64">
              <w:rPr>
                <w:b/>
                <w:bCs/>
                <w:sz w:val="20"/>
                <w:lang w:bidi="ne-NP"/>
              </w:rPr>
              <w:t xml:space="preserve">. </w:t>
            </w:r>
            <w:r w:rsidRPr="008924A2">
              <w:rPr>
                <w:sz w:val="20"/>
                <w:lang w:bidi="ne-NP"/>
              </w:rPr>
              <w:t>Dynamika hospodárskej súťaže na veľkoobchodných a maloobchodných roamingových trhoch sa nezmenila a preto je možné</w:t>
            </w:r>
            <w:r w:rsidRPr="00D02D71">
              <w:rPr>
                <w:sz w:val="20"/>
                <w:lang w:bidi="ne-NP"/>
              </w:rPr>
              <w:t>, že reguláciu roamingu bude možné v nadchádzajúcich rokoch zrušiť.</w:t>
            </w:r>
          </w:p>
        </w:tc>
      </w:tr>
      <w:tr w:rsidR="009B37B3" w:rsidTr="008A2C73">
        <w:trPr>
          <w:cantSplit/>
        </w:trPr>
        <w:tc>
          <w:tcPr>
            <w:tcW w:w="511" w:type="dxa"/>
            <w:tcBorders>
              <w:bottom w:val="single" w:sz="4" w:space="0" w:color="auto"/>
              <w:right w:val="single" w:sz="4" w:space="0" w:color="auto"/>
            </w:tcBorders>
          </w:tcPr>
          <w:p w:rsidR="009B37B3" w:rsidRDefault="009B37B3" w:rsidP="009B37B3">
            <w:pPr>
              <w:pStyle w:val="Odsekzoznamu"/>
              <w:numPr>
                <w:ilvl w:val="0"/>
                <w:numId w:val="18"/>
              </w:numPr>
              <w:spacing w:after="0"/>
              <w:ind w:left="426"/>
              <w:rPr>
                <w:noProof/>
                <w:sz w:val="20"/>
              </w:rPr>
            </w:pPr>
            <w:r>
              <w:rPr>
                <w:noProof/>
                <w:color w:val="FFFFFF" w:themeColor="background1"/>
                <w:sz w:val="20"/>
              </w:rPr>
              <w:lastRenderedPageBreak/>
              <w:t>.</w:t>
            </w:r>
          </w:p>
        </w:tc>
        <w:tc>
          <w:tcPr>
            <w:tcW w:w="1752" w:type="dxa"/>
            <w:tcBorders>
              <w:left w:val="single" w:sz="4" w:space="0" w:color="auto"/>
              <w:bottom w:val="single" w:sz="4" w:space="0" w:color="auto"/>
              <w:right w:val="single" w:sz="4" w:space="0" w:color="auto"/>
            </w:tcBorders>
            <w:tcMar>
              <w:top w:w="85" w:type="dxa"/>
              <w:bottom w:w="85" w:type="dxa"/>
            </w:tcMar>
          </w:tcPr>
          <w:p w:rsidR="009B37B3" w:rsidRDefault="009B37B3" w:rsidP="009B37B3">
            <w:pPr>
              <w:spacing w:after="0"/>
              <w:rPr>
                <w:noProof/>
                <w:sz w:val="20"/>
              </w:rPr>
            </w:pPr>
            <w:r>
              <w:rPr>
                <w:b/>
                <w:bCs/>
                <w:noProof/>
                <w:sz w:val="20"/>
              </w:rPr>
              <w:t>Nová priemyselná stratégia pre Európu</w:t>
            </w:r>
          </w:p>
        </w:tc>
        <w:tc>
          <w:tcPr>
            <w:tcW w:w="4111" w:type="dxa"/>
            <w:tcBorders>
              <w:left w:val="single" w:sz="4" w:space="0" w:color="auto"/>
              <w:bottom w:val="single" w:sz="4" w:space="0" w:color="auto"/>
              <w:right w:val="single" w:sz="4" w:space="0" w:color="auto"/>
            </w:tcBorders>
            <w:tcMar>
              <w:top w:w="85" w:type="dxa"/>
              <w:bottom w:w="85" w:type="dxa"/>
            </w:tcMar>
          </w:tcPr>
          <w:p w:rsidR="009B37B3" w:rsidRDefault="009B37B3" w:rsidP="009B37B3">
            <w:pPr>
              <w:spacing w:after="0"/>
              <w:jc w:val="left"/>
              <w:rPr>
                <w:noProof/>
                <w:sz w:val="20"/>
              </w:rPr>
            </w:pPr>
            <w:r>
              <w:rPr>
                <w:b/>
                <w:bCs/>
                <w:noProof/>
                <w:sz w:val="20"/>
              </w:rPr>
              <w:t>Priemyselná stratégia</w:t>
            </w:r>
            <w:r>
              <w:rPr>
                <w:noProof/>
                <w:sz w:val="20"/>
              </w:rPr>
              <w:t xml:space="preserve"> (nelegislatívna iniciatíva, 1. štvrťrok 2020);</w:t>
            </w:r>
          </w:p>
          <w:p w:rsidR="009B37B3" w:rsidRDefault="009B37B3" w:rsidP="009B37B3">
            <w:pPr>
              <w:spacing w:after="0"/>
              <w:jc w:val="left"/>
              <w:rPr>
                <w:b/>
                <w:bCs/>
                <w:noProof/>
                <w:sz w:val="20"/>
              </w:rPr>
            </w:pPr>
          </w:p>
          <w:p w:rsidR="009B37B3" w:rsidRDefault="009B37B3" w:rsidP="009B37B3">
            <w:pPr>
              <w:spacing w:after="0"/>
              <w:jc w:val="left"/>
              <w:rPr>
                <w:b/>
                <w:bCs/>
                <w:noProof/>
                <w:sz w:val="20"/>
              </w:rPr>
            </w:pPr>
          </w:p>
          <w:p w:rsidR="009B37B3" w:rsidRDefault="009B37B3" w:rsidP="009B37B3">
            <w:pPr>
              <w:spacing w:after="0"/>
              <w:jc w:val="left"/>
              <w:rPr>
                <w:b/>
                <w:bCs/>
                <w:noProof/>
                <w:sz w:val="20"/>
              </w:rPr>
            </w:pPr>
          </w:p>
          <w:p w:rsidR="009B37B3" w:rsidRDefault="009B37B3" w:rsidP="009B37B3">
            <w:pPr>
              <w:spacing w:after="0"/>
              <w:jc w:val="left"/>
              <w:rPr>
                <w:noProof/>
                <w:sz w:val="20"/>
              </w:rPr>
            </w:pPr>
            <w:r>
              <w:rPr>
                <w:b/>
                <w:bCs/>
                <w:noProof/>
                <w:sz w:val="20"/>
              </w:rPr>
              <w:t>Správa o prekážkach jednotného trhu</w:t>
            </w:r>
            <w:r>
              <w:rPr>
                <w:noProof/>
                <w:sz w:val="20"/>
              </w:rPr>
              <w:t xml:space="preserve"> (nelegislatívna iniciatíva, 1. štvrťrok 2020);</w:t>
            </w:r>
          </w:p>
          <w:p w:rsidR="009B37B3" w:rsidRDefault="009B37B3" w:rsidP="009B37B3">
            <w:pPr>
              <w:spacing w:after="0"/>
              <w:jc w:val="left"/>
              <w:rPr>
                <w:noProof/>
                <w:sz w:val="20"/>
              </w:rPr>
            </w:pPr>
          </w:p>
          <w:p w:rsidR="009B37B3" w:rsidRDefault="009B37B3" w:rsidP="009B37B3">
            <w:pPr>
              <w:spacing w:after="0"/>
              <w:jc w:val="left"/>
              <w:rPr>
                <w:noProof/>
                <w:sz w:val="20"/>
              </w:rPr>
            </w:pPr>
            <w:r>
              <w:rPr>
                <w:b/>
                <w:bCs/>
                <w:noProof/>
                <w:sz w:val="20"/>
              </w:rPr>
              <w:t>Akčný plán EÚ pre presadzovanie jednotného trhu</w:t>
            </w:r>
            <w:r>
              <w:rPr>
                <w:noProof/>
                <w:sz w:val="20"/>
              </w:rPr>
              <w:t xml:space="preserve"> (nelegislatívna iniciatíva, 1. štvrťrok 2020);</w:t>
            </w:r>
          </w:p>
          <w:p w:rsidR="009B37B3" w:rsidRDefault="009B37B3" w:rsidP="009B37B3">
            <w:pPr>
              <w:spacing w:after="0"/>
              <w:jc w:val="left"/>
              <w:rPr>
                <w:noProof/>
                <w:sz w:val="20"/>
              </w:rPr>
            </w:pPr>
          </w:p>
          <w:p w:rsidR="009B37B3" w:rsidRDefault="009B37B3" w:rsidP="009B37B3">
            <w:pPr>
              <w:spacing w:after="0"/>
              <w:jc w:val="left"/>
              <w:rPr>
                <w:noProof/>
                <w:sz w:val="20"/>
              </w:rPr>
            </w:pPr>
            <w:r>
              <w:rPr>
                <w:b/>
                <w:bCs/>
                <w:noProof/>
                <w:sz w:val="20"/>
              </w:rPr>
              <w:t>Stratégia pre MSP</w:t>
            </w:r>
            <w:r>
              <w:rPr>
                <w:noProof/>
                <w:sz w:val="20"/>
              </w:rPr>
              <w:t xml:space="preserve"> (nelegislatívna iniciatíva, 1. štvrťrok 2020);</w:t>
            </w:r>
          </w:p>
          <w:p w:rsidR="009B37B3" w:rsidRDefault="009B37B3" w:rsidP="009B37B3">
            <w:pPr>
              <w:spacing w:after="0"/>
              <w:jc w:val="left"/>
              <w:rPr>
                <w:noProof/>
                <w:sz w:val="20"/>
              </w:rPr>
            </w:pPr>
          </w:p>
          <w:p w:rsidR="009B37B3" w:rsidRDefault="009B37B3" w:rsidP="009B37B3">
            <w:pPr>
              <w:spacing w:after="0"/>
              <w:jc w:val="left"/>
              <w:rPr>
                <w:noProof/>
                <w:sz w:val="20"/>
              </w:rPr>
            </w:pPr>
            <w:r>
              <w:rPr>
                <w:b/>
                <w:bCs/>
                <w:noProof/>
                <w:sz w:val="20"/>
              </w:rPr>
              <w:t>Biela kniha o nástroji pre zahraničné subvencie</w:t>
            </w:r>
            <w:r>
              <w:rPr>
                <w:noProof/>
                <w:sz w:val="20"/>
              </w:rPr>
              <w:t xml:space="preserve"> (nelegislatívna iniciatíva, 2. štvrťrok 2020)</w:t>
            </w:r>
          </w:p>
        </w:tc>
        <w:tc>
          <w:tcPr>
            <w:tcW w:w="1418" w:type="dxa"/>
            <w:tcBorders>
              <w:left w:val="single" w:sz="4" w:space="0" w:color="auto"/>
              <w:bottom w:val="single" w:sz="4" w:space="0" w:color="auto"/>
              <w:right w:val="single" w:sz="4" w:space="0" w:color="auto"/>
            </w:tcBorders>
          </w:tcPr>
          <w:p w:rsidR="009B37B3" w:rsidRDefault="009B37B3" w:rsidP="009B37B3">
            <w:pPr>
              <w:spacing w:after="0"/>
              <w:jc w:val="center"/>
              <w:rPr>
                <w:b/>
                <w:bCs/>
                <w:noProof/>
                <w:sz w:val="20"/>
              </w:rPr>
            </w:pPr>
            <w:r>
              <w:rPr>
                <w:b/>
                <w:bCs/>
                <w:noProof/>
                <w:sz w:val="20"/>
              </w:rPr>
              <w:t>MH SR</w:t>
            </w:r>
          </w:p>
          <w:p w:rsidR="00A17FAF" w:rsidRDefault="00A17FAF" w:rsidP="009B37B3">
            <w:pPr>
              <w:spacing w:after="0"/>
              <w:jc w:val="center"/>
              <w:rPr>
                <w:b/>
                <w:bCs/>
                <w:noProof/>
                <w:sz w:val="20"/>
              </w:rPr>
            </w:pPr>
            <w:r>
              <w:rPr>
                <w:b/>
                <w:bCs/>
                <w:noProof/>
                <w:sz w:val="20"/>
              </w:rPr>
              <w:t>MŽP SR</w:t>
            </w:r>
          </w:p>
          <w:p w:rsidR="009B37B3" w:rsidRDefault="009B37B3" w:rsidP="009B37B3">
            <w:pPr>
              <w:spacing w:after="0"/>
              <w:jc w:val="center"/>
              <w:rPr>
                <w:b/>
                <w:bCs/>
                <w:noProof/>
                <w:sz w:val="20"/>
              </w:rPr>
            </w:pPr>
          </w:p>
          <w:p w:rsidR="009B37B3" w:rsidRDefault="009B37B3" w:rsidP="009B37B3">
            <w:pPr>
              <w:spacing w:after="0"/>
              <w:jc w:val="center"/>
              <w:rPr>
                <w:b/>
                <w:bCs/>
                <w:noProof/>
                <w:sz w:val="20"/>
              </w:rPr>
            </w:pPr>
          </w:p>
          <w:p w:rsidR="009B37B3" w:rsidRDefault="009B37B3" w:rsidP="009B37B3">
            <w:pPr>
              <w:spacing w:after="0"/>
              <w:jc w:val="center"/>
              <w:rPr>
                <w:b/>
                <w:bCs/>
                <w:noProof/>
                <w:sz w:val="20"/>
              </w:rPr>
            </w:pPr>
          </w:p>
          <w:p w:rsidR="009B37B3" w:rsidRDefault="009B37B3" w:rsidP="009B37B3">
            <w:pPr>
              <w:spacing w:after="0"/>
              <w:jc w:val="center"/>
              <w:rPr>
                <w:b/>
                <w:bCs/>
                <w:noProof/>
                <w:sz w:val="20"/>
              </w:rPr>
            </w:pPr>
          </w:p>
          <w:p w:rsidR="009B37B3" w:rsidRDefault="009B37B3" w:rsidP="009B37B3">
            <w:pPr>
              <w:spacing w:after="0"/>
              <w:jc w:val="center"/>
              <w:rPr>
                <w:b/>
                <w:bCs/>
                <w:noProof/>
                <w:sz w:val="20"/>
              </w:rPr>
            </w:pPr>
            <w:r>
              <w:rPr>
                <w:b/>
                <w:bCs/>
                <w:noProof/>
                <w:sz w:val="20"/>
              </w:rPr>
              <w:t>MH SR</w:t>
            </w:r>
          </w:p>
          <w:p w:rsidR="009B37B3" w:rsidRDefault="009B37B3" w:rsidP="009B37B3">
            <w:pPr>
              <w:spacing w:after="0"/>
              <w:jc w:val="center"/>
              <w:rPr>
                <w:b/>
                <w:bCs/>
                <w:noProof/>
                <w:sz w:val="20"/>
              </w:rPr>
            </w:pPr>
          </w:p>
          <w:p w:rsidR="009B37B3" w:rsidRDefault="009B37B3" w:rsidP="009B37B3">
            <w:pPr>
              <w:spacing w:after="0"/>
              <w:jc w:val="center"/>
              <w:rPr>
                <w:b/>
                <w:bCs/>
                <w:noProof/>
                <w:sz w:val="20"/>
              </w:rPr>
            </w:pPr>
          </w:p>
          <w:p w:rsidR="009B37B3" w:rsidRDefault="009B37B3" w:rsidP="009B37B3">
            <w:pPr>
              <w:spacing w:after="0"/>
              <w:jc w:val="center"/>
              <w:rPr>
                <w:b/>
                <w:bCs/>
                <w:noProof/>
                <w:sz w:val="20"/>
              </w:rPr>
            </w:pPr>
            <w:r>
              <w:rPr>
                <w:b/>
                <w:bCs/>
                <w:noProof/>
                <w:sz w:val="20"/>
              </w:rPr>
              <w:t>MH SR</w:t>
            </w:r>
          </w:p>
        </w:tc>
        <w:tc>
          <w:tcPr>
            <w:tcW w:w="6804" w:type="dxa"/>
            <w:tcBorders>
              <w:left w:val="single" w:sz="4" w:space="0" w:color="auto"/>
              <w:bottom w:val="single" w:sz="4" w:space="0" w:color="auto"/>
              <w:right w:val="single" w:sz="4" w:space="0" w:color="auto"/>
            </w:tcBorders>
          </w:tcPr>
          <w:p w:rsidR="009B37B3" w:rsidRPr="002E6BBF" w:rsidRDefault="009B37B3" w:rsidP="009B37B3">
            <w:pPr>
              <w:spacing w:after="0"/>
              <w:ind w:right="112"/>
              <w:rPr>
                <w:b/>
                <w:sz w:val="20"/>
                <w:u w:val="single"/>
              </w:rPr>
            </w:pPr>
            <w:r w:rsidRPr="00120127">
              <w:rPr>
                <w:b/>
                <w:sz w:val="20"/>
                <w:u w:val="single"/>
              </w:rPr>
              <w:t>Vysok</w:t>
            </w:r>
            <w:r>
              <w:rPr>
                <w:b/>
                <w:sz w:val="20"/>
                <w:u w:val="single"/>
              </w:rPr>
              <w:t xml:space="preserve">á priorita - </w:t>
            </w:r>
            <w:r w:rsidRPr="00120127">
              <w:rPr>
                <w:sz w:val="20"/>
              </w:rPr>
              <w:t xml:space="preserve">Vzhľadom na vyšší podiel priemyslu na HDP, ako aj na vysoký podiel automobilového priemyslu na hospodárstvo SR a nadchádzajúce smerovanie EÚ, bude nevyhnutné zabezpečiť konkurencieschopnosť a udržateľnosť priemyslu v EÚ. </w:t>
            </w:r>
          </w:p>
          <w:p w:rsidR="009B37B3" w:rsidRDefault="009B37B3" w:rsidP="009B37B3">
            <w:pPr>
              <w:spacing w:after="0"/>
              <w:ind w:right="112"/>
              <w:rPr>
                <w:b/>
                <w:sz w:val="20"/>
                <w:u w:val="single"/>
              </w:rPr>
            </w:pPr>
          </w:p>
          <w:p w:rsidR="009B37B3" w:rsidRPr="002E6BBF" w:rsidRDefault="009B37B3" w:rsidP="009B37B3">
            <w:pPr>
              <w:spacing w:after="0"/>
              <w:ind w:right="112"/>
              <w:rPr>
                <w:sz w:val="20"/>
              </w:rPr>
            </w:pPr>
            <w:r w:rsidRPr="002E6BBF">
              <w:rPr>
                <w:b/>
                <w:sz w:val="20"/>
                <w:u w:val="single"/>
              </w:rPr>
              <w:t>Stredná priorita</w:t>
            </w:r>
            <w:r>
              <w:rPr>
                <w:sz w:val="20"/>
              </w:rPr>
              <w:t xml:space="preserve"> - </w:t>
            </w:r>
            <w:r w:rsidRPr="003F06D8">
              <w:rPr>
                <w:sz w:val="20"/>
              </w:rPr>
              <w:t>Prijatím správy a akčného plánu reaguje</w:t>
            </w:r>
            <w:r>
              <w:rPr>
                <w:sz w:val="20"/>
              </w:rPr>
              <w:t xml:space="preserve"> </w:t>
            </w:r>
            <w:r w:rsidRPr="003F06D8">
              <w:rPr>
                <w:sz w:val="20"/>
              </w:rPr>
              <w:t>KOM</w:t>
            </w:r>
            <w:r>
              <w:rPr>
                <w:sz w:val="20"/>
              </w:rPr>
              <w:t xml:space="preserve"> na výzvy marcovej Európskej rady 2019, ktoré SR podporovala.  SR aj prostredníctvom  iniciatív Like-minded skupiny dlhodobo presadzuje</w:t>
            </w:r>
            <w:r w:rsidRPr="003F06D8">
              <w:rPr>
                <w:sz w:val="20"/>
              </w:rPr>
              <w:t xml:space="preserve"> </w:t>
            </w:r>
            <w:r>
              <w:rPr>
                <w:sz w:val="20"/>
              </w:rPr>
              <w:t xml:space="preserve">požiadavky na </w:t>
            </w:r>
            <w:r w:rsidRPr="003F06D8">
              <w:rPr>
                <w:sz w:val="20"/>
              </w:rPr>
              <w:t xml:space="preserve">odstraňovanie </w:t>
            </w:r>
            <w:r>
              <w:rPr>
                <w:sz w:val="20"/>
              </w:rPr>
              <w:t xml:space="preserve">ostávajúcich </w:t>
            </w:r>
            <w:r w:rsidRPr="003F06D8">
              <w:rPr>
                <w:sz w:val="20"/>
              </w:rPr>
              <w:t xml:space="preserve">neopodstatnených bariér na </w:t>
            </w:r>
            <w:r w:rsidR="00CF3A0F">
              <w:rPr>
                <w:sz w:val="20"/>
              </w:rPr>
              <w:t>Jednotnom trhu,</w:t>
            </w:r>
            <w:r w:rsidRPr="003F06D8">
              <w:rPr>
                <w:sz w:val="20"/>
              </w:rPr>
              <w:t xml:space="preserve"> </w:t>
            </w:r>
            <w:r>
              <w:rPr>
                <w:sz w:val="20"/>
              </w:rPr>
              <w:t>vrátane bariér spôsobených nedostatočným vykonávaním a presadzovaním pravidiel JT a to</w:t>
            </w:r>
            <w:r w:rsidRPr="003F06D8">
              <w:rPr>
                <w:sz w:val="20"/>
              </w:rPr>
              <w:t xml:space="preserve"> hlavne </w:t>
            </w:r>
            <w:r>
              <w:rPr>
                <w:sz w:val="20"/>
              </w:rPr>
              <w:t xml:space="preserve">na </w:t>
            </w:r>
            <w:r w:rsidRPr="003F06D8">
              <w:rPr>
                <w:sz w:val="20"/>
              </w:rPr>
              <w:t>trhu so službami</w:t>
            </w:r>
            <w:r>
              <w:rPr>
                <w:sz w:val="20"/>
              </w:rPr>
              <w:t xml:space="preserve">. </w:t>
            </w:r>
          </w:p>
          <w:p w:rsidR="009B37B3" w:rsidRDefault="009B37B3" w:rsidP="009B37B3">
            <w:pPr>
              <w:spacing w:after="0"/>
              <w:jc w:val="left"/>
              <w:rPr>
                <w:b/>
                <w:bCs/>
                <w:noProof/>
                <w:sz w:val="20"/>
              </w:rPr>
            </w:pPr>
          </w:p>
        </w:tc>
      </w:tr>
      <w:tr w:rsidR="00CD34A3" w:rsidTr="007F619F">
        <w:trPr>
          <w:cantSplit/>
          <w:trHeight w:val="2976"/>
        </w:trPr>
        <w:tc>
          <w:tcPr>
            <w:tcW w:w="511" w:type="dxa"/>
            <w:tcBorders>
              <w:right w:val="single" w:sz="4" w:space="0" w:color="auto"/>
            </w:tcBorders>
            <w:shd w:val="clear" w:color="auto" w:fill="FFFFFF" w:themeFill="background1"/>
          </w:tcPr>
          <w:p w:rsidR="00CD34A3" w:rsidRDefault="00CD34A3" w:rsidP="00CD34A3">
            <w:pPr>
              <w:pStyle w:val="Odsekzoznamu"/>
              <w:numPr>
                <w:ilvl w:val="0"/>
                <w:numId w:val="18"/>
              </w:numPr>
              <w:spacing w:after="0"/>
              <w:ind w:left="426"/>
              <w:rPr>
                <w:noProof/>
                <w:sz w:val="20"/>
              </w:rPr>
            </w:pPr>
          </w:p>
        </w:tc>
        <w:tc>
          <w:tcPr>
            <w:tcW w:w="1752" w:type="dxa"/>
            <w:tcBorders>
              <w:left w:val="single" w:sz="4" w:space="0" w:color="auto"/>
              <w:bottom w:val="single" w:sz="4" w:space="0" w:color="auto"/>
              <w:right w:val="single" w:sz="4" w:space="0" w:color="auto"/>
            </w:tcBorders>
            <w:shd w:val="clear" w:color="auto" w:fill="FFFFFF" w:themeFill="background1"/>
            <w:tcMar>
              <w:top w:w="85" w:type="dxa"/>
              <w:bottom w:w="85" w:type="dxa"/>
            </w:tcMar>
          </w:tcPr>
          <w:p w:rsidR="00CD34A3" w:rsidRDefault="00CD34A3" w:rsidP="00CD34A3">
            <w:pPr>
              <w:spacing w:after="0"/>
              <w:rPr>
                <w:b/>
                <w:bCs/>
                <w:noProof/>
                <w:sz w:val="20"/>
              </w:rPr>
            </w:pPr>
            <w:r>
              <w:rPr>
                <w:b/>
                <w:bCs/>
                <w:noProof/>
                <w:sz w:val="20"/>
              </w:rPr>
              <w:t>Balík v oblasti leteckých služieb</w:t>
            </w:r>
          </w:p>
        </w:tc>
        <w:tc>
          <w:tcPr>
            <w:tcW w:w="4111" w:type="dxa"/>
            <w:tcBorders>
              <w:left w:val="single" w:sz="4" w:space="0" w:color="auto"/>
              <w:bottom w:val="single" w:sz="4" w:space="0" w:color="auto"/>
              <w:right w:val="single" w:sz="4" w:space="0" w:color="auto"/>
            </w:tcBorders>
            <w:shd w:val="clear" w:color="auto" w:fill="FFFFFF" w:themeFill="background1"/>
            <w:tcMar>
              <w:top w:w="85" w:type="dxa"/>
              <w:bottom w:w="85" w:type="dxa"/>
            </w:tcMar>
          </w:tcPr>
          <w:p w:rsidR="00CD34A3" w:rsidRDefault="00CD34A3" w:rsidP="00CD34A3">
            <w:pPr>
              <w:spacing w:after="0"/>
              <w:jc w:val="left"/>
              <w:rPr>
                <w:noProof/>
                <w:sz w:val="20"/>
              </w:rPr>
            </w:pPr>
            <w:r>
              <w:rPr>
                <w:b/>
                <w:bCs/>
                <w:noProof/>
                <w:sz w:val="20"/>
              </w:rPr>
              <w:t>Revízia letiskových poplatkov</w:t>
            </w:r>
            <w:r>
              <w:rPr>
                <w:noProof/>
                <w:sz w:val="20"/>
              </w:rPr>
              <w:t xml:space="preserve"> (legislatívna iniciatíva vrátane posúdenia vplyvu, článok 100 ods. 2 ZFEÚ, 4. štvrťrok 2020) </w:t>
            </w:r>
          </w:p>
          <w:p w:rsidR="00CD34A3" w:rsidRDefault="00CD34A3" w:rsidP="00CD34A3">
            <w:pPr>
              <w:spacing w:after="0"/>
              <w:jc w:val="left"/>
              <w:rPr>
                <w:noProof/>
                <w:sz w:val="20"/>
              </w:rPr>
            </w:pPr>
          </w:p>
          <w:p w:rsidR="00CD34A3" w:rsidRDefault="00CD34A3" w:rsidP="00CD34A3">
            <w:pPr>
              <w:spacing w:after="0"/>
              <w:jc w:val="left"/>
              <w:rPr>
                <w:b/>
                <w:bCs/>
                <w:noProof/>
                <w:sz w:val="20"/>
              </w:rPr>
            </w:pPr>
          </w:p>
          <w:p w:rsidR="00CD34A3" w:rsidRDefault="00CD34A3" w:rsidP="00CD34A3">
            <w:pPr>
              <w:spacing w:after="0"/>
              <w:jc w:val="left"/>
              <w:rPr>
                <w:noProof/>
                <w:sz w:val="20"/>
              </w:rPr>
            </w:pPr>
            <w:r>
              <w:rPr>
                <w:b/>
                <w:bCs/>
                <w:noProof/>
                <w:sz w:val="20"/>
              </w:rPr>
              <w:t>Revízia poskytovania leteckých služieb</w:t>
            </w:r>
            <w:r>
              <w:rPr>
                <w:noProof/>
                <w:sz w:val="20"/>
              </w:rPr>
              <w:t xml:space="preserve"> (legislatívna iniciatíva vrátane posúdenia vplyvu, článok 100 ods. 2 ZFEÚ, 4. štvrťrok 2020)</w:t>
            </w:r>
          </w:p>
        </w:tc>
        <w:tc>
          <w:tcPr>
            <w:tcW w:w="1418" w:type="dxa"/>
            <w:tcBorders>
              <w:left w:val="single" w:sz="4" w:space="0" w:color="auto"/>
              <w:bottom w:val="single" w:sz="4" w:space="0" w:color="auto"/>
              <w:right w:val="single" w:sz="4" w:space="0" w:color="auto"/>
            </w:tcBorders>
            <w:shd w:val="clear" w:color="auto" w:fill="FFFFFF" w:themeFill="background1"/>
          </w:tcPr>
          <w:p w:rsidR="00CD34A3" w:rsidRPr="00CD34A3" w:rsidRDefault="00CD34A3" w:rsidP="00CD34A3">
            <w:pPr>
              <w:spacing w:after="0"/>
              <w:ind w:right="112"/>
              <w:jc w:val="center"/>
              <w:rPr>
                <w:b/>
                <w:sz w:val="20"/>
              </w:rPr>
            </w:pPr>
            <w:r w:rsidRPr="00CD34A3">
              <w:rPr>
                <w:b/>
                <w:sz w:val="20"/>
              </w:rPr>
              <w:t>MDV SR</w:t>
            </w:r>
          </w:p>
          <w:p w:rsidR="00CD34A3" w:rsidRPr="00CD34A3" w:rsidRDefault="00CD34A3" w:rsidP="00CD34A3">
            <w:pPr>
              <w:spacing w:after="0"/>
              <w:ind w:right="112"/>
              <w:jc w:val="center"/>
              <w:rPr>
                <w:b/>
                <w:sz w:val="20"/>
              </w:rPr>
            </w:pPr>
          </w:p>
          <w:p w:rsidR="00CD34A3" w:rsidRPr="00CD34A3" w:rsidRDefault="00CD34A3" w:rsidP="00CD34A3">
            <w:pPr>
              <w:spacing w:after="0"/>
              <w:ind w:right="112"/>
              <w:jc w:val="center"/>
              <w:rPr>
                <w:b/>
                <w:sz w:val="20"/>
              </w:rPr>
            </w:pPr>
          </w:p>
          <w:p w:rsidR="00CD34A3" w:rsidRPr="00CD34A3" w:rsidRDefault="00CD34A3" w:rsidP="00CD34A3">
            <w:pPr>
              <w:spacing w:after="0"/>
              <w:ind w:right="112"/>
              <w:jc w:val="center"/>
              <w:rPr>
                <w:b/>
                <w:sz w:val="20"/>
              </w:rPr>
            </w:pPr>
          </w:p>
          <w:p w:rsidR="00CD34A3" w:rsidRPr="00CD34A3" w:rsidRDefault="00CD34A3" w:rsidP="00CD34A3">
            <w:pPr>
              <w:spacing w:after="0"/>
              <w:ind w:right="112"/>
              <w:jc w:val="center"/>
              <w:rPr>
                <w:b/>
                <w:sz w:val="20"/>
              </w:rPr>
            </w:pPr>
          </w:p>
          <w:p w:rsidR="00CD34A3" w:rsidRDefault="00CD34A3" w:rsidP="007F619F">
            <w:pPr>
              <w:spacing w:after="0"/>
              <w:ind w:right="112"/>
              <w:jc w:val="center"/>
              <w:rPr>
                <w:sz w:val="20"/>
              </w:rPr>
            </w:pPr>
            <w:r w:rsidRPr="00CD34A3">
              <w:rPr>
                <w:b/>
                <w:sz w:val="20"/>
              </w:rPr>
              <w:t>MDV SR</w:t>
            </w:r>
          </w:p>
        </w:tc>
        <w:tc>
          <w:tcPr>
            <w:tcW w:w="6804" w:type="dxa"/>
            <w:tcBorders>
              <w:left w:val="single" w:sz="4" w:space="0" w:color="auto"/>
              <w:bottom w:val="single" w:sz="4" w:space="0" w:color="auto"/>
              <w:right w:val="single" w:sz="4" w:space="0" w:color="auto"/>
            </w:tcBorders>
            <w:shd w:val="clear" w:color="auto" w:fill="FFFFFF" w:themeFill="background1"/>
          </w:tcPr>
          <w:p w:rsidR="00CD34A3" w:rsidRPr="00CD34A3" w:rsidRDefault="00CD34A3" w:rsidP="00CD34A3">
            <w:pPr>
              <w:spacing w:after="0"/>
              <w:jc w:val="left"/>
              <w:rPr>
                <w:b/>
                <w:bCs/>
                <w:sz w:val="20"/>
                <w:szCs w:val="24"/>
                <w:u w:val="single"/>
              </w:rPr>
            </w:pPr>
            <w:r w:rsidRPr="00CD34A3">
              <w:rPr>
                <w:b/>
                <w:bCs/>
                <w:sz w:val="20"/>
                <w:szCs w:val="24"/>
                <w:u w:val="single"/>
              </w:rPr>
              <w:t>Stredná priorita</w:t>
            </w:r>
            <w:r>
              <w:rPr>
                <w:b/>
                <w:bCs/>
                <w:sz w:val="20"/>
                <w:szCs w:val="24"/>
              </w:rPr>
              <w:t>-</w:t>
            </w:r>
            <w:r w:rsidRPr="00D02D71">
              <w:rPr>
                <w:sz w:val="20"/>
              </w:rPr>
              <w:t xml:space="preserve">Rozvoj trhu zvýšil konkurencieschopnosť medzi letiskami. Letiská v SR nespadajú pod prah stanovený v pôvodnej smernici (letiská nad 5 mil pasažierov), tento však už dnes nie je natoľko relevantný. Aj menšie letiská môžu zabraňovať vstupu nových účastníkov na trh a ovplyvňovať ceny letiskových poplatkov. </w:t>
            </w:r>
          </w:p>
          <w:p w:rsidR="00CD34A3" w:rsidRPr="00B90604" w:rsidRDefault="00CD34A3" w:rsidP="00B90604">
            <w:pPr>
              <w:spacing w:line="276" w:lineRule="auto"/>
              <w:jc w:val="left"/>
              <w:rPr>
                <w:b/>
                <w:sz w:val="20"/>
                <w:u w:val="single"/>
              </w:rPr>
            </w:pPr>
            <w:r w:rsidRPr="00CD34A3">
              <w:rPr>
                <w:b/>
                <w:bCs/>
                <w:sz w:val="20"/>
                <w:szCs w:val="24"/>
                <w:u w:val="single"/>
              </w:rPr>
              <w:t>Vysoká priorita</w:t>
            </w:r>
            <w:r>
              <w:rPr>
                <w:b/>
                <w:bCs/>
                <w:sz w:val="20"/>
                <w:szCs w:val="24"/>
                <w:u w:val="single"/>
              </w:rPr>
              <w:t xml:space="preserve"> </w:t>
            </w:r>
            <w:r w:rsidRPr="0028662B">
              <w:rPr>
                <w:sz w:val="20"/>
              </w:rPr>
              <w:t>- Nariadenie výrazne prispelo k efektívnejšej organizácii operácií leteckých dopravcov, zlepšeniu konektivity, transparentnosti distribúcie leteckej prevádzky, ako aj transparentnosti pri uvádzaní cien leteniek.  Rozvoj nových obchodných modelov (nízko nákladové letecké spoločnosti), ktoré získali značné podiely na trhu, prispel v posledných 10 rokoch k intenzifikácii konkurencie, spotrebiteľského výberu a konektivity. Je takisto hlavným impulzo</w:t>
            </w:r>
            <w:r w:rsidR="00B90604" w:rsidRPr="0028662B">
              <w:rPr>
                <w:sz w:val="20"/>
              </w:rPr>
              <w:t>m pre revíziu tohto nariadenia.</w:t>
            </w:r>
          </w:p>
        </w:tc>
      </w:tr>
      <w:tr w:rsidR="00CD34A3" w:rsidTr="008A2C73">
        <w:trPr>
          <w:cantSplit/>
        </w:trPr>
        <w:tc>
          <w:tcPr>
            <w:tcW w:w="511" w:type="dxa"/>
            <w:tcBorders>
              <w:bottom w:val="single" w:sz="4" w:space="0" w:color="auto"/>
              <w:right w:val="single" w:sz="4" w:space="0" w:color="auto"/>
            </w:tcBorders>
          </w:tcPr>
          <w:p w:rsidR="00CD34A3" w:rsidRDefault="00CD34A3" w:rsidP="00CD34A3">
            <w:pPr>
              <w:pStyle w:val="Odsekzoznamu"/>
              <w:numPr>
                <w:ilvl w:val="0"/>
                <w:numId w:val="18"/>
              </w:numPr>
              <w:spacing w:after="0"/>
              <w:ind w:left="426"/>
              <w:rPr>
                <w:noProof/>
                <w:sz w:val="20"/>
              </w:rPr>
            </w:pPr>
          </w:p>
        </w:tc>
        <w:tc>
          <w:tcPr>
            <w:tcW w:w="1752" w:type="dxa"/>
            <w:tcBorders>
              <w:left w:val="single" w:sz="4" w:space="0" w:color="auto"/>
              <w:bottom w:val="single" w:sz="4" w:space="0" w:color="auto"/>
              <w:right w:val="single" w:sz="4" w:space="0" w:color="auto"/>
            </w:tcBorders>
            <w:tcMar>
              <w:top w:w="85" w:type="dxa"/>
              <w:bottom w:w="85" w:type="dxa"/>
            </w:tcMar>
          </w:tcPr>
          <w:p w:rsidR="00CD34A3" w:rsidRDefault="00CD34A3" w:rsidP="00CD34A3">
            <w:pPr>
              <w:spacing w:after="0"/>
              <w:rPr>
                <w:b/>
                <w:bCs/>
                <w:noProof/>
                <w:sz w:val="20"/>
              </w:rPr>
            </w:pPr>
            <w:r>
              <w:rPr>
                <w:b/>
                <w:bCs/>
                <w:noProof/>
                <w:sz w:val="20"/>
              </w:rPr>
              <w:t>Smerom k Európskemu výskumnému priestoru</w:t>
            </w:r>
          </w:p>
        </w:tc>
        <w:tc>
          <w:tcPr>
            <w:tcW w:w="4111" w:type="dxa"/>
            <w:tcBorders>
              <w:left w:val="single" w:sz="4" w:space="0" w:color="auto"/>
              <w:bottom w:val="single" w:sz="4" w:space="0" w:color="auto"/>
              <w:right w:val="single" w:sz="4" w:space="0" w:color="auto"/>
            </w:tcBorders>
            <w:tcMar>
              <w:top w:w="85" w:type="dxa"/>
              <w:bottom w:w="85" w:type="dxa"/>
            </w:tcMar>
          </w:tcPr>
          <w:p w:rsidR="00CD34A3" w:rsidRDefault="00CD34A3" w:rsidP="00CD34A3">
            <w:pPr>
              <w:spacing w:after="0"/>
              <w:jc w:val="left"/>
              <w:rPr>
                <w:noProof/>
                <w:sz w:val="20"/>
              </w:rPr>
            </w:pPr>
            <w:r>
              <w:rPr>
                <w:b/>
                <w:bCs/>
                <w:noProof/>
                <w:sz w:val="20"/>
              </w:rPr>
              <w:t>Oznámenie o budúcnosti výskumu a inovácií a o Európskom výskumnom priestore</w:t>
            </w:r>
            <w:r>
              <w:rPr>
                <w:noProof/>
                <w:sz w:val="20"/>
              </w:rPr>
              <w:t xml:space="preserve"> (nelegislatívna iniciatíva, 2. štvrťrok 2020);</w:t>
            </w:r>
          </w:p>
          <w:p w:rsidR="00CD34A3" w:rsidRDefault="00CD34A3" w:rsidP="00CD34A3">
            <w:pPr>
              <w:spacing w:after="0"/>
              <w:jc w:val="left"/>
              <w:rPr>
                <w:noProof/>
                <w:sz w:val="20"/>
              </w:rPr>
            </w:pPr>
          </w:p>
          <w:p w:rsidR="00CD34A3" w:rsidRDefault="00CD34A3" w:rsidP="00CD34A3">
            <w:pPr>
              <w:spacing w:after="0"/>
              <w:jc w:val="left"/>
              <w:rPr>
                <w:noProof/>
                <w:sz w:val="20"/>
              </w:rPr>
            </w:pPr>
          </w:p>
          <w:p w:rsidR="00CD34A3" w:rsidRDefault="00CD34A3" w:rsidP="00CD34A3">
            <w:pPr>
              <w:spacing w:after="0"/>
              <w:jc w:val="left"/>
              <w:rPr>
                <w:noProof/>
                <w:sz w:val="20"/>
              </w:rPr>
            </w:pPr>
            <w:r>
              <w:rPr>
                <w:b/>
                <w:bCs/>
                <w:noProof/>
                <w:sz w:val="20"/>
              </w:rPr>
              <w:t>Oznámenie o výskumných a inovačných misiách v rámci programu Horizont Európa</w:t>
            </w:r>
            <w:r>
              <w:rPr>
                <w:noProof/>
                <w:sz w:val="20"/>
              </w:rPr>
              <w:t xml:space="preserve"> (nelegislatívna iniciatíva, 4. štvrťrok 2020)</w:t>
            </w:r>
          </w:p>
        </w:tc>
        <w:tc>
          <w:tcPr>
            <w:tcW w:w="1418" w:type="dxa"/>
            <w:tcBorders>
              <w:left w:val="single" w:sz="4" w:space="0" w:color="auto"/>
              <w:bottom w:val="single" w:sz="4" w:space="0" w:color="auto"/>
              <w:right w:val="single" w:sz="4" w:space="0" w:color="auto"/>
            </w:tcBorders>
          </w:tcPr>
          <w:p w:rsidR="00CD34A3" w:rsidRDefault="00CD34A3" w:rsidP="00CD34A3">
            <w:pPr>
              <w:spacing w:after="0"/>
              <w:jc w:val="center"/>
              <w:rPr>
                <w:b/>
                <w:sz w:val="20"/>
              </w:rPr>
            </w:pPr>
            <w:r w:rsidRPr="00CC070C">
              <w:rPr>
                <w:b/>
                <w:sz w:val="20"/>
              </w:rPr>
              <w:t>MŠVVaŠ SR</w:t>
            </w:r>
          </w:p>
          <w:p w:rsidR="00CD34A3" w:rsidRDefault="00CD34A3" w:rsidP="00CD34A3">
            <w:pPr>
              <w:spacing w:after="0"/>
              <w:jc w:val="center"/>
              <w:rPr>
                <w:b/>
                <w:sz w:val="20"/>
              </w:rPr>
            </w:pPr>
          </w:p>
          <w:p w:rsidR="00CD34A3" w:rsidRDefault="00CD34A3" w:rsidP="00CD34A3">
            <w:pPr>
              <w:spacing w:after="0"/>
              <w:jc w:val="center"/>
              <w:rPr>
                <w:b/>
                <w:sz w:val="20"/>
              </w:rPr>
            </w:pPr>
          </w:p>
          <w:p w:rsidR="00CD34A3" w:rsidRDefault="00CD34A3" w:rsidP="00CD34A3">
            <w:pPr>
              <w:spacing w:after="0"/>
              <w:jc w:val="center"/>
              <w:rPr>
                <w:b/>
                <w:sz w:val="20"/>
              </w:rPr>
            </w:pPr>
          </w:p>
          <w:p w:rsidR="00CD34A3" w:rsidRDefault="00CD34A3" w:rsidP="00CD34A3">
            <w:pPr>
              <w:spacing w:after="0"/>
              <w:jc w:val="center"/>
              <w:rPr>
                <w:b/>
                <w:sz w:val="20"/>
              </w:rPr>
            </w:pPr>
          </w:p>
          <w:p w:rsidR="00CD34A3" w:rsidRPr="00CC070C" w:rsidRDefault="00CD34A3" w:rsidP="00CD34A3">
            <w:pPr>
              <w:spacing w:after="0"/>
              <w:jc w:val="center"/>
              <w:rPr>
                <w:b/>
                <w:bCs/>
                <w:noProof/>
                <w:sz w:val="20"/>
              </w:rPr>
            </w:pPr>
            <w:r w:rsidRPr="00CC070C">
              <w:rPr>
                <w:b/>
                <w:sz w:val="20"/>
              </w:rPr>
              <w:t>MŠVVaŠ SR</w:t>
            </w:r>
          </w:p>
        </w:tc>
        <w:tc>
          <w:tcPr>
            <w:tcW w:w="6804" w:type="dxa"/>
            <w:tcBorders>
              <w:left w:val="single" w:sz="4" w:space="0" w:color="auto"/>
              <w:bottom w:val="single" w:sz="4" w:space="0" w:color="auto"/>
              <w:right w:val="single" w:sz="4" w:space="0" w:color="auto"/>
            </w:tcBorders>
          </w:tcPr>
          <w:p w:rsidR="00CD34A3" w:rsidRDefault="00CD34A3" w:rsidP="00CD34A3">
            <w:pPr>
              <w:spacing w:after="0"/>
              <w:rPr>
                <w:sz w:val="20"/>
              </w:rPr>
            </w:pPr>
            <w:r w:rsidRPr="00CC070C">
              <w:rPr>
                <w:b/>
                <w:sz w:val="20"/>
                <w:u w:val="single"/>
              </w:rPr>
              <w:t>Stredná priorita</w:t>
            </w:r>
            <w:r>
              <w:rPr>
                <w:sz w:val="20"/>
              </w:rPr>
              <w:t xml:space="preserve"> - </w:t>
            </w:r>
            <w:r w:rsidRPr="007B2F96">
              <w:rPr>
                <w:sz w:val="20"/>
              </w:rPr>
              <w:t>Aktuálny stav rokovaní:</w:t>
            </w:r>
            <w:r w:rsidRPr="004C1CD1">
              <w:rPr>
                <w:sz w:val="20"/>
              </w:rPr>
              <w:t xml:space="preserve"> Materiály zatiaľ neboli predložené na rokovanie na technickej úrovni.</w:t>
            </w:r>
            <w:r>
              <w:rPr>
                <w:bCs/>
                <w:sz w:val="20"/>
                <w:lang w:eastAsia="ar-SA"/>
              </w:rPr>
              <w:t xml:space="preserve"> </w:t>
            </w:r>
            <w:r>
              <w:rPr>
                <w:sz w:val="20"/>
              </w:rPr>
              <w:t xml:space="preserve">Pri rokovaniach o budúcnosti ERA bude SK pripomínať najmä dôležitosť vyrovnania rozdielov vo výkonnosti v oblasti VaI medzi ČŠ EÚ. </w:t>
            </w:r>
          </w:p>
          <w:p w:rsidR="00CD34A3" w:rsidRPr="00CC070C" w:rsidRDefault="00CD34A3" w:rsidP="00CD34A3">
            <w:pPr>
              <w:spacing w:after="0"/>
              <w:rPr>
                <w:sz w:val="20"/>
              </w:rPr>
            </w:pPr>
          </w:p>
          <w:p w:rsidR="00CD34A3" w:rsidRPr="007F619F" w:rsidRDefault="00CD34A3" w:rsidP="007F619F">
            <w:pPr>
              <w:rPr>
                <w:b/>
                <w:sz w:val="20"/>
              </w:rPr>
            </w:pPr>
            <w:r>
              <w:rPr>
                <w:sz w:val="20"/>
              </w:rPr>
              <w:t>SR</w:t>
            </w:r>
            <w:r w:rsidRPr="00EB283B">
              <w:rPr>
                <w:sz w:val="20"/>
              </w:rPr>
              <w:t xml:space="preserve"> sa bude zároveň aktívne zúčastňovať rokovaní k</w:t>
            </w:r>
            <w:r>
              <w:rPr>
                <w:sz w:val="20"/>
              </w:rPr>
              <w:t> novému nástroju rámcového programu Horizont Európa – misie.</w:t>
            </w:r>
          </w:p>
        </w:tc>
      </w:tr>
      <w:tr w:rsidR="00CD34A3" w:rsidTr="008A2C73">
        <w:trPr>
          <w:cantSplit/>
        </w:trPr>
        <w:tc>
          <w:tcPr>
            <w:tcW w:w="511" w:type="dxa"/>
            <w:tcBorders>
              <w:bottom w:val="single" w:sz="4" w:space="0" w:color="auto"/>
              <w:right w:val="single" w:sz="4" w:space="0" w:color="auto"/>
            </w:tcBorders>
          </w:tcPr>
          <w:p w:rsidR="00CD34A3" w:rsidRDefault="00CD34A3" w:rsidP="00CD34A3">
            <w:pPr>
              <w:pStyle w:val="Odsekzoznamu"/>
              <w:numPr>
                <w:ilvl w:val="0"/>
                <w:numId w:val="18"/>
              </w:numPr>
              <w:spacing w:after="0"/>
              <w:ind w:left="426"/>
              <w:rPr>
                <w:noProof/>
                <w:sz w:val="20"/>
              </w:rPr>
            </w:pPr>
          </w:p>
        </w:tc>
        <w:tc>
          <w:tcPr>
            <w:tcW w:w="1752" w:type="dxa"/>
            <w:tcBorders>
              <w:left w:val="single" w:sz="4" w:space="0" w:color="auto"/>
              <w:bottom w:val="single" w:sz="4" w:space="0" w:color="auto"/>
              <w:right w:val="single" w:sz="4" w:space="0" w:color="auto"/>
            </w:tcBorders>
            <w:tcMar>
              <w:top w:w="85" w:type="dxa"/>
              <w:bottom w:w="85" w:type="dxa"/>
            </w:tcMar>
          </w:tcPr>
          <w:p w:rsidR="00CD34A3" w:rsidRDefault="00CD34A3" w:rsidP="00CD34A3">
            <w:pPr>
              <w:spacing w:after="0"/>
              <w:rPr>
                <w:b/>
                <w:bCs/>
                <w:noProof/>
                <w:sz w:val="20"/>
              </w:rPr>
            </w:pPr>
            <w:r>
              <w:rPr>
                <w:b/>
                <w:bCs/>
                <w:noProof/>
                <w:sz w:val="20"/>
              </w:rPr>
              <w:t>Digitálne financie</w:t>
            </w:r>
          </w:p>
        </w:tc>
        <w:tc>
          <w:tcPr>
            <w:tcW w:w="4111" w:type="dxa"/>
            <w:tcBorders>
              <w:left w:val="single" w:sz="4" w:space="0" w:color="auto"/>
              <w:bottom w:val="single" w:sz="4" w:space="0" w:color="auto"/>
              <w:right w:val="single" w:sz="4" w:space="0" w:color="auto"/>
            </w:tcBorders>
            <w:tcMar>
              <w:top w:w="85" w:type="dxa"/>
              <w:bottom w:w="85" w:type="dxa"/>
            </w:tcMar>
          </w:tcPr>
          <w:p w:rsidR="00CD34A3" w:rsidRDefault="00CD34A3" w:rsidP="00CD34A3">
            <w:pPr>
              <w:spacing w:after="0"/>
              <w:jc w:val="left"/>
              <w:rPr>
                <w:noProof/>
                <w:sz w:val="20"/>
              </w:rPr>
            </w:pPr>
            <w:r>
              <w:rPr>
                <w:b/>
                <w:bCs/>
                <w:noProof/>
                <w:sz w:val="20"/>
              </w:rPr>
              <w:t>Akčný plán pre finančné technológie vrátane stratégie týkajúcej sa integrovaného platobného trhu EÚ</w:t>
            </w:r>
            <w:r>
              <w:rPr>
                <w:noProof/>
                <w:sz w:val="20"/>
              </w:rPr>
              <w:t xml:space="preserve"> (nelegislatívna iniciatíva, 3. štvrťrok 2020);</w:t>
            </w:r>
          </w:p>
          <w:p w:rsidR="00CD34A3" w:rsidRDefault="00CD34A3" w:rsidP="00CD34A3">
            <w:pPr>
              <w:spacing w:after="0"/>
              <w:jc w:val="left"/>
              <w:rPr>
                <w:noProof/>
                <w:sz w:val="20"/>
              </w:rPr>
            </w:pPr>
            <w:r>
              <w:rPr>
                <w:noProof/>
                <w:sz w:val="20"/>
              </w:rPr>
              <w:br/>
            </w:r>
            <w:r>
              <w:rPr>
                <w:b/>
                <w:bCs/>
                <w:noProof/>
                <w:sz w:val="20"/>
              </w:rPr>
              <w:t>Návrh o kryptoaktívach</w:t>
            </w:r>
            <w:r>
              <w:rPr>
                <w:noProof/>
                <w:sz w:val="20"/>
              </w:rPr>
              <w:t xml:space="preserve"> (legislatívna iniciatíva vrátane posúdenia vplyvu, článok 114 ZFEÚ, 3. štvrťrok 2020)</w:t>
            </w:r>
          </w:p>
          <w:p w:rsidR="00CD34A3" w:rsidRDefault="00CD34A3" w:rsidP="00CD34A3">
            <w:pPr>
              <w:spacing w:after="0"/>
              <w:jc w:val="left"/>
              <w:rPr>
                <w:noProof/>
                <w:sz w:val="20"/>
              </w:rPr>
            </w:pPr>
          </w:p>
          <w:p w:rsidR="00CF20B9" w:rsidRDefault="00CF20B9" w:rsidP="00CD34A3">
            <w:pPr>
              <w:spacing w:after="0"/>
              <w:jc w:val="left"/>
              <w:rPr>
                <w:b/>
                <w:bCs/>
                <w:noProof/>
                <w:sz w:val="20"/>
              </w:rPr>
            </w:pPr>
          </w:p>
          <w:p w:rsidR="00CF20B9" w:rsidRDefault="00CF20B9" w:rsidP="00CD34A3">
            <w:pPr>
              <w:spacing w:after="0"/>
              <w:jc w:val="left"/>
              <w:rPr>
                <w:b/>
                <w:bCs/>
                <w:noProof/>
                <w:sz w:val="20"/>
              </w:rPr>
            </w:pPr>
          </w:p>
          <w:p w:rsidR="00CF20B9" w:rsidRDefault="00CF20B9" w:rsidP="00CD34A3">
            <w:pPr>
              <w:spacing w:after="0"/>
              <w:jc w:val="left"/>
              <w:rPr>
                <w:b/>
                <w:bCs/>
                <w:noProof/>
                <w:sz w:val="20"/>
              </w:rPr>
            </w:pPr>
          </w:p>
          <w:p w:rsidR="00CF20B9" w:rsidRDefault="00CF20B9" w:rsidP="00CD34A3">
            <w:pPr>
              <w:spacing w:after="0"/>
              <w:jc w:val="left"/>
              <w:rPr>
                <w:b/>
                <w:bCs/>
                <w:noProof/>
                <w:sz w:val="20"/>
              </w:rPr>
            </w:pPr>
          </w:p>
          <w:p w:rsidR="00CF20B9" w:rsidRDefault="00CF20B9" w:rsidP="00CD34A3">
            <w:pPr>
              <w:spacing w:after="0"/>
              <w:jc w:val="left"/>
              <w:rPr>
                <w:b/>
                <w:bCs/>
                <w:noProof/>
                <w:sz w:val="20"/>
              </w:rPr>
            </w:pPr>
          </w:p>
          <w:p w:rsidR="00CF20B9" w:rsidRDefault="00CF20B9" w:rsidP="00CD34A3">
            <w:pPr>
              <w:spacing w:after="0"/>
              <w:jc w:val="left"/>
              <w:rPr>
                <w:b/>
                <w:bCs/>
                <w:noProof/>
                <w:sz w:val="20"/>
              </w:rPr>
            </w:pPr>
          </w:p>
          <w:p w:rsidR="00CF20B9" w:rsidRDefault="00CF20B9" w:rsidP="00CD34A3">
            <w:pPr>
              <w:spacing w:after="0"/>
              <w:jc w:val="left"/>
              <w:rPr>
                <w:b/>
                <w:bCs/>
                <w:noProof/>
                <w:sz w:val="20"/>
              </w:rPr>
            </w:pPr>
          </w:p>
          <w:p w:rsidR="00CD34A3" w:rsidRDefault="00CD34A3" w:rsidP="00CD34A3">
            <w:pPr>
              <w:spacing w:after="0"/>
              <w:jc w:val="left"/>
              <w:rPr>
                <w:noProof/>
                <w:sz w:val="20"/>
              </w:rPr>
            </w:pPr>
            <w:r>
              <w:rPr>
                <w:b/>
                <w:bCs/>
                <w:noProof/>
                <w:sz w:val="20"/>
              </w:rPr>
              <w:t>Medzisektorový akt o finančných službách na účely operačnej a kybernetickej odolnosti</w:t>
            </w:r>
            <w:r>
              <w:rPr>
                <w:noProof/>
                <w:sz w:val="20"/>
              </w:rPr>
              <w:t xml:space="preserve"> (legislatívna iniciatíva vrátane posúdenia vplyvu, článok 114 ZFEÚ, 3. štvrťrok 2020)</w:t>
            </w:r>
          </w:p>
        </w:tc>
        <w:tc>
          <w:tcPr>
            <w:tcW w:w="1418" w:type="dxa"/>
            <w:tcBorders>
              <w:left w:val="single" w:sz="4" w:space="0" w:color="auto"/>
              <w:bottom w:val="single" w:sz="4" w:space="0" w:color="auto"/>
              <w:right w:val="single" w:sz="4" w:space="0" w:color="auto"/>
            </w:tcBorders>
          </w:tcPr>
          <w:p w:rsidR="00CD34A3" w:rsidRDefault="00CD34A3" w:rsidP="00D76AD2">
            <w:pPr>
              <w:spacing w:after="0"/>
              <w:jc w:val="center"/>
              <w:rPr>
                <w:b/>
                <w:bCs/>
                <w:noProof/>
                <w:sz w:val="20"/>
              </w:rPr>
            </w:pPr>
            <w:r>
              <w:rPr>
                <w:b/>
                <w:bCs/>
                <w:noProof/>
                <w:sz w:val="20"/>
              </w:rPr>
              <w:t>MF SR</w:t>
            </w:r>
          </w:p>
          <w:p w:rsidR="00CD34A3" w:rsidRDefault="00CD34A3" w:rsidP="00D76AD2">
            <w:pPr>
              <w:spacing w:after="0"/>
              <w:jc w:val="center"/>
              <w:rPr>
                <w:b/>
                <w:bCs/>
                <w:noProof/>
                <w:sz w:val="20"/>
              </w:rPr>
            </w:pPr>
            <w:r>
              <w:rPr>
                <w:b/>
                <w:bCs/>
                <w:noProof/>
                <w:sz w:val="20"/>
              </w:rPr>
              <w:t>NBS</w:t>
            </w:r>
          </w:p>
          <w:p w:rsidR="00CD34A3" w:rsidRDefault="00CD34A3" w:rsidP="00D76AD2">
            <w:pPr>
              <w:spacing w:after="0"/>
              <w:jc w:val="center"/>
              <w:rPr>
                <w:b/>
                <w:bCs/>
                <w:noProof/>
                <w:sz w:val="20"/>
              </w:rPr>
            </w:pPr>
            <w:r>
              <w:rPr>
                <w:b/>
                <w:bCs/>
                <w:noProof/>
                <w:sz w:val="20"/>
              </w:rPr>
              <w:t>ÚPVII</w:t>
            </w:r>
          </w:p>
          <w:p w:rsidR="00CF20B9" w:rsidRDefault="00CF20B9" w:rsidP="00D76AD2">
            <w:pPr>
              <w:spacing w:after="0"/>
              <w:jc w:val="center"/>
              <w:rPr>
                <w:b/>
                <w:bCs/>
                <w:noProof/>
                <w:sz w:val="20"/>
              </w:rPr>
            </w:pPr>
          </w:p>
          <w:p w:rsidR="00CF20B9" w:rsidRDefault="00CF20B9" w:rsidP="00D76AD2">
            <w:pPr>
              <w:spacing w:after="0"/>
              <w:jc w:val="center"/>
              <w:rPr>
                <w:b/>
                <w:bCs/>
                <w:noProof/>
                <w:sz w:val="20"/>
              </w:rPr>
            </w:pPr>
          </w:p>
          <w:p w:rsidR="00CF20B9" w:rsidRDefault="00CF20B9" w:rsidP="00CF20B9">
            <w:pPr>
              <w:spacing w:after="0"/>
              <w:jc w:val="center"/>
              <w:rPr>
                <w:b/>
                <w:bCs/>
                <w:noProof/>
                <w:sz w:val="20"/>
              </w:rPr>
            </w:pPr>
            <w:r>
              <w:rPr>
                <w:b/>
                <w:bCs/>
                <w:noProof/>
                <w:sz w:val="20"/>
              </w:rPr>
              <w:t>MF SR</w:t>
            </w:r>
          </w:p>
          <w:p w:rsidR="00CF20B9" w:rsidRDefault="00CF20B9" w:rsidP="00D76AD2">
            <w:pPr>
              <w:spacing w:after="0"/>
              <w:jc w:val="center"/>
              <w:rPr>
                <w:b/>
                <w:bCs/>
                <w:noProof/>
                <w:sz w:val="20"/>
              </w:rPr>
            </w:pPr>
          </w:p>
          <w:p w:rsidR="00CF20B9" w:rsidRDefault="00CF20B9" w:rsidP="00D76AD2">
            <w:pPr>
              <w:spacing w:after="0"/>
              <w:jc w:val="center"/>
              <w:rPr>
                <w:b/>
                <w:bCs/>
                <w:noProof/>
                <w:sz w:val="20"/>
              </w:rPr>
            </w:pPr>
          </w:p>
          <w:p w:rsidR="00CF20B9" w:rsidRDefault="00CF20B9" w:rsidP="00D76AD2">
            <w:pPr>
              <w:spacing w:after="0"/>
              <w:jc w:val="center"/>
              <w:rPr>
                <w:b/>
                <w:bCs/>
                <w:noProof/>
                <w:sz w:val="20"/>
              </w:rPr>
            </w:pPr>
          </w:p>
          <w:p w:rsidR="00CF20B9" w:rsidRDefault="00CF20B9" w:rsidP="00D76AD2">
            <w:pPr>
              <w:spacing w:after="0"/>
              <w:jc w:val="center"/>
              <w:rPr>
                <w:b/>
                <w:bCs/>
                <w:noProof/>
                <w:sz w:val="20"/>
              </w:rPr>
            </w:pPr>
          </w:p>
          <w:p w:rsidR="00CF20B9" w:rsidRDefault="00CF20B9" w:rsidP="00D76AD2">
            <w:pPr>
              <w:spacing w:after="0"/>
              <w:jc w:val="center"/>
              <w:rPr>
                <w:b/>
                <w:bCs/>
                <w:noProof/>
                <w:sz w:val="20"/>
              </w:rPr>
            </w:pPr>
          </w:p>
          <w:p w:rsidR="00CF20B9" w:rsidRDefault="00CF20B9" w:rsidP="00D76AD2">
            <w:pPr>
              <w:spacing w:after="0"/>
              <w:jc w:val="center"/>
              <w:rPr>
                <w:b/>
                <w:bCs/>
                <w:noProof/>
                <w:sz w:val="20"/>
              </w:rPr>
            </w:pPr>
          </w:p>
          <w:p w:rsidR="00CF20B9" w:rsidRDefault="00CF20B9" w:rsidP="00D76AD2">
            <w:pPr>
              <w:spacing w:after="0"/>
              <w:jc w:val="center"/>
              <w:rPr>
                <w:b/>
                <w:bCs/>
                <w:noProof/>
                <w:sz w:val="20"/>
              </w:rPr>
            </w:pPr>
          </w:p>
          <w:p w:rsidR="00CF20B9" w:rsidRDefault="00CF20B9" w:rsidP="00D76AD2">
            <w:pPr>
              <w:spacing w:after="0"/>
              <w:jc w:val="center"/>
              <w:rPr>
                <w:b/>
                <w:bCs/>
                <w:noProof/>
                <w:sz w:val="20"/>
              </w:rPr>
            </w:pPr>
          </w:p>
          <w:p w:rsidR="00CF20B9" w:rsidRDefault="00CF20B9" w:rsidP="00D76AD2">
            <w:pPr>
              <w:spacing w:after="0"/>
              <w:jc w:val="center"/>
              <w:rPr>
                <w:b/>
                <w:bCs/>
                <w:noProof/>
                <w:sz w:val="20"/>
              </w:rPr>
            </w:pPr>
          </w:p>
          <w:p w:rsidR="00CF20B9" w:rsidRDefault="00CF20B9" w:rsidP="00D76AD2">
            <w:pPr>
              <w:spacing w:after="0"/>
              <w:jc w:val="center"/>
              <w:rPr>
                <w:b/>
                <w:bCs/>
                <w:noProof/>
                <w:sz w:val="20"/>
              </w:rPr>
            </w:pPr>
          </w:p>
          <w:p w:rsidR="00CF20B9" w:rsidRDefault="00CF20B9" w:rsidP="00CF20B9">
            <w:pPr>
              <w:spacing w:after="0"/>
              <w:jc w:val="center"/>
              <w:rPr>
                <w:b/>
                <w:bCs/>
                <w:noProof/>
                <w:sz w:val="20"/>
              </w:rPr>
            </w:pPr>
            <w:r>
              <w:rPr>
                <w:b/>
                <w:bCs/>
                <w:noProof/>
                <w:sz w:val="20"/>
              </w:rPr>
              <w:t>MF SR</w:t>
            </w:r>
          </w:p>
          <w:p w:rsidR="009F414D" w:rsidRDefault="009F414D" w:rsidP="00CF20B9">
            <w:pPr>
              <w:spacing w:after="0"/>
              <w:jc w:val="center"/>
              <w:rPr>
                <w:b/>
                <w:bCs/>
                <w:noProof/>
                <w:sz w:val="20"/>
              </w:rPr>
            </w:pPr>
            <w:r>
              <w:rPr>
                <w:b/>
                <w:bCs/>
                <w:noProof/>
                <w:sz w:val="20"/>
              </w:rPr>
              <w:t xml:space="preserve">NBÚ SR </w:t>
            </w:r>
          </w:p>
          <w:p w:rsidR="00CF20B9" w:rsidRDefault="00CF20B9" w:rsidP="00D76AD2">
            <w:pPr>
              <w:spacing w:after="0"/>
              <w:jc w:val="center"/>
              <w:rPr>
                <w:b/>
                <w:bCs/>
                <w:noProof/>
                <w:sz w:val="20"/>
              </w:rPr>
            </w:pPr>
          </w:p>
        </w:tc>
        <w:tc>
          <w:tcPr>
            <w:tcW w:w="6804" w:type="dxa"/>
            <w:tcBorders>
              <w:left w:val="single" w:sz="4" w:space="0" w:color="auto"/>
              <w:bottom w:val="single" w:sz="4" w:space="0" w:color="auto"/>
              <w:right w:val="single" w:sz="4" w:space="0" w:color="auto"/>
            </w:tcBorders>
          </w:tcPr>
          <w:p w:rsidR="00CF20B9" w:rsidRPr="0025216E" w:rsidRDefault="00CF20B9" w:rsidP="00CF20B9">
            <w:pPr>
              <w:spacing w:after="0"/>
              <w:ind w:right="112"/>
              <w:rPr>
                <w:b/>
                <w:sz w:val="20"/>
              </w:rPr>
            </w:pPr>
            <w:r w:rsidRPr="00CC070C">
              <w:rPr>
                <w:b/>
                <w:sz w:val="20"/>
                <w:u w:val="single"/>
              </w:rPr>
              <w:t>Stredná priorita</w:t>
            </w:r>
            <w:r>
              <w:rPr>
                <w:sz w:val="20"/>
              </w:rPr>
              <w:t xml:space="preserve"> - </w:t>
            </w:r>
            <w:r w:rsidRPr="0025216E">
              <w:rPr>
                <w:sz w:val="20"/>
              </w:rPr>
              <w:t>Slovenská republika podporuje zverejnenie akčného plánu k problematike FinTech so zameraním sa na platobné služby, ktoré  patria medzi klúčové oblasti finančných inovácií.</w:t>
            </w:r>
          </w:p>
          <w:p w:rsidR="00CF20B9" w:rsidRDefault="00CF20B9" w:rsidP="00CF20B9">
            <w:pPr>
              <w:spacing w:after="0"/>
              <w:ind w:right="112"/>
              <w:rPr>
                <w:sz w:val="20"/>
              </w:rPr>
            </w:pPr>
          </w:p>
          <w:p w:rsidR="00CF20B9" w:rsidRDefault="00CF20B9" w:rsidP="00CF20B9">
            <w:pPr>
              <w:spacing w:after="0"/>
              <w:ind w:right="112"/>
              <w:rPr>
                <w:b/>
                <w:sz w:val="20"/>
                <w:u w:val="single"/>
              </w:rPr>
            </w:pPr>
          </w:p>
          <w:p w:rsidR="00CF20B9" w:rsidRPr="0025216E" w:rsidRDefault="00CF20B9" w:rsidP="00CF20B9">
            <w:pPr>
              <w:spacing w:after="0"/>
              <w:ind w:right="112"/>
              <w:rPr>
                <w:b/>
                <w:sz w:val="20"/>
              </w:rPr>
            </w:pPr>
            <w:r w:rsidRPr="00CC070C">
              <w:rPr>
                <w:b/>
                <w:sz w:val="20"/>
                <w:u w:val="single"/>
              </w:rPr>
              <w:t>Stredná priorita</w:t>
            </w:r>
            <w:r>
              <w:rPr>
                <w:sz w:val="20"/>
              </w:rPr>
              <w:t xml:space="preserve"> - </w:t>
            </w:r>
            <w:r w:rsidRPr="0025216E">
              <w:rPr>
                <w:sz w:val="20"/>
              </w:rPr>
              <w:t>Slovenská republika podporuje zavedenie určitého stupňa regulácie a harmonizácie v oblasti virtuálnych aktív, primárne v spojitosti so zavedením jednotných definícií. Oblasť virutálnych aktív a na nich naviazaných služieb získava na význame a v budúcnosti môže ovplyvniť fungovanie finančného sektora – obzvlášť v oblasti platobných služieb. V tejto súvislosti považujeme za potrebné detailne sa zaoberať danou problematikou - hlavne v spojitosti s novými iniciatívami zameranými na konkurovanie bežným platobný službám ako je napríklad projekt Libra (tzv. stabilné krypto aktívum). Primárnym cieľom by malo byť zabezpečenie dostatočnej úrovne dôveryhodnosti a ochrany spotrebiteľa.</w:t>
            </w:r>
          </w:p>
          <w:p w:rsidR="00CF20B9" w:rsidRDefault="00CF20B9" w:rsidP="00CF20B9">
            <w:pPr>
              <w:spacing w:after="0"/>
              <w:rPr>
                <w:sz w:val="20"/>
              </w:rPr>
            </w:pPr>
          </w:p>
          <w:p w:rsidR="00CD34A3" w:rsidRPr="007F619F" w:rsidRDefault="00CF20B9" w:rsidP="007F619F">
            <w:pPr>
              <w:spacing w:after="0"/>
              <w:rPr>
                <w:bCs/>
                <w:sz w:val="20"/>
              </w:rPr>
            </w:pPr>
            <w:r w:rsidRPr="00CC070C">
              <w:rPr>
                <w:b/>
                <w:sz w:val="20"/>
                <w:u w:val="single"/>
              </w:rPr>
              <w:t>Stredná priorita</w:t>
            </w:r>
            <w:r>
              <w:rPr>
                <w:sz w:val="20"/>
              </w:rPr>
              <w:t xml:space="preserve"> - </w:t>
            </w:r>
            <w:r w:rsidRPr="00271E57">
              <w:rPr>
                <w:sz w:val="20"/>
              </w:rPr>
              <w:t>Vo všeobecnosti Slovenská republika podporuje opatrenia na zvýšenie odolnosti a stability finančného sektora Slovenskej republiky a EÚ. Medzi takéto opatrenia bezpochyby patria aj aktivity v oblasti  kybernetickej bezpečnosti, ktorá v poslednom období na získava na význame z dôvodu zvyšujúcej sa miery digitalizácie. Opatrenia na kybernetickú bezpečnosť zároveň predstavujú  pomerne významnú  finančnú záťažuj</w:t>
            </w:r>
            <w:r w:rsidR="006A5DC7">
              <w:rPr>
                <w:sz w:val="20"/>
              </w:rPr>
              <w:t xml:space="preserve"> aj</w:t>
            </w:r>
            <w:r w:rsidRPr="00271E57">
              <w:rPr>
                <w:sz w:val="20"/>
              </w:rPr>
              <w:t xml:space="preserve"> pre inštitúcie pôsobiace na finančnom trhu, ich zanedbanie však môže vytvárať finančné a operačné riziká. Preto vítame nové iniciatívy v tejto oblasti, ktoré by mohli posilniťpostupy a  pravidlá, smerujúce k vyššej odolnosti finančného sektora.</w:t>
            </w:r>
            <w:r w:rsidR="00CD34A3" w:rsidRPr="008A2C73">
              <w:rPr>
                <w:bCs/>
                <w:sz w:val="20"/>
              </w:rPr>
              <w:t>Využívanie technologicky pokročilých postupov a systémov od základov mení spôsob poskytovania finančných služieb zo strany finančných inštitúcií, ako aj využívanie týchto služieb finančnými inštitúciami. SR víta túto iniciatívu Komisie. Digitalizácia finančných služieb je súčasťou Stratégie digitálnej transformácie Slovenska 2030 a súvisiaceho Akčného plánu digitálnej transformácie Slovenska na roky 2019 - 2022 (Finan</w:t>
            </w:r>
            <w:r w:rsidR="007F619F">
              <w:rPr>
                <w:bCs/>
                <w:sz w:val="20"/>
              </w:rPr>
              <w:t xml:space="preserve">čné inovácie). </w:t>
            </w:r>
          </w:p>
        </w:tc>
      </w:tr>
      <w:tr w:rsidR="00CD34A3" w:rsidTr="008A2C73">
        <w:trPr>
          <w:cantSplit/>
        </w:trPr>
        <w:tc>
          <w:tcPr>
            <w:tcW w:w="6374" w:type="dxa"/>
            <w:gridSpan w:val="3"/>
            <w:tcBorders>
              <w:bottom w:val="single" w:sz="4" w:space="0" w:color="auto"/>
            </w:tcBorders>
            <w:shd w:val="clear" w:color="auto" w:fill="F68A42" w:themeFill="accent3"/>
          </w:tcPr>
          <w:p w:rsidR="00CD34A3" w:rsidRDefault="00CD34A3" w:rsidP="00CD34A3">
            <w:pPr>
              <w:keepNext/>
              <w:spacing w:before="60" w:after="60"/>
              <w:rPr>
                <w:b/>
                <w:bCs/>
                <w:noProof/>
                <w:sz w:val="20"/>
              </w:rPr>
            </w:pPr>
            <w:r>
              <w:rPr>
                <w:b/>
                <w:bCs/>
                <w:noProof/>
                <w:color w:val="FFFFFF" w:themeColor="background1"/>
                <w:sz w:val="20"/>
              </w:rPr>
              <w:t>Hospodárstvo, ktoré pracuje v prospech ľudí</w:t>
            </w:r>
          </w:p>
        </w:tc>
        <w:tc>
          <w:tcPr>
            <w:tcW w:w="1418" w:type="dxa"/>
            <w:tcBorders>
              <w:bottom w:val="single" w:sz="4" w:space="0" w:color="auto"/>
            </w:tcBorders>
            <w:shd w:val="clear" w:color="auto" w:fill="F68A42" w:themeFill="accent3"/>
          </w:tcPr>
          <w:p w:rsidR="00CD34A3" w:rsidRDefault="00CD34A3" w:rsidP="00CD34A3">
            <w:pPr>
              <w:keepNext/>
              <w:spacing w:before="60" w:after="60"/>
              <w:rPr>
                <w:b/>
                <w:bCs/>
                <w:noProof/>
                <w:color w:val="FFFFFF" w:themeColor="background1"/>
                <w:sz w:val="20"/>
              </w:rPr>
            </w:pPr>
          </w:p>
        </w:tc>
        <w:tc>
          <w:tcPr>
            <w:tcW w:w="6804" w:type="dxa"/>
            <w:tcBorders>
              <w:bottom w:val="single" w:sz="4" w:space="0" w:color="auto"/>
            </w:tcBorders>
            <w:shd w:val="clear" w:color="auto" w:fill="F68A42" w:themeFill="accent3"/>
          </w:tcPr>
          <w:p w:rsidR="00CD34A3" w:rsidRDefault="00CD34A3" w:rsidP="00CD34A3">
            <w:pPr>
              <w:keepNext/>
              <w:spacing w:before="60" w:after="60"/>
              <w:rPr>
                <w:b/>
                <w:bCs/>
                <w:noProof/>
                <w:color w:val="FFFFFF" w:themeColor="background1"/>
                <w:sz w:val="20"/>
              </w:rPr>
            </w:pPr>
          </w:p>
        </w:tc>
      </w:tr>
      <w:tr w:rsidR="00CD34A3" w:rsidTr="008A2C73">
        <w:trPr>
          <w:cantSplit/>
        </w:trPr>
        <w:tc>
          <w:tcPr>
            <w:tcW w:w="511" w:type="dxa"/>
            <w:tcBorders>
              <w:right w:val="single" w:sz="4" w:space="0" w:color="auto"/>
            </w:tcBorders>
          </w:tcPr>
          <w:p w:rsidR="00CD34A3" w:rsidRDefault="00CD34A3" w:rsidP="00CD34A3">
            <w:pPr>
              <w:pStyle w:val="Odsekzoznamu"/>
              <w:numPr>
                <w:ilvl w:val="0"/>
                <w:numId w:val="18"/>
              </w:numPr>
              <w:spacing w:after="0"/>
              <w:ind w:left="426"/>
              <w:rPr>
                <w:noProof/>
                <w:color w:val="FFFFFF" w:themeColor="background1"/>
                <w:sz w:val="20"/>
              </w:rPr>
            </w:pPr>
          </w:p>
        </w:tc>
        <w:tc>
          <w:tcPr>
            <w:tcW w:w="1752" w:type="dxa"/>
            <w:tcBorders>
              <w:left w:val="single" w:sz="4" w:space="0" w:color="auto"/>
              <w:bottom w:val="single" w:sz="4" w:space="0" w:color="auto"/>
              <w:right w:val="single" w:sz="4" w:space="0" w:color="auto"/>
            </w:tcBorders>
            <w:tcMar>
              <w:top w:w="85" w:type="dxa"/>
              <w:bottom w:w="85" w:type="dxa"/>
            </w:tcMar>
          </w:tcPr>
          <w:p w:rsidR="00CD34A3" w:rsidRDefault="00CD34A3" w:rsidP="00CD34A3">
            <w:pPr>
              <w:spacing w:after="0"/>
              <w:rPr>
                <w:b/>
                <w:bCs/>
                <w:noProof/>
                <w:sz w:val="20"/>
              </w:rPr>
            </w:pPr>
            <w:r>
              <w:rPr>
                <w:b/>
                <w:bCs/>
                <w:noProof/>
                <w:sz w:val="20"/>
              </w:rPr>
              <w:t>Sociálna Európa</w:t>
            </w:r>
          </w:p>
        </w:tc>
        <w:tc>
          <w:tcPr>
            <w:tcW w:w="4111" w:type="dxa"/>
            <w:tcBorders>
              <w:left w:val="single" w:sz="4" w:space="0" w:color="auto"/>
              <w:bottom w:val="single" w:sz="4" w:space="0" w:color="auto"/>
              <w:right w:val="single" w:sz="4" w:space="0" w:color="auto"/>
            </w:tcBorders>
            <w:tcMar>
              <w:top w:w="85" w:type="dxa"/>
              <w:bottom w:w="85" w:type="dxa"/>
            </w:tcMar>
          </w:tcPr>
          <w:p w:rsidR="00CD34A3" w:rsidRDefault="00CD34A3" w:rsidP="00CD34A3">
            <w:pPr>
              <w:spacing w:after="0"/>
              <w:jc w:val="left"/>
              <w:rPr>
                <w:noProof/>
                <w:sz w:val="20"/>
              </w:rPr>
            </w:pPr>
            <w:r>
              <w:rPr>
                <w:b/>
                <w:bCs/>
                <w:noProof/>
                <w:sz w:val="20"/>
              </w:rPr>
              <w:t>Silná sociálna Európa pre spravodlivé transformácie</w:t>
            </w:r>
            <w:r>
              <w:rPr>
                <w:noProof/>
                <w:sz w:val="20"/>
              </w:rPr>
              <w:t xml:space="preserve"> (nelegislatívna iniciatíva, 1. štvrťrok 2020); </w:t>
            </w:r>
          </w:p>
          <w:p w:rsidR="00CD34A3" w:rsidRDefault="00CD34A3" w:rsidP="00CD34A3">
            <w:pPr>
              <w:spacing w:after="0"/>
              <w:jc w:val="left"/>
              <w:rPr>
                <w:noProof/>
                <w:sz w:val="20"/>
              </w:rPr>
            </w:pPr>
            <w:r>
              <w:rPr>
                <w:noProof/>
                <w:sz w:val="20"/>
              </w:rPr>
              <w:br/>
            </w:r>
            <w:r>
              <w:rPr>
                <w:b/>
                <w:bCs/>
                <w:noProof/>
                <w:sz w:val="20"/>
              </w:rPr>
              <w:t>Spravodlivé minimálne mzdy pre pracovníkov v EÚ</w:t>
            </w:r>
            <w:r>
              <w:rPr>
                <w:noProof/>
                <w:sz w:val="20"/>
              </w:rPr>
              <w:t xml:space="preserve"> (nelegislatívna iniciatíva, článok 153 ods. 1 písm. b), článok 153 ods. 2 a článok 154 ZFEÚ, 1./3. štvrťrok 2020);</w:t>
            </w:r>
          </w:p>
          <w:p w:rsidR="00CD34A3" w:rsidRDefault="00CD34A3" w:rsidP="00CD34A3">
            <w:pPr>
              <w:spacing w:after="0"/>
              <w:jc w:val="left"/>
              <w:rPr>
                <w:noProof/>
                <w:sz w:val="20"/>
              </w:rPr>
            </w:pPr>
            <w:r>
              <w:rPr>
                <w:noProof/>
                <w:sz w:val="20"/>
              </w:rPr>
              <w:br/>
            </w:r>
            <w:r>
              <w:rPr>
                <w:b/>
                <w:bCs/>
                <w:noProof/>
                <w:sz w:val="20"/>
              </w:rPr>
              <w:t>Posilnenie záruky pre mladých ľudí</w:t>
            </w:r>
            <w:r>
              <w:rPr>
                <w:noProof/>
                <w:sz w:val="20"/>
              </w:rPr>
              <w:t xml:space="preserve"> (nelegislatívna iniciatíva, 2. štvrťrok 2020);</w:t>
            </w:r>
          </w:p>
          <w:p w:rsidR="00CF20B9" w:rsidRDefault="00CD34A3" w:rsidP="00CD34A3">
            <w:pPr>
              <w:spacing w:after="0"/>
              <w:jc w:val="left"/>
              <w:rPr>
                <w:b/>
                <w:bCs/>
                <w:noProof/>
                <w:sz w:val="20"/>
              </w:rPr>
            </w:pPr>
            <w:r>
              <w:rPr>
                <w:noProof/>
                <w:sz w:val="20"/>
              </w:rPr>
              <w:br/>
            </w:r>
          </w:p>
          <w:p w:rsidR="00CF20B9" w:rsidRDefault="00CF20B9" w:rsidP="00CD34A3">
            <w:pPr>
              <w:spacing w:after="0"/>
              <w:jc w:val="left"/>
              <w:rPr>
                <w:b/>
                <w:bCs/>
                <w:noProof/>
                <w:sz w:val="20"/>
              </w:rPr>
            </w:pPr>
          </w:p>
          <w:p w:rsidR="00CD34A3" w:rsidRDefault="00CD34A3" w:rsidP="00CD34A3">
            <w:pPr>
              <w:spacing w:after="0"/>
              <w:jc w:val="left"/>
              <w:rPr>
                <w:b/>
                <w:bCs/>
                <w:noProof/>
                <w:sz w:val="20"/>
              </w:rPr>
            </w:pPr>
            <w:r>
              <w:rPr>
                <w:b/>
                <w:bCs/>
                <w:noProof/>
                <w:sz w:val="20"/>
              </w:rPr>
              <w:t>Európsky systém zaistenia v nezamestnanosti</w:t>
            </w:r>
            <w:r>
              <w:rPr>
                <w:noProof/>
                <w:sz w:val="20"/>
              </w:rPr>
              <w:t xml:space="preserve"> (legislatívna iniciatíva vrátane posúdenia vplyvu, 4. štvrťrok 2020)</w:t>
            </w:r>
          </w:p>
        </w:tc>
        <w:tc>
          <w:tcPr>
            <w:tcW w:w="1418" w:type="dxa"/>
            <w:tcBorders>
              <w:left w:val="single" w:sz="4" w:space="0" w:color="auto"/>
              <w:bottom w:val="single" w:sz="4" w:space="0" w:color="auto"/>
              <w:right w:val="single" w:sz="4" w:space="0" w:color="auto"/>
            </w:tcBorders>
          </w:tcPr>
          <w:p w:rsidR="00CD34A3" w:rsidRDefault="00CD34A3" w:rsidP="00CF20B9">
            <w:pPr>
              <w:spacing w:after="0"/>
              <w:jc w:val="center"/>
              <w:rPr>
                <w:b/>
                <w:bCs/>
                <w:sz w:val="20"/>
              </w:rPr>
            </w:pPr>
            <w:r w:rsidRPr="006E7EB2">
              <w:rPr>
                <w:b/>
                <w:bCs/>
                <w:sz w:val="20"/>
              </w:rPr>
              <w:t>MPSVR SR</w:t>
            </w:r>
          </w:p>
          <w:p w:rsidR="00CD34A3" w:rsidRDefault="00CD34A3" w:rsidP="00CF20B9">
            <w:pPr>
              <w:spacing w:after="0"/>
              <w:jc w:val="center"/>
              <w:rPr>
                <w:b/>
                <w:bCs/>
                <w:sz w:val="20"/>
              </w:rPr>
            </w:pPr>
          </w:p>
          <w:p w:rsidR="00CD34A3" w:rsidRDefault="00CD34A3" w:rsidP="00CF20B9">
            <w:pPr>
              <w:spacing w:after="0"/>
              <w:jc w:val="center"/>
              <w:rPr>
                <w:b/>
                <w:bCs/>
                <w:sz w:val="20"/>
              </w:rPr>
            </w:pPr>
          </w:p>
          <w:p w:rsidR="00CD34A3" w:rsidRDefault="00CD34A3" w:rsidP="00CF20B9">
            <w:pPr>
              <w:spacing w:after="0"/>
              <w:jc w:val="center"/>
              <w:rPr>
                <w:b/>
                <w:bCs/>
                <w:sz w:val="20"/>
              </w:rPr>
            </w:pPr>
          </w:p>
          <w:p w:rsidR="00CD34A3" w:rsidRPr="006E7EB2" w:rsidRDefault="00CD34A3" w:rsidP="00CF20B9">
            <w:pPr>
              <w:spacing w:after="0"/>
              <w:jc w:val="center"/>
              <w:rPr>
                <w:b/>
                <w:bCs/>
                <w:sz w:val="20"/>
              </w:rPr>
            </w:pPr>
            <w:r w:rsidRPr="006E7EB2">
              <w:rPr>
                <w:b/>
                <w:bCs/>
                <w:sz w:val="20"/>
              </w:rPr>
              <w:t>MPSVR SR</w:t>
            </w:r>
          </w:p>
          <w:p w:rsidR="00CD34A3" w:rsidRDefault="00CD34A3" w:rsidP="00CF20B9">
            <w:pPr>
              <w:spacing w:after="0"/>
              <w:jc w:val="center"/>
              <w:rPr>
                <w:bCs/>
                <w:szCs w:val="24"/>
              </w:rPr>
            </w:pPr>
          </w:p>
          <w:p w:rsidR="00CD34A3" w:rsidRDefault="00CD34A3" w:rsidP="00CF20B9">
            <w:pPr>
              <w:spacing w:after="0"/>
              <w:jc w:val="center"/>
              <w:rPr>
                <w:bCs/>
                <w:szCs w:val="24"/>
              </w:rPr>
            </w:pPr>
          </w:p>
          <w:p w:rsidR="00CD34A3" w:rsidRDefault="00CD34A3" w:rsidP="00CF20B9">
            <w:pPr>
              <w:spacing w:after="0"/>
              <w:jc w:val="center"/>
              <w:rPr>
                <w:b/>
                <w:bCs/>
                <w:sz w:val="20"/>
              </w:rPr>
            </w:pPr>
          </w:p>
          <w:p w:rsidR="00CD34A3" w:rsidRDefault="00CD34A3" w:rsidP="00CF20B9">
            <w:pPr>
              <w:spacing w:after="0"/>
              <w:jc w:val="center"/>
              <w:rPr>
                <w:b/>
                <w:bCs/>
                <w:sz w:val="20"/>
              </w:rPr>
            </w:pPr>
          </w:p>
          <w:p w:rsidR="00CD34A3" w:rsidRDefault="00CD34A3" w:rsidP="00CF20B9">
            <w:pPr>
              <w:spacing w:after="0"/>
              <w:jc w:val="center"/>
              <w:rPr>
                <w:b/>
                <w:bCs/>
                <w:sz w:val="20"/>
              </w:rPr>
            </w:pPr>
            <w:r w:rsidRPr="006E7EB2">
              <w:rPr>
                <w:b/>
                <w:bCs/>
                <w:sz w:val="20"/>
              </w:rPr>
              <w:t>MPSVR SR</w:t>
            </w:r>
          </w:p>
          <w:p w:rsidR="00CF20B9" w:rsidRDefault="00CF20B9" w:rsidP="00CF20B9">
            <w:pPr>
              <w:spacing w:after="0"/>
              <w:jc w:val="center"/>
              <w:rPr>
                <w:b/>
                <w:bCs/>
                <w:sz w:val="20"/>
              </w:rPr>
            </w:pPr>
          </w:p>
          <w:p w:rsidR="00CF20B9" w:rsidRDefault="00CF20B9" w:rsidP="00CF20B9">
            <w:pPr>
              <w:spacing w:after="0"/>
              <w:jc w:val="center"/>
              <w:rPr>
                <w:b/>
                <w:bCs/>
                <w:sz w:val="20"/>
              </w:rPr>
            </w:pPr>
          </w:p>
          <w:p w:rsidR="00CF20B9" w:rsidRDefault="00CF20B9" w:rsidP="00CF20B9">
            <w:pPr>
              <w:spacing w:after="0"/>
              <w:jc w:val="center"/>
              <w:rPr>
                <w:b/>
                <w:bCs/>
                <w:sz w:val="20"/>
              </w:rPr>
            </w:pPr>
          </w:p>
          <w:p w:rsidR="00CF20B9" w:rsidRDefault="00CF20B9" w:rsidP="00CF20B9">
            <w:pPr>
              <w:spacing w:after="0"/>
              <w:jc w:val="center"/>
              <w:rPr>
                <w:b/>
                <w:bCs/>
                <w:sz w:val="20"/>
              </w:rPr>
            </w:pPr>
          </w:p>
          <w:p w:rsidR="00CF20B9" w:rsidRDefault="00CF20B9" w:rsidP="00CF20B9">
            <w:pPr>
              <w:spacing w:after="0"/>
              <w:jc w:val="center"/>
              <w:rPr>
                <w:b/>
                <w:bCs/>
                <w:sz w:val="20"/>
              </w:rPr>
            </w:pPr>
            <w:r>
              <w:rPr>
                <w:b/>
                <w:bCs/>
                <w:sz w:val="20"/>
              </w:rPr>
              <w:t>MF SR</w:t>
            </w:r>
          </w:p>
          <w:p w:rsidR="00CF20B9" w:rsidRPr="006E7EB2" w:rsidRDefault="00CF20B9" w:rsidP="00CD34A3">
            <w:pPr>
              <w:spacing w:after="0"/>
              <w:jc w:val="left"/>
              <w:rPr>
                <w:b/>
                <w:bCs/>
                <w:noProof/>
                <w:sz w:val="20"/>
              </w:rPr>
            </w:pPr>
          </w:p>
        </w:tc>
        <w:tc>
          <w:tcPr>
            <w:tcW w:w="6804" w:type="dxa"/>
            <w:tcBorders>
              <w:left w:val="single" w:sz="4" w:space="0" w:color="auto"/>
              <w:bottom w:val="single" w:sz="4" w:space="0" w:color="auto"/>
              <w:right w:val="single" w:sz="4" w:space="0" w:color="auto"/>
            </w:tcBorders>
          </w:tcPr>
          <w:p w:rsidR="00CD34A3" w:rsidRPr="006E7EB2" w:rsidRDefault="00CD34A3" w:rsidP="001A4509">
            <w:pPr>
              <w:spacing w:after="0"/>
              <w:rPr>
                <w:bCs/>
                <w:sz w:val="20"/>
              </w:rPr>
            </w:pPr>
            <w:r w:rsidRPr="006E7EB2">
              <w:rPr>
                <w:b/>
                <w:bCs/>
                <w:sz w:val="20"/>
                <w:u w:val="single"/>
              </w:rPr>
              <w:t>Stredná priorita</w:t>
            </w:r>
            <w:r w:rsidRPr="006E7EB2">
              <w:rPr>
                <w:bCs/>
                <w:sz w:val="20"/>
              </w:rPr>
              <w:t xml:space="preserve"> - keďže je to oznámenie budúcich iniciatív – od ich konkrétneho obsahu bude závisieť aj ich dôležitosť pre SR.</w:t>
            </w:r>
          </w:p>
          <w:p w:rsidR="00CD34A3" w:rsidRPr="006E7EB2" w:rsidRDefault="00CD34A3" w:rsidP="001A4509">
            <w:pPr>
              <w:spacing w:after="0"/>
              <w:rPr>
                <w:bCs/>
                <w:sz w:val="20"/>
              </w:rPr>
            </w:pPr>
          </w:p>
          <w:p w:rsidR="00CD34A3" w:rsidRDefault="00CD34A3" w:rsidP="001A4509">
            <w:pPr>
              <w:spacing w:after="0"/>
              <w:rPr>
                <w:b/>
                <w:bCs/>
                <w:sz w:val="20"/>
                <w:u w:val="single"/>
              </w:rPr>
            </w:pPr>
          </w:p>
          <w:p w:rsidR="00CD34A3" w:rsidRDefault="00CD34A3" w:rsidP="001A4509">
            <w:pPr>
              <w:spacing w:after="0"/>
              <w:rPr>
                <w:bCs/>
                <w:sz w:val="20"/>
              </w:rPr>
            </w:pPr>
            <w:r w:rsidRPr="006E7EB2">
              <w:rPr>
                <w:b/>
                <w:bCs/>
                <w:sz w:val="20"/>
                <w:u w:val="single"/>
              </w:rPr>
              <w:t>Vysoká priorita</w:t>
            </w:r>
            <w:r w:rsidRPr="006E7EB2">
              <w:rPr>
                <w:b/>
                <w:bCs/>
                <w:sz w:val="20"/>
              </w:rPr>
              <w:t xml:space="preserve"> - </w:t>
            </w:r>
            <w:r w:rsidRPr="006E7EB2">
              <w:rPr>
                <w:bCs/>
                <w:sz w:val="20"/>
              </w:rPr>
              <w:t>Najočakávanejšia a politicky citlivá iniciatíva, zatiaľ obsahovo nekonkrétna  (aktuálne predmetom verejných konzultácií sociálnych partnerov). Predpokladaným právnym nástrojom by mala byť smernica. V Rade možno očakávať kontroverzné pozície, avšak z pohľadu SR ide o pozitívnu iniciatívu</w:t>
            </w:r>
            <w:r>
              <w:rPr>
                <w:bCs/>
                <w:sz w:val="20"/>
              </w:rPr>
              <w:t>.</w:t>
            </w:r>
          </w:p>
          <w:p w:rsidR="00CD34A3" w:rsidRDefault="00CD34A3" w:rsidP="001A4509">
            <w:pPr>
              <w:spacing w:after="0"/>
              <w:rPr>
                <w:bCs/>
                <w:sz w:val="20"/>
              </w:rPr>
            </w:pPr>
          </w:p>
          <w:p w:rsidR="00CD34A3" w:rsidRDefault="00CD34A3" w:rsidP="001A4509">
            <w:pPr>
              <w:spacing w:after="0"/>
              <w:rPr>
                <w:bCs/>
                <w:sz w:val="20"/>
              </w:rPr>
            </w:pPr>
            <w:r w:rsidRPr="006E7EB2">
              <w:rPr>
                <w:b/>
                <w:bCs/>
                <w:sz w:val="20"/>
                <w:u w:val="single"/>
              </w:rPr>
              <w:t>Stredná priorita</w:t>
            </w:r>
            <w:r w:rsidRPr="006E7EB2">
              <w:rPr>
                <w:b/>
                <w:bCs/>
                <w:sz w:val="20"/>
              </w:rPr>
              <w:t xml:space="preserve"> - </w:t>
            </w:r>
            <w:r w:rsidRPr="006E7EB2">
              <w:rPr>
                <w:bCs/>
                <w:sz w:val="20"/>
              </w:rPr>
              <w:t>Nový návrh by mal v širšej miere podporovať mladých v nadobúdaní zručností potrebných pre trh práce, najmä v kontexte prechodu k zelenej, digitálnej spoločnosti. Malo by ísť o nekontroverznú iniciatívu, pozitívne vnímanú aj z pohľadu SR.</w:t>
            </w:r>
          </w:p>
          <w:p w:rsidR="00CF20B9" w:rsidRDefault="00CF20B9" w:rsidP="001A4509">
            <w:pPr>
              <w:spacing w:after="0"/>
              <w:rPr>
                <w:sz w:val="20"/>
              </w:rPr>
            </w:pPr>
          </w:p>
          <w:p w:rsidR="00CF20B9" w:rsidRPr="006E7EB2" w:rsidRDefault="00CF20B9" w:rsidP="001A4509">
            <w:pPr>
              <w:spacing w:after="0"/>
              <w:rPr>
                <w:b/>
                <w:bCs/>
                <w:sz w:val="20"/>
                <w:u w:val="single"/>
              </w:rPr>
            </w:pPr>
            <w:r w:rsidRPr="006E7EB2">
              <w:rPr>
                <w:b/>
                <w:bCs/>
                <w:sz w:val="20"/>
                <w:u w:val="single"/>
              </w:rPr>
              <w:t>Stredná priorita</w:t>
            </w:r>
            <w:r w:rsidRPr="006E7EB2">
              <w:rPr>
                <w:b/>
                <w:bCs/>
                <w:sz w:val="20"/>
              </w:rPr>
              <w:t xml:space="preserve"> - </w:t>
            </w:r>
            <w:r w:rsidRPr="00664274">
              <w:rPr>
                <w:sz w:val="20"/>
              </w:rPr>
              <w:t>Cieľom návrhu európskeho systému zaistenia v nezamestnanosti bude podporiť zamestnaných a chrániť tých, ktorí prišli o prácu v dôsledku vonkajších otrasov, najmä podporou ich rekvalifikácie. V tejto súvislosti sa nejedná o nástroj fiškálnej stabilizácie. Aktuálne nie sú známe podrobnosti predmetného legislatívneho návrhu a z toho dôvodu nie je možné prezentovať predbežnú pozíciu SR.</w:t>
            </w:r>
          </w:p>
        </w:tc>
      </w:tr>
      <w:tr w:rsidR="001A4509" w:rsidTr="008A2C73">
        <w:trPr>
          <w:cantSplit/>
        </w:trPr>
        <w:tc>
          <w:tcPr>
            <w:tcW w:w="511" w:type="dxa"/>
            <w:tcBorders>
              <w:bottom w:val="single" w:sz="4" w:space="0" w:color="auto"/>
              <w:right w:val="single" w:sz="4" w:space="0" w:color="auto"/>
            </w:tcBorders>
            <w:shd w:val="clear" w:color="auto" w:fill="FFFFFF" w:themeFill="background1"/>
          </w:tcPr>
          <w:p w:rsidR="001A4509" w:rsidRDefault="001A4509" w:rsidP="001A4509">
            <w:pPr>
              <w:pStyle w:val="Odsekzoznamu"/>
              <w:numPr>
                <w:ilvl w:val="0"/>
                <w:numId w:val="18"/>
              </w:numPr>
              <w:spacing w:after="0"/>
              <w:ind w:left="426"/>
              <w:rPr>
                <w:noProof/>
                <w:sz w:val="20"/>
              </w:rPr>
            </w:pPr>
          </w:p>
        </w:tc>
        <w:tc>
          <w:tcPr>
            <w:tcW w:w="1752" w:type="dxa"/>
            <w:tcBorders>
              <w:left w:val="single" w:sz="4" w:space="0" w:color="auto"/>
              <w:bottom w:val="single" w:sz="4" w:space="0" w:color="auto"/>
            </w:tcBorders>
            <w:shd w:val="clear" w:color="auto" w:fill="FFFFFF" w:themeFill="background1"/>
            <w:tcMar>
              <w:top w:w="85" w:type="dxa"/>
              <w:bottom w:w="85" w:type="dxa"/>
            </w:tcMar>
          </w:tcPr>
          <w:p w:rsidR="001A4509" w:rsidRDefault="001A4509" w:rsidP="001A4509">
            <w:pPr>
              <w:spacing w:after="0"/>
              <w:rPr>
                <w:b/>
                <w:bCs/>
                <w:noProof/>
                <w:color w:val="000000"/>
                <w:sz w:val="20"/>
              </w:rPr>
            </w:pPr>
            <w:r>
              <w:rPr>
                <w:b/>
                <w:bCs/>
                <w:noProof/>
                <w:sz w:val="20"/>
              </w:rPr>
              <w:t>Správa hospodárskych záležitostí</w:t>
            </w:r>
          </w:p>
        </w:tc>
        <w:tc>
          <w:tcPr>
            <w:tcW w:w="4111" w:type="dxa"/>
            <w:tcBorders>
              <w:bottom w:val="single" w:sz="4" w:space="0" w:color="auto"/>
            </w:tcBorders>
            <w:shd w:val="clear" w:color="auto" w:fill="auto"/>
            <w:tcMar>
              <w:top w:w="85" w:type="dxa"/>
              <w:bottom w:w="85" w:type="dxa"/>
            </w:tcMar>
          </w:tcPr>
          <w:p w:rsidR="001A4509" w:rsidRDefault="001A4509" w:rsidP="001A4509">
            <w:pPr>
              <w:spacing w:after="0"/>
              <w:rPr>
                <w:b/>
                <w:bCs/>
                <w:noProof/>
                <w:sz w:val="20"/>
              </w:rPr>
            </w:pPr>
            <w:r>
              <w:rPr>
                <w:b/>
                <w:bCs/>
                <w:noProof/>
                <w:sz w:val="20"/>
              </w:rPr>
              <w:t>Preskúmanie rámca správy hospodárskych záležitostí</w:t>
            </w:r>
            <w:r>
              <w:rPr>
                <w:noProof/>
                <w:sz w:val="20"/>
              </w:rPr>
              <w:t xml:space="preserve"> (nelegislatívna iniciatíva, 1. štvrťrok 2020)</w:t>
            </w:r>
          </w:p>
        </w:tc>
        <w:tc>
          <w:tcPr>
            <w:tcW w:w="1418" w:type="dxa"/>
            <w:tcBorders>
              <w:bottom w:val="single" w:sz="4" w:space="0" w:color="auto"/>
            </w:tcBorders>
          </w:tcPr>
          <w:p w:rsidR="001A4509" w:rsidRPr="00B9020C" w:rsidRDefault="001A4509" w:rsidP="00B9020C">
            <w:pPr>
              <w:spacing w:after="0"/>
              <w:ind w:left="84" w:right="112"/>
              <w:jc w:val="center"/>
              <w:rPr>
                <w:b/>
                <w:sz w:val="20"/>
              </w:rPr>
            </w:pPr>
            <w:r w:rsidRPr="00B9020C">
              <w:rPr>
                <w:b/>
                <w:sz w:val="20"/>
              </w:rPr>
              <w:t>MF SR</w:t>
            </w:r>
          </w:p>
        </w:tc>
        <w:tc>
          <w:tcPr>
            <w:tcW w:w="6804" w:type="dxa"/>
            <w:tcBorders>
              <w:bottom w:val="single" w:sz="4" w:space="0" w:color="auto"/>
            </w:tcBorders>
          </w:tcPr>
          <w:p w:rsidR="001A4509" w:rsidRPr="001602CE" w:rsidRDefault="001A4509" w:rsidP="001A4509">
            <w:pPr>
              <w:spacing w:after="0"/>
              <w:ind w:right="112"/>
              <w:jc w:val="left"/>
              <w:rPr>
                <w:b/>
                <w:sz w:val="20"/>
              </w:rPr>
            </w:pPr>
            <w:r w:rsidRPr="001A4509">
              <w:rPr>
                <w:b/>
                <w:sz w:val="20"/>
                <w:u w:val="single"/>
              </w:rPr>
              <w:t>Nízka priorita</w:t>
            </w:r>
            <w:r>
              <w:rPr>
                <w:sz w:val="20"/>
              </w:rPr>
              <w:t xml:space="preserve"> - </w:t>
            </w:r>
            <w:r w:rsidRPr="00CF4459">
              <w:rPr>
                <w:sz w:val="20"/>
              </w:rPr>
              <w:t>5. februára 2020 EK predstavila zhodnotenie implementácie rozpočto</w:t>
            </w:r>
            <w:r>
              <w:rPr>
                <w:sz w:val="20"/>
              </w:rPr>
              <w:t>vých pravid</w:t>
            </w:r>
            <w:r w:rsidRPr="00CF4459">
              <w:rPr>
                <w:sz w:val="20"/>
              </w:rPr>
              <w:t xml:space="preserve">iel </w:t>
            </w:r>
            <w:r>
              <w:rPr>
                <w:sz w:val="20"/>
              </w:rPr>
              <w:t>P</w:t>
            </w:r>
            <w:r w:rsidRPr="00CF4459">
              <w:rPr>
                <w:sz w:val="20"/>
              </w:rPr>
              <w:t>aktu stability a</w:t>
            </w:r>
            <w:r>
              <w:rPr>
                <w:sz w:val="20"/>
              </w:rPr>
              <w:t> rastu (SGP)</w:t>
            </w:r>
            <w:r w:rsidRPr="00CF4459">
              <w:rPr>
                <w:sz w:val="20"/>
              </w:rPr>
              <w:t xml:space="preserve"> a nadväzujúcej legislatívy EÚ</w:t>
            </w:r>
            <w:r>
              <w:rPr>
                <w:sz w:val="20"/>
              </w:rPr>
              <w:t>, ktoré jej ukladá samotná legislatíva. Zhodnotenie nepredkladá žiadne návrhy na reformu spoločných rozpočtových pravidiel, avšak spúšťa verejnú konzultáciu, ktorá môže koncom roka vyústiť v predloženie prípadných legislatívnych návrhov. SR berie zhodnotenie EK na vedomie.</w:t>
            </w:r>
          </w:p>
        </w:tc>
      </w:tr>
      <w:tr w:rsidR="001A4509" w:rsidTr="008A2C73">
        <w:trPr>
          <w:cantSplit/>
        </w:trPr>
        <w:tc>
          <w:tcPr>
            <w:tcW w:w="511" w:type="dxa"/>
            <w:tcBorders>
              <w:bottom w:val="single" w:sz="4" w:space="0" w:color="auto"/>
              <w:right w:val="single" w:sz="4" w:space="0" w:color="auto"/>
            </w:tcBorders>
            <w:shd w:val="clear" w:color="auto" w:fill="FFFFFF" w:themeFill="background1"/>
          </w:tcPr>
          <w:p w:rsidR="001A4509" w:rsidRDefault="001A4509" w:rsidP="001A4509">
            <w:pPr>
              <w:pStyle w:val="Odsekzoznamu"/>
              <w:numPr>
                <w:ilvl w:val="0"/>
                <w:numId w:val="18"/>
              </w:numPr>
              <w:spacing w:after="0"/>
              <w:ind w:left="426"/>
              <w:rPr>
                <w:noProof/>
                <w:sz w:val="20"/>
              </w:rPr>
            </w:pPr>
          </w:p>
        </w:tc>
        <w:tc>
          <w:tcPr>
            <w:tcW w:w="1752" w:type="dxa"/>
            <w:tcBorders>
              <w:left w:val="single" w:sz="4" w:space="0" w:color="auto"/>
              <w:bottom w:val="single" w:sz="4" w:space="0" w:color="auto"/>
              <w:right w:val="single" w:sz="4" w:space="0" w:color="auto"/>
            </w:tcBorders>
            <w:shd w:val="clear" w:color="auto" w:fill="FFFFFF" w:themeFill="background1"/>
            <w:tcMar>
              <w:top w:w="85" w:type="dxa"/>
              <w:bottom w:w="85" w:type="dxa"/>
            </w:tcMar>
          </w:tcPr>
          <w:p w:rsidR="001A4509" w:rsidRDefault="001A4509" w:rsidP="001A4509">
            <w:pPr>
              <w:spacing w:after="0"/>
              <w:rPr>
                <w:b/>
                <w:bCs/>
                <w:noProof/>
                <w:sz w:val="20"/>
              </w:rPr>
            </w:pPr>
            <w:r>
              <w:rPr>
                <w:b/>
                <w:bCs/>
                <w:noProof/>
                <w:sz w:val="20"/>
              </w:rPr>
              <w:t>Prehĺbenie Únie kapitálových trhov</w:t>
            </w:r>
          </w:p>
        </w:tc>
        <w:tc>
          <w:tcPr>
            <w:tcW w:w="4111" w:type="dxa"/>
            <w:tcBorders>
              <w:left w:val="single" w:sz="4" w:space="0" w:color="auto"/>
              <w:bottom w:val="single" w:sz="4" w:space="0" w:color="auto"/>
              <w:right w:val="single" w:sz="4" w:space="0" w:color="auto"/>
            </w:tcBorders>
            <w:shd w:val="clear" w:color="auto" w:fill="auto"/>
            <w:tcMar>
              <w:top w:w="85" w:type="dxa"/>
              <w:bottom w:w="85" w:type="dxa"/>
            </w:tcMar>
          </w:tcPr>
          <w:p w:rsidR="001A4509" w:rsidRDefault="001A4509" w:rsidP="001A4509">
            <w:pPr>
              <w:spacing w:after="0"/>
              <w:jc w:val="left"/>
              <w:rPr>
                <w:noProof/>
                <w:sz w:val="20"/>
              </w:rPr>
            </w:pPr>
            <w:r>
              <w:rPr>
                <w:b/>
                <w:bCs/>
                <w:noProof/>
                <w:sz w:val="20"/>
              </w:rPr>
              <w:t>Akčný plán pre úniu kapitálových trhov</w:t>
            </w:r>
            <w:r>
              <w:rPr>
                <w:noProof/>
                <w:sz w:val="20"/>
              </w:rPr>
              <w:t xml:space="preserve"> (nelegislatívna iniciatíva, 3. štvrťrok 2020);</w:t>
            </w:r>
          </w:p>
          <w:p w:rsidR="001A4509" w:rsidRDefault="001A4509" w:rsidP="001A4509">
            <w:pPr>
              <w:spacing w:after="0"/>
              <w:jc w:val="left"/>
              <w:rPr>
                <w:b/>
                <w:bCs/>
                <w:noProof/>
                <w:sz w:val="20"/>
              </w:rPr>
            </w:pPr>
          </w:p>
          <w:p w:rsidR="001A4509" w:rsidRDefault="001A4509" w:rsidP="001A4509">
            <w:pPr>
              <w:spacing w:after="0"/>
              <w:jc w:val="left"/>
              <w:rPr>
                <w:noProof/>
                <w:sz w:val="20"/>
              </w:rPr>
            </w:pPr>
            <w:r>
              <w:rPr>
                <w:b/>
                <w:bCs/>
                <w:noProof/>
                <w:sz w:val="20"/>
              </w:rPr>
              <w:t>Preskúmanie regulačného rámca pre investičné spoločnosti a účastníkov trhu (MiFIDII a MiFIR) vrátane vytvorenia konsolidovaného informačného systému EÚ</w:t>
            </w:r>
            <w:r>
              <w:rPr>
                <w:noProof/>
                <w:sz w:val="20"/>
              </w:rPr>
              <w:t xml:space="preserve"> (legislatívna iniciatíva vrátane posúdenia vplyvu, článok 53 ods. 1 a článok 114 ods. 1 ZFEÚ, 3. štvrťrok 2020);</w:t>
            </w:r>
          </w:p>
          <w:p w:rsidR="001A4509" w:rsidRDefault="001A4509" w:rsidP="001A4509">
            <w:pPr>
              <w:spacing w:after="0"/>
              <w:jc w:val="left"/>
              <w:rPr>
                <w:noProof/>
                <w:sz w:val="20"/>
              </w:rPr>
            </w:pPr>
          </w:p>
          <w:p w:rsidR="001A4509" w:rsidRDefault="001A4509" w:rsidP="001A4509">
            <w:pPr>
              <w:spacing w:after="0"/>
              <w:jc w:val="left"/>
              <w:rPr>
                <w:noProof/>
                <w:sz w:val="20"/>
              </w:rPr>
            </w:pPr>
            <w:r>
              <w:rPr>
                <w:b/>
                <w:bCs/>
                <w:noProof/>
                <w:sz w:val="20"/>
              </w:rPr>
              <w:t>Preskúmanie nariadenia o referenčných hodnotách</w:t>
            </w:r>
            <w:r>
              <w:rPr>
                <w:noProof/>
                <w:sz w:val="20"/>
              </w:rPr>
              <w:t xml:space="preserve"> (legislatívna iniciatíva vrátane posúdenia vplyvu, článok 114 ods. 1 ZFEÚ, 3. štvrťrok 2020)</w:t>
            </w:r>
          </w:p>
        </w:tc>
        <w:tc>
          <w:tcPr>
            <w:tcW w:w="1418" w:type="dxa"/>
            <w:tcBorders>
              <w:left w:val="single" w:sz="4" w:space="0" w:color="auto"/>
              <w:bottom w:val="single" w:sz="4" w:space="0" w:color="auto"/>
              <w:right w:val="single" w:sz="4" w:space="0" w:color="auto"/>
            </w:tcBorders>
          </w:tcPr>
          <w:p w:rsidR="001A4509" w:rsidRPr="00B9020C" w:rsidRDefault="001A4509" w:rsidP="00B9020C">
            <w:pPr>
              <w:spacing w:after="0"/>
              <w:ind w:left="84" w:right="112"/>
              <w:jc w:val="center"/>
              <w:rPr>
                <w:b/>
                <w:sz w:val="20"/>
              </w:rPr>
            </w:pPr>
            <w:r w:rsidRPr="00B9020C">
              <w:rPr>
                <w:b/>
                <w:sz w:val="20"/>
              </w:rPr>
              <w:t>MF SR</w:t>
            </w:r>
          </w:p>
          <w:p w:rsidR="001A4509" w:rsidRPr="00B9020C" w:rsidRDefault="001A4509" w:rsidP="00B9020C">
            <w:pPr>
              <w:spacing w:after="0"/>
              <w:ind w:left="84" w:right="112"/>
              <w:jc w:val="center"/>
              <w:rPr>
                <w:b/>
                <w:sz w:val="20"/>
              </w:rPr>
            </w:pPr>
          </w:p>
          <w:p w:rsidR="001A4509" w:rsidRPr="00B9020C" w:rsidRDefault="001A4509" w:rsidP="00B9020C">
            <w:pPr>
              <w:spacing w:after="0"/>
              <w:ind w:left="84" w:right="112"/>
              <w:jc w:val="center"/>
              <w:rPr>
                <w:b/>
                <w:sz w:val="20"/>
              </w:rPr>
            </w:pPr>
          </w:p>
          <w:p w:rsidR="001A4509" w:rsidRPr="00B9020C" w:rsidRDefault="001A4509" w:rsidP="00B9020C">
            <w:pPr>
              <w:spacing w:after="0"/>
              <w:ind w:right="112"/>
              <w:jc w:val="center"/>
              <w:rPr>
                <w:b/>
                <w:sz w:val="20"/>
              </w:rPr>
            </w:pPr>
            <w:r w:rsidRPr="00B9020C">
              <w:rPr>
                <w:b/>
                <w:sz w:val="20"/>
              </w:rPr>
              <w:t>MF SR</w:t>
            </w:r>
          </w:p>
          <w:p w:rsidR="001A4509" w:rsidRPr="00B9020C" w:rsidRDefault="001A4509" w:rsidP="00B9020C">
            <w:pPr>
              <w:spacing w:after="0"/>
              <w:ind w:left="84" w:right="112"/>
              <w:jc w:val="center"/>
              <w:rPr>
                <w:b/>
                <w:sz w:val="20"/>
              </w:rPr>
            </w:pPr>
          </w:p>
          <w:p w:rsidR="001A4509" w:rsidRPr="00B9020C" w:rsidRDefault="001A4509" w:rsidP="00B9020C">
            <w:pPr>
              <w:spacing w:after="0"/>
              <w:ind w:right="112"/>
              <w:jc w:val="center"/>
              <w:rPr>
                <w:b/>
                <w:sz w:val="20"/>
              </w:rPr>
            </w:pPr>
          </w:p>
          <w:p w:rsidR="001A4509" w:rsidRPr="00B9020C" w:rsidRDefault="001A4509" w:rsidP="00B9020C">
            <w:pPr>
              <w:spacing w:after="0"/>
              <w:ind w:left="84" w:right="112"/>
              <w:jc w:val="center"/>
              <w:rPr>
                <w:b/>
                <w:sz w:val="20"/>
              </w:rPr>
            </w:pPr>
          </w:p>
          <w:p w:rsidR="001A4509" w:rsidRPr="00B9020C" w:rsidRDefault="001A4509" w:rsidP="00B9020C">
            <w:pPr>
              <w:spacing w:after="0"/>
              <w:ind w:left="84" w:right="112"/>
              <w:jc w:val="center"/>
              <w:rPr>
                <w:b/>
                <w:sz w:val="20"/>
              </w:rPr>
            </w:pPr>
          </w:p>
          <w:p w:rsidR="001A4509" w:rsidRPr="00B9020C" w:rsidRDefault="001A4509" w:rsidP="00B9020C">
            <w:pPr>
              <w:spacing w:after="0"/>
              <w:ind w:left="84" w:right="112"/>
              <w:jc w:val="center"/>
              <w:rPr>
                <w:b/>
                <w:sz w:val="20"/>
              </w:rPr>
            </w:pPr>
          </w:p>
          <w:p w:rsidR="001A4509" w:rsidRPr="00B9020C" w:rsidRDefault="001A4509" w:rsidP="00B9020C">
            <w:pPr>
              <w:spacing w:after="0"/>
              <w:ind w:left="84" w:right="112"/>
              <w:jc w:val="center"/>
              <w:rPr>
                <w:b/>
                <w:sz w:val="20"/>
              </w:rPr>
            </w:pPr>
          </w:p>
          <w:p w:rsidR="001A4509" w:rsidRPr="00B9020C" w:rsidRDefault="001A4509" w:rsidP="00B9020C">
            <w:pPr>
              <w:spacing w:after="0"/>
              <w:ind w:left="84" w:right="112"/>
              <w:jc w:val="center"/>
              <w:rPr>
                <w:b/>
                <w:sz w:val="20"/>
              </w:rPr>
            </w:pPr>
          </w:p>
          <w:p w:rsidR="001A4509" w:rsidRPr="00B9020C" w:rsidRDefault="001A4509" w:rsidP="00B9020C">
            <w:pPr>
              <w:spacing w:after="0"/>
              <w:ind w:right="112"/>
              <w:jc w:val="center"/>
              <w:rPr>
                <w:b/>
                <w:sz w:val="20"/>
              </w:rPr>
            </w:pPr>
            <w:r w:rsidRPr="00B9020C">
              <w:rPr>
                <w:b/>
                <w:sz w:val="20"/>
              </w:rPr>
              <w:t>MF SR</w:t>
            </w:r>
          </w:p>
          <w:p w:rsidR="001A4509" w:rsidRPr="00B9020C" w:rsidRDefault="001A4509" w:rsidP="00B9020C">
            <w:pPr>
              <w:jc w:val="center"/>
              <w:rPr>
                <w:b/>
                <w:sz w:val="20"/>
              </w:rPr>
            </w:pPr>
          </w:p>
        </w:tc>
        <w:tc>
          <w:tcPr>
            <w:tcW w:w="6804" w:type="dxa"/>
            <w:tcBorders>
              <w:left w:val="single" w:sz="4" w:space="0" w:color="auto"/>
              <w:bottom w:val="single" w:sz="4" w:space="0" w:color="auto"/>
              <w:right w:val="single" w:sz="4" w:space="0" w:color="auto"/>
            </w:tcBorders>
          </w:tcPr>
          <w:p w:rsidR="001A4509" w:rsidRDefault="001A4509" w:rsidP="00B9020C">
            <w:pPr>
              <w:spacing w:after="0"/>
              <w:ind w:right="112"/>
              <w:rPr>
                <w:sz w:val="20"/>
              </w:rPr>
            </w:pPr>
            <w:r w:rsidRPr="001A4509">
              <w:rPr>
                <w:b/>
                <w:sz w:val="20"/>
                <w:u w:val="single"/>
              </w:rPr>
              <w:t>Stredná priorita</w:t>
            </w:r>
            <w:r>
              <w:rPr>
                <w:sz w:val="20"/>
              </w:rPr>
              <w:t xml:space="preserve"> - </w:t>
            </w:r>
            <w:r w:rsidRPr="00EF3B0E">
              <w:rPr>
                <w:sz w:val="20"/>
              </w:rPr>
              <w:t>Slovenská republika vo všeobecnosti podporuje iniciatívy na podporu</w:t>
            </w:r>
            <w:r>
              <w:rPr>
                <w:sz w:val="20"/>
              </w:rPr>
              <w:t xml:space="preserve"> </w:t>
            </w:r>
            <w:r w:rsidRPr="00F15A76">
              <w:rPr>
                <w:sz w:val="20"/>
              </w:rPr>
              <w:t>menej rozvinutých kapitálových trhov a na zlepšenie prístupu podnikov k financovaniu.</w:t>
            </w:r>
          </w:p>
          <w:p w:rsidR="001A4509" w:rsidRDefault="001A4509" w:rsidP="00B9020C">
            <w:pPr>
              <w:spacing w:after="0"/>
              <w:ind w:right="112"/>
              <w:rPr>
                <w:sz w:val="20"/>
              </w:rPr>
            </w:pPr>
          </w:p>
          <w:p w:rsidR="001A4509" w:rsidRPr="00BF2308" w:rsidRDefault="001A4509" w:rsidP="00B9020C">
            <w:pPr>
              <w:spacing w:after="0"/>
              <w:ind w:right="112"/>
              <w:rPr>
                <w:b/>
                <w:sz w:val="20"/>
              </w:rPr>
            </w:pPr>
            <w:r w:rsidRPr="001A4509">
              <w:rPr>
                <w:b/>
                <w:sz w:val="20"/>
                <w:u w:val="single"/>
              </w:rPr>
              <w:t>Nízka priorita</w:t>
            </w:r>
            <w:r>
              <w:rPr>
                <w:sz w:val="20"/>
              </w:rPr>
              <w:t xml:space="preserve"> - </w:t>
            </w:r>
            <w:r w:rsidRPr="00BF2308">
              <w:rPr>
                <w:sz w:val="20"/>
              </w:rPr>
              <w:t>Slovenská republika podporuje iniciatívy zamerané na prehodnotenie legislatívneho rámca MiFID II a</w:t>
            </w:r>
            <w:r>
              <w:rPr>
                <w:sz w:val="20"/>
              </w:rPr>
              <w:t> </w:t>
            </w:r>
            <w:r w:rsidRPr="00BF2308">
              <w:rPr>
                <w:sz w:val="20"/>
              </w:rPr>
              <w:t>MiFIR</w:t>
            </w:r>
            <w:r>
              <w:rPr>
                <w:sz w:val="20"/>
              </w:rPr>
              <w:t>.</w:t>
            </w:r>
          </w:p>
          <w:p w:rsidR="001A4509" w:rsidRDefault="001A4509" w:rsidP="00B9020C">
            <w:pPr>
              <w:spacing w:after="0"/>
              <w:ind w:right="112"/>
              <w:rPr>
                <w:b/>
                <w:sz w:val="20"/>
              </w:rPr>
            </w:pPr>
          </w:p>
          <w:p w:rsidR="001A4509" w:rsidRDefault="001A4509" w:rsidP="00B9020C">
            <w:pPr>
              <w:spacing w:after="0"/>
              <w:ind w:right="112"/>
              <w:rPr>
                <w:b/>
                <w:sz w:val="20"/>
              </w:rPr>
            </w:pPr>
          </w:p>
          <w:p w:rsidR="001A4509" w:rsidRPr="00BF2308" w:rsidRDefault="001A4509" w:rsidP="00B9020C">
            <w:pPr>
              <w:spacing w:after="0"/>
              <w:ind w:right="112"/>
              <w:rPr>
                <w:b/>
                <w:sz w:val="20"/>
              </w:rPr>
            </w:pPr>
          </w:p>
          <w:p w:rsidR="001A4509" w:rsidRPr="00BF2308" w:rsidRDefault="001A4509" w:rsidP="00B9020C">
            <w:pPr>
              <w:spacing w:after="0"/>
              <w:ind w:left="84" w:right="112"/>
              <w:rPr>
                <w:b/>
                <w:sz w:val="20"/>
              </w:rPr>
            </w:pPr>
          </w:p>
          <w:p w:rsidR="00B9020C" w:rsidRDefault="00B9020C" w:rsidP="00B9020C">
            <w:pPr>
              <w:spacing w:after="0"/>
              <w:ind w:right="112"/>
              <w:rPr>
                <w:b/>
                <w:sz w:val="20"/>
                <w:u w:val="single"/>
              </w:rPr>
            </w:pPr>
          </w:p>
          <w:p w:rsidR="001A4509" w:rsidRDefault="001A4509" w:rsidP="00B9020C">
            <w:pPr>
              <w:spacing w:after="0"/>
              <w:ind w:right="112"/>
              <w:rPr>
                <w:sz w:val="20"/>
              </w:rPr>
            </w:pPr>
            <w:r w:rsidRPr="001A4509">
              <w:rPr>
                <w:b/>
                <w:sz w:val="20"/>
                <w:u w:val="single"/>
              </w:rPr>
              <w:t>Nízka priorita</w:t>
            </w:r>
            <w:r>
              <w:rPr>
                <w:sz w:val="20"/>
              </w:rPr>
              <w:t xml:space="preserve"> - </w:t>
            </w:r>
            <w:r w:rsidRPr="00BF2308">
              <w:rPr>
                <w:sz w:val="20"/>
              </w:rPr>
              <w:t>Slovenská republika podporuje iniciatívy zamerané na prehodnotenie</w:t>
            </w:r>
            <w:r>
              <w:rPr>
                <w:sz w:val="20"/>
              </w:rPr>
              <w:t xml:space="preserve"> legislatívneho rámca ohľadne be</w:t>
            </w:r>
            <w:r w:rsidRPr="00BF2308">
              <w:rPr>
                <w:sz w:val="20"/>
              </w:rPr>
              <w:t>nchmarkov</w:t>
            </w:r>
            <w:r>
              <w:rPr>
                <w:sz w:val="20"/>
              </w:rPr>
              <w:t>.</w:t>
            </w:r>
          </w:p>
          <w:p w:rsidR="001A4509" w:rsidRPr="00BF2308" w:rsidRDefault="001A4509" w:rsidP="00B9020C">
            <w:pPr>
              <w:rPr>
                <w:sz w:val="20"/>
              </w:rPr>
            </w:pPr>
          </w:p>
        </w:tc>
      </w:tr>
      <w:tr w:rsidR="001A4509" w:rsidTr="008A2C73">
        <w:trPr>
          <w:cantSplit/>
        </w:trPr>
        <w:tc>
          <w:tcPr>
            <w:tcW w:w="511" w:type="dxa"/>
            <w:tcBorders>
              <w:right w:val="single" w:sz="4" w:space="0" w:color="auto"/>
            </w:tcBorders>
          </w:tcPr>
          <w:p w:rsidR="001A4509" w:rsidRDefault="001A4509" w:rsidP="001A4509">
            <w:pPr>
              <w:pStyle w:val="Odsekzoznamu"/>
              <w:numPr>
                <w:ilvl w:val="0"/>
                <w:numId w:val="18"/>
              </w:numPr>
              <w:spacing w:after="0"/>
              <w:ind w:left="426"/>
              <w:rPr>
                <w:noProof/>
                <w:sz w:val="20"/>
              </w:rPr>
            </w:pPr>
          </w:p>
        </w:tc>
        <w:tc>
          <w:tcPr>
            <w:tcW w:w="1752" w:type="dxa"/>
            <w:tcBorders>
              <w:left w:val="single" w:sz="4" w:space="0" w:color="auto"/>
            </w:tcBorders>
            <w:tcMar>
              <w:top w:w="85" w:type="dxa"/>
              <w:bottom w:w="85" w:type="dxa"/>
            </w:tcMar>
          </w:tcPr>
          <w:p w:rsidR="001A4509" w:rsidRDefault="001A4509" w:rsidP="001A4509">
            <w:pPr>
              <w:spacing w:after="0"/>
              <w:rPr>
                <w:b/>
                <w:bCs/>
                <w:noProof/>
                <w:color w:val="000000"/>
                <w:sz w:val="20"/>
              </w:rPr>
            </w:pPr>
            <w:r>
              <w:rPr>
                <w:b/>
                <w:bCs/>
                <w:noProof/>
                <w:sz w:val="20"/>
              </w:rPr>
              <w:t>Dobudovanie bankovej únie</w:t>
            </w:r>
          </w:p>
        </w:tc>
        <w:tc>
          <w:tcPr>
            <w:tcW w:w="4111" w:type="dxa"/>
            <w:tcMar>
              <w:top w:w="85" w:type="dxa"/>
              <w:bottom w:w="85" w:type="dxa"/>
            </w:tcMar>
          </w:tcPr>
          <w:p w:rsidR="001A4509" w:rsidRDefault="001A4509" w:rsidP="001A4509">
            <w:pPr>
              <w:spacing w:after="0"/>
              <w:jc w:val="left"/>
              <w:rPr>
                <w:noProof/>
                <w:sz w:val="20"/>
              </w:rPr>
            </w:pPr>
            <w:r>
              <w:rPr>
                <w:b/>
                <w:bCs/>
                <w:noProof/>
                <w:sz w:val="20"/>
              </w:rPr>
              <w:t>Akčný plán na boj proti praniu špinavých peňazí</w:t>
            </w:r>
            <w:r>
              <w:rPr>
                <w:noProof/>
                <w:sz w:val="20"/>
              </w:rPr>
              <w:t xml:space="preserve"> (nelegislatívna iniciatíva, 1. štvrťrok 2020);</w:t>
            </w:r>
          </w:p>
          <w:p w:rsidR="001A4509" w:rsidRDefault="001A4509" w:rsidP="001A4509">
            <w:pPr>
              <w:spacing w:after="0"/>
              <w:jc w:val="left"/>
              <w:rPr>
                <w:noProof/>
                <w:sz w:val="20"/>
              </w:rPr>
            </w:pPr>
          </w:p>
          <w:p w:rsidR="001A4509" w:rsidRDefault="001A4509" w:rsidP="001A4509">
            <w:pPr>
              <w:spacing w:after="0"/>
              <w:jc w:val="left"/>
              <w:rPr>
                <w:noProof/>
                <w:sz w:val="20"/>
              </w:rPr>
            </w:pPr>
            <w:r>
              <w:rPr>
                <w:b/>
                <w:bCs/>
                <w:noProof/>
                <w:sz w:val="20"/>
              </w:rPr>
              <w:t>Preskúmanie právnych predpisov týkajúcich sa kapitálových požiadaviek</w:t>
            </w:r>
            <w:r>
              <w:rPr>
                <w:noProof/>
                <w:sz w:val="20"/>
              </w:rPr>
              <w:t xml:space="preserve"> [legislatívna iniciatíva vrátane posúdenia vplyvu, článok 114 ZFEÚ (CRR) a článok 53 ZFEÚ (CRD), 2. štvrťrok 2020]</w:t>
            </w:r>
          </w:p>
        </w:tc>
        <w:tc>
          <w:tcPr>
            <w:tcW w:w="1418" w:type="dxa"/>
          </w:tcPr>
          <w:p w:rsidR="001A4509" w:rsidRPr="00B9020C" w:rsidRDefault="001A4509" w:rsidP="00B9020C">
            <w:pPr>
              <w:spacing w:after="0"/>
              <w:ind w:left="84" w:right="112"/>
              <w:jc w:val="center"/>
              <w:rPr>
                <w:b/>
                <w:sz w:val="20"/>
              </w:rPr>
            </w:pPr>
            <w:r w:rsidRPr="00B9020C">
              <w:rPr>
                <w:b/>
                <w:sz w:val="20"/>
              </w:rPr>
              <w:t>MF SR</w:t>
            </w:r>
          </w:p>
        </w:tc>
        <w:tc>
          <w:tcPr>
            <w:tcW w:w="6804" w:type="dxa"/>
          </w:tcPr>
          <w:p w:rsidR="001A4509" w:rsidRDefault="00B9020C" w:rsidP="00B9020C">
            <w:pPr>
              <w:spacing w:after="0"/>
              <w:ind w:right="112"/>
              <w:rPr>
                <w:b/>
                <w:sz w:val="20"/>
              </w:rPr>
            </w:pPr>
            <w:r w:rsidRPr="001A4509">
              <w:rPr>
                <w:b/>
                <w:sz w:val="20"/>
                <w:u w:val="single"/>
              </w:rPr>
              <w:t>Stredná priorita</w:t>
            </w:r>
            <w:r>
              <w:rPr>
                <w:sz w:val="20"/>
              </w:rPr>
              <w:t xml:space="preserve"> – SR </w:t>
            </w:r>
            <w:r w:rsidR="001A4509" w:rsidRPr="00E92C36">
              <w:rPr>
                <w:sz w:val="20"/>
              </w:rPr>
              <w:t xml:space="preserve">podporuje opatrenia na boj proti praniu špinavých peňazí. </w:t>
            </w:r>
            <w:r w:rsidR="006B4579">
              <w:rPr>
                <w:sz w:val="20"/>
              </w:rPr>
              <w:t>Akčný plán by mal posilniť odol</w:t>
            </w:r>
            <w:r w:rsidR="001A4509" w:rsidRPr="00E92C36">
              <w:rPr>
                <w:sz w:val="20"/>
              </w:rPr>
              <w:t>nosť európskeho finančného systému. V súčasnosti považujeme za nevyhnutné posilnenie dohľadu nad finančnými inštitúciami tak, aby sa neopakovali nedávno odhalené prípady prania špinavých peňazí v bankovom sektore EÚ. Takéto zistenia vnášaju pochybnosti o fungovaní EU systému boja proti praniu špinavých peňazí a naštrbujú dôveryhodnosť celkového európskeho finančného systému.</w:t>
            </w:r>
          </w:p>
          <w:p w:rsidR="001A4509" w:rsidRPr="00E92C36" w:rsidRDefault="001A4509" w:rsidP="00B9020C">
            <w:pPr>
              <w:spacing w:after="0"/>
              <w:ind w:left="84" w:right="112"/>
              <w:rPr>
                <w:b/>
                <w:sz w:val="20"/>
              </w:rPr>
            </w:pPr>
          </w:p>
        </w:tc>
      </w:tr>
      <w:tr w:rsidR="001A4509" w:rsidTr="008A2C73">
        <w:trPr>
          <w:cantSplit/>
        </w:trPr>
        <w:tc>
          <w:tcPr>
            <w:tcW w:w="511" w:type="dxa"/>
            <w:tcBorders>
              <w:right w:val="single" w:sz="4" w:space="0" w:color="auto"/>
            </w:tcBorders>
            <w:shd w:val="clear" w:color="auto" w:fill="FFFFFF" w:themeFill="background1"/>
          </w:tcPr>
          <w:p w:rsidR="001A4509" w:rsidRDefault="001A4509" w:rsidP="001A4509">
            <w:pPr>
              <w:pStyle w:val="Odsekzoznamu"/>
              <w:numPr>
                <w:ilvl w:val="0"/>
                <w:numId w:val="18"/>
              </w:numPr>
              <w:spacing w:after="0"/>
              <w:ind w:left="426"/>
              <w:rPr>
                <w:noProof/>
                <w:sz w:val="20"/>
              </w:rPr>
            </w:pPr>
          </w:p>
        </w:tc>
        <w:tc>
          <w:tcPr>
            <w:tcW w:w="1752" w:type="dxa"/>
            <w:tcBorders>
              <w:left w:val="single" w:sz="4" w:space="0" w:color="auto"/>
            </w:tcBorders>
            <w:shd w:val="clear" w:color="auto" w:fill="FFFFFF" w:themeFill="background1"/>
            <w:tcMar>
              <w:top w:w="85" w:type="dxa"/>
              <w:bottom w:w="85" w:type="dxa"/>
            </w:tcMar>
          </w:tcPr>
          <w:p w:rsidR="001A4509" w:rsidRDefault="001A4509" w:rsidP="001A4509">
            <w:pPr>
              <w:spacing w:after="0"/>
              <w:rPr>
                <w:b/>
                <w:bCs/>
                <w:noProof/>
                <w:color w:val="000000"/>
                <w:sz w:val="20"/>
              </w:rPr>
            </w:pPr>
            <w:r>
              <w:rPr>
                <w:b/>
                <w:bCs/>
                <w:noProof/>
                <w:sz w:val="20"/>
              </w:rPr>
              <w:t>Účinné zdaňovanie</w:t>
            </w:r>
          </w:p>
        </w:tc>
        <w:tc>
          <w:tcPr>
            <w:tcW w:w="4111" w:type="dxa"/>
            <w:shd w:val="clear" w:color="auto" w:fill="FFFFFF" w:themeFill="background1"/>
            <w:tcMar>
              <w:top w:w="85" w:type="dxa"/>
              <w:bottom w:w="85" w:type="dxa"/>
            </w:tcMar>
          </w:tcPr>
          <w:p w:rsidR="001A4509" w:rsidRDefault="001A4509" w:rsidP="001A4509">
            <w:pPr>
              <w:pStyle w:val="Default"/>
              <w:rPr>
                <w:noProof/>
                <w:sz w:val="20"/>
                <w:szCs w:val="20"/>
              </w:rPr>
            </w:pPr>
            <w:r>
              <w:rPr>
                <w:b/>
                <w:bCs/>
                <w:noProof/>
                <w:sz w:val="20"/>
                <w:szCs w:val="20"/>
              </w:rPr>
              <w:t>Zdaňovanie podnikov v 21. storočí</w:t>
            </w:r>
            <w:r>
              <w:rPr>
                <w:noProof/>
                <w:sz w:val="20"/>
                <w:szCs w:val="20"/>
              </w:rPr>
              <w:t xml:space="preserve"> (nelegislatívna iniciatíva, 2. štvrťrok 2020);</w:t>
            </w:r>
          </w:p>
          <w:p w:rsidR="001A4509" w:rsidRDefault="001A4509" w:rsidP="001A4509">
            <w:pPr>
              <w:pStyle w:val="Default"/>
              <w:rPr>
                <w:noProof/>
                <w:sz w:val="20"/>
                <w:szCs w:val="20"/>
              </w:rPr>
            </w:pPr>
          </w:p>
          <w:p w:rsidR="001A4509" w:rsidRDefault="001A4509" w:rsidP="001A4509">
            <w:pPr>
              <w:pStyle w:val="Default"/>
              <w:rPr>
                <w:noProof/>
                <w:sz w:val="20"/>
                <w:szCs w:val="20"/>
              </w:rPr>
            </w:pPr>
            <w:r>
              <w:rPr>
                <w:b/>
                <w:bCs/>
                <w:noProof/>
                <w:sz w:val="20"/>
                <w:szCs w:val="20"/>
              </w:rPr>
              <w:t>Akčný plán na boj proti daňovým podvodom a na zjednodušenie zdaňovania</w:t>
            </w:r>
            <w:r>
              <w:rPr>
                <w:noProof/>
                <w:sz w:val="20"/>
                <w:szCs w:val="20"/>
              </w:rPr>
              <w:t xml:space="preserve"> (legislatívna a nelegislatívna iniciatíva vrátane posúdenia vplyvu, články 113 a 115 ZFEÚ, 2. štvrťrok 2020)</w:t>
            </w:r>
          </w:p>
        </w:tc>
        <w:tc>
          <w:tcPr>
            <w:tcW w:w="1418" w:type="dxa"/>
            <w:shd w:val="clear" w:color="auto" w:fill="FFFFFF" w:themeFill="background1"/>
          </w:tcPr>
          <w:p w:rsidR="001A4509" w:rsidRPr="00B9020C" w:rsidRDefault="001A4509" w:rsidP="00B9020C">
            <w:pPr>
              <w:spacing w:after="0"/>
              <w:ind w:left="84" w:right="112"/>
              <w:jc w:val="center"/>
              <w:rPr>
                <w:b/>
                <w:sz w:val="20"/>
              </w:rPr>
            </w:pPr>
            <w:r w:rsidRPr="00B9020C">
              <w:rPr>
                <w:b/>
                <w:sz w:val="20"/>
              </w:rPr>
              <w:t>MF SR</w:t>
            </w:r>
          </w:p>
        </w:tc>
        <w:tc>
          <w:tcPr>
            <w:tcW w:w="6804" w:type="dxa"/>
            <w:shd w:val="clear" w:color="auto" w:fill="FFFFFF" w:themeFill="background1"/>
          </w:tcPr>
          <w:p w:rsidR="001A4509" w:rsidRPr="00E92C36" w:rsidRDefault="00B9020C" w:rsidP="00B9020C">
            <w:pPr>
              <w:spacing w:after="0"/>
              <w:ind w:right="112"/>
              <w:rPr>
                <w:b/>
                <w:sz w:val="20"/>
              </w:rPr>
            </w:pPr>
            <w:r w:rsidRPr="001A4509">
              <w:rPr>
                <w:b/>
                <w:sz w:val="20"/>
                <w:u w:val="single"/>
              </w:rPr>
              <w:t>Stredná priorita</w:t>
            </w:r>
            <w:r>
              <w:rPr>
                <w:sz w:val="20"/>
              </w:rPr>
              <w:t xml:space="preserve"> - </w:t>
            </w:r>
            <w:r w:rsidR="001A4509" w:rsidRPr="00E92C36">
              <w:rPr>
                <w:sz w:val="20"/>
              </w:rPr>
              <w:t>EK zatiaľ presnejšie neinformovala o konkrétnej náplni predmetnej iniciatívy. Očakávame, že zjednodušovanie daňového prostredia pre podnikateľské subjekty, zvyšovanie daňovej istoty a  boj proti daňovým podvodom a daňovým únikom budú v kontexte vnútorného trhu EÚ predstavovať dôležité témy.</w:t>
            </w:r>
          </w:p>
        </w:tc>
      </w:tr>
      <w:tr w:rsidR="001A4509" w:rsidTr="008A2C73">
        <w:trPr>
          <w:cantSplit/>
        </w:trPr>
        <w:tc>
          <w:tcPr>
            <w:tcW w:w="511" w:type="dxa"/>
            <w:tcBorders>
              <w:bottom w:val="single" w:sz="4" w:space="0" w:color="auto"/>
              <w:right w:val="single" w:sz="4" w:space="0" w:color="auto"/>
            </w:tcBorders>
          </w:tcPr>
          <w:p w:rsidR="001A4509" w:rsidRDefault="001A4509" w:rsidP="001A4509">
            <w:pPr>
              <w:pStyle w:val="Odsekzoznamu"/>
              <w:numPr>
                <w:ilvl w:val="0"/>
                <w:numId w:val="18"/>
              </w:numPr>
              <w:spacing w:after="0"/>
              <w:ind w:left="426"/>
              <w:rPr>
                <w:noProof/>
                <w:sz w:val="20"/>
              </w:rPr>
            </w:pPr>
          </w:p>
        </w:tc>
        <w:tc>
          <w:tcPr>
            <w:tcW w:w="1752" w:type="dxa"/>
            <w:tcBorders>
              <w:left w:val="single" w:sz="4" w:space="0" w:color="auto"/>
              <w:bottom w:val="single" w:sz="4" w:space="0" w:color="auto"/>
            </w:tcBorders>
            <w:tcMar>
              <w:top w:w="85" w:type="dxa"/>
              <w:bottom w:w="85" w:type="dxa"/>
            </w:tcMar>
          </w:tcPr>
          <w:p w:rsidR="001A4509" w:rsidRDefault="001A4509" w:rsidP="001A4509">
            <w:pPr>
              <w:spacing w:after="0"/>
              <w:rPr>
                <w:b/>
                <w:bCs/>
                <w:noProof/>
                <w:color w:val="000000"/>
                <w:sz w:val="20"/>
              </w:rPr>
            </w:pPr>
            <w:r>
              <w:rPr>
                <w:b/>
                <w:bCs/>
                <w:noProof/>
                <w:sz w:val="20"/>
              </w:rPr>
              <w:t>Balík v oblasti colnej únie</w:t>
            </w:r>
          </w:p>
        </w:tc>
        <w:tc>
          <w:tcPr>
            <w:tcW w:w="4111" w:type="dxa"/>
            <w:tcBorders>
              <w:bottom w:val="single" w:sz="4" w:space="0" w:color="auto"/>
            </w:tcBorders>
            <w:tcMar>
              <w:top w:w="85" w:type="dxa"/>
              <w:bottom w:w="85" w:type="dxa"/>
            </w:tcMar>
          </w:tcPr>
          <w:p w:rsidR="001A4509" w:rsidRDefault="001A4509" w:rsidP="001A4509">
            <w:pPr>
              <w:pStyle w:val="Default"/>
              <w:rPr>
                <w:noProof/>
                <w:sz w:val="20"/>
                <w:szCs w:val="20"/>
              </w:rPr>
            </w:pPr>
            <w:r>
              <w:rPr>
                <w:b/>
                <w:noProof/>
                <w:sz w:val="20"/>
                <w:szCs w:val="20"/>
              </w:rPr>
              <w:t xml:space="preserve">Akčný plán pre colnú úniu </w:t>
            </w:r>
            <w:r>
              <w:rPr>
                <w:noProof/>
                <w:sz w:val="20"/>
                <w:szCs w:val="20"/>
              </w:rPr>
              <w:t>(nelegislatívna iniciatíva, 2. štvrťrok 2020);</w:t>
            </w:r>
          </w:p>
          <w:p w:rsidR="001A4509" w:rsidRDefault="001A4509" w:rsidP="001A4509">
            <w:pPr>
              <w:pStyle w:val="Default"/>
              <w:rPr>
                <w:noProof/>
                <w:sz w:val="20"/>
                <w:szCs w:val="20"/>
              </w:rPr>
            </w:pPr>
          </w:p>
          <w:p w:rsidR="001A4509" w:rsidRDefault="001A4509" w:rsidP="001A4509">
            <w:pPr>
              <w:pStyle w:val="Default"/>
              <w:rPr>
                <w:noProof/>
                <w:sz w:val="20"/>
                <w:szCs w:val="20"/>
              </w:rPr>
            </w:pPr>
            <w:r>
              <w:rPr>
                <w:b/>
                <w:bCs/>
                <w:noProof/>
                <w:sz w:val="20"/>
                <w:szCs w:val="20"/>
              </w:rPr>
              <w:t>Návrh o centrálnom elektronickom priečinku pre colnú správu</w:t>
            </w:r>
            <w:r>
              <w:rPr>
                <w:noProof/>
                <w:sz w:val="20"/>
                <w:szCs w:val="20"/>
              </w:rPr>
              <w:t xml:space="preserve"> (legislatívna iniciatíva vrátane posúdenia vplyvu, články 33 a 114 ZFEÚ, 3. štvrťrok 2020)</w:t>
            </w:r>
          </w:p>
        </w:tc>
        <w:tc>
          <w:tcPr>
            <w:tcW w:w="1418" w:type="dxa"/>
            <w:tcBorders>
              <w:bottom w:val="single" w:sz="4" w:space="0" w:color="auto"/>
            </w:tcBorders>
          </w:tcPr>
          <w:p w:rsidR="001A4509" w:rsidRPr="00B9020C" w:rsidRDefault="001A4509" w:rsidP="00B9020C">
            <w:pPr>
              <w:spacing w:after="0"/>
              <w:ind w:left="84" w:right="112"/>
              <w:jc w:val="center"/>
              <w:rPr>
                <w:b/>
                <w:sz w:val="20"/>
              </w:rPr>
            </w:pPr>
            <w:r w:rsidRPr="00B9020C">
              <w:rPr>
                <w:b/>
                <w:sz w:val="20"/>
              </w:rPr>
              <w:t>MF SR</w:t>
            </w:r>
          </w:p>
          <w:p w:rsidR="001A4509" w:rsidRPr="00B9020C" w:rsidRDefault="001A4509" w:rsidP="00B9020C">
            <w:pPr>
              <w:jc w:val="center"/>
              <w:rPr>
                <w:b/>
                <w:sz w:val="20"/>
              </w:rPr>
            </w:pPr>
          </w:p>
          <w:p w:rsidR="001A4509" w:rsidRPr="00B9020C" w:rsidRDefault="001A4509" w:rsidP="00B9020C">
            <w:pPr>
              <w:jc w:val="center"/>
              <w:rPr>
                <w:b/>
                <w:sz w:val="20"/>
              </w:rPr>
            </w:pPr>
            <w:r w:rsidRPr="00B9020C">
              <w:rPr>
                <w:b/>
                <w:sz w:val="20"/>
              </w:rPr>
              <w:t>MF SR</w:t>
            </w:r>
          </w:p>
        </w:tc>
        <w:tc>
          <w:tcPr>
            <w:tcW w:w="6804" w:type="dxa"/>
            <w:tcBorders>
              <w:bottom w:val="single" w:sz="4" w:space="0" w:color="auto"/>
            </w:tcBorders>
          </w:tcPr>
          <w:p w:rsidR="001A4509" w:rsidRPr="00B9020C" w:rsidRDefault="00B9020C" w:rsidP="00B9020C">
            <w:pPr>
              <w:spacing w:after="0"/>
              <w:ind w:right="112"/>
              <w:jc w:val="left"/>
              <w:rPr>
                <w:sz w:val="20"/>
              </w:rPr>
            </w:pPr>
            <w:r w:rsidRPr="006E7EB2">
              <w:rPr>
                <w:b/>
                <w:bCs/>
                <w:sz w:val="20"/>
                <w:u w:val="single"/>
              </w:rPr>
              <w:t>Vysoká priorita</w:t>
            </w:r>
            <w:r w:rsidRPr="006E7EB2">
              <w:rPr>
                <w:b/>
                <w:bCs/>
                <w:sz w:val="20"/>
              </w:rPr>
              <w:t xml:space="preserve"> </w:t>
            </w:r>
            <w:r>
              <w:rPr>
                <w:b/>
                <w:bCs/>
                <w:sz w:val="20"/>
              </w:rPr>
              <w:t xml:space="preserve">- </w:t>
            </w:r>
            <w:r w:rsidR="001A4509">
              <w:rPr>
                <w:sz w:val="20"/>
              </w:rPr>
              <w:t>SR</w:t>
            </w:r>
            <w:r w:rsidR="001A4509" w:rsidRPr="009973B3">
              <w:rPr>
                <w:sz w:val="20"/>
              </w:rPr>
              <w:t xml:space="preserve"> podporuje aktivity smerujúce k posilneniu colnej únie, ktorú SR považuje za základný kameň EÚ.  </w:t>
            </w:r>
          </w:p>
          <w:p w:rsidR="001A4509" w:rsidRDefault="001A4509" w:rsidP="001A4509">
            <w:pPr>
              <w:spacing w:after="0"/>
              <w:ind w:left="84" w:right="112"/>
              <w:jc w:val="left"/>
              <w:rPr>
                <w:b/>
                <w:sz w:val="20"/>
              </w:rPr>
            </w:pPr>
          </w:p>
          <w:p w:rsidR="001A4509" w:rsidRDefault="00B9020C" w:rsidP="00B9020C">
            <w:pPr>
              <w:spacing w:after="0"/>
              <w:ind w:right="112"/>
              <w:jc w:val="left"/>
              <w:rPr>
                <w:sz w:val="20"/>
              </w:rPr>
            </w:pPr>
            <w:r w:rsidRPr="006E7EB2">
              <w:rPr>
                <w:b/>
                <w:bCs/>
                <w:sz w:val="20"/>
                <w:u w:val="single"/>
              </w:rPr>
              <w:t>Vysoká priorita</w:t>
            </w:r>
            <w:r w:rsidRPr="006E7EB2">
              <w:rPr>
                <w:b/>
                <w:bCs/>
                <w:sz w:val="20"/>
              </w:rPr>
              <w:t xml:space="preserve"> </w:t>
            </w:r>
            <w:r>
              <w:rPr>
                <w:b/>
                <w:bCs/>
                <w:sz w:val="20"/>
              </w:rPr>
              <w:t xml:space="preserve">- </w:t>
            </w:r>
            <w:r w:rsidR="001A4509" w:rsidRPr="00C5293F">
              <w:rPr>
                <w:sz w:val="20"/>
              </w:rPr>
              <w:t>SR víta</w:t>
            </w:r>
            <w:r w:rsidR="001A4509" w:rsidRPr="009973B3">
              <w:rPr>
                <w:sz w:val="20"/>
              </w:rPr>
              <w:t xml:space="preserve"> iniciatívu smerujúcu k príprave takéhoto legislatívneho návrhu.</w:t>
            </w:r>
          </w:p>
        </w:tc>
      </w:tr>
      <w:tr w:rsidR="001A4509" w:rsidTr="008A2C73">
        <w:trPr>
          <w:cantSplit/>
        </w:trPr>
        <w:tc>
          <w:tcPr>
            <w:tcW w:w="6374" w:type="dxa"/>
            <w:gridSpan w:val="3"/>
            <w:tcBorders>
              <w:bottom w:val="single" w:sz="4" w:space="0" w:color="auto"/>
            </w:tcBorders>
            <w:shd w:val="clear" w:color="auto" w:fill="585EAA" w:themeFill="accent4"/>
          </w:tcPr>
          <w:p w:rsidR="001A4509" w:rsidRDefault="001A4509" w:rsidP="001A4509">
            <w:pPr>
              <w:keepNext/>
              <w:spacing w:before="60" w:after="60"/>
              <w:rPr>
                <w:b/>
                <w:bCs/>
                <w:noProof/>
                <w:sz w:val="20"/>
              </w:rPr>
            </w:pPr>
            <w:r>
              <w:rPr>
                <w:b/>
                <w:bCs/>
                <w:noProof/>
                <w:color w:val="FFFFFF" w:themeColor="background1"/>
                <w:sz w:val="20"/>
              </w:rPr>
              <w:t>Silnejšia Európa vo svete</w:t>
            </w:r>
          </w:p>
        </w:tc>
        <w:tc>
          <w:tcPr>
            <w:tcW w:w="1418" w:type="dxa"/>
            <w:tcBorders>
              <w:bottom w:val="single" w:sz="4" w:space="0" w:color="auto"/>
            </w:tcBorders>
            <w:shd w:val="clear" w:color="auto" w:fill="585EAA" w:themeFill="accent4"/>
          </w:tcPr>
          <w:p w:rsidR="001A4509" w:rsidRDefault="001A4509" w:rsidP="001A4509">
            <w:pPr>
              <w:keepNext/>
              <w:spacing w:before="60" w:after="60"/>
              <w:rPr>
                <w:b/>
                <w:bCs/>
                <w:noProof/>
                <w:color w:val="FFFFFF" w:themeColor="background1"/>
                <w:sz w:val="20"/>
              </w:rPr>
            </w:pPr>
          </w:p>
        </w:tc>
        <w:tc>
          <w:tcPr>
            <w:tcW w:w="6804" w:type="dxa"/>
            <w:tcBorders>
              <w:bottom w:val="single" w:sz="4" w:space="0" w:color="auto"/>
            </w:tcBorders>
            <w:shd w:val="clear" w:color="auto" w:fill="585EAA" w:themeFill="accent4"/>
          </w:tcPr>
          <w:p w:rsidR="001A4509" w:rsidRDefault="001A4509" w:rsidP="001A4509">
            <w:pPr>
              <w:keepNext/>
              <w:spacing w:before="60" w:after="60"/>
              <w:rPr>
                <w:b/>
                <w:bCs/>
                <w:noProof/>
                <w:color w:val="FFFFFF" w:themeColor="background1"/>
                <w:sz w:val="20"/>
              </w:rPr>
            </w:pPr>
          </w:p>
        </w:tc>
      </w:tr>
      <w:tr w:rsidR="001A4509" w:rsidTr="008A2C73">
        <w:trPr>
          <w:cantSplit/>
        </w:trPr>
        <w:tc>
          <w:tcPr>
            <w:tcW w:w="511" w:type="dxa"/>
            <w:tcBorders>
              <w:bottom w:val="single" w:sz="4" w:space="0" w:color="auto"/>
              <w:right w:val="single" w:sz="4" w:space="0" w:color="auto"/>
            </w:tcBorders>
          </w:tcPr>
          <w:p w:rsidR="001A4509" w:rsidRDefault="001A4509" w:rsidP="001A4509">
            <w:pPr>
              <w:pStyle w:val="Odsekzoznamu"/>
              <w:numPr>
                <w:ilvl w:val="0"/>
                <w:numId w:val="18"/>
              </w:numPr>
              <w:spacing w:after="0"/>
              <w:ind w:left="426"/>
              <w:rPr>
                <w:noProof/>
                <w:sz w:val="20"/>
              </w:rPr>
            </w:pPr>
          </w:p>
        </w:tc>
        <w:tc>
          <w:tcPr>
            <w:tcW w:w="1752" w:type="dxa"/>
            <w:tcBorders>
              <w:left w:val="single" w:sz="4" w:space="0" w:color="auto"/>
              <w:bottom w:val="single" w:sz="4" w:space="0" w:color="auto"/>
            </w:tcBorders>
            <w:tcMar>
              <w:top w:w="85" w:type="dxa"/>
              <w:bottom w:w="85" w:type="dxa"/>
            </w:tcMar>
          </w:tcPr>
          <w:p w:rsidR="001A4509" w:rsidRDefault="001A4509" w:rsidP="001A4509">
            <w:pPr>
              <w:spacing w:after="0"/>
              <w:rPr>
                <w:noProof/>
                <w:sz w:val="20"/>
              </w:rPr>
            </w:pPr>
            <w:r>
              <w:rPr>
                <w:b/>
                <w:bCs/>
                <w:noProof/>
                <w:sz w:val="20"/>
              </w:rPr>
              <w:t>Medzinárodná spolupráca</w:t>
            </w:r>
          </w:p>
        </w:tc>
        <w:tc>
          <w:tcPr>
            <w:tcW w:w="4111" w:type="dxa"/>
            <w:tcBorders>
              <w:bottom w:val="single" w:sz="4" w:space="0" w:color="auto"/>
            </w:tcBorders>
            <w:tcMar>
              <w:top w:w="85" w:type="dxa"/>
              <w:bottom w:w="85" w:type="dxa"/>
            </w:tcMar>
          </w:tcPr>
          <w:p w:rsidR="001A4509" w:rsidRDefault="001A4509" w:rsidP="001A4509">
            <w:pPr>
              <w:spacing w:after="0"/>
              <w:jc w:val="left"/>
              <w:rPr>
                <w:noProof/>
                <w:sz w:val="20"/>
              </w:rPr>
            </w:pPr>
            <w:r>
              <w:rPr>
                <w:b/>
                <w:noProof/>
                <w:sz w:val="20"/>
              </w:rPr>
              <w:t>Podpísanie a uzavretie dohody medzi EÚ a krajinami Afriky, Karibiku a Tichomoria</w:t>
            </w:r>
            <w:r>
              <w:rPr>
                <w:noProof/>
                <w:sz w:val="20"/>
              </w:rPr>
              <w:t xml:space="preserve"> (legislatívna iniciatíva, články 217 a 218 ZFEÚ, 3. štvrťrok 2020)</w:t>
            </w:r>
          </w:p>
        </w:tc>
        <w:tc>
          <w:tcPr>
            <w:tcW w:w="1418" w:type="dxa"/>
            <w:tcBorders>
              <w:bottom w:val="single" w:sz="4" w:space="0" w:color="auto"/>
            </w:tcBorders>
          </w:tcPr>
          <w:p w:rsidR="001A4509" w:rsidRPr="00997E7B" w:rsidRDefault="001A4509" w:rsidP="001A4509">
            <w:pPr>
              <w:spacing w:after="0"/>
              <w:ind w:right="112"/>
              <w:jc w:val="center"/>
              <w:rPr>
                <w:b/>
                <w:sz w:val="20"/>
              </w:rPr>
            </w:pPr>
            <w:r>
              <w:rPr>
                <w:b/>
                <w:sz w:val="20"/>
              </w:rPr>
              <w:t xml:space="preserve">MZVEZ SR </w:t>
            </w:r>
          </w:p>
        </w:tc>
        <w:tc>
          <w:tcPr>
            <w:tcW w:w="6804" w:type="dxa"/>
            <w:tcBorders>
              <w:bottom w:val="single" w:sz="4" w:space="0" w:color="auto"/>
            </w:tcBorders>
          </w:tcPr>
          <w:p w:rsidR="001A4509" w:rsidRDefault="001A4509" w:rsidP="001A4509">
            <w:pPr>
              <w:spacing w:after="0"/>
              <w:ind w:right="112"/>
              <w:rPr>
                <w:b/>
                <w:sz w:val="20"/>
              </w:rPr>
            </w:pPr>
            <w:r w:rsidRPr="005E7743">
              <w:rPr>
                <w:b/>
                <w:sz w:val="20"/>
                <w:u w:val="single"/>
              </w:rPr>
              <w:t>Nízka priorita</w:t>
            </w:r>
            <w:r w:rsidRPr="005E7743">
              <w:rPr>
                <w:sz w:val="20"/>
              </w:rPr>
              <w:t xml:space="preserve"> – SR podporuje pozície EÚ. S krajinami Afriky sa i vzhľadom na tohtoročné aktivity EÚ očakávajú živšie vzťahy, s krajinami Karibiku a Tichomoria sú málo rozvinuté vzťahy.</w:t>
            </w:r>
          </w:p>
        </w:tc>
      </w:tr>
      <w:tr w:rsidR="001A4509" w:rsidTr="008A2C73">
        <w:trPr>
          <w:cantSplit/>
        </w:trPr>
        <w:tc>
          <w:tcPr>
            <w:tcW w:w="511" w:type="dxa"/>
            <w:tcBorders>
              <w:bottom w:val="single" w:sz="4" w:space="0" w:color="auto"/>
              <w:right w:val="single" w:sz="4" w:space="0" w:color="auto"/>
            </w:tcBorders>
          </w:tcPr>
          <w:p w:rsidR="001A4509" w:rsidRDefault="001A4509" w:rsidP="001A4509">
            <w:pPr>
              <w:pStyle w:val="Odsekzoznamu"/>
              <w:numPr>
                <w:ilvl w:val="0"/>
                <w:numId w:val="18"/>
              </w:numPr>
              <w:spacing w:after="0"/>
              <w:ind w:left="426"/>
              <w:rPr>
                <w:noProof/>
                <w:sz w:val="20"/>
              </w:rPr>
            </w:pPr>
          </w:p>
        </w:tc>
        <w:tc>
          <w:tcPr>
            <w:tcW w:w="1752" w:type="dxa"/>
            <w:tcBorders>
              <w:left w:val="single" w:sz="4" w:space="0" w:color="auto"/>
              <w:bottom w:val="single" w:sz="4" w:space="0" w:color="auto"/>
            </w:tcBorders>
            <w:tcMar>
              <w:top w:w="85" w:type="dxa"/>
              <w:bottom w:w="85" w:type="dxa"/>
            </w:tcMar>
          </w:tcPr>
          <w:p w:rsidR="001A4509" w:rsidRDefault="001A4509" w:rsidP="001A4509">
            <w:pPr>
              <w:spacing w:after="0"/>
              <w:rPr>
                <w:noProof/>
                <w:color w:val="000000" w:themeColor="text1"/>
                <w:sz w:val="20"/>
              </w:rPr>
            </w:pPr>
            <w:r>
              <w:rPr>
                <w:b/>
                <w:bCs/>
                <w:noProof/>
                <w:sz w:val="20"/>
              </w:rPr>
              <w:t>Finančná suverenita</w:t>
            </w:r>
          </w:p>
        </w:tc>
        <w:tc>
          <w:tcPr>
            <w:tcW w:w="4111" w:type="dxa"/>
            <w:tcBorders>
              <w:bottom w:val="single" w:sz="4" w:space="0" w:color="auto"/>
            </w:tcBorders>
            <w:tcMar>
              <w:top w:w="85" w:type="dxa"/>
              <w:bottom w:w="85" w:type="dxa"/>
            </w:tcMar>
          </w:tcPr>
          <w:p w:rsidR="001A4509" w:rsidRDefault="001A4509" w:rsidP="001A4509">
            <w:pPr>
              <w:spacing w:after="0"/>
              <w:jc w:val="left"/>
              <w:rPr>
                <w:noProof/>
                <w:sz w:val="20"/>
              </w:rPr>
            </w:pPr>
            <w:r>
              <w:rPr>
                <w:b/>
                <w:noProof/>
                <w:sz w:val="20"/>
              </w:rPr>
              <w:t xml:space="preserve">Posilnenie hospodárskej a finančnej suverenity Európy </w:t>
            </w:r>
            <w:r>
              <w:rPr>
                <w:noProof/>
                <w:sz w:val="20"/>
              </w:rPr>
              <w:t>(nelegislatívna iniciatíva, 3. štvrťrok 2020)</w:t>
            </w:r>
          </w:p>
        </w:tc>
        <w:tc>
          <w:tcPr>
            <w:tcW w:w="1418" w:type="dxa"/>
            <w:tcBorders>
              <w:bottom w:val="single" w:sz="4" w:space="0" w:color="auto"/>
            </w:tcBorders>
          </w:tcPr>
          <w:p w:rsidR="001A4509" w:rsidRPr="00997E7B" w:rsidRDefault="00B9020C" w:rsidP="001A4509">
            <w:pPr>
              <w:spacing w:after="0"/>
              <w:ind w:right="112"/>
              <w:jc w:val="center"/>
              <w:rPr>
                <w:b/>
                <w:sz w:val="20"/>
              </w:rPr>
            </w:pPr>
            <w:r>
              <w:rPr>
                <w:b/>
                <w:sz w:val="20"/>
              </w:rPr>
              <w:t>MF SR</w:t>
            </w:r>
          </w:p>
        </w:tc>
        <w:tc>
          <w:tcPr>
            <w:tcW w:w="6804" w:type="dxa"/>
            <w:tcBorders>
              <w:bottom w:val="single" w:sz="4" w:space="0" w:color="auto"/>
            </w:tcBorders>
          </w:tcPr>
          <w:p w:rsidR="001A4509" w:rsidRPr="00997E7B" w:rsidRDefault="00B9020C" w:rsidP="001A4509">
            <w:pPr>
              <w:spacing w:after="0"/>
              <w:ind w:right="112"/>
              <w:rPr>
                <w:b/>
                <w:sz w:val="20"/>
                <w:u w:val="single"/>
              </w:rPr>
            </w:pPr>
            <w:r>
              <w:rPr>
                <w:b/>
                <w:bCs/>
                <w:sz w:val="20"/>
                <w:u w:val="single"/>
              </w:rPr>
              <w:t xml:space="preserve">Nízka </w:t>
            </w:r>
            <w:r w:rsidRPr="006E7EB2">
              <w:rPr>
                <w:b/>
                <w:bCs/>
                <w:sz w:val="20"/>
                <w:u w:val="single"/>
              </w:rPr>
              <w:t>priorita</w:t>
            </w:r>
            <w:r w:rsidRPr="00B9020C">
              <w:rPr>
                <w:b/>
                <w:bCs/>
                <w:sz w:val="20"/>
              </w:rPr>
              <w:t xml:space="preserve"> -</w:t>
            </w:r>
            <w:r w:rsidRPr="007A223E">
              <w:rPr>
                <w:sz w:val="20"/>
              </w:rPr>
              <w:t>SR berie na vedomie snahy EK o posilňovanie hospodárskej a finančnej suverenity EÚ, ktorej cieľom je podporovať globálny poriadok založený na pravidlách. Táto nelegislatívna iniciatíva EK bude stavať najmä na posilnenej medzinárodnej úlohe eura. Základom v tejto oblasti je dokončenie Bankovej únie a Únie kapitálových trhov, ako aj revízia právnych predpisov na podporu trhov denominovaných v eurách. Taktiež považujeme za potrebné pracovať aj na posilňovaní vonkajšej reprezentácie eurozóny, podporovať využívanie eura orgánmi a inštitúciami EÚ, v ktorých sú silne zastúpené záujmy EÚ alebo v ktorých má EÚ podstatný vplyv (napr. EIB, EBRD) a tiež sa zaoberať spôsobmi, ako podporiť používanie eura členskými štátmi vo vzťahoch s tretími krajinami. EK v tejto oblasti pripraví aj pôdu pre posilnený mechanizmus sankcií s cieľom zabezpečiť, aby EÚ bola odolnejšia voči extrateritoriálnym sankciám zo strany tretích krajín a zároveň aby sa správne uplatňovali sankcie zavedené EÚ.</w:t>
            </w:r>
          </w:p>
        </w:tc>
      </w:tr>
      <w:tr w:rsidR="001A4509" w:rsidTr="008A2C73">
        <w:trPr>
          <w:cantSplit/>
        </w:trPr>
        <w:tc>
          <w:tcPr>
            <w:tcW w:w="511" w:type="dxa"/>
            <w:tcBorders>
              <w:right w:val="single" w:sz="4" w:space="0" w:color="auto"/>
            </w:tcBorders>
          </w:tcPr>
          <w:p w:rsidR="001A4509" w:rsidRDefault="001A4509" w:rsidP="001A4509">
            <w:pPr>
              <w:pStyle w:val="Odsekzoznamu"/>
              <w:numPr>
                <w:ilvl w:val="0"/>
                <w:numId w:val="18"/>
              </w:numPr>
              <w:spacing w:after="0"/>
              <w:ind w:left="426"/>
              <w:rPr>
                <w:noProof/>
                <w:sz w:val="20"/>
              </w:rPr>
            </w:pPr>
          </w:p>
        </w:tc>
        <w:tc>
          <w:tcPr>
            <w:tcW w:w="1752" w:type="dxa"/>
            <w:tcBorders>
              <w:left w:val="single" w:sz="4" w:space="0" w:color="auto"/>
            </w:tcBorders>
            <w:tcMar>
              <w:top w:w="85" w:type="dxa"/>
              <w:bottom w:w="85" w:type="dxa"/>
            </w:tcMar>
          </w:tcPr>
          <w:p w:rsidR="001A4509" w:rsidRDefault="001A4509" w:rsidP="001A4509">
            <w:pPr>
              <w:spacing w:after="0"/>
              <w:jc w:val="left"/>
              <w:rPr>
                <w:b/>
                <w:bCs/>
                <w:noProof/>
                <w:color w:val="000000"/>
                <w:sz w:val="20"/>
              </w:rPr>
            </w:pPr>
            <w:r>
              <w:rPr>
                <w:b/>
                <w:bCs/>
                <w:noProof/>
                <w:sz w:val="20"/>
              </w:rPr>
              <w:t>Stratégia pre Afriku</w:t>
            </w:r>
          </w:p>
        </w:tc>
        <w:tc>
          <w:tcPr>
            <w:tcW w:w="4111" w:type="dxa"/>
            <w:tcMar>
              <w:top w:w="85" w:type="dxa"/>
              <w:bottom w:w="85" w:type="dxa"/>
            </w:tcMar>
          </w:tcPr>
          <w:p w:rsidR="001A4509" w:rsidRDefault="001A4509" w:rsidP="001A4509">
            <w:pPr>
              <w:spacing w:after="0"/>
              <w:jc w:val="left"/>
              <w:rPr>
                <w:noProof/>
                <w:sz w:val="20"/>
              </w:rPr>
            </w:pPr>
            <w:r>
              <w:rPr>
                <w:b/>
                <w:bCs/>
                <w:noProof/>
                <w:sz w:val="20"/>
              </w:rPr>
              <w:t>Smerom ku komplexnej stratégii pre Afriku</w:t>
            </w:r>
            <w:r>
              <w:rPr>
                <w:noProof/>
                <w:sz w:val="20"/>
              </w:rPr>
              <w:t xml:space="preserve"> (nelegislatívna iniciatíva, 1. štvrťrok 2020)</w:t>
            </w:r>
          </w:p>
        </w:tc>
        <w:tc>
          <w:tcPr>
            <w:tcW w:w="1418" w:type="dxa"/>
          </w:tcPr>
          <w:p w:rsidR="001A4509" w:rsidRPr="00997E7B" w:rsidRDefault="001A4509" w:rsidP="001A4509">
            <w:pPr>
              <w:spacing w:after="0"/>
              <w:ind w:right="112"/>
              <w:jc w:val="center"/>
              <w:rPr>
                <w:b/>
                <w:sz w:val="20"/>
              </w:rPr>
            </w:pPr>
            <w:r>
              <w:rPr>
                <w:b/>
                <w:sz w:val="20"/>
              </w:rPr>
              <w:t>MZVEZ SR</w:t>
            </w:r>
          </w:p>
        </w:tc>
        <w:tc>
          <w:tcPr>
            <w:tcW w:w="6804" w:type="dxa"/>
          </w:tcPr>
          <w:p w:rsidR="001A4509" w:rsidRDefault="001A4509" w:rsidP="001A4509">
            <w:pPr>
              <w:spacing w:after="0"/>
              <w:ind w:right="112"/>
              <w:rPr>
                <w:b/>
                <w:sz w:val="20"/>
              </w:rPr>
            </w:pPr>
            <w:r w:rsidRPr="00935356">
              <w:rPr>
                <w:b/>
                <w:sz w:val="20"/>
                <w:u w:val="single"/>
              </w:rPr>
              <w:t>Stredná priorita</w:t>
            </w:r>
            <w:r w:rsidRPr="00935356">
              <w:rPr>
                <w:sz w:val="20"/>
              </w:rPr>
              <w:t xml:space="preserve"> – SR podporuje pozície EÚ. Africký kontinent je pre novú EK prioritou v roku 2020 a príprava novej komplexnej stratégie bude rezonovať v priebehu celého roku 2020, najmä však v súvislosti so stretnutím ministrov ZV EÚ a Africkej únie v máji v Kigali, Rwanda a v októbri 2020 sa bude konať stretnutie hláv štátov EÚ-AÚ.</w:t>
            </w:r>
          </w:p>
        </w:tc>
      </w:tr>
      <w:tr w:rsidR="001A4509" w:rsidTr="008A2C73">
        <w:trPr>
          <w:cantSplit/>
        </w:trPr>
        <w:tc>
          <w:tcPr>
            <w:tcW w:w="511" w:type="dxa"/>
            <w:tcBorders>
              <w:right w:val="single" w:sz="4" w:space="0" w:color="auto"/>
            </w:tcBorders>
          </w:tcPr>
          <w:p w:rsidR="001A4509" w:rsidRDefault="001A4509" w:rsidP="001A4509">
            <w:pPr>
              <w:pStyle w:val="Odsekzoznamu"/>
              <w:numPr>
                <w:ilvl w:val="0"/>
                <w:numId w:val="18"/>
              </w:numPr>
              <w:spacing w:after="0"/>
              <w:ind w:left="426"/>
              <w:rPr>
                <w:noProof/>
                <w:sz w:val="20"/>
              </w:rPr>
            </w:pPr>
          </w:p>
        </w:tc>
        <w:tc>
          <w:tcPr>
            <w:tcW w:w="1752" w:type="dxa"/>
            <w:tcBorders>
              <w:left w:val="single" w:sz="4" w:space="0" w:color="auto"/>
            </w:tcBorders>
            <w:tcMar>
              <w:top w:w="85" w:type="dxa"/>
              <w:bottom w:w="85" w:type="dxa"/>
            </w:tcMar>
          </w:tcPr>
          <w:p w:rsidR="001A4509" w:rsidRDefault="001A4509" w:rsidP="001A4509">
            <w:pPr>
              <w:spacing w:after="0"/>
              <w:rPr>
                <w:b/>
                <w:bCs/>
                <w:noProof/>
                <w:sz w:val="20"/>
              </w:rPr>
            </w:pPr>
            <w:r>
              <w:rPr>
                <w:b/>
                <w:bCs/>
                <w:noProof/>
                <w:sz w:val="20"/>
              </w:rPr>
              <w:t>Rozšírenie</w:t>
            </w:r>
          </w:p>
        </w:tc>
        <w:tc>
          <w:tcPr>
            <w:tcW w:w="4111" w:type="dxa"/>
            <w:tcMar>
              <w:top w:w="85" w:type="dxa"/>
              <w:bottom w:w="85" w:type="dxa"/>
            </w:tcMar>
          </w:tcPr>
          <w:p w:rsidR="001A4509" w:rsidRDefault="001A4509" w:rsidP="001A4509">
            <w:pPr>
              <w:spacing w:after="0"/>
              <w:jc w:val="left"/>
              <w:rPr>
                <w:noProof/>
                <w:sz w:val="20"/>
              </w:rPr>
            </w:pPr>
            <w:r>
              <w:rPr>
                <w:b/>
                <w:noProof/>
                <w:sz w:val="20"/>
              </w:rPr>
              <w:t>Posilnenie prístupového procesu – Dôveryhodná perspektíva pristúpenia k EÚ pre západný Balkán</w:t>
            </w:r>
            <w:r>
              <w:rPr>
                <w:noProof/>
                <w:sz w:val="20"/>
              </w:rPr>
              <w:t xml:space="preserve"> (nelegislatívna iniciatíva, 1. štvrťrok 2020);</w:t>
            </w:r>
          </w:p>
          <w:p w:rsidR="001A4509" w:rsidRDefault="001A4509" w:rsidP="001A4509">
            <w:pPr>
              <w:spacing w:after="0"/>
              <w:jc w:val="left"/>
              <w:rPr>
                <w:b/>
                <w:noProof/>
                <w:sz w:val="20"/>
              </w:rPr>
            </w:pPr>
          </w:p>
          <w:p w:rsidR="001A4509" w:rsidRDefault="001A4509" w:rsidP="001A4509">
            <w:pPr>
              <w:spacing w:after="0"/>
              <w:jc w:val="left"/>
              <w:rPr>
                <w:b/>
                <w:bCs/>
                <w:noProof/>
                <w:sz w:val="20"/>
              </w:rPr>
            </w:pPr>
            <w:r>
              <w:rPr>
                <w:b/>
                <w:noProof/>
                <w:sz w:val="20"/>
              </w:rPr>
              <w:t>Zintenzívnenie našej spolupráce s krajinami západného Balkánu – Príspevok Komisie na samit EÚ – západný Balkán</w:t>
            </w:r>
            <w:r>
              <w:rPr>
                <w:noProof/>
                <w:sz w:val="20"/>
              </w:rPr>
              <w:t xml:space="preserve"> (nelegislatívna iniciatíva, 2. štvrťrok 2020)</w:t>
            </w:r>
          </w:p>
        </w:tc>
        <w:tc>
          <w:tcPr>
            <w:tcW w:w="1418" w:type="dxa"/>
          </w:tcPr>
          <w:p w:rsidR="001A4509" w:rsidRDefault="001A4509" w:rsidP="001A4509">
            <w:pPr>
              <w:spacing w:after="0"/>
              <w:ind w:right="112"/>
              <w:jc w:val="center"/>
              <w:rPr>
                <w:b/>
                <w:sz w:val="20"/>
              </w:rPr>
            </w:pPr>
            <w:r>
              <w:rPr>
                <w:b/>
                <w:sz w:val="20"/>
              </w:rPr>
              <w:t>MZVEZ SR</w:t>
            </w:r>
          </w:p>
          <w:p w:rsidR="001A4509" w:rsidRDefault="001A4509" w:rsidP="001A4509">
            <w:pPr>
              <w:spacing w:after="0"/>
              <w:ind w:right="112"/>
              <w:jc w:val="center"/>
              <w:rPr>
                <w:b/>
                <w:sz w:val="20"/>
              </w:rPr>
            </w:pPr>
          </w:p>
          <w:p w:rsidR="001A4509" w:rsidRDefault="001A4509" w:rsidP="001A4509">
            <w:pPr>
              <w:spacing w:after="0"/>
              <w:ind w:right="112"/>
              <w:jc w:val="center"/>
              <w:rPr>
                <w:b/>
                <w:sz w:val="20"/>
              </w:rPr>
            </w:pPr>
          </w:p>
          <w:p w:rsidR="001A4509" w:rsidRDefault="001A4509" w:rsidP="001A4509">
            <w:pPr>
              <w:spacing w:after="0"/>
              <w:ind w:right="112"/>
              <w:jc w:val="center"/>
              <w:rPr>
                <w:b/>
                <w:sz w:val="20"/>
              </w:rPr>
            </w:pPr>
          </w:p>
          <w:p w:rsidR="001A4509" w:rsidRDefault="001A4509" w:rsidP="001A4509">
            <w:pPr>
              <w:spacing w:after="0"/>
              <w:ind w:right="112"/>
              <w:jc w:val="center"/>
              <w:rPr>
                <w:b/>
                <w:sz w:val="20"/>
              </w:rPr>
            </w:pPr>
          </w:p>
          <w:p w:rsidR="001A4509" w:rsidRPr="00997E7B" w:rsidRDefault="001A4509" w:rsidP="001A4509">
            <w:pPr>
              <w:spacing w:after="0"/>
              <w:ind w:right="112"/>
              <w:jc w:val="center"/>
              <w:rPr>
                <w:b/>
                <w:sz w:val="20"/>
              </w:rPr>
            </w:pPr>
            <w:r>
              <w:rPr>
                <w:b/>
                <w:sz w:val="20"/>
              </w:rPr>
              <w:t>MZVEZ SR</w:t>
            </w:r>
          </w:p>
        </w:tc>
        <w:tc>
          <w:tcPr>
            <w:tcW w:w="6804" w:type="dxa"/>
          </w:tcPr>
          <w:p w:rsidR="001A4509" w:rsidRPr="00935356" w:rsidRDefault="001A4509" w:rsidP="001A4509">
            <w:pPr>
              <w:ind w:right="112"/>
              <w:rPr>
                <w:sz w:val="20"/>
              </w:rPr>
            </w:pPr>
            <w:r w:rsidRPr="00935356">
              <w:rPr>
                <w:b/>
                <w:bCs/>
                <w:sz w:val="20"/>
                <w:u w:val="single"/>
              </w:rPr>
              <w:t>Vysoká priorita</w:t>
            </w:r>
            <w:r w:rsidRPr="00935356">
              <w:rPr>
                <w:sz w:val="20"/>
              </w:rPr>
              <w:t xml:space="preserve"> – dokument bol predložený 5.2.2020. Oceňujeme úsilie o zvýšenie dôveryhodnosti, dynamiky a predvídateľnosti politiky rozširovania EÚ. Osobitne podporujeme úmysel ešte viac zvýšiť dôraz na implementáciu reforiem v pristupujúcich krajinách v oblasti posilňovania  právneho štátu.</w:t>
            </w:r>
          </w:p>
          <w:p w:rsidR="001A4509" w:rsidRPr="00935356" w:rsidRDefault="001A4509" w:rsidP="001A4509">
            <w:pPr>
              <w:spacing w:after="0"/>
              <w:ind w:right="112"/>
              <w:rPr>
                <w:b/>
                <w:sz w:val="20"/>
              </w:rPr>
            </w:pPr>
            <w:r w:rsidRPr="00935356">
              <w:rPr>
                <w:b/>
                <w:bCs/>
                <w:sz w:val="20"/>
                <w:u w:val="single"/>
              </w:rPr>
              <w:t>Vysoká priorita</w:t>
            </w:r>
            <w:r w:rsidRPr="00935356">
              <w:rPr>
                <w:sz w:val="20"/>
              </w:rPr>
              <w:t xml:space="preserve"> - Západný Balkán patrí k tradičným prioritám zahraničnej politiky SR. Zintenzívnenie hospodárskej spolupráce a rozvoj krajín západného Balkánu približuje región k členstvu v EÚ, čo je v záujme SR.</w:t>
            </w:r>
          </w:p>
        </w:tc>
      </w:tr>
      <w:tr w:rsidR="001A4509" w:rsidTr="008A2C73">
        <w:trPr>
          <w:cantSplit/>
        </w:trPr>
        <w:tc>
          <w:tcPr>
            <w:tcW w:w="511" w:type="dxa"/>
            <w:tcBorders>
              <w:right w:val="single" w:sz="4" w:space="0" w:color="auto"/>
            </w:tcBorders>
          </w:tcPr>
          <w:p w:rsidR="001A4509" w:rsidRDefault="001A4509" w:rsidP="001A4509">
            <w:pPr>
              <w:pStyle w:val="Odsekzoznamu"/>
              <w:numPr>
                <w:ilvl w:val="0"/>
                <w:numId w:val="18"/>
              </w:numPr>
              <w:spacing w:after="0"/>
              <w:ind w:left="426"/>
              <w:rPr>
                <w:noProof/>
                <w:sz w:val="20"/>
              </w:rPr>
            </w:pPr>
          </w:p>
        </w:tc>
        <w:tc>
          <w:tcPr>
            <w:tcW w:w="1752" w:type="dxa"/>
            <w:tcBorders>
              <w:left w:val="single" w:sz="4" w:space="0" w:color="auto"/>
            </w:tcBorders>
            <w:tcMar>
              <w:top w:w="85" w:type="dxa"/>
              <w:bottom w:w="85" w:type="dxa"/>
            </w:tcMar>
          </w:tcPr>
          <w:p w:rsidR="001A4509" w:rsidRDefault="001A4509" w:rsidP="001A4509">
            <w:pPr>
              <w:spacing w:after="0"/>
              <w:rPr>
                <w:b/>
                <w:bCs/>
                <w:noProof/>
                <w:sz w:val="20"/>
              </w:rPr>
            </w:pPr>
            <w:r>
              <w:rPr>
                <w:b/>
                <w:bCs/>
                <w:noProof/>
                <w:sz w:val="20"/>
              </w:rPr>
              <w:t xml:space="preserve">Východné partnerstvo </w:t>
            </w:r>
          </w:p>
        </w:tc>
        <w:tc>
          <w:tcPr>
            <w:tcW w:w="4111" w:type="dxa"/>
            <w:tcMar>
              <w:top w:w="85" w:type="dxa"/>
              <w:bottom w:w="85" w:type="dxa"/>
            </w:tcMar>
          </w:tcPr>
          <w:p w:rsidR="001A4509" w:rsidRDefault="001A4509" w:rsidP="001A4509">
            <w:pPr>
              <w:spacing w:after="0"/>
              <w:jc w:val="left"/>
              <w:rPr>
                <w:b/>
                <w:bCs/>
                <w:noProof/>
                <w:sz w:val="20"/>
              </w:rPr>
            </w:pPr>
            <w:r>
              <w:rPr>
                <w:b/>
                <w:bCs/>
                <w:noProof/>
                <w:sz w:val="20"/>
              </w:rPr>
              <w:t>Východné partnerstvo po roku 2020</w:t>
            </w:r>
            <w:r>
              <w:rPr>
                <w:noProof/>
                <w:sz w:val="20"/>
              </w:rPr>
              <w:t xml:space="preserve"> (nelegislatívna iniciatíva, 1. štvrťrok 2020)</w:t>
            </w:r>
          </w:p>
        </w:tc>
        <w:tc>
          <w:tcPr>
            <w:tcW w:w="1418" w:type="dxa"/>
          </w:tcPr>
          <w:p w:rsidR="001A4509" w:rsidRDefault="00B9020C" w:rsidP="00A2157E">
            <w:pPr>
              <w:spacing w:after="0"/>
              <w:jc w:val="center"/>
              <w:rPr>
                <w:b/>
                <w:bCs/>
                <w:noProof/>
                <w:sz w:val="20"/>
              </w:rPr>
            </w:pPr>
            <w:r>
              <w:rPr>
                <w:b/>
                <w:bCs/>
                <w:noProof/>
                <w:sz w:val="20"/>
              </w:rPr>
              <w:t>MZVEZ SR</w:t>
            </w:r>
          </w:p>
        </w:tc>
        <w:tc>
          <w:tcPr>
            <w:tcW w:w="6804" w:type="dxa"/>
          </w:tcPr>
          <w:p w:rsidR="001A4509" w:rsidRDefault="00B9020C" w:rsidP="00B9020C">
            <w:pPr>
              <w:spacing w:after="0"/>
              <w:rPr>
                <w:b/>
                <w:bCs/>
                <w:noProof/>
                <w:sz w:val="20"/>
              </w:rPr>
            </w:pPr>
            <w:r w:rsidRPr="00525B3C">
              <w:rPr>
                <w:b/>
                <w:bCs/>
                <w:noProof/>
                <w:sz w:val="20"/>
                <w:u w:val="single"/>
              </w:rPr>
              <w:t>Vysoká priorita</w:t>
            </w:r>
            <w:r w:rsidRPr="00525B3C">
              <w:rPr>
                <w:b/>
                <w:bCs/>
                <w:noProof/>
                <w:sz w:val="20"/>
              </w:rPr>
              <w:t xml:space="preserve"> </w:t>
            </w:r>
            <w:r>
              <w:rPr>
                <w:b/>
                <w:bCs/>
                <w:noProof/>
                <w:sz w:val="20"/>
              </w:rPr>
              <w:t>–</w:t>
            </w:r>
            <w:r w:rsidRPr="00525B3C">
              <w:rPr>
                <w:bCs/>
                <w:noProof/>
                <w:sz w:val="20"/>
                <w:u w:val="single"/>
              </w:rPr>
              <w:t xml:space="preserve"> </w:t>
            </w:r>
            <w:r w:rsidRPr="00B9020C">
              <w:rPr>
                <w:bCs/>
                <w:noProof/>
                <w:sz w:val="20"/>
              </w:rPr>
              <w:t>Cieľom Spoločného oznámenia EEAS/EK</w:t>
            </w:r>
            <w:r w:rsidRPr="00B9020C">
              <w:rPr>
                <w:b/>
                <w:bCs/>
                <w:noProof/>
                <w:sz w:val="20"/>
              </w:rPr>
              <w:t xml:space="preserve"> </w:t>
            </w:r>
            <w:r w:rsidRPr="00B9020C">
              <w:rPr>
                <w:bCs/>
                <w:noProof/>
                <w:sz w:val="20"/>
              </w:rPr>
              <w:t>o dlhodobých politických cieľoch Východného partnerstva (marec/apríl 2020) je navrhnúť nové prioritné oblasti spolupráce EÚ s východnými partnermi (AM, AZ, BY, GE, MD a UA) na nasledujúce roky. Pôjde o politicky dôležitý návrh, z ktorého sa bude vychádzať pri príprave záverov Summitu Východného partnerstva (jún 2020, Brusel).</w:t>
            </w:r>
          </w:p>
        </w:tc>
      </w:tr>
      <w:tr w:rsidR="001A4509" w:rsidTr="008A2C73">
        <w:trPr>
          <w:cantSplit/>
        </w:trPr>
        <w:tc>
          <w:tcPr>
            <w:tcW w:w="511" w:type="dxa"/>
            <w:tcBorders>
              <w:right w:val="single" w:sz="4" w:space="0" w:color="auto"/>
            </w:tcBorders>
          </w:tcPr>
          <w:p w:rsidR="001A4509" w:rsidRDefault="001A4509" w:rsidP="001A4509">
            <w:pPr>
              <w:pStyle w:val="Odsekzoznamu"/>
              <w:numPr>
                <w:ilvl w:val="0"/>
                <w:numId w:val="18"/>
              </w:numPr>
              <w:spacing w:after="0"/>
              <w:ind w:left="426"/>
              <w:rPr>
                <w:noProof/>
                <w:sz w:val="20"/>
              </w:rPr>
            </w:pPr>
          </w:p>
        </w:tc>
        <w:tc>
          <w:tcPr>
            <w:tcW w:w="1752" w:type="dxa"/>
            <w:tcBorders>
              <w:left w:val="single" w:sz="4" w:space="0" w:color="auto"/>
            </w:tcBorders>
            <w:tcMar>
              <w:top w:w="85" w:type="dxa"/>
              <w:bottom w:w="85" w:type="dxa"/>
            </w:tcMar>
          </w:tcPr>
          <w:p w:rsidR="001A4509" w:rsidRDefault="001A4509" w:rsidP="001A4509">
            <w:pPr>
              <w:spacing w:after="0"/>
              <w:rPr>
                <w:b/>
                <w:bCs/>
                <w:noProof/>
                <w:sz w:val="20"/>
              </w:rPr>
            </w:pPr>
            <w:r>
              <w:rPr>
                <w:b/>
                <w:bCs/>
                <w:noProof/>
                <w:sz w:val="20"/>
              </w:rPr>
              <w:t>Ľudské práva, demokracia a rodová rovnosť</w:t>
            </w:r>
          </w:p>
        </w:tc>
        <w:tc>
          <w:tcPr>
            <w:tcW w:w="4111" w:type="dxa"/>
            <w:tcMar>
              <w:top w:w="85" w:type="dxa"/>
              <w:bottom w:w="85" w:type="dxa"/>
            </w:tcMar>
          </w:tcPr>
          <w:p w:rsidR="001A4509" w:rsidRDefault="001A4509" w:rsidP="001A4509">
            <w:pPr>
              <w:spacing w:after="0"/>
              <w:jc w:val="left"/>
              <w:rPr>
                <w:noProof/>
                <w:sz w:val="20"/>
              </w:rPr>
            </w:pPr>
            <w:r>
              <w:rPr>
                <w:b/>
                <w:bCs/>
                <w:noProof/>
                <w:sz w:val="20"/>
              </w:rPr>
              <w:t>Akčný plán pre ľudské práva a demokraciu (2020 – 2024)</w:t>
            </w:r>
            <w:r>
              <w:rPr>
                <w:noProof/>
                <w:sz w:val="20"/>
              </w:rPr>
              <w:t xml:space="preserve"> (legislatívna a nelegislatívna iniciatíva, 1. štvrťrok 2020);</w:t>
            </w:r>
          </w:p>
          <w:p w:rsidR="001A4509" w:rsidRDefault="001A4509" w:rsidP="001A4509">
            <w:pPr>
              <w:spacing w:after="0"/>
              <w:jc w:val="left"/>
              <w:rPr>
                <w:b/>
                <w:bCs/>
                <w:noProof/>
                <w:sz w:val="20"/>
              </w:rPr>
            </w:pPr>
            <w:r>
              <w:rPr>
                <w:b/>
                <w:bCs/>
                <w:noProof/>
                <w:sz w:val="20"/>
              </w:rPr>
              <w:br/>
              <w:t>Akčný plán EÚ pre rodovú rovnosť a posilnenie postavenia žien vo vonkajších vzťahoch na roky 2021 – 2025</w:t>
            </w:r>
            <w:r>
              <w:rPr>
                <w:noProof/>
                <w:sz w:val="20"/>
              </w:rPr>
              <w:t xml:space="preserve"> (nelegislatívna iniciatíva, 4. štvrťrok 2020)</w:t>
            </w:r>
          </w:p>
        </w:tc>
        <w:tc>
          <w:tcPr>
            <w:tcW w:w="1418" w:type="dxa"/>
          </w:tcPr>
          <w:p w:rsidR="001A4509" w:rsidRDefault="00B9020C" w:rsidP="00A2157E">
            <w:pPr>
              <w:spacing w:after="0"/>
              <w:jc w:val="center"/>
              <w:rPr>
                <w:b/>
                <w:bCs/>
                <w:noProof/>
                <w:sz w:val="20"/>
              </w:rPr>
            </w:pPr>
            <w:r>
              <w:rPr>
                <w:b/>
                <w:bCs/>
                <w:noProof/>
                <w:sz w:val="20"/>
              </w:rPr>
              <w:t>MZV EZ SR</w:t>
            </w:r>
          </w:p>
          <w:p w:rsidR="001A4509" w:rsidRDefault="001A4509" w:rsidP="00A2157E">
            <w:pPr>
              <w:spacing w:after="0"/>
              <w:jc w:val="center"/>
              <w:rPr>
                <w:b/>
                <w:bCs/>
                <w:noProof/>
                <w:sz w:val="20"/>
              </w:rPr>
            </w:pPr>
            <w:r>
              <w:rPr>
                <w:b/>
                <w:bCs/>
                <w:noProof/>
                <w:sz w:val="20"/>
              </w:rPr>
              <w:t>MS SR</w:t>
            </w:r>
          </w:p>
          <w:p w:rsidR="00B9020C" w:rsidRDefault="00B9020C" w:rsidP="00A2157E">
            <w:pPr>
              <w:spacing w:after="0"/>
              <w:jc w:val="center"/>
              <w:rPr>
                <w:b/>
                <w:bCs/>
                <w:noProof/>
                <w:sz w:val="20"/>
              </w:rPr>
            </w:pPr>
          </w:p>
          <w:p w:rsidR="00B9020C" w:rsidRDefault="00B9020C" w:rsidP="00A2157E">
            <w:pPr>
              <w:spacing w:after="0"/>
              <w:jc w:val="center"/>
              <w:rPr>
                <w:b/>
                <w:bCs/>
                <w:noProof/>
                <w:sz w:val="20"/>
              </w:rPr>
            </w:pPr>
          </w:p>
          <w:p w:rsidR="00B9020C" w:rsidRDefault="00B9020C" w:rsidP="00A2157E">
            <w:pPr>
              <w:spacing w:after="0"/>
              <w:jc w:val="center"/>
              <w:rPr>
                <w:b/>
                <w:bCs/>
                <w:noProof/>
                <w:sz w:val="20"/>
              </w:rPr>
            </w:pPr>
            <w:r>
              <w:rPr>
                <w:b/>
                <w:bCs/>
                <w:noProof/>
                <w:sz w:val="20"/>
              </w:rPr>
              <w:t>MPSVR SR</w:t>
            </w:r>
          </w:p>
        </w:tc>
        <w:tc>
          <w:tcPr>
            <w:tcW w:w="6804" w:type="dxa"/>
          </w:tcPr>
          <w:p w:rsidR="001A4509" w:rsidRDefault="00B9020C" w:rsidP="00B9020C">
            <w:pPr>
              <w:spacing w:after="0"/>
              <w:rPr>
                <w:b/>
                <w:bCs/>
                <w:noProof/>
                <w:sz w:val="20"/>
              </w:rPr>
            </w:pPr>
            <w:r w:rsidRPr="00935356">
              <w:rPr>
                <w:b/>
                <w:sz w:val="20"/>
                <w:u w:val="single"/>
              </w:rPr>
              <w:t>Stredná priorita</w:t>
            </w:r>
            <w:r w:rsidRPr="00935356">
              <w:rPr>
                <w:sz w:val="20"/>
              </w:rPr>
              <w:t xml:space="preserve"> </w:t>
            </w:r>
            <w:r>
              <w:rPr>
                <w:sz w:val="20"/>
              </w:rPr>
              <w:t xml:space="preserve">- </w:t>
            </w:r>
            <w:r w:rsidRPr="00B9020C">
              <w:rPr>
                <w:sz w:val="20"/>
              </w:rPr>
              <w:t>Akčný plán na podporu ľudských práv a demokracie vo svete (2020 – 2024) publikuje EK v marci a následne o ňom bude diskusia v PS Rady osobitne v PS COHOM. Pôjde v poradí o tretí plán, ktorý  stanovuje úlohy pre EÚ a jej ČŠ vrátane SR v rôznych aspektoch ĽP, napr. prepojenie so ŽP, právami zraniteľných skupín, obhajcami ĽP, obchodom, migráciou, či misiami EÚ. Žiadny text ešte nie je k dispozícii.</w:t>
            </w:r>
          </w:p>
        </w:tc>
      </w:tr>
      <w:tr w:rsidR="001A4509" w:rsidTr="008A2C73">
        <w:trPr>
          <w:cantSplit/>
        </w:trPr>
        <w:tc>
          <w:tcPr>
            <w:tcW w:w="511" w:type="dxa"/>
            <w:tcBorders>
              <w:bottom w:val="single" w:sz="4" w:space="0" w:color="auto"/>
              <w:right w:val="single" w:sz="4" w:space="0" w:color="auto"/>
            </w:tcBorders>
          </w:tcPr>
          <w:p w:rsidR="001A4509" w:rsidRDefault="001A4509" w:rsidP="001A4509">
            <w:pPr>
              <w:pStyle w:val="Odsekzoznamu"/>
              <w:numPr>
                <w:ilvl w:val="0"/>
                <w:numId w:val="18"/>
              </w:numPr>
              <w:spacing w:after="0"/>
              <w:ind w:left="426"/>
              <w:rPr>
                <w:noProof/>
                <w:sz w:val="20"/>
              </w:rPr>
            </w:pPr>
          </w:p>
        </w:tc>
        <w:tc>
          <w:tcPr>
            <w:tcW w:w="1752" w:type="dxa"/>
            <w:tcBorders>
              <w:left w:val="single" w:sz="4" w:space="0" w:color="auto"/>
              <w:bottom w:val="single" w:sz="4" w:space="0" w:color="auto"/>
            </w:tcBorders>
            <w:tcMar>
              <w:top w:w="85" w:type="dxa"/>
              <w:bottom w:w="85" w:type="dxa"/>
            </w:tcMar>
          </w:tcPr>
          <w:p w:rsidR="001A4509" w:rsidRDefault="001A4509" w:rsidP="001A4509">
            <w:pPr>
              <w:spacing w:after="0"/>
              <w:rPr>
                <w:b/>
                <w:bCs/>
                <w:noProof/>
                <w:color w:val="000000"/>
                <w:sz w:val="20"/>
              </w:rPr>
            </w:pPr>
            <w:r>
              <w:rPr>
                <w:b/>
                <w:bCs/>
                <w:noProof/>
                <w:sz w:val="20"/>
              </w:rPr>
              <w:t>Reforma WTO</w:t>
            </w:r>
          </w:p>
        </w:tc>
        <w:tc>
          <w:tcPr>
            <w:tcW w:w="4111" w:type="dxa"/>
            <w:tcBorders>
              <w:bottom w:val="single" w:sz="4" w:space="0" w:color="auto"/>
            </w:tcBorders>
            <w:tcMar>
              <w:top w:w="85" w:type="dxa"/>
              <w:bottom w:w="85" w:type="dxa"/>
            </w:tcMar>
          </w:tcPr>
          <w:p w:rsidR="001A4509" w:rsidRDefault="001A4509" w:rsidP="001A4509">
            <w:pPr>
              <w:spacing w:after="0"/>
              <w:jc w:val="left"/>
              <w:rPr>
                <w:noProof/>
                <w:sz w:val="20"/>
              </w:rPr>
            </w:pPr>
            <w:r>
              <w:rPr>
                <w:b/>
                <w:bCs/>
                <w:noProof/>
                <w:sz w:val="20"/>
              </w:rPr>
              <w:t>Iniciatíva v oblasti reformy WTO</w:t>
            </w:r>
            <w:r>
              <w:rPr>
                <w:noProof/>
                <w:sz w:val="20"/>
              </w:rPr>
              <w:t xml:space="preserve"> (nelegislatívna iniciatíva, 4. štvrťrok 2020);</w:t>
            </w:r>
          </w:p>
        </w:tc>
        <w:tc>
          <w:tcPr>
            <w:tcW w:w="1418" w:type="dxa"/>
            <w:tcBorders>
              <w:bottom w:val="single" w:sz="4" w:space="0" w:color="auto"/>
            </w:tcBorders>
          </w:tcPr>
          <w:p w:rsidR="001A4509" w:rsidRDefault="00B95F81" w:rsidP="00B95F81">
            <w:pPr>
              <w:spacing w:after="0"/>
              <w:jc w:val="center"/>
              <w:rPr>
                <w:b/>
                <w:bCs/>
                <w:noProof/>
                <w:sz w:val="20"/>
              </w:rPr>
            </w:pPr>
            <w:r>
              <w:rPr>
                <w:b/>
                <w:bCs/>
                <w:noProof/>
                <w:sz w:val="20"/>
              </w:rPr>
              <w:t>MH SR</w:t>
            </w:r>
          </w:p>
        </w:tc>
        <w:tc>
          <w:tcPr>
            <w:tcW w:w="6804" w:type="dxa"/>
            <w:tcBorders>
              <w:bottom w:val="single" w:sz="4" w:space="0" w:color="auto"/>
            </w:tcBorders>
          </w:tcPr>
          <w:p w:rsidR="001A4509" w:rsidRPr="00B95F81" w:rsidRDefault="00B95F81" w:rsidP="00B95F81">
            <w:pPr>
              <w:spacing w:after="0"/>
              <w:jc w:val="left"/>
              <w:rPr>
                <w:b/>
                <w:bCs/>
                <w:sz w:val="20"/>
                <w:u w:val="single"/>
              </w:rPr>
            </w:pPr>
            <w:r w:rsidRPr="00B95F81">
              <w:rPr>
                <w:b/>
                <w:bCs/>
                <w:sz w:val="20"/>
                <w:u w:val="single"/>
              </w:rPr>
              <w:t>Stredná priorita</w:t>
            </w:r>
            <w:r w:rsidRPr="00B95F81">
              <w:rPr>
                <w:b/>
                <w:bCs/>
                <w:sz w:val="20"/>
              </w:rPr>
              <w:t xml:space="preserve">- </w:t>
            </w:r>
            <w:r w:rsidRPr="00B95F81">
              <w:rPr>
                <w:bCs/>
                <w:sz w:val="20"/>
              </w:rPr>
              <w:t>Aktualizácia pravidiel svetového obchodu, aby zodpovedali súčasnej ekonomickej realite a súčasne záchrana multilaterálneho obchodného systému ohrozeného razantným nástupom jednostranných protekcionistických opatrení.</w:t>
            </w:r>
          </w:p>
        </w:tc>
      </w:tr>
      <w:tr w:rsidR="001A4509" w:rsidTr="008A2C73">
        <w:trPr>
          <w:cantSplit/>
        </w:trPr>
        <w:tc>
          <w:tcPr>
            <w:tcW w:w="6374" w:type="dxa"/>
            <w:gridSpan w:val="3"/>
            <w:tcBorders>
              <w:bottom w:val="single" w:sz="4" w:space="0" w:color="auto"/>
            </w:tcBorders>
            <w:shd w:val="clear" w:color="auto" w:fill="DA5C57" w:themeFill="accent6"/>
          </w:tcPr>
          <w:p w:rsidR="001A4509" w:rsidRDefault="001A4509" w:rsidP="001A4509">
            <w:pPr>
              <w:keepNext/>
              <w:spacing w:before="60" w:after="60"/>
              <w:rPr>
                <w:b/>
                <w:bCs/>
                <w:noProof/>
                <w:sz w:val="20"/>
              </w:rPr>
            </w:pPr>
            <w:r>
              <w:rPr>
                <w:b/>
                <w:bCs/>
                <w:noProof/>
                <w:color w:val="FFFFFF" w:themeColor="background1"/>
                <w:sz w:val="20"/>
              </w:rPr>
              <w:t>Podpora európskeho spôsobu života</w:t>
            </w:r>
          </w:p>
        </w:tc>
        <w:tc>
          <w:tcPr>
            <w:tcW w:w="1418" w:type="dxa"/>
            <w:tcBorders>
              <w:bottom w:val="single" w:sz="4" w:space="0" w:color="auto"/>
            </w:tcBorders>
            <w:shd w:val="clear" w:color="auto" w:fill="DA5C57" w:themeFill="accent6"/>
          </w:tcPr>
          <w:p w:rsidR="001A4509" w:rsidRDefault="001A4509" w:rsidP="001A4509">
            <w:pPr>
              <w:keepNext/>
              <w:spacing w:before="60" w:after="60"/>
              <w:rPr>
                <w:b/>
                <w:bCs/>
                <w:noProof/>
                <w:color w:val="FFFFFF" w:themeColor="background1"/>
                <w:sz w:val="20"/>
              </w:rPr>
            </w:pPr>
          </w:p>
        </w:tc>
        <w:tc>
          <w:tcPr>
            <w:tcW w:w="6804" w:type="dxa"/>
            <w:tcBorders>
              <w:bottom w:val="single" w:sz="4" w:space="0" w:color="auto"/>
            </w:tcBorders>
            <w:shd w:val="clear" w:color="auto" w:fill="DA5C57" w:themeFill="accent6"/>
          </w:tcPr>
          <w:p w:rsidR="001A4509" w:rsidRDefault="001A4509" w:rsidP="001A4509">
            <w:pPr>
              <w:keepNext/>
              <w:spacing w:before="60" w:after="60"/>
              <w:rPr>
                <w:b/>
                <w:bCs/>
                <w:noProof/>
                <w:color w:val="FFFFFF" w:themeColor="background1"/>
                <w:sz w:val="20"/>
              </w:rPr>
            </w:pPr>
          </w:p>
        </w:tc>
      </w:tr>
      <w:tr w:rsidR="001A4509" w:rsidTr="008A2C73">
        <w:trPr>
          <w:cantSplit/>
        </w:trPr>
        <w:tc>
          <w:tcPr>
            <w:tcW w:w="511" w:type="dxa"/>
            <w:tcBorders>
              <w:right w:val="single" w:sz="4" w:space="0" w:color="auto"/>
            </w:tcBorders>
          </w:tcPr>
          <w:p w:rsidR="001A4509" w:rsidRDefault="001A4509" w:rsidP="001A4509">
            <w:pPr>
              <w:pStyle w:val="Odsekzoznamu"/>
              <w:numPr>
                <w:ilvl w:val="0"/>
                <w:numId w:val="18"/>
              </w:numPr>
              <w:spacing w:after="0"/>
              <w:ind w:left="426"/>
              <w:rPr>
                <w:noProof/>
                <w:sz w:val="20"/>
              </w:rPr>
            </w:pPr>
          </w:p>
        </w:tc>
        <w:tc>
          <w:tcPr>
            <w:tcW w:w="1752" w:type="dxa"/>
            <w:tcBorders>
              <w:left w:val="single" w:sz="4" w:space="0" w:color="auto"/>
            </w:tcBorders>
            <w:tcMar>
              <w:top w:w="85" w:type="dxa"/>
              <w:bottom w:w="85" w:type="dxa"/>
            </w:tcMar>
          </w:tcPr>
          <w:p w:rsidR="001A4509" w:rsidRDefault="001A4509" w:rsidP="001A4509">
            <w:pPr>
              <w:spacing w:after="0"/>
              <w:jc w:val="left"/>
              <w:rPr>
                <w:b/>
                <w:bCs/>
                <w:noProof/>
                <w:color w:val="000000"/>
                <w:sz w:val="20"/>
              </w:rPr>
            </w:pPr>
            <w:r>
              <w:rPr>
                <w:b/>
                <w:bCs/>
                <w:noProof/>
                <w:sz w:val="20"/>
              </w:rPr>
              <w:t>Podpora zručností, vzdelávania a začleňovania</w:t>
            </w:r>
          </w:p>
        </w:tc>
        <w:tc>
          <w:tcPr>
            <w:tcW w:w="4111" w:type="dxa"/>
            <w:tcMar>
              <w:top w:w="85" w:type="dxa"/>
              <w:bottom w:w="85" w:type="dxa"/>
            </w:tcMar>
          </w:tcPr>
          <w:p w:rsidR="001A4509" w:rsidRDefault="001A4509" w:rsidP="001A4509">
            <w:pPr>
              <w:spacing w:after="0"/>
              <w:jc w:val="left"/>
              <w:rPr>
                <w:noProof/>
                <w:sz w:val="20"/>
              </w:rPr>
            </w:pPr>
            <w:r>
              <w:rPr>
                <w:b/>
                <w:bCs/>
                <w:noProof/>
                <w:sz w:val="20"/>
              </w:rPr>
              <w:t>Aktualizovaný program v oblasti zručností pre Európu</w:t>
            </w:r>
            <w:r>
              <w:rPr>
                <w:noProof/>
                <w:sz w:val="20"/>
              </w:rPr>
              <w:t xml:space="preserve"> (nelegislatívna iniciatíva, 1. štvrťrok 2020);</w:t>
            </w:r>
          </w:p>
          <w:p w:rsidR="001A4509" w:rsidRDefault="001A4509" w:rsidP="001A4509">
            <w:pPr>
              <w:spacing w:after="0"/>
              <w:jc w:val="left"/>
              <w:rPr>
                <w:b/>
                <w:bCs/>
                <w:noProof/>
                <w:sz w:val="20"/>
              </w:rPr>
            </w:pPr>
            <w:r>
              <w:rPr>
                <w:noProof/>
                <w:sz w:val="20"/>
              </w:rPr>
              <w:br/>
            </w:r>
          </w:p>
          <w:p w:rsidR="001A4509" w:rsidRDefault="001A4509" w:rsidP="001A4509">
            <w:pPr>
              <w:spacing w:after="0"/>
              <w:jc w:val="left"/>
              <w:rPr>
                <w:b/>
                <w:bCs/>
                <w:noProof/>
                <w:sz w:val="20"/>
              </w:rPr>
            </w:pPr>
          </w:p>
          <w:p w:rsidR="00EB30A6" w:rsidRDefault="00EB30A6" w:rsidP="001A4509">
            <w:pPr>
              <w:spacing w:after="0"/>
              <w:jc w:val="left"/>
              <w:rPr>
                <w:b/>
                <w:bCs/>
                <w:noProof/>
                <w:sz w:val="20"/>
              </w:rPr>
            </w:pPr>
          </w:p>
          <w:p w:rsidR="00EB30A6" w:rsidRDefault="00EB30A6" w:rsidP="001A4509">
            <w:pPr>
              <w:spacing w:after="0"/>
              <w:jc w:val="left"/>
              <w:rPr>
                <w:b/>
                <w:bCs/>
                <w:noProof/>
                <w:sz w:val="20"/>
              </w:rPr>
            </w:pPr>
          </w:p>
          <w:p w:rsidR="00EB30A6" w:rsidRDefault="00EB30A6" w:rsidP="001A4509">
            <w:pPr>
              <w:spacing w:after="0"/>
              <w:jc w:val="left"/>
              <w:rPr>
                <w:b/>
                <w:bCs/>
                <w:noProof/>
                <w:sz w:val="20"/>
              </w:rPr>
            </w:pPr>
          </w:p>
          <w:p w:rsidR="001A4509" w:rsidRDefault="001A4509" w:rsidP="001A4509">
            <w:pPr>
              <w:spacing w:after="0"/>
              <w:jc w:val="left"/>
              <w:rPr>
                <w:b/>
                <w:bCs/>
                <w:noProof/>
                <w:sz w:val="20"/>
              </w:rPr>
            </w:pPr>
          </w:p>
          <w:p w:rsidR="001A4509" w:rsidRDefault="001A4509" w:rsidP="001A4509">
            <w:pPr>
              <w:spacing w:after="0"/>
              <w:jc w:val="left"/>
              <w:rPr>
                <w:b/>
                <w:bCs/>
                <w:noProof/>
                <w:sz w:val="20"/>
              </w:rPr>
            </w:pPr>
          </w:p>
          <w:p w:rsidR="001A4509" w:rsidRDefault="001A4509" w:rsidP="001A4509">
            <w:pPr>
              <w:spacing w:after="0"/>
              <w:jc w:val="left"/>
              <w:rPr>
                <w:noProof/>
                <w:sz w:val="20"/>
              </w:rPr>
            </w:pPr>
            <w:r>
              <w:rPr>
                <w:b/>
                <w:bCs/>
                <w:noProof/>
                <w:sz w:val="20"/>
              </w:rPr>
              <w:t>Vytvorenie európskeho vzdelávacieho priestoru</w:t>
            </w:r>
            <w:r>
              <w:rPr>
                <w:noProof/>
                <w:sz w:val="20"/>
              </w:rPr>
              <w:t xml:space="preserve"> (nelegislatívna iniciatíva, 3. štvrťrok 2020);</w:t>
            </w:r>
          </w:p>
          <w:p w:rsidR="001A4509" w:rsidRDefault="001A4509" w:rsidP="001A4509">
            <w:pPr>
              <w:spacing w:after="0"/>
              <w:jc w:val="left"/>
              <w:rPr>
                <w:noProof/>
                <w:sz w:val="20"/>
              </w:rPr>
            </w:pPr>
          </w:p>
          <w:p w:rsidR="001A4509" w:rsidRDefault="001A4509" w:rsidP="001A4509">
            <w:pPr>
              <w:spacing w:after="0"/>
              <w:jc w:val="left"/>
              <w:rPr>
                <w:b/>
                <w:bCs/>
                <w:noProof/>
                <w:sz w:val="20"/>
              </w:rPr>
            </w:pPr>
          </w:p>
          <w:p w:rsidR="001A4509" w:rsidRDefault="001A4509" w:rsidP="001A4509">
            <w:pPr>
              <w:spacing w:after="0"/>
              <w:jc w:val="left"/>
              <w:rPr>
                <w:b/>
                <w:bCs/>
                <w:noProof/>
                <w:sz w:val="20"/>
              </w:rPr>
            </w:pPr>
          </w:p>
          <w:p w:rsidR="001A4509" w:rsidRDefault="001A4509" w:rsidP="001A4509">
            <w:pPr>
              <w:spacing w:after="0"/>
              <w:jc w:val="left"/>
              <w:rPr>
                <w:b/>
                <w:bCs/>
                <w:noProof/>
                <w:sz w:val="20"/>
              </w:rPr>
            </w:pPr>
          </w:p>
          <w:p w:rsidR="001A4509" w:rsidRDefault="001A4509" w:rsidP="001A4509">
            <w:pPr>
              <w:spacing w:after="0"/>
              <w:jc w:val="left"/>
              <w:rPr>
                <w:b/>
                <w:bCs/>
                <w:noProof/>
                <w:sz w:val="20"/>
              </w:rPr>
            </w:pPr>
          </w:p>
          <w:p w:rsidR="001A4509" w:rsidRDefault="001A4509" w:rsidP="001A4509">
            <w:pPr>
              <w:spacing w:after="0"/>
              <w:jc w:val="left"/>
              <w:rPr>
                <w:b/>
                <w:bCs/>
                <w:noProof/>
                <w:sz w:val="20"/>
              </w:rPr>
            </w:pPr>
          </w:p>
          <w:p w:rsidR="001A4509" w:rsidRDefault="001A4509" w:rsidP="001A4509">
            <w:pPr>
              <w:spacing w:after="0"/>
              <w:jc w:val="left"/>
              <w:rPr>
                <w:noProof/>
                <w:sz w:val="20"/>
              </w:rPr>
            </w:pPr>
            <w:r>
              <w:rPr>
                <w:b/>
                <w:bCs/>
                <w:noProof/>
                <w:sz w:val="20"/>
              </w:rPr>
              <w:t xml:space="preserve">Akčný plán pre integráciu a začlenenie </w:t>
            </w:r>
            <w:r>
              <w:rPr>
                <w:noProof/>
                <w:sz w:val="20"/>
              </w:rPr>
              <w:t>(nelegislatívna iniciatíva, 4. štvrťrok 2020);</w:t>
            </w:r>
          </w:p>
        </w:tc>
        <w:tc>
          <w:tcPr>
            <w:tcW w:w="1418" w:type="dxa"/>
          </w:tcPr>
          <w:p w:rsidR="001A4509" w:rsidRPr="008A2C73" w:rsidRDefault="005A5D83" w:rsidP="00A026B9">
            <w:pPr>
              <w:spacing w:after="0"/>
              <w:ind w:right="112"/>
              <w:jc w:val="center"/>
              <w:rPr>
                <w:b/>
                <w:sz w:val="20"/>
              </w:rPr>
            </w:pPr>
            <w:r>
              <w:rPr>
                <w:b/>
                <w:sz w:val="20"/>
              </w:rPr>
              <w:t xml:space="preserve">MŠVVaŠ </w:t>
            </w:r>
            <w:r w:rsidR="001A4509" w:rsidRPr="008A2C73">
              <w:rPr>
                <w:b/>
                <w:sz w:val="20"/>
              </w:rPr>
              <w:t xml:space="preserve"> SR</w:t>
            </w:r>
          </w:p>
          <w:p w:rsidR="001A4509" w:rsidRDefault="001A4509" w:rsidP="00A026B9">
            <w:pPr>
              <w:spacing w:after="0"/>
              <w:jc w:val="center"/>
              <w:rPr>
                <w:b/>
                <w:sz w:val="20"/>
              </w:rPr>
            </w:pPr>
            <w:r w:rsidRPr="008A2C73">
              <w:rPr>
                <w:b/>
                <w:sz w:val="20"/>
              </w:rPr>
              <w:t>ÚPVII</w:t>
            </w:r>
          </w:p>
          <w:p w:rsidR="001A4509" w:rsidRDefault="001A4509" w:rsidP="00A026B9">
            <w:pPr>
              <w:spacing w:after="0"/>
              <w:jc w:val="center"/>
              <w:rPr>
                <w:b/>
                <w:sz w:val="20"/>
              </w:rPr>
            </w:pPr>
          </w:p>
          <w:p w:rsidR="001A4509" w:rsidRDefault="001A4509" w:rsidP="00A026B9">
            <w:pPr>
              <w:spacing w:after="0"/>
              <w:jc w:val="center"/>
              <w:rPr>
                <w:b/>
                <w:sz w:val="20"/>
              </w:rPr>
            </w:pPr>
          </w:p>
          <w:p w:rsidR="001A4509" w:rsidRDefault="001A4509" w:rsidP="00A026B9">
            <w:pPr>
              <w:spacing w:after="0"/>
              <w:jc w:val="center"/>
              <w:rPr>
                <w:b/>
                <w:sz w:val="20"/>
              </w:rPr>
            </w:pPr>
          </w:p>
          <w:p w:rsidR="001A4509" w:rsidRDefault="001A4509" w:rsidP="00A026B9">
            <w:pPr>
              <w:spacing w:after="0"/>
              <w:jc w:val="center"/>
              <w:rPr>
                <w:b/>
                <w:sz w:val="20"/>
              </w:rPr>
            </w:pPr>
          </w:p>
          <w:p w:rsidR="001A4509" w:rsidRDefault="001A4509" w:rsidP="00A026B9">
            <w:pPr>
              <w:spacing w:after="0"/>
              <w:jc w:val="center"/>
              <w:rPr>
                <w:b/>
                <w:sz w:val="20"/>
              </w:rPr>
            </w:pPr>
          </w:p>
          <w:p w:rsidR="001A4509" w:rsidRDefault="001A4509" w:rsidP="00A026B9">
            <w:pPr>
              <w:spacing w:after="0"/>
              <w:ind w:right="112"/>
              <w:jc w:val="center"/>
              <w:rPr>
                <w:b/>
                <w:sz w:val="20"/>
              </w:rPr>
            </w:pPr>
          </w:p>
          <w:p w:rsidR="00EB30A6" w:rsidRDefault="00EB30A6" w:rsidP="00A026B9">
            <w:pPr>
              <w:spacing w:after="0"/>
              <w:ind w:right="112"/>
              <w:jc w:val="center"/>
              <w:rPr>
                <w:b/>
                <w:sz w:val="20"/>
              </w:rPr>
            </w:pPr>
          </w:p>
          <w:p w:rsidR="00EB30A6" w:rsidRDefault="00EB30A6" w:rsidP="00A026B9">
            <w:pPr>
              <w:spacing w:after="0"/>
              <w:ind w:right="112"/>
              <w:jc w:val="center"/>
              <w:rPr>
                <w:b/>
                <w:sz w:val="20"/>
              </w:rPr>
            </w:pPr>
          </w:p>
          <w:p w:rsidR="00EB30A6" w:rsidRDefault="00EB30A6" w:rsidP="00A026B9">
            <w:pPr>
              <w:spacing w:after="0"/>
              <w:ind w:right="112"/>
              <w:jc w:val="center"/>
              <w:rPr>
                <w:b/>
                <w:sz w:val="20"/>
              </w:rPr>
            </w:pPr>
          </w:p>
          <w:p w:rsidR="001A4509" w:rsidRPr="008A2C73" w:rsidRDefault="005A5D83" w:rsidP="00A026B9">
            <w:pPr>
              <w:spacing w:after="0"/>
              <w:ind w:right="112"/>
              <w:jc w:val="center"/>
              <w:rPr>
                <w:b/>
                <w:sz w:val="20"/>
              </w:rPr>
            </w:pPr>
            <w:r>
              <w:rPr>
                <w:b/>
                <w:sz w:val="20"/>
              </w:rPr>
              <w:t xml:space="preserve">MŠVVaŠ </w:t>
            </w:r>
            <w:r w:rsidR="001A4509" w:rsidRPr="008A2C73">
              <w:rPr>
                <w:b/>
                <w:sz w:val="20"/>
              </w:rPr>
              <w:t xml:space="preserve"> SR</w:t>
            </w:r>
          </w:p>
          <w:p w:rsidR="001A4509" w:rsidRDefault="001A4509" w:rsidP="00A026B9">
            <w:pPr>
              <w:spacing w:after="0"/>
              <w:jc w:val="center"/>
              <w:rPr>
                <w:b/>
                <w:sz w:val="20"/>
              </w:rPr>
            </w:pPr>
          </w:p>
          <w:p w:rsidR="001A4509" w:rsidRDefault="001A4509" w:rsidP="00A026B9">
            <w:pPr>
              <w:spacing w:after="0"/>
              <w:ind w:right="112"/>
              <w:jc w:val="center"/>
              <w:rPr>
                <w:b/>
                <w:sz w:val="20"/>
              </w:rPr>
            </w:pPr>
          </w:p>
          <w:p w:rsidR="001A4509" w:rsidRDefault="001A4509" w:rsidP="00A026B9">
            <w:pPr>
              <w:spacing w:after="0"/>
              <w:ind w:right="112"/>
              <w:jc w:val="center"/>
              <w:rPr>
                <w:b/>
                <w:sz w:val="20"/>
              </w:rPr>
            </w:pPr>
          </w:p>
          <w:p w:rsidR="001A4509" w:rsidRDefault="001A4509" w:rsidP="00A026B9">
            <w:pPr>
              <w:spacing w:after="0"/>
              <w:ind w:right="112"/>
              <w:jc w:val="center"/>
              <w:rPr>
                <w:b/>
                <w:sz w:val="20"/>
              </w:rPr>
            </w:pPr>
          </w:p>
          <w:p w:rsidR="001A4509" w:rsidRDefault="001A4509" w:rsidP="00A026B9">
            <w:pPr>
              <w:spacing w:after="0"/>
              <w:ind w:right="112"/>
              <w:jc w:val="center"/>
              <w:rPr>
                <w:b/>
                <w:sz w:val="20"/>
              </w:rPr>
            </w:pPr>
          </w:p>
          <w:p w:rsidR="001A4509" w:rsidRDefault="001A4509" w:rsidP="00A026B9">
            <w:pPr>
              <w:spacing w:after="0"/>
              <w:ind w:right="112"/>
              <w:jc w:val="center"/>
              <w:rPr>
                <w:b/>
                <w:sz w:val="20"/>
              </w:rPr>
            </w:pPr>
          </w:p>
          <w:p w:rsidR="001A4509" w:rsidRDefault="001A4509" w:rsidP="00A026B9">
            <w:pPr>
              <w:spacing w:after="0"/>
              <w:ind w:right="112"/>
              <w:jc w:val="center"/>
              <w:rPr>
                <w:b/>
                <w:sz w:val="20"/>
              </w:rPr>
            </w:pPr>
          </w:p>
          <w:p w:rsidR="001A4509" w:rsidRDefault="001A4509" w:rsidP="00A026B9">
            <w:pPr>
              <w:spacing w:after="0"/>
              <w:ind w:right="112"/>
              <w:jc w:val="center"/>
              <w:rPr>
                <w:b/>
                <w:sz w:val="20"/>
              </w:rPr>
            </w:pPr>
          </w:p>
          <w:p w:rsidR="001A4509" w:rsidRDefault="001A4509" w:rsidP="00A026B9">
            <w:pPr>
              <w:spacing w:after="0"/>
              <w:ind w:right="112"/>
              <w:jc w:val="center"/>
              <w:rPr>
                <w:b/>
                <w:sz w:val="20"/>
              </w:rPr>
            </w:pPr>
            <w:r w:rsidRPr="006E7EB2">
              <w:rPr>
                <w:b/>
                <w:sz w:val="20"/>
              </w:rPr>
              <w:t>MPSVR SR</w:t>
            </w:r>
          </w:p>
          <w:p w:rsidR="001A4509" w:rsidRPr="008A2C73" w:rsidRDefault="005A5D83" w:rsidP="00A026B9">
            <w:pPr>
              <w:spacing w:after="0"/>
              <w:ind w:right="112"/>
              <w:jc w:val="center"/>
              <w:rPr>
                <w:b/>
                <w:sz w:val="20"/>
              </w:rPr>
            </w:pPr>
            <w:r>
              <w:rPr>
                <w:b/>
                <w:sz w:val="20"/>
              </w:rPr>
              <w:t xml:space="preserve">MŠVVaŠ </w:t>
            </w:r>
            <w:r w:rsidR="001A4509" w:rsidRPr="008A2C73">
              <w:rPr>
                <w:b/>
                <w:sz w:val="20"/>
              </w:rPr>
              <w:t xml:space="preserve"> SR</w:t>
            </w:r>
          </w:p>
          <w:p w:rsidR="001A4509" w:rsidRDefault="001A4509" w:rsidP="001A4509">
            <w:pPr>
              <w:spacing w:after="0"/>
              <w:ind w:right="112"/>
              <w:jc w:val="left"/>
              <w:rPr>
                <w:b/>
                <w:bCs/>
                <w:noProof/>
                <w:sz w:val="20"/>
              </w:rPr>
            </w:pPr>
          </w:p>
        </w:tc>
        <w:tc>
          <w:tcPr>
            <w:tcW w:w="6804" w:type="dxa"/>
          </w:tcPr>
          <w:p w:rsidR="00EB30A6" w:rsidRPr="00EB30A6" w:rsidRDefault="00EB30A6" w:rsidP="00EB30A6">
            <w:pPr>
              <w:spacing w:after="0"/>
              <w:ind w:right="112"/>
              <w:rPr>
                <w:sz w:val="20"/>
              </w:rPr>
            </w:pPr>
            <w:r w:rsidRPr="00EB30A6">
              <w:rPr>
                <w:b/>
                <w:sz w:val="20"/>
                <w:u w:val="single"/>
              </w:rPr>
              <w:t xml:space="preserve">Stredná priorita </w:t>
            </w:r>
            <w:r w:rsidRPr="00EB30A6">
              <w:rPr>
                <w:b/>
                <w:sz w:val="20"/>
              </w:rPr>
              <w:t xml:space="preserve">- </w:t>
            </w:r>
            <w:r w:rsidRPr="00EB30A6">
              <w:rPr>
                <w:sz w:val="20"/>
              </w:rPr>
              <w:t>Oznámenie bude aktualizovať Agendu zručností pre Európu z roku 2016 s cieľom dostať zručnosti, zamestnateľnosť a ľudský kapitál do popredia. Bude obsahovať iniciatívy zmerané na zlepšovanie zručností a kompetencií pre dynamicky sa meniaci pracovný trh (odstraňovanie nesúladu v zručnostiach, lepšie prepojenie vzdelávania s potrebami trhu práce, digitálne zručnosti, zvyšovanie zručností a rekvalifikácia. Kľúčovým bude návrh na odporúčanie o odbornom vzdelávaní a príprave, ktorého cieľom je zjednotiť všetky nástroje a dokumenty v oblasti OVP do jedného koherentného rámcového dokumentu.</w:t>
            </w:r>
          </w:p>
          <w:p w:rsidR="00EB30A6" w:rsidRPr="00EB30A6" w:rsidRDefault="00EB30A6" w:rsidP="00EB30A6">
            <w:pPr>
              <w:spacing w:after="0"/>
              <w:ind w:right="112"/>
              <w:rPr>
                <w:sz w:val="20"/>
              </w:rPr>
            </w:pPr>
          </w:p>
          <w:p w:rsidR="00EB30A6" w:rsidRPr="00CC070C" w:rsidRDefault="00EB30A6" w:rsidP="00EB30A6">
            <w:pPr>
              <w:spacing w:after="0"/>
              <w:ind w:right="112"/>
              <w:rPr>
                <w:b/>
                <w:sz w:val="20"/>
                <w:u w:val="single"/>
              </w:rPr>
            </w:pPr>
            <w:r w:rsidRPr="00EB30A6">
              <w:rPr>
                <w:b/>
                <w:sz w:val="20"/>
                <w:u w:val="single"/>
              </w:rPr>
              <w:t xml:space="preserve">Stredná priorita </w:t>
            </w:r>
            <w:r w:rsidRPr="00EB30A6">
              <w:rPr>
                <w:sz w:val="20"/>
              </w:rPr>
              <w:t>- Oznámenie bude zamerané na podporu ďalšieho rozvoja Európskeho vzdelávacieho priestoru, ktorý má byť priestorom v ktorom vzdelávanie nepozná hranice. V centre dokumentu má byť predstavenie návrhu na strategický rámec pre európsku spoluprácu v oblasti vzdelávania a OVP po roku 2020 (tzv. ET post-2020). Vytváranie nových aktivít by malo byť v korelácii s aktivitami súvisiacimi s dosiahnutím spoločného Európskeho vzdelávacieho priestoru a mali by medzi nimi byť jasne definované synergie, abe nedochádzalo k duplicite aktivít a úloh.</w:t>
            </w:r>
          </w:p>
          <w:p w:rsidR="001A4509" w:rsidRDefault="001A4509" w:rsidP="001A4509">
            <w:pPr>
              <w:spacing w:after="0"/>
              <w:jc w:val="left"/>
              <w:rPr>
                <w:sz w:val="20"/>
              </w:rPr>
            </w:pPr>
          </w:p>
          <w:p w:rsidR="001A4509" w:rsidRPr="00EB30A6" w:rsidRDefault="001A4509" w:rsidP="00EB30A6">
            <w:pPr>
              <w:spacing w:after="0"/>
              <w:ind w:right="112"/>
              <w:rPr>
                <w:b/>
                <w:sz w:val="20"/>
                <w:u w:val="single"/>
              </w:rPr>
            </w:pPr>
            <w:r w:rsidRPr="006E7EB2">
              <w:rPr>
                <w:b/>
                <w:sz w:val="20"/>
                <w:u w:val="single"/>
              </w:rPr>
              <w:t>Stredná priorita</w:t>
            </w:r>
            <w:r w:rsidRPr="006E7EB2">
              <w:rPr>
                <w:sz w:val="20"/>
              </w:rPr>
              <w:t xml:space="preserve"> -  Iniciatíva zameraná na posilnenie integrácie a inklúziu najzraniteľnejších osôb. Nekontroverzný dokument, zatiaľ obsahovo nejasný. Predpokladáme pozitívnu pozíciu SK. </w:t>
            </w:r>
            <w:r w:rsidRPr="008A2C73">
              <w:rPr>
                <w:sz w:val="20"/>
              </w:rPr>
              <w:t>Nový program zručností pre Európu pomôže identifikovať a vyplniť nedostatok kvalifikácií, ako aj podporiť  rekvalifikácie. Novým akčným plánom pre integráciu a začlenenie do EÚ sa zabezpečí, aby sme chránili tých najzraniteľnejších</w:t>
            </w:r>
          </w:p>
        </w:tc>
      </w:tr>
      <w:tr w:rsidR="001A4509" w:rsidTr="008A2C73">
        <w:trPr>
          <w:cantSplit/>
        </w:trPr>
        <w:tc>
          <w:tcPr>
            <w:tcW w:w="511" w:type="dxa"/>
            <w:tcBorders>
              <w:bottom w:val="single" w:sz="4" w:space="0" w:color="auto"/>
              <w:right w:val="single" w:sz="4" w:space="0" w:color="auto"/>
            </w:tcBorders>
          </w:tcPr>
          <w:p w:rsidR="001A4509" w:rsidRDefault="001A4509" w:rsidP="001A4509">
            <w:pPr>
              <w:pStyle w:val="Odsekzoznamu"/>
              <w:numPr>
                <w:ilvl w:val="0"/>
                <w:numId w:val="18"/>
              </w:numPr>
              <w:spacing w:after="0"/>
              <w:ind w:left="426"/>
              <w:rPr>
                <w:noProof/>
                <w:sz w:val="20"/>
              </w:rPr>
            </w:pPr>
          </w:p>
        </w:tc>
        <w:tc>
          <w:tcPr>
            <w:tcW w:w="1752" w:type="dxa"/>
            <w:tcBorders>
              <w:left w:val="single" w:sz="4" w:space="0" w:color="auto"/>
              <w:bottom w:val="single" w:sz="4" w:space="0" w:color="auto"/>
            </w:tcBorders>
            <w:tcMar>
              <w:top w:w="85" w:type="dxa"/>
              <w:bottom w:w="85" w:type="dxa"/>
            </w:tcMar>
          </w:tcPr>
          <w:p w:rsidR="001A4509" w:rsidRDefault="001A4509" w:rsidP="001A4509">
            <w:pPr>
              <w:spacing w:after="0"/>
              <w:jc w:val="left"/>
              <w:rPr>
                <w:b/>
                <w:bCs/>
                <w:noProof/>
                <w:color w:val="000000"/>
                <w:sz w:val="20"/>
              </w:rPr>
            </w:pPr>
            <w:r>
              <w:rPr>
                <w:b/>
                <w:bCs/>
                <w:noProof/>
                <w:sz w:val="20"/>
              </w:rPr>
              <w:t>Nový pakt o migrácii a azyle</w:t>
            </w:r>
          </w:p>
        </w:tc>
        <w:tc>
          <w:tcPr>
            <w:tcW w:w="4111" w:type="dxa"/>
            <w:tcBorders>
              <w:bottom w:val="single" w:sz="4" w:space="0" w:color="auto"/>
            </w:tcBorders>
            <w:tcMar>
              <w:top w:w="85" w:type="dxa"/>
              <w:bottom w:w="85" w:type="dxa"/>
            </w:tcMar>
          </w:tcPr>
          <w:p w:rsidR="001A4509" w:rsidRDefault="001A4509" w:rsidP="001A4509">
            <w:pPr>
              <w:spacing w:after="0"/>
              <w:jc w:val="left"/>
              <w:rPr>
                <w:noProof/>
                <w:sz w:val="20"/>
              </w:rPr>
            </w:pPr>
            <w:r>
              <w:rPr>
                <w:b/>
                <w:bCs/>
                <w:noProof/>
                <w:sz w:val="20"/>
              </w:rPr>
              <w:t>Nový pakt o migrácii a azyle a sprievodné právne návrhy</w:t>
            </w:r>
            <w:r>
              <w:rPr>
                <w:noProof/>
                <w:sz w:val="20"/>
              </w:rPr>
              <w:t xml:space="preserve"> (nelegislatívna a legislatívna iniciatíva, články 78 a 79 ZFEÚ, 1. štvrťrok 2020)</w:t>
            </w:r>
            <w:r>
              <w:rPr>
                <w:b/>
                <w:bCs/>
                <w:noProof/>
                <w:sz w:val="20"/>
              </w:rPr>
              <w:br/>
            </w:r>
          </w:p>
        </w:tc>
        <w:tc>
          <w:tcPr>
            <w:tcW w:w="1418" w:type="dxa"/>
            <w:tcBorders>
              <w:bottom w:val="single" w:sz="4" w:space="0" w:color="auto"/>
            </w:tcBorders>
          </w:tcPr>
          <w:p w:rsidR="001A4509" w:rsidRPr="004C58A4" w:rsidRDefault="001A4509" w:rsidP="001A4509">
            <w:pPr>
              <w:spacing w:after="0"/>
              <w:jc w:val="center"/>
              <w:rPr>
                <w:b/>
                <w:bCs/>
                <w:noProof/>
                <w:sz w:val="20"/>
              </w:rPr>
            </w:pPr>
            <w:r w:rsidRPr="004C58A4">
              <w:rPr>
                <w:b/>
                <w:bCs/>
                <w:sz w:val="20"/>
              </w:rPr>
              <w:t>MV SR</w:t>
            </w:r>
          </w:p>
        </w:tc>
        <w:tc>
          <w:tcPr>
            <w:tcW w:w="6804" w:type="dxa"/>
            <w:tcBorders>
              <w:bottom w:val="single" w:sz="4" w:space="0" w:color="auto"/>
            </w:tcBorders>
          </w:tcPr>
          <w:p w:rsidR="001A4509" w:rsidRDefault="001A4509" w:rsidP="0057711F">
            <w:pPr>
              <w:spacing w:after="0"/>
              <w:rPr>
                <w:b/>
                <w:bCs/>
                <w:noProof/>
                <w:sz w:val="20"/>
              </w:rPr>
            </w:pPr>
            <w:r w:rsidRPr="006E7EB2">
              <w:rPr>
                <w:b/>
                <w:sz w:val="20"/>
                <w:u w:val="single"/>
              </w:rPr>
              <w:t>Vysoká priorita</w:t>
            </w:r>
            <w:r>
              <w:rPr>
                <w:bCs/>
                <w:szCs w:val="24"/>
              </w:rPr>
              <w:t xml:space="preserve"> </w:t>
            </w:r>
            <w:r w:rsidR="0057711F">
              <w:rPr>
                <w:bCs/>
                <w:szCs w:val="24"/>
              </w:rPr>
              <w:t>–</w:t>
            </w:r>
            <w:r>
              <w:rPr>
                <w:bCs/>
                <w:szCs w:val="24"/>
              </w:rPr>
              <w:t xml:space="preserve"> </w:t>
            </w:r>
            <w:r w:rsidR="0057711F">
              <w:rPr>
                <w:bCs/>
                <w:sz w:val="20"/>
              </w:rPr>
              <w:t>SR predpokladá</w:t>
            </w:r>
            <w:r w:rsidRPr="00593684">
              <w:rPr>
                <w:bCs/>
                <w:sz w:val="20"/>
              </w:rPr>
              <w:t xml:space="preserve"> vytvorenie podmienok pre zníženie napätia medzi SR (a V4) a KOM v oblasti migrácie a zníženie politického profilu témy. Obsahovo zatiaľ príliš vágne na hodnotenie.</w:t>
            </w:r>
          </w:p>
        </w:tc>
      </w:tr>
      <w:tr w:rsidR="001A4509" w:rsidTr="008A2C73">
        <w:trPr>
          <w:cantSplit/>
        </w:trPr>
        <w:tc>
          <w:tcPr>
            <w:tcW w:w="511" w:type="dxa"/>
            <w:tcBorders>
              <w:right w:val="single" w:sz="4" w:space="0" w:color="auto"/>
            </w:tcBorders>
          </w:tcPr>
          <w:p w:rsidR="001A4509" w:rsidRDefault="001A4509" w:rsidP="001A4509">
            <w:pPr>
              <w:pStyle w:val="Odsekzoznamu"/>
              <w:numPr>
                <w:ilvl w:val="0"/>
                <w:numId w:val="18"/>
              </w:numPr>
              <w:spacing w:after="0"/>
              <w:ind w:left="426"/>
              <w:rPr>
                <w:noProof/>
                <w:sz w:val="20"/>
              </w:rPr>
            </w:pPr>
          </w:p>
        </w:tc>
        <w:tc>
          <w:tcPr>
            <w:tcW w:w="1752" w:type="dxa"/>
            <w:tcBorders>
              <w:left w:val="single" w:sz="4" w:space="0" w:color="auto"/>
            </w:tcBorders>
            <w:tcMar>
              <w:top w:w="85" w:type="dxa"/>
              <w:bottom w:w="85" w:type="dxa"/>
            </w:tcMar>
          </w:tcPr>
          <w:p w:rsidR="001A4509" w:rsidRDefault="001A4509" w:rsidP="001A4509">
            <w:pPr>
              <w:spacing w:after="0"/>
              <w:jc w:val="left"/>
              <w:rPr>
                <w:noProof/>
                <w:sz w:val="20"/>
              </w:rPr>
            </w:pPr>
            <w:r>
              <w:rPr>
                <w:b/>
                <w:bCs/>
                <w:noProof/>
                <w:sz w:val="20"/>
              </w:rPr>
              <w:t>Posilnenie bezpečnosti Európy</w:t>
            </w:r>
          </w:p>
        </w:tc>
        <w:tc>
          <w:tcPr>
            <w:tcW w:w="4111" w:type="dxa"/>
            <w:tcMar>
              <w:top w:w="85" w:type="dxa"/>
              <w:bottom w:w="85" w:type="dxa"/>
            </w:tcMar>
          </w:tcPr>
          <w:p w:rsidR="001A4509" w:rsidRDefault="001A4509" w:rsidP="001A4509">
            <w:pPr>
              <w:spacing w:after="0"/>
              <w:jc w:val="left"/>
              <w:rPr>
                <w:noProof/>
                <w:sz w:val="20"/>
              </w:rPr>
            </w:pPr>
            <w:r>
              <w:rPr>
                <w:b/>
                <w:bCs/>
                <w:noProof/>
                <w:sz w:val="20"/>
              </w:rPr>
              <w:t>Nová stratégia pre bezpečnostnú úniu</w:t>
            </w:r>
            <w:r>
              <w:rPr>
                <w:noProof/>
                <w:sz w:val="20"/>
              </w:rPr>
              <w:t xml:space="preserve"> (nelegislatívna iniciatíva, 2. štvrťrok 2020);</w:t>
            </w:r>
          </w:p>
          <w:p w:rsidR="001A4509" w:rsidRDefault="001A4509" w:rsidP="001A4509">
            <w:pPr>
              <w:spacing w:after="0"/>
              <w:jc w:val="left"/>
              <w:rPr>
                <w:noProof/>
                <w:sz w:val="20"/>
              </w:rPr>
            </w:pPr>
          </w:p>
          <w:p w:rsidR="001A4509" w:rsidRDefault="001A4509" w:rsidP="001A4509">
            <w:pPr>
              <w:spacing w:after="0"/>
              <w:jc w:val="left"/>
              <w:rPr>
                <w:b/>
                <w:bCs/>
                <w:noProof/>
                <w:sz w:val="20"/>
              </w:rPr>
            </w:pPr>
          </w:p>
          <w:p w:rsidR="001A4509" w:rsidRDefault="001A4509" w:rsidP="001A4509">
            <w:pPr>
              <w:spacing w:after="0"/>
              <w:jc w:val="left"/>
              <w:rPr>
                <w:noProof/>
                <w:sz w:val="20"/>
              </w:rPr>
            </w:pPr>
            <w:r>
              <w:rPr>
                <w:b/>
                <w:bCs/>
                <w:noProof/>
                <w:sz w:val="20"/>
              </w:rPr>
              <w:t>Posilnenie mandátu Europolu</w:t>
            </w:r>
            <w:r>
              <w:rPr>
                <w:noProof/>
                <w:sz w:val="20"/>
              </w:rPr>
              <w:t xml:space="preserve"> (legislatívna iniciatíva vrátane posúdenia vplyvu, článok 88 ZFEÚ, 4. štvrťrok 2020), </w:t>
            </w:r>
          </w:p>
          <w:p w:rsidR="001A4509" w:rsidRDefault="001A4509" w:rsidP="001A4509">
            <w:pPr>
              <w:spacing w:after="0"/>
              <w:jc w:val="left"/>
              <w:rPr>
                <w:noProof/>
                <w:sz w:val="20"/>
              </w:rPr>
            </w:pPr>
            <w:r>
              <w:rPr>
                <w:noProof/>
                <w:sz w:val="20"/>
              </w:rPr>
              <w:br/>
            </w:r>
            <w:r>
              <w:rPr>
                <w:b/>
                <w:bCs/>
                <w:noProof/>
                <w:sz w:val="20"/>
              </w:rPr>
              <w:t>Návrh dodatočných opatrení v oblasti ochrany kritickej infraštruktúry</w:t>
            </w:r>
            <w:r>
              <w:rPr>
                <w:noProof/>
                <w:sz w:val="20"/>
              </w:rPr>
              <w:t xml:space="preserve"> (legislatívna iniciatíva vrátane posúdenia vplyvu, 4. štvrťrok 2020);</w:t>
            </w:r>
          </w:p>
          <w:p w:rsidR="001A4509" w:rsidRDefault="001A4509" w:rsidP="001A4509">
            <w:pPr>
              <w:spacing w:after="0"/>
              <w:jc w:val="left"/>
              <w:rPr>
                <w:noProof/>
                <w:sz w:val="20"/>
              </w:rPr>
            </w:pPr>
          </w:p>
          <w:p w:rsidR="001A4509" w:rsidRDefault="001A4509" w:rsidP="001A4509">
            <w:pPr>
              <w:spacing w:after="0"/>
              <w:jc w:val="left"/>
              <w:rPr>
                <w:noProof/>
                <w:sz w:val="20"/>
              </w:rPr>
            </w:pPr>
            <w:r>
              <w:rPr>
                <w:b/>
                <w:bCs/>
                <w:noProof/>
                <w:sz w:val="20"/>
              </w:rPr>
              <w:t>Nová stratégia EÚ zameraná na odstránenie obchodovania s ľuďmi</w:t>
            </w:r>
            <w:r>
              <w:rPr>
                <w:noProof/>
                <w:sz w:val="20"/>
              </w:rPr>
              <w:t xml:space="preserve"> (nelegislatívna iniciatíva, 4. štvrťrok 2020)</w:t>
            </w:r>
          </w:p>
          <w:p w:rsidR="001A4509" w:rsidRDefault="001A4509" w:rsidP="001A4509">
            <w:pPr>
              <w:spacing w:after="0"/>
              <w:jc w:val="left"/>
              <w:rPr>
                <w:noProof/>
                <w:sz w:val="20"/>
              </w:rPr>
            </w:pPr>
          </w:p>
          <w:p w:rsidR="001A4509" w:rsidRDefault="001A4509" w:rsidP="001A4509">
            <w:pPr>
              <w:spacing w:after="0"/>
              <w:jc w:val="left"/>
              <w:rPr>
                <w:noProof/>
                <w:sz w:val="20"/>
              </w:rPr>
            </w:pPr>
            <w:r>
              <w:rPr>
                <w:b/>
                <w:bCs/>
                <w:noProof/>
                <w:sz w:val="20"/>
              </w:rPr>
              <w:t>Stratégia EÚ na účinnejší boj proti sexuálnemu zneužívaniu detí</w:t>
            </w:r>
            <w:r>
              <w:rPr>
                <w:noProof/>
                <w:sz w:val="20"/>
              </w:rPr>
              <w:t xml:space="preserve"> (nelegislatívna iniciatíva, 2. štvrťrok 2020) </w:t>
            </w:r>
          </w:p>
        </w:tc>
        <w:tc>
          <w:tcPr>
            <w:tcW w:w="1418" w:type="dxa"/>
          </w:tcPr>
          <w:p w:rsidR="001A4509" w:rsidRDefault="001A4509" w:rsidP="001A4509">
            <w:pPr>
              <w:spacing w:after="0"/>
              <w:jc w:val="center"/>
              <w:rPr>
                <w:b/>
                <w:bCs/>
                <w:noProof/>
                <w:sz w:val="20"/>
              </w:rPr>
            </w:pPr>
            <w:r>
              <w:rPr>
                <w:b/>
                <w:bCs/>
                <w:noProof/>
                <w:sz w:val="20"/>
              </w:rPr>
              <w:t>MV SR</w:t>
            </w:r>
          </w:p>
          <w:p w:rsidR="001A4509" w:rsidRDefault="001A4509" w:rsidP="001A4509">
            <w:pPr>
              <w:spacing w:after="0"/>
              <w:jc w:val="center"/>
              <w:rPr>
                <w:b/>
                <w:bCs/>
                <w:noProof/>
                <w:sz w:val="20"/>
              </w:rPr>
            </w:pPr>
            <w:r>
              <w:rPr>
                <w:b/>
                <w:bCs/>
                <w:noProof/>
                <w:sz w:val="20"/>
              </w:rPr>
              <w:t>MS SR</w:t>
            </w:r>
          </w:p>
          <w:p w:rsidR="001A4509" w:rsidRDefault="001A4509" w:rsidP="001A4509">
            <w:pPr>
              <w:spacing w:after="0"/>
              <w:jc w:val="center"/>
              <w:rPr>
                <w:b/>
                <w:bCs/>
                <w:noProof/>
                <w:sz w:val="20"/>
              </w:rPr>
            </w:pPr>
          </w:p>
          <w:p w:rsidR="001A4509" w:rsidRDefault="001A4509" w:rsidP="001A4509">
            <w:pPr>
              <w:spacing w:after="0"/>
              <w:jc w:val="center"/>
              <w:rPr>
                <w:b/>
                <w:bCs/>
                <w:noProof/>
                <w:sz w:val="20"/>
              </w:rPr>
            </w:pPr>
          </w:p>
          <w:p w:rsidR="001A4509" w:rsidRDefault="001A4509" w:rsidP="001A4509">
            <w:pPr>
              <w:spacing w:after="0"/>
              <w:jc w:val="center"/>
              <w:rPr>
                <w:b/>
                <w:bCs/>
                <w:noProof/>
                <w:sz w:val="20"/>
              </w:rPr>
            </w:pPr>
            <w:r>
              <w:rPr>
                <w:b/>
                <w:bCs/>
                <w:noProof/>
                <w:sz w:val="20"/>
              </w:rPr>
              <w:t>MV SR</w:t>
            </w:r>
          </w:p>
          <w:p w:rsidR="001A4509" w:rsidRDefault="001A4509" w:rsidP="001A4509">
            <w:pPr>
              <w:spacing w:after="0"/>
              <w:jc w:val="center"/>
              <w:rPr>
                <w:b/>
                <w:bCs/>
                <w:noProof/>
                <w:sz w:val="20"/>
              </w:rPr>
            </w:pPr>
          </w:p>
          <w:p w:rsidR="001A4509" w:rsidRDefault="001A4509" w:rsidP="001A4509">
            <w:pPr>
              <w:spacing w:after="0"/>
              <w:jc w:val="center"/>
              <w:rPr>
                <w:b/>
                <w:bCs/>
                <w:noProof/>
                <w:sz w:val="20"/>
              </w:rPr>
            </w:pPr>
          </w:p>
          <w:p w:rsidR="001A4509" w:rsidRDefault="001A4509" w:rsidP="001A4509">
            <w:pPr>
              <w:spacing w:after="0"/>
              <w:jc w:val="center"/>
              <w:rPr>
                <w:b/>
                <w:bCs/>
                <w:noProof/>
                <w:sz w:val="20"/>
              </w:rPr>
            </w:pPr>
          </w:p>
          <w:p w:rsidR="001A4509" w:rsidRDefault="001A4509" w:rsidP="001A4509">
            <w:pPr>
              <w:spacing w:after="0"/>
              <w:jc w:val="center"/>
              <w:rPr>
                <w:b/>
                <w:bCs/>
                <w:noProof/>
                <w:sz w:val="20"/>
              </w:rPr>
            </w:pPr>
            <w:r>
              <w:rPr>
                <w:b/>
                <w:bCs/>
                <w:noProof/>
                <w:sz w:val="20"/>
              </w:rPr>
              <w:t>MV SR</w:t>
            </w:r>
          </w:p>
          <w:p w:rsidR="001A4509" w:rsidRDefault="001A4509" w:rsidP="001A4509">
            <w:pPr>
              <w:spacing w:after="0"/>
              <w:jc w:val="center"/>
              <w:rPr>
                <w:b/>
                <w:bCs/>
                <w:noProof/>
                <w:sz w:val="20"/>
              </w:rPr>
            </w:pPr>
          </w:p>
          <w:p w:rsidR="001A4509" w:rsidRDefault="001A4509" w:rsidP="001A4509">
            <w:pPr>
              <w:spacing w:after="0"/>
              <w:jc w:val="center"/>
              <w:rPr>
                <w:b/>
                <w:bCs/>
                <w:noProof/>
                <w:sz w:val="20"/>
              </w:rPr>
            </w:pPr>
          </w:p>
          <w:p w:rsidR="001A4509" w:rsidRDefault="001A4509" w:rsidP="001A4509">
            <w:pPr>
              <w:spacing w:after="0"/>
              <w:jc w:val="center"/>
              <w:rPr>
                <w:b/>
                <w:bCs/>
                <w:noProof/>
                <w:sz w:val="20"/>
              </w:rPr>
            </w:pPr>
          </w:p>
          <w:p w:rsidR="001A4509" w:rsidRDefault="001A4509" w:rsidP="001A4509">
            <w:pPr>
              <w:spacing w:after="0"/>
              <w:jc w:val="center"/>
              <w:rPr>
                <w:b/>
                <w:bCs/>
                <w:noProof/>
                <w:sz w:val="20"/>
              </w:rPr>
            </w:pPr>
          </w:p>
          <w:p w:rsidR="001A4509" w:rsidRDefault="001A4509" w:rsidP="001A4509">
            <w:pPr>
              <w:spacing w:after="0"/>
              <w:jc w:val="center"/>
              <w:rPr>
                <w:b/>
                <w:bCs/>
                <w:noProof/>
                <w:sz w:val="20"/>
              </w:rPr>
            </w:pPr>
            <w:r>
              <w:rPr>
                <w:b/>
                <w:bCs/>
                <w:noProof/>
                <w:sz w:val="20"/>
              </w:rPr>
              <w:t>MV SR</w:t>
            </w:r>
          </w:p>
          <w:p w:rsidR="001A4509" w:rsidRDefault="001A4509" w:rsidP="001A4509">
            <w:pPr>
              <w:spacing w:after="0"/>
              <w:jc w:val="center"/>
              <w:rPr>
                <w:b/>
                <w:bCs/>
                <w:noProof/>
                <w:sz w:val="20"/>
              </w:rPr>
            </w:pPr>
          </w:p>
          <w:p w:rsidR="001A4509" w:rsidRDefault="001A4509" w:rsidP="001A4509">
            <w:pPr>
              <w:spacing w:after="0"/>
              <w:jc w:val="center"/>
              <w:rPr>
                <w:b/>
                <w:bCs/>
                <w:noProof/>
                <w:sz w:val="20"/>
              </w:rPr>
            </w:pPr>
          </w:p>
          <w:p w:rsidR="001A4509" w:rsidRDefault="001A4509" w:rsidP="001A4509">
            <w:pPr>
              <w:spacing w:after="0"/>
              <w:jc w:val="center"/>
              <w:rPr>
                <w:b/>
                <w:bCs/>
                <w:noProof/>
                <w:sz w:val="20"/>
              </w:rPr>
            </w:pPr>
          </w:p>
          <w:p w:rsidR="001A4509" w:rsidRDefault="001A4509" w:rsidP="001A4509">
            <w:pPr>
              <w:spacing w:after="0"/>
              <w:jc w:val="center"/>
              <w:rPr>
                <w:b/>
                <w:bCs/>
                <w:noProof/>
                <w:sz w:val="20"/>
              </w:rPr>
            </w:pPr>
            <w:r>
              <w:rPr>
                <w:b/>
                <w:bCs/>
                <w:noProof/>
                <w:sz w:val="20"/>
              </w:rPr>
              <w:t>MV SR</w:t>
            </w:r>
          </w:p>
          <w:p w:rsidR="001A4509" w:rsidRDefault="001A4509" w:rsidP="001A4509">
            <w:pPr>
              <w:spacing w:after="0"/>
              <w:jc w:val="left"/>
              <w:rPr>
                <w:b/>
                <w:bCs/>
                <w:noProof/>
                <w:sz w:val="20"/>
              </w:rPr>
            </w:pPr>
          </w:p>
          <w:p w:rsidR="001A4509" w:rsidRDefault="001A4509" w:rsidP="001A4509">
            <w:pPr>
              <w:spacing w:after="0"/>
              <w:jc w:val="left"/>
              <w:rPr>
                <w:b/>
                <w:bCs/>
                <w:noProof/>
                <w:sz w:val="20"/>
              </w:rPr>
            </w:pPr>
          </w:p>
        </w:tc>
        <w:tc>
          <w:tcPr>
            <w:tcW w:w="6804" w:type="dxa"/>
          </w:tcPr>
          <w:p w:rsidR="001A4509" w:rsidRPr="004C58A4" w:rsidRDefault="001A4509" w:rsidP="001A4509">
            <w:pPr>
              <w:spacing w:after="0"/>
              <w:jc w:val="left"/>
              <w:rPr>
                <w:bCs/>
                <w:sz w:val="20"/>
              </w:rPr>
            </w:pPr>
            <w:r w:rsidRPr="004C58A4">
              <w:rPr>
                <w:b/>
                <w:bCs/>
                <w:sz w:val="20"/>
                <w:u w:val="single"/>
              </w:rPr>
              <w:t>Stredná priorita</w:t>
            </w:r>
            <w:r w:rsidRPr="004C58A4">
              <w:rPr>
                <w:bCs/>
                <w:sz w:val="20"/>
              </w:rPr>
              <w:t xml:space="preserve"> - Možno čakať konsenzuálne prijatie medzi členskými štátmi, vzhľadom na jasnú potrebu aj pridanú hodnotu.</w:t>
            </w:r>
          </w:p>
          <w:p w:rsidR="001A4509" w:rsidRDefault="001A4509" w:rsidP="001A4509">
            <w:pPr>
              <w:spacing w:after="0"/>
              <w:jc w:val="left"/>
              <w:rPr>
                <w:b/>
                <w:bCs/>
                <w:sz w:val="20"/>
                <w:u w:val="single"/>
              </w:rPr>
            </w:pPr>
          </w:p>
          <w:p w:rsidR="001A4509" w:rsidRDefault="001A4509" w:rsidP="001A4509">
            <w:pPr>
              <w:spacing w:after="0"/>
              <w:jc w:val="left"/>
              <w:rPr>
                <w:b/>
                <w:bCs/>
                <w:sz w:val="20"/>
                <w:u w:val="single"/>
              </w:rPr>
            </w:pPr>
          </w:p>
          <w:p w:rsidR="001A4509" w:rsidRPr="004C58A4" w:rsidRDefault="001A4509" w:rsidP="001A4509">
            <w:pPr>
              <w:spacing w:after="0"/>
              <w:jc w:val="left"/>
              <w:rPr>
                <w:bCs/>
                <w:sz w:val="20"/>
              </w:rPr>
            </w:pPr>
            <w:r w:rsidRPr="004C58A4">
              <w:rPr>
                <w:b/>
                <w:bCs/>
                <w:sz w:val="20"/>
                <w:u w:val="single"/>
              </w:rPr>
              <w:t>Nízka priorita</w:t>
            </w:r>
            <w:r w:rsidRPr="004C58A4">
              <w:rPr>
                <w:bCs/>
                <w:sz w:val="20"/>
              </w:rPr>
              <w:t xml:space="preserve"> - Predpokladáme nerealisticky vysokú úroveň ambícií KOM a EP, ktorá narazí v Rade, výsledok bude konzervatívna reforma súčasného mandátu.</w:t>
            </w:r>
          </w:p>
          <w:p w:rsidR="001A4509" w:rsidRPr="004C58A4" w:rsidRDefault="001A4509" w:rsidP="001A4509">
            <w:pPr>
              <w:spacing w:after="0"/>
              <w:jc w:val="left"/>
              <w:rPr>
                <w:bCs/>
                <w:sz w:val="20"/>
              </w:rPr>
            </w:pPr>
          </w:p>
          <w:p w:rsidR="001A4509" w:rsidRDefault="001A4509" w:rsidP="001A4509">
            <w:pPr>
              <w:spacing w:after="0"/>
              <w:jc w:val="left"/>
              <w:rPr>
                <w:bCs/>
                <w:sz w:val="20"/>
              </w:rPr>
            </w:pPr>
          </w:p>
          <w:p w:rsidR="001A4509" w:rsidRPr="004C58A4" w:rsidRDefault="001A4509" w:rsidP="001A4509">
            <w:pPr>
              <w:spacing w:after="0"/>
              <w:jc w:val="left"/>
              <w:rPr>
                <w:bCs/>
                <w:sz w:val="20"/>
              </w:rPr>
            </w:pPr>
            <w:r w:rsidRPr="004C58A4">
              <w:rPr>
                <w:b/>
                <w:bCs/>
                <w:sz w:val="20"/>
                <w:u w:val="single"/>
              </w:rPr>
              <w:t>Stredná priorita</w:t>
            </w:r>
            <w:r>
              <w:rPr>
                <w:bCs/>
                <w:sz w:val="20"/>
              </w:rPr>
              <w:t xml:space="preserve">- </w:t>
            </w:r>
            <w:r w:rsidRPr="004C58A4">
              <w:rPr>
                <w:bCs/>
                <w:sz w:val="20"/>
              </w:rPr>
              <w:t xml:space="preserve"> Zatiaľ nemožno povedať nič bližšie, vzhľadom na silnú nekonkrétnosť tohto zámeru.</w:t>
            </w:r>
          </w:p>
          <w:p w:rsidR="001A4509" w:rsidRPr="004C58A4" w:rsidRDefault="001A4509" w:rsidP="001A4509">
            <w:pPr>
              <w:spacing w:after="0"/>
              <w:jc w:val="left"/>
              <w:rPr>
                <w:bCs/>
                <w:sz w:val="20"/>
              </w:rPr>
            </w:pPr>
          </w:p>
          <w:p w:rsidR="001A4509" w:rsidRDefault="001A4509" w:rsidP="001A4509">
            <w:pPr>
              <w:spacing w:after="0"/>
              <w:jc w:val="left"/>
              <w:rPr>
                <w:bCs/>
                <w:sz w:val="20"/>
              </w:rPr>
            </w:pPr>
          </w:p>
          <w:p w:rsidR="001A4509" w:rsidRDefault="001A4509" w:rsidP="001A4509">
            <w:pPr>
              <w:spacing w:after="0"/>
              <w:jc w:val="left"/>
              <w:rPr>
                <w:bCs/>
                <w:sz w:val="20"/>
              </w:rPr>
            </w:pPr>
          </w:p>
          <w:p w:rsidR="001A4509" w:rsidRPr="004C58A4" w:rsidRDefault="001A4509" w:rsidP="001A4509">
            <w:pPr>
              <w:spacing w:after="0"/>
              <w:jc w:val="left"/>
              <w:rPr>
                <w:bCs/>
                <w:sz w:val="20"/>
              </w:rPr>
            </w:pPr>
            <w:r w:rsidRPr="004C58A4">
              <w:rPr>
                <w:b/>
                <w:bCs/>
                <w:sz w:val="20"/>
                <w:u w:val="single"/>
              </w:rPr>
              <w:t>Nízka priorita</w:t>
            </w:r>
            <w:r>
              <w:rPr>
                <w:bCs/>
                <w:sz w:val="20"/>
              </w:rPr>
              <w:t xml:space="preserve"> - </w:t>
            </w:r>
            <w:r w:rsidRPr="004C58A4">
              <w:rPr>
                <w:bCs/>
                <w:sz w:val="20"/>
              </w:rPr>
              <w:t>nekontroverzný návrh. Nepredpokladáme problémy.</w:t>
            </w:r>
          </w:p>
          <w:p w:rsidR="001A4509" w:rsidRPr="004C58A4" w:rsidRDefault="001A4509" w:rsidP="001A4509">
            <w:pPr>
              <w:spacing w:after="0"/>
              <w:jc w:val="left"/>
              <w:rPr>
                <w:bCs/>
                <w:sz w:val="20"/>
              </w:rPr>
            </w:pPr>
          </w:p>
          <w:p w:rsidR="001A4509" w:rsidRDefault="001A4509" w:rsidP="001A4509">
            <w:pPr>
              <w:spacing w:after="0"/>
              <w:jc w:val="left"/>
              <w:rPr>
                <w:bCs/>
                <w:sz w:val="20"/>
              </w:rPr>
            </w:pPr>
          </w:p>
          <w:p w:rsidR="001A4509" w:rsidRDefault="001A4509" w:rsidP="001A4509">
            <w:pPr>
              <w:spacing w:after="0"/>
              <w:jc w:val="left"/>
              <w:rPr>
                <w:bCs/>
                <w:sz w:val="20"/>
              </w:rPr>
            </w:pPr>
          </w:p>
          <w:p w:rsidR="001A4509" w:rsidRDefault="001A4509" w:rsidP="001A4509">
            <w:pPr>
              <w:spacing w:after="0"/>
              <w:jc w:val="left"/>
              <w:rPr>
                <w:b/>
                <w:bCs/>
                <w:noProof/>
                <w:sz w:val="20"/>
              </w:rPr>
            </w:pPr>
            <w:r w:rsidRPr="004C58A4">
              <w:rPr>
                <w:b/>
                <w:bCs/>
                <w:sz w:val="20"/>
                <w:u w:val="single"/>
              </w:rPr>
              <w:t>Nízka priorita</w:t>
            </w:r>
            <w:r>
              <w:rPr>
                <w:bCs/>
                <w:sz w:val="20"/>
              </w:rPr>
              <w:t xml:space="preserve"> - </w:t>
            </w:r>
            <w:r w:rsidRPr="004C58A4">
              <w:rPr>
                <w:bCs/>
                <w:sz w:val="20"/>
              </w:rPr>
              <w:t>nekontroverzný návrh. Nepredpokladáme problémy.</w:t>
            </w:r>
          </w:p>
        </w:tc>
      </w:tr>
      <w:tr w:rsidR="001A4509" w:rsidTr="008A2C73">
        <w:trPr>
          <w:cantSplit/>
        </w:trPr>
        <w:tc>
          <w:tcPr>
            <w:tcW w:w="511" w:type="dxa"/>
            <w:tcBorders>
              <w:bottom w:val="single" w:sz="4" w:space="0" w:color="auto"/>
              <w:right w:val="single" w:sz="4" w:space="0" w:color="auto"/>
            </w:tcBorders>
          </w:tcPr>
          <w:p w:rsidR="001A4509" w:rsidRDefault="001A4509" w:rsidP="001A4509">
            <w:pPr>
              <w:pStyle w:val="Odsekzoznamu"/>
              <w:numPr>
                <w:ilvl w:val="0"/>
                <w:numId w:val="18"/>
              </w:numPr>
              <w:spacing w:after="0"/>
              <w:ind w:left="426"/>
              <w:rPr>
                <w:noProof/>
                <w:sz w:val="20"/>
              </w:rPr>
            </w:pPr>
          </w:p>
        </w:tc>
        <w:tc>
          <w:tcPr>
            <w:tcW w:w="1752" w:type="dxa"/>
            <w:tcBorders>
              <w:left w:val="single" w:sz="4" w:space="0" w:color="auto"/>
              <w:bottom w:val="single" w:sz="4" w:space="0" w:color="auto"/>
            </w:tcBorders>
            <w:tcMar>
              <w:top w:w="85" w:type="dxa"/>
              <w:bottom w:w="85" w:type="dxa"/>
            </w:tcMar>
          </w:tcPr>
          <w:p w:rsidR="001A4509" w:rsidRDefault="001A4509" w:rsidP="001A4509">
            <w:pPr>
              <w:spacing w:after="0"/>
              <w:jc w:val="left"/>
              <w:rPr>
                <w:noProof/>
                <w:sz w:val="20"/>
              </w:rPr>
            </w:pPr>
            <w:r>
              <w:rPr>
                <w:b/>
                <w:bCs/>
                <w:noProof/>
                <w:sz w:val="20"/>
              </w:rPr>
              <w:t>Ochrana zdravia</w:t>
            </w:r>
          </w:p>
        </w:tc>
        <w:tc>
          <w:tcPr>
            <w:tcW w:w="4111" w:type="dxa"/>
            <w:tcBorders>
              <w:bottom w:val="single" w:sz="4" w:space="0" w:color="auto"/>
            </w:tcBorders>
            <w:tcMar>
              <w:top w:w="85" w:type="dxa"/>
              <w:bottom w:w="85" w:type="dxa"/>
            </w:tcMar>
          </w:tcPr>
          <w:p w:rsidR="001A4509" w:rsidRDefault="001A4509" w:rsidP="001A4509">
            <w:pPr>
              <w:spacing w:after="0"/>
              <w:jc w:val="left"/>
              <w:rPr>
                <w:noProof/>
                <w:sz w:val="20"/>
              </w:rPr>
            </w:pPr>
            <w:r>
              <w:rPr>
                <w:b/>
                <w:bCs/>
                <w:noProof/>
                <w:sz w:val="20"/>
              </w:rPr>
              <w:t>Európsky plán na boj proti rakovine</w:t>
            </w:r>
            <w:r>
              <w:rPr>
                <w:noProof/>
                <w:sz w:val="20"/>
              </w:rPr>
              <w:t xml:space="preserve"> (nelegislatívna iniciatíva, 4. štvrťrok 2020);</w:t>
            </w:r>
          </w:p>
          <w:p w:rsidR="001A4509" w:rsidRDefault="001A4509" w:rsidP="001A4509">
            <w:pPr>
              <w:spacing w:after="0"/>
              <w:jc w:val="left"/>
              <w:rPr>
                <w:noProof/>
                <w:sz w:val="20"/>
              </w:rPr>
            </w:pPr>
            <w:r>
              <w:rPr>
                <w:noProof/>
                <w:sz w:val="20"/>
              </w:rPr>
              <w:br/>
            </w:r>
            <w:r>
              <w:rPr>
                <w:b/>
                <w:bCs/>
                <w:noProof/>
                <w:sz w:val="20"/>
              </w:rPr>
              <w:t>Farmaceutická stratégia pre Európu</w:t>
            </w:r>
            <w:r>
              <w:rPr>
                <w:noProof/>
                <w:sz w:val="20"/>
              </w:rPr>
              <w:t xml:space="preserve"> (nelegislatívna iniciatíva, 4. štvrťrok 2020);</w:t>
            </w:r>
          </w:p>
        </w:tc>
        <w:tc>
          <w:tcPr>
            <w:tcW w:w="1418" w:type="dxa"/>
            <w:tcBorders>
              <w:bottom w:val="single" w:sz="4" w:space="0" w:color="auto"/>
            </w:tcBorders>
          </w:tcPr>
          <w:p w:rsidR="001A4509" w:rsidRDefault="001A4509" w:rsidP="001A4509">
            <w:pPr>
              <w:spacing w:after="0"/>
              <w:jc w:val="center"/>
              <w:rPr>
                <w:b/>
                <w:bCs/>
                <w:noProof/>
                <w:sz w:val="20"/>
              </w:rPr>
            </w:pPr>
            <w:r>
              <w:rPr>
                <w:b/>
                <w:bCs/>
                <w:noProof/>
                <w:sz w:val="20"/>
              </w:rPr>
              <w:t>MZ SR</w:t>
            </w:r>
          </w:p>
          <w:p w:rsidR="001A4509" w:rsidRDefault="001A4509" w:rsidP="001A4509">
            <w:pPr>
              <w:spacing w:after="0"/>
              <w:jc w:val="center"/>
              <w:rPr>
                <w:b/>
                <w:bCs/>
                <w:noProof/>
                <w:sz w:val="20"/>
              </w:rPr>
            </w:pPr>
          </w:p>
          <w:p w:rsidR="001A4509" w:rsidRDefault="001A4509" w:rsidP="001A4509">
            <w:pPr>
              <w:spacing w:after="0"/>
              <w:jc w:val="center"/>
              <w:rPr>
                <w:b/>
                <w:bCs/>
                <w:noProof/>
                <w:sz w:val="20"/>
              </w:rPr>
            </w:pPr>
          </w:p>
          <w:p w:rsidR="001A4509" w:rsidRDefault="001A4509" w:rsidP="001A4509">
            <w:pPr>
              <w:spacing w:after="0"/>
              <w:jc w:val="center"/>
              <w:rPr>
                <w:b/>
                <w:bCs/>
                <w:noProof/>
                <w:sz w:val="20"/>
              </w:rPr>
            </w:pPr>
            <w:r>
              <w:rPr>
                <w:b/>
                <w:bCs/>
                <w:noProof/>
                <w:sz w:val="20"/>
              </w:rPr>
              <w:t>MZ SR</w:t>
            </w:r>
          </w:p>
        </w:tc>
        <w:tc>
          <w:tcPr>
            <w:tcW w:w="6804" w:type="dxa"/>
            <w:tcBorders>
              <w:bottom w:val="single" w:sz="4" w:space="0" w:color="auto"/>
            </w:tcBorders>
          </w:tcPr>
          <w:p w:rsidR="001A4509" w:rsidRDefault="001A4509" w:rsidP="001A4509">
            <w:pPr>
              <w:jc w:val="left"/>
              <w:rPr>
                <w:sz w:val="20"/>
              </w:rPr>
            </w:pPr>
            <w:r w:rsidRPr="005B208D">
              <w:rPr>
                <w:b/>
                <w:sz w:val="20"/>
                <w:u w:val="single"/>
              </w:rPr>
              <w:t>Vysoká priorita -</w:t>
            </w:r>
            <w:r w:rsidRPr="005B208D">
              <w:rPr>
                <w:b/>
                <w:sz w:val="20"/>
              </w:rPr>
              <w:t xml:space="preserve"> </w:t>
            </w:r>
            <w:r w:rsidRPr="005B208D">
              <w:rPr>
                <w:sz w:val="20"/>
              </w:rPr>
              <w:t>predmetné uznesenie chceme splniť už v roku 2020 a predložiť na rokovanie vlády Aktualizáciu Akčných plánov NOP s vyhodnotením dopadov</w:t>
            </w:r>
            <w:r>
              <w:rPr>
                <w:sz w:val="20"/>
              </w:rPr>
              <w:t>.</w:t>
            </w:r>
          </w:p>
          <w:p w:rsidR="001A4509" w:rsidRPr="005B208D" w:rsidRDefault="001A4509" w:rsidP="001A4509">
            <w:pPr>
              <w:jc w:val="left"/>
              <w:rPr>
                <w:b/>
                <w:sz w:val="20"/>
                <w:highlight w:val="yellow"/>
              </w:rPr>
            </w:pPr>
            <w:r w:rsidRPr="005B208D">
              <w:rPr>
                <w:b/>
                <w:sz w:val="20"/>
                <w:u w:val="single"/>
              </w:rPr>
              <w:t>Vysoká dôležitosť</w:t>
            </w:r>
            <w:r w:rsidRPr="005B208D">
              <w:rPr>
                <w:b/>
                <w:sz w:val="20"/>
              </w:rPr>
              <w:t xml:space="preserve">-  </w:t>
            </w:r>
            <w:r w:rsidRPr="005B208D">
              <w:rPr>
                <w:sz w:val="20"/>
              </w:rPr>
              <w:t>SR víta spoločnú farmaceutickú stratégiu pre EÚ, ktorá by mohla prispieť k lepšiemu fungovaniu farmaceutických systémov v EÚ.</w:t>
            </w:r>
          </w:p>
        </w:tc>
      </w:tr>
      <w:tr w:rsidR="001A4509" w:rsidTr="008A2C73">
        <w:trPr>
          <w:cantSplit/>
        </w:trPr>
        <w:tc>
          <w:tcPr>
            <w:tcW w:w="6374" w:type="dxa"/>
            <w:gridSpan w:val="3"/>
            <w:tcBorders>
              <w:bottom w:val="single" w:sz="4" w:space="0" w:color="auto"/>
            </w:tcBorders>
            <w:shd w:val="clear" w:color="auto" w:fill="00ADDC" w:themeFill="accent5"/>
          </w:tcPr>
          <w:p w:rsidR="001A4509" w:rsidRDefault="001A4509" w:rsidP="001A4509">
            <w:pPr>
              <w:keepNext/>
              <w:spacing w:before="60" w:after="60"/>
              <w:rPr>
                <w:b/>
                <w:bCs/>
                <w:noProof/>
                <w:sz w:val="20"/>
              </w:rPr>
            </w:pPr>
            <w:r>
              <w:rPr>
                <w:b/>
                <w:bCs/>
                <w:noProof/>
                <w:color w:val="FFFFFF" w:themeColor="background1"/>
                <w:sz w:val="20"/>
              </w:rPr>
              <w:t>Nový impulz pre európsku demokraciu</w:t>
            </w:r>
          </w:p>
        </w:tc>
        <w:tc>
          <w:tcPr>
            <w:tcW w:w="1418" w:type="dxa"/>
            <w:tcBorders>
              <w:bottom w:val="single" w:sz="4" w:space="0" w:color="auto"/>
            </w:tcBorders>
            <w:shd w:val="clear" w:color="auto" w:fill="00ADDC" w:themeFill="accent5"/>
          </w:tcPr>
          <w:p w:rsidR="001A4509" w:rsidRDefault="001A4509" w:rsidP="001A4509">
            <w:pPr>
              <w:keepNext/>
              <w:spacing w:before="60" w:after="60"/>
              <w:rPr>
                <w:b/>
                <w:bCs/>
                <w:noProof/>
                <w:color w:val="FFFFFF" w:themeColor="background1"/>
                <w:sz w:val="20"/>
              </w:rPr>
            </w:pPr>
          </w:p>
        </w:tc>
        <w:tc>
          <w:tcPr>
            <w:tcW w:w="6804" w:type="dxa"/>
            <w:tcBorders>
              <w:bottom w:val="single" w:sz="4" w:space="0" w:color="auto"/>
            </w:tcBorders>
            <w:shd w:val="clear" w:color="auto" w:fill="00ADDC" w:themeFill="accent5"/>
          </w:tcPr>
          <w:p w:rsidR="001A4509" w:rsidRDefault="001A4509" w:rsidP="001A4509">
            <w:pPr>
              <w:keepNext/>
              <w:spacing w:before="60" w:after="60"/>
              <w:rPr>
                <w:b/>
                <w:bCs/>
                <w:noProof/>
                <w:color w:val="FFFFFF" w:themeColor="background1"/>
                <w:sz w:val="20"/>
              </w:rPr>
            </w:pPr>
          </w:p>
        </w:tc>
      </w:tr>
      <w:tr w:rsidR="001A4509" w:rsidTr="008A2C73">
        <w:trPr>
          <w:cantSplit/>
        </w:trPr>
        <w:tc>
          <w:tcPr>
            <w:tcW w:w="511" w:type="dxa"/>
            <w:tcBorders>
              <w:bottom w:val="single" w:sz="4" w:space="0" w:color="auto"/>
              <w:right w:val="single" w:sz="4" w:space="0" w:color="auto"/>
            </w:tcBorders>
          </w:tcPr>
          <w:p w:rsidR="001A4509" w:rsidRDefault="001A4509" w:rsidP="001A4509">
            <w:pPr>
              <w:pStyle w:val="Odsekzoznamu"/>
              <w:numPr>
                <w:ilvl w:val="0"/>
                <w:numId w:val="18"/>
              </w:numPr>
              <w:spacing w:after="0"/>
              <w:ind w:left="426"/>
              <w:rPr>
                <w:noProof/>
                <w:sz w:val="20"/>
              </w:rPr>
            </w:pPr>
          </w:p>
        </w:tc>
        <w:tc>
          <w:tcPr>
            <w:tcW w:w="1752" w:type="dxa"/>
            <w:tcBorders>
              <w:left w:val="single" w:sz="4" w:space="0" w:color="auto"/>
              <w:bottom w:val="single" w:sz="4" w:space="0" w:color="auto"/>
            </w:tcBorders>
            <w:tcMar>
              <w:top w:w="85" w:type="dxa"/>
              <w:bottom w:w="85" w:type="dxa"/>
            </w:tcMar>
          </w:tcPr>
          <w:p w:rsidR="001A4509" w:rsidRDefault="001A4509" w:rsidP="001A4509">
            <w:pPr>
              <w:spacing w:after="0"/>
              <w:rPr>
                <w:noProof/>
                <w:sz w:val="20"/>
              </w:rPr>
            </w:pPr>
            <w:r>
              <w:rPr>
                <w:b/>
                <w:bCs/>
                <w:noProof/>
                <w:sz w:val="20"/>
              </w:rPr>
              <w:t>Program pre spotrebiteľov</w:t>
            </w:r>
          </w:p>
        </w:tc>
        <w:tc>
          <w:tcPr>
            <w:tcW w:w="4111" w:type="dxa"/>
            <w:tcBorders>
              <w:bottom w:val="single" w:sz="4" w:space="0" w:color="auto"/>
            </w:tcBorders>
            <w:tcMar>
              <w:top w:w="85" w:type="dxa"/>
              <w:bottom w:w="85" w:type="dxa"/>
            </w:tcMar>
          </w:tcPr>
          <w:p w:rsidR="001A4509" w:rsidRDefault="001A4509" w:rsidP="001A4509">
            <w:pPr>
              <w:spacing w:after="0"/>
              <w:rPr>
                <w:noProof/>
                <w:sz w:val="20"/>
              </w:rPr>
            </w:pPr>
            <w:r>
              <w:rPr>
                <w:b/>
                <w:noProof/>
                <w:sz w:val="20"/>
              </w:rPr>
              <w:t>Nový program pre spotrebiteľov</w:t>
            </w:r>
            <w:r>
              <w:rPr>
                <w:noProof/>
                <w:sz w:val="20"/>
              </w:rPr>
              <w:t xml:space="preserve"> (nelegislatívna iniciatíva, 4. štvrťrok 2020);</w:t>
            </w:r>
          </w:p>
        </w:tc>
        <w:tc>
          <w:tcPr>
            <w:tcW w:w="1418" w:type="dxa"/>
            <w:tcBorders>
              <w:bottom w:val="single" w:sz="4" w:space="0" w:color="auto"/>
            </w:tcBorders>
          </w:tcPr>
          <w:p w:rsidR="001A4509" w:rsidRDefault="001A4509" w:rsidP="001A4509">
            <w:pPr>
              <w:spacing w:after="0"/>
              <w:jc w:val="center"/>
              <w:rPr>
                <w:b/>
                <w:noProof/>
                <w:sz w:val="20"/>
              </w:rPr>
            </w:pPr>
            <w:r>
              <w:rPr>
                <w:b/>
                <w:noProof/>
                <w:sz w:val="20"/>
              </w:rPr>
              <w:t>MH SR</w:t>
            </w:r>
          </w:p>
          <w:p w:rsidR="001A4509" w:rsidRDefault="001A4509" w:rsidP="001A4509">
            <w:pPr>
              <w:spacing w:after="0"/>
              <w:jc w:val="center"/>
              <w:rPr>
                <w:b/>
                <w:noProof/>
                <w:sz w:val="20"/>
              </w:rPr>
            </w:pPr>
            <w:r>
              <w:rPr>
                <w:b/>
                <w:noProof/>
                <w:sz w:val="20"/>
              </w:rPr>
              <w:t>MS SR</w:t>
            </w:r>
          </w:p>
        </w:tc>
        <w:tc>
          <w:tcPr>
            <w:tcW w:w="6804" w:type="dxa"/>
            <w:tcBorders>
              <w:bottom w:val="single" w:sz="4" w:space="0" w:color="auto"/>
            </w:tcBorders>
          </w:tcPr>
          <w:p w:rsidR="001A4509" w:rsidRPr="006F1A07" w:rsidRDefault="001A4509" w:rsidP="001A4509">
            <w:pPr>
              <w:spacing w:after="0"/>
              <w:ind w:right="112"/>
              <w:rPr>
                <w:b/>
                <w:sz w:val="20"/>
                <w:highlight w:val="yellow"/>
                <w:u w:val="single"/>
              </w:rPr>
            </w:pPr>
            <w:r w:rsidRPr="006F1A07">
              <w:rPr>
                <w:b/>
                <w:sz w:val="20"/>
                <w:u w:val="single"/>
              </w:rPr>
              <w:t>Vysoká priorita</w:t>
            </w:r>
            <w:r w:rsidRPr="006F1A07">
              <w:rPr>
                <w:b/>
                <w:i/>
                <w:sz w:val="20"/>
              </w:rPr>
              <w:t xml:space="preserve"> -  </w:t>
            </w:r>
            <w:r w:rsidRPr="006F1A07">
              <w:rPr>
                <w:sz w:val="20"/>
              </w:rPr>
              <w:t>SR víta snahu EK v oblasti spotrebiteľskej politiky, keďže jednou z oblastí, ktorej sa EK doteraz intenzívne venovala bola práve oblasť maximalizovania účasti spotrebiteľov v rámci spoločného trhu, pričom cieľom EK bolo okrem iného i posilnenie dôvery spotrebiteľov v tento trh. SR má za to, že je potrebné v začatých prácach pokračovať – je naďalej potrebné podporovať bezpečnosť spotrebiteľov, zvyšovať ich povedomie o spotrebiteľských právach, posilňovať presadzovanie predpisov na ochranu spotrebiteľa.</w:t>
            </w:r>
          </w:p>
        </w:tc>
      </w:tr>
      <w:tr w:rsidR="001A4509" w:rsidTr="008A2C73">
        <w:trPr>
          <w:cantSplit/>
        </w:trPr>
        <w:tc>
          <w:tcPr>
            <w:tcW w:w="511" w:type="dxa"/>
            <w:tcBorders>
              <w:right w:val="single" w:sz="4" w:space="0" w:color="auto"/>
            </w:tcBorders>
          </w:tcPr>
          <w:p w:rsidR="001A4509" w:rsidRDefault="001A4509" w:rsidP="001A4509">
            <w:pPr>
              <w:pStyle w:val="Odsekzoznamu"/>
              <w:numPr>
                <w:ilvl w:val="0"/>
                <w:numId w:val="18"/>
              </w:numPr>
              <w:spacing w:after="0"/>
              <w:ind w:left="426"/>
              <w:rPr>
                <w:noProof/>
                <w:sz w:val="20"/>
              </w:rPr>
            </w:pPr>
          </w:p>
        </w:tc>
        <w:tc>
          <w:tcPr>
            <w:tcW w:w="1752" w:type="dxa"/>
            <w:tcBorders>
              <w:left w:val="single" w:sz="4" w:space="0" w:color="auto"/>
            </w:tcBorders>
            <w:tcMar>
              <w:top w:w="85" w:type="dxa"/>
              <w:bottom w:w="85" w:type="dxa"/>
            </w:tcMar>
          </w:tcPr>
          <w:p w:rsidR="001A4509" w:rsidRDefault="001A4509" w:rsidP="001A4509">
            <w:pPr>
              <w:spacing w:after="0"/>
              <w:rPr>
                <w:noProof/>
                <w:sz w:val="20"/>
              </w:rPr>
            </w:pPr>
            <w:r>
              <w:rPr>
                <w:b/>
                <w:bCs/>
                <w:noProof/>
                <w:sz w:val="20"/>
              </w:rPr>
              <w:t>Riešenie vplyvu demografických zmien</w:t>
            </w:r>
          </w:p>
        </w:tc>
        <w:tc>
          <w:tcPr>
            <w:tcW w:w="4111" w:type="dxa"/>
            <w:tcMar>
              <w:top w:w="85" w:type="dxa"/>
              <w:bottom w:w="85" w:type="dxa"/>
            </w:tcMar>
          </w:tcPr>
          <w:p w:rsidR="001A4509" w:rsidRDefault="001A4509" w:rsidP="001A4509">
            <w:pPr>
              <w:spacing w:after="0"/>
              <w:jc w:val="left"/>
              <w:rPr>
                <w:noProof/>
                <w:sz w:val="20"/>
              </w:rPr>
            </w:pPr>
            <w:r>
              <w:rPr>
                <w:b/>
                <w:bCs/>
                <w:noProof/>
                <w:sz w:val="20"/>
              </w:rPr>
              <w:t>Správa</w:t>
            </w:r>
            <w:r>
              <w:rPr>
                <w:b/>
                <w:noProof/>
                <w:sz w:val="20"/>
              </w:rPr>
              <w:t xml:space="preserve"> o vplyve demografických zmien </w:t>
            </w:r>
            <w:r>
              <w:rPr>
                <w:noProof/>
                <w:sz w:val="20"/>
              </w:rPr>
              <w:t>(nelegislatívna iniciatíva, 1. štvrťrok 2020);</w:t>
            </w:r>
          </w:p>
          <w:p w:rsidR="001A4509" w:rsidRDefault="001A4509" w:rsidP="001A4509">
            <w:pPr>
              <w:spacing w:after="0"/>
              <w:jc w:val="left"/>
              <w:rPr>
                <w:b/>
                <w:bCs/>
                <w:noProof/>
                <w:sz w:val="20"/>
              </w:rPr>
            </w:pPr>
            <w:r>
              <w:rPr>
                <w:b/>
                <w:bCs/>
                <w:noProof/>
                <w:sz w:val="20"/>
              </w:rPr>
              <w:br/>
              <w:t>Zelená kniha o starnutí</w:t>
            </w:r>
            <w:r>
              <w:rPr>
                <w:noProof/>
                <w:sz w:val="20"/>
              </w:rPr>
              <w:t xml:space="preserve"> (nelegislatívna iniciatíva, 4. štvrťrok 2020) </w:t>
            </w:r>
          </w:p>
        </w:tc>
        <w:tc>
          <w:tcPr>
            <w:tcW w:w="1418" w:type="dxa"/>
          </w:tcPr>
          <w:p w:rsidR="001A4509" w:rsidRDefault="001A4509" w:rsidP="001A4509">
            <w:pPr>
              <w:spacing w:after="0"/>
              <w:jc w:val="center"/>
              <w:rPr>
                <w:b/>
                <w:bCs/>
                <w:noProof/>
                <w:sz w:val="20"/>
              </w:rPr>
            </w:pPr>
            <w:r>
              <w:rPr>
                <w:b/>
                <w:bCs/>
                <w:noProof/>
                <w:sz w:val="20"/>
              </w:rPr>
              <w:t>MPSVR SR</w:t>
            </w:r>
          </w:p>
          <w:p w:rsidR="001A4509" w:rsidRDefault="001A4509" w:rsidP="001A4509">
            <w:pPr>
              <w:spacing w:after="0"/>
              <w:jc w:val="center"/>
              <w:rPr>
                <w:b/>
                <w:bCs/>
                <w:noProof/>
                <w:sz w:val="20"/>
              </w:rPr>
            </w:pPr>
          </w:p>
          <w:p w:rsidR="001A4509" w:rsidRDefault="001A4509" w:rsidP="001A4509">
            <w:pPr>
              <w:spacing w:after="0"/>
              <w:jc w:val="center"/>
              <w:rPr>
                <w:b/>
                <w:bCs/>
                <w:noProof/>
                <w:sz w:val="20"/>
              </w:rPr>
            </w:pPr>
          </w:p>
          <w:p w:rsidR="001A4509" w:rsidRDefault="001A4509" w:rsidP="001A4509">
            <w:pPr>
              <w:spacing w:after="0"/>
              <w:jc w:val="center"/>
              <w:rPr>
                <w:b/>
                <w:bCs/>
                <w:noProof/>
                <w:sz w:val="20"/>
              </w:rPr>
            </w:pPr>
            <w:r>
              <w:rPr>
                <w:b/>
                <w:bCs/>
                <w:noProof/>
                <w:sz w:val="20"/>
              </w:rPr>
              <w:t>MPSVR SR</w:t>
            </w:r>
          </w:p>
        </w:tc>
        <w:tc>
          <w:tcPr>
            <w:tcW w:w="6804" w:type="dxa"/>
          </w:tcPr>
          <w:p w:rsidR="001A4509" w:rsidRPr="004C58A4" w:rsidRDefault="001A4509" w:rsidP="001A4509">
            <w:pPr>
              <w:spacing w:after="0"/>
              <w:jc w:val="left"/>
              <w:rPr>
                <w:bCs/>
                <w:iCs/>
                <w:sz w:val="20"/>
              </w:rPr>
            </w:pPr>
            <w:r w:rsidRPr="004C58A4">
              <w:rPr>
                <w:b/>
                <w:bCs/>
                <w:iCs/>
                <w:sz w:val="20"/>
                <w:u w:val="single"/>
              </w:rPr>
              <w:t>Stredná priorita</w:t>
            </w:r>
            <w:r w:rsidRPr="004C58A4">
              <w:rPr>
                <w:bCs/>
                <w:iCs/>
                <w:sz w:val="20"/>
              </w:rPr>
              <w:t xml:space="preserve"> - EK pripraví správu o vplyve demografickej zmeny, ktorá bude podkladom pre vypracovanie:Zelenej knihy o starnutí </w:t>
            </w:r>
            <w:r w:rsidRPr="004C58A4">
              <w:rPr>
                <w:sz w:val="20"/>
              </w:rPr>
              <w:t xml:space="preserve">(IV. Štvrťrok 2020 –cieľ: iniciovať diskusiu o dlhodobých dosahoch starnutia, a o spôsoboch motivácie ľudí k aktívnemu starnutiu; </w:t>
            </w:r>
            <w:r w:rsidRPr="004C58A4">
              <w:rPr>
                <w:bCs/>
                <w:iCs/>
                <w:sz w:val="20"/>
              </w:rPr>
              <w:t xml:space="preserve">Dlhodobej vízie pre vidiecke oblasti </w:t>
            </w:r>
            <w:r w:rsidRPr="004C58A4">
              <w:rPr>
                <w:iCs/>
                <w:sz w:val="20"/>
              </w:rPr>
              <w:t>(IV. štvrťrok 2021 – c</w:t>
            </w:r>
            <w:r w:rsidRPr="004C58A4">
              <w:rPr>
                <w:sz w:val="20"/>
              </w:rPr>
              <w:t>ieľ: podpora vidieckych oblastí pri riešení ich jedinečného súboru problémov, od starnutia obyvateľstva a vyľudňovania až po pripojiteľnosť, riziko chudoby a obmedzený prístup k službám, sociálnej ochrane a zdravotnej starostlivosti).</w:t>
            </w:r>
          </w:p>
        </w:tc>
      </w:tr>
      <w:tr w:rsidR="001A4509" w:rsidTr="008A2C73">
        <w:trPr>
          <w:cantSplit/>
        </w:trPr>
        <w:tc>
          <w:tcPr>
            <w:tcW w:w="511" w:type="dxa"/>
            <w:tcBorders>
              <w:right w:val="single" w:sz="4" w:space="0" w:color="auto"/>
            </w:tcBorders>
          </w:tcPr>
          <w:p w:rsidR="001A4509" w:rsidRDefault="001A4509" w:rsidP="001A4509">
            <w:pPr>
              <w:pStyle w:val="Odsekzoznamu"/>
              <w:numPr>
                <w:ilvl w:val="0"/>
                <w:numId w:val="18"/>
              </w:numPr>
              <w:spacing w:after="0"/>
              <w:ind w:left="426"/>
              <w:rPr>
                <w:noProof/>
                <w:sz w:val="20"/>
              </w:rPr>
            </w:pPr>
          </w:p>
        </w:tc>
        <w:tc>
          <w:tcPr>
            <w:tcW w:w="1752" w:type="dxa"/>
            <w:tcBorders>
              <w:left w:val="single" w:sz="4" w:space="0" w:color="auto"/>
            </w:tcBorders>
            <w:tcMar>
              <w:top w:w="85" w:type="dxa"/>
              <w:bottom w:w="85" w:type="dxa"/>
            </w:tcMar>
          </w:tcPr>
          <w:p w:rsidR="001A4509" w:rsidRDefault="001A4509" w:rsidP="001A4509">
            <w:pPr>
              <w:spacing w:after="0"/>
              <w:jc w:val="left"/>
              <w:rPr>
                <w:noProof/>
                <w:sz w:val="20"/>
              </w:rPr>
            </w:pPr>
            <w:r>
              <w:rPr>
                <w:b/>
                <w:bCs/>
                <w:noProof/>
                <w:sz w:val="20"/>
              </w:rPr>
              <w:t>Iniciatívy v oblasti rovnosti a nediskriminácie</w:t>
            </w:r>
          </w:p>
        </w:tc>
        <w:tc>
          <w:tcPr>
            <w:tcW w:w="4111" w:type="dxa"/>
            <w:tcMar>
              <w:top w:w="85" w:type="dxa"/>
              <w:bottom w:w="85" w:type="dxa"/>
            </w:tcMar>
          </w:tcPr>
          <w:p w:rsidR="001A4509" w:rsidRDefault="001A4509" w:rsidP="001A4509">
            <w:pPr>
              <w:spacing w:after="0"/>
              <w:jc w:val="left"/>
              <w:rPr>
                <w:noProof/>
                <w:sz w:val="20"/>
              </w:rPr>
            </w:pPr>
            <w:r>
              <w:rPr>
                <w:b/>
                <w:bCs/>
                <w:noProof/>
                <w:sz w:val="20"/>
              </w:rPr>
              <w:t>Európska stratégia rodovej rovnosti</w:t>
            </w:r>
            <w:r>
              <w:rPr>
                <w:noProof/>
                <w:sz w:val="20"/>
              </w:rPr>
              <w:t xml:space="preserve"> (nelegislatívna iniciatíva, 1. štvrťrok 2020)</w:t>
            </w:r>
            <w:r>
              <w:rPr>
                <w:b/>
                <w:bCs/>
                <w:noProof/>
                <w:sz w:val="20"/>
              </w:rPr>
              <w:t xml:space="preserve"> a následné záväzné opatrenia na zabezpečenie transparentnosti odmeňovania</w:t>
            </w:r>
            <w:r>
              <w:rPr>
                <w:noProof/>
                <w:sz w:val="20"/>
              </w:rPr>
              <w:t xml:space="preserve"> (legislatívna iniciatíva vrátane posúdenia vplyvu, článok 157 ZFEÚ, 4. štvrťrok 2020);</w:t>
            </w:r>
          </w:p>
          <w:p w:rsidR="001A4509" w:rsidRDefault="001A4509" w:rsidP="001A4509">
            <w:pPr>
              <w:spacing w:after="0"/>
              <w:jc w:val="left"/>
              <w:rPr>
                <w:noProof/>
                <w:sz w:val="20"/>
              </w:rPr>
            </w:pPr>
            <w:r>
              <w:rPr>
                <w:noProof/>
                <w:sz w:val="20"/>
              </w:rPr>
              <w:br/>
            </w:r>
            <w:r>
              <w:rPr>
                <w:b/>
                <w:bCs/>
                <w:noProof/>
                <w:sz w:val="20"/>
              </w:rPr>
              <w:t>Stratégia pre rovnosť LGBTI osôb</w:t>
            </w:r>
            <w:r>
              <w:rPr>
                <w:noProof/>
                <w:sz w:val="20"/>
              </w:rPr>
              <w:t xml:space="preserve"> (nelegislatívna iniciatíva, 4. štvrťrok 2020);</w:t>
            </w:r>
          </w:p>
          <w:p w:rsidR="001A4509" w:rsidRDefault="001A4509" w:rsidP="001A4509">
            <w:pPr>
              <w:spacing w:after="0"/>
              <w:jc w:val="left"/>
              <w:rPr>
                <w:noProof/>
                <w:sz w:val="20"/>
              </w:rPr>
            </w:pPr>
          </w:p>
          <w:p w:rsidR="001A4509" w:rsidRDefault="001A4509" w:rsidP="001A4509">
            <w:pPr>
              <w:spacing w:after="0"/>
              <w:jc w:val="left"/>
              <w:rPr>
                <w:noProof/>
                <w:sz w:val="20"/>
              </w:rPr>
            </w:pPr>
            <w:r>
              <w:rPr>
                <w:noProof/>
                <w:sz w:val="20"/>
              </w:rPr>
              <w:br/>
            </w:r>
            <w:r>
              <w:rPr>
                <w:b/>
                <w:bCs/>
                <w:noProof/>
                <w:sz w:val="20"/>
              </w:rPr>
              <w:t>Rámec EÚ na obdobie po roku 2020 týkajúci sa stratégií rovnosti a začleňovania Rómov</w:t>
            </w:r>
            <w:r>
              <w:rPr>
                <w:noProof/>
                <w:sz w:val="20"/>
              </w:rPr>
              <w:t xml:space="preserve"> (nelegislatívna iniciatíva, 4. štvrťrok 2020)</w:t>
            </w:r>
          </w:p>
        </w:tc>
        <w:tc>
          <w:tcPr>
            <w:tcW w:w="1418" w:type="dxa"/>
          </w:tcPr>
          <w:p w:rsidR="001A4509" w:rsidRDefault="001A4509" w:rsidP="00B95F81">
            <w:pPr>
              <w:spacing w:after="0"/>
              <w:jc w:val="center"/>
              <w:rPr>
                <w:b/>
                <w:bCs/>
                <w:noProof/>
                <w:sz w:val="20"/>
              </w:rPr>
            </w:pPr>
            <w:r>
              <w:rPr>
                <w:b/>
                <w:bCs/>
                <w:noProof/>
                <w:sz w:val="20"/>
              </w:rPr>
              <w:t>MPSVR SR</w:t>
            </w:r>
          </w:p>
          <w:p w:rsidR="001A4509" w:rsidRDefault="001A4509" w:rsidP="00B95F81">
            <w:pPr>
              <w:spacing w:after="0"/>
              <w:jc w:val="center"/>
              <w:rPr>
                <w:b/>
                <w:bCs/>
                <w:noProof/>
                <w:sz w:val="20"/>
              </w:rPr>
            </w:pPr>
          </w:p>
          <w:p w:rsidR="001A4509" w:rsidRDefault="001A4509" w:rsidP="00B95F81">
            <w:pPr>
              <w:spacing w:after="0"/>
              <w:jc w:val="center"/>
              <w:rPr>
                <w:b/>
                <w:bCs/>
                <w:noProof/>
                <w:sz w:val="20"/>
              </w:rPr>
            </w:pPr>
          </w:p>
          <w:p w:rsidR="001A4509" w:rsidRDefault="001A4509" w:rsidP="00B95F81">
            <w:pPr>
              <w:spacing w:after="0"/>
              <w:jc w:val="center"/>
              <w:rPr>
                <w:b/>
                <w:bCs/>
                <w:noProof/>
                <w:sz w:val="20"/>
              </w:rPr>
            </w:pPr>
          </w:p>
          <w:p w:rsidR="001A4509" w:rsidRDefault="001A4509" w:rsidP="00B95F81">
            <w:pPr>
              <w:spacing w:after="0"/>
              <w:jc w:val="center"/>
              <w:rPr>
                <w:b/>
                <w:bCs/>
                <w:noProof/>
                <w:sz w:val="20"/>
              </w:rPr>
            </w:pPr>
          </w:p>
          <w:p w:rsidR="001A4509" w:rsidRDefault="001A4509" w:rsidP="00B95F81">
            <w:pPr>
              <w:spacing w:after="0"/>
              <w:jc w:val="center"/>
              <w:rPr>
                <w:b/>
                <w:bCs/>
                <w:noProof/>
                <w:sz w:val="20"/>
              </w:rPr>
            </w:pPr>
          </w:p>
          <w:p w:rsidR="001A4509" w:rsidRDefault="001A4509" w:rsidP="00B95F81">
            <w:pPr>
              <w:spacing w:after="0"/>
              <w:jc w:val="center"/>
              <w:rPr>
                <w:b/>
                <w:bCs/>
                <w:noProof/>
                <w:sz w:val="20"/>
              </w:rPr>
            </w:pPr>
          </w:p>
          <w:p w:rsidR="001A4509" w:rsidRDefault="001A4509" w:rsidP="00B95F81">
            <w:pPr>
              <w:spacing w:after="0"/>
              <w:jc w:val="center"/>
              <w:rPr>
                <w:b/>
                <w:bCs/>
                <w:noProof/>
                <w:sz w:val="20"/>
              </w:rPr>
            </w:pPr>
            <w:r>
              <w:rPr>
                <w:b/>
                <w:bCs/>
                <w:noProof/>
                <w:sz w:val="20"/>
              </w:rPr>
              <w:t>MPSVR SR</w:t>
            </w:r>
          </w:p>
          <w:p w:rsidR="001A4509" w:rsidRDefault="001A4509" w:rsidP="00B95F81">
            <w:pPr>
              <w:spacing w:after="0"/>
              <w:jc w:val="center"/>
              <w:rPr>
                <w:b/>
                <w:bCs/>
                <w:noProof/>
                <w:sz w:val="20"/>
              </w:rPr>
            </w:pPr>
          </w:p>
          <w:p w:rsidR="001A4509" w:rsidRDefault="001A4509" w:rsidP="00B95F81">
            <w:pPr>
              <w:spacing w:after="0"/>
              <w:jc w:val="center"/>
              <w:rPr>
                <w:b/>
                <w:bCs/>
                <w:noProof/>
                <w:sz w:val="20"/>
              </w:rPr>
            </w:pPr>
          </w:p>
          <w:p w:rsidR="001A4509" w:rsidRDefault="001A4509" w:rsidP="00B95F81">
            <w:pPr>
              <w:spacing w:after="0"/>
              <w:jc w:val="center"/>
              <w:rPr>
                <w:b/>
                <w:bCs/>
                <w:noProof/>
                <w:sz w:val="20"/>
              </w:rPr>
            </w:pPr>
          </w:p>
          <w:p w:rsidR="001A4509" w:rsidRDefault="001A4509" w:rsidP="00B95F81">
            <w:pPr>
              <w:spacing w:after="0"/>
              <w:jc w:val="center"/>
              <w:rPr>
                <w:b/>
                <w:bCs/>
                <w:noProof/>
                <w:sz w:val="20"/>
              </w:rPr>
            </w:pPr>
            <w:r>
              <w:rPr>
                <w:b/>
                <w:bCs/>
                <w:noProof/>
                <w:sz w:val="20"/>
              </w:rPr>
              <w:t>MPSVR SR</w:t>
            </w:r>
          </w:p>
        </w:tc>
        <w:tc>
          <w:tcPr>
            <w:tcW w:w="6804" w:type="dxa"/>
          </w:tcPr>
          <w:p w:rsidR="001A4509" w:rsidRDefault="001A4509" w:rsidP="001A4509">
            <w:pPr>
              <w:spacing w:after="0"/>
              <w:rPr>
                <w:bCs/>
                <w:sz w:val="20"/>
              </w:rPr>
            </w:pPr>
            <w:r w:rsidRPr="004C58A4">
              <w:rPr>
                <w:b/>
                <w:bCs/>
                <w:iCs/>
                <w:sz w:val="20"/>
                <w:u w:val="single"/>
              </w:rPr>
              <w:t>Stredná</w:t>
            </w:r>
            <w:r>
              <w:rPr>
                <w:b/>
                <w:bCs/>
                <w:iCs/>
                <w:sz w:val="20"/>
                <w:u w:val="single"/>
              </w:rPr>
              <w:t xml:space="preserve"> priorita</w:t>
            </w:r>
            <w:r w:rsidRPr="004C58A4">
              <w:rPr>
                <w:b/>
                <w:bCs/>
                <w:iCs/>
                <w:sz w:val="20"/>
                <w:u w:val="single"/>
              </w:rPr>
              <w:t xml:space="preserve"> </w:t>
            </w:r>
            <w:r w:rsidRPr="004C58A4">
              <w:rPr>
                <w:b/>
                <w:bCs/>
                <w:iCs/>
                <w:sz w:val="20"/>
              </w:rPr>
              <w:t xml:space="preserve">- </w:t>
            </w:r>
            <w:r w:rsidRPr="004C58A4">
              <w:rPr>
                <w:bCs/>
                <w:sz w:val="20"/>
              </w:rPr>
              <w:t>Očakávaná iniciatíva, malo by ísť o nekontroverzný návrh. SK podporuje prijatie stratégie, pozícia SR bude záležať od konkrétneho obsahu.Opatrenia k mzdovej transparentnosti: Očakávaná iniciatíva, pre niektoré ČŠ môže byť politicky citlivá. Zatiaľ nie je známy presný obsah návrhu (zrejme smernice). z pohľadu SR ide o pozitívnu iniciatívu.</w:t>
            </w:r>
          </w:p>
          <w:p w:rsidR="001A4509" w:rsidRDefault="001A4509" w:rsidP="001A4509">
            <w:pPr>
              <w:spacing w:after="0"/>
              <w:rPr>
                <w:bCs/>
                <w:sz w:val="20"/>
              </w:rPr>
            </w:pPr>
          </w:p>
          <w:p w:rsidR="001A4509" w:rsidRDefault="001A4509" w:rsidP="001A4509">
            <w:pPr>
              <w:spacing w:after="0"/>
              <w:rPr>
                <w:bCs/>
                <w:sz w:val="20"/>
              </w:rPr>
            </w:pPr>
            <w:r w:rsidRPr="004C58A4">
              <w:rPr>
                <w:b/>
                <w:bCs/>
                <w:iCs/>
                <w:sz w:val="20"/>
                <w:u w:val="single"/>
              </w:rPr>
              <w:t>Stredná priorita</w:t>
            </w:r>
            <w:r>
              <w:rPr>
                <w:bCs/>
                <w:szCs w:val="24"/>
              </w:rPr>
              <w:t xml:space="preserve"> </w:t>
            </w:r>
            <w:r w:rsidRPr="004C58A4">
              <w:rPr>
                <w:bCs/>
                <w:sz w:val="20"/>
              </w:rPr>
              <w:t>- Iniciatíva nadviaže na zoznam opatrení EK pre posilnenie práv LGBTI, zameria sa najmä na oblasti, kde doterajšie opatrenia nepriniesli dostatočný pok</w:t>
            </w:r>
            <w:r>
              <w:rPr>
                <w:bCs/>
                <w:sz w:val="20"/>
              </w:rPr>
              <w:t>rok. Pre niektoré ČŠ, vrátane SR</w:t>
            </w:r>
            <w:r w:rsidRPr="004C58A4">
              <w:rPr>
                <w:bCs/>
                <w:sz w:val="20"/>
              </w:rPr>
              <w:t>, pôjde o veľm</w:t>
            </w:r>
            <w:r>
              <w:rPr>
                <w:bCs/>
                <w:sz w:val="20"/>
              </w:rPr>
              <w:t>i politicky citlivú iniciatívu.</w:t>
            </w:r>
          </w:p>
          <w:p w:rsidR="001A4509" w:rsidRDefault="001A4509" w:rsidP="001A4509">
            <w:pPr>
              <w:spacing w:after="0"/>
              <w:rPr>
                <w:bCs/>
                <w:sz w:val="20"/>
              </w:rPr>
            </w:pPr>
          </w:p>
          <w:p w:rsidR="001A4509" w:rsidRDefault="001A4509" w:rsidP="001A4509">
            <w:pPr>
              <w:spacing w:after="0"/>
              <w:rPr>
                <w:bCs/>
                <w:sz w:val="20"/>
              </w:rPr>
            </w:pPr>
          </w:p>
          <w:p w:rsidR="001A4509" w:rsidRPr="004C58A4" w:rsidRDefault="001A4509" w:rsidP="001A4509">
            <w:pPr>
              <w:spacing w:after="0"/>
              <w:rPr>
                <w:bCs/>
                <w:szCs w:val="24"/>
              </w:rPr>
            </w:pPr>
            <w:r w:rsidRPr="004C58A4">
              <w:rPr>
                <w:b/>
                <w:bCs/>
                <w:iCs/>
                <w:sz w:val="20"/>
                <w:u w:val="single"/>
              </w:rPr>
              <w:t>Stredná priorita</w:t>
            </w:r>
            <w:r>
              <w:rPr>
                <w:szCs w:val="24"/>
              </w:rPr>
              <w:t xml:space="preserve"> - </w:t>
            </w:r>
            <w:r w:rsidRPr="00BB234F">
              <w:rPr>
                <w:szCs w:val="24"/>
              </w:rPr>
              <w:t xml:space="preserve"> </w:t>
            </w:r>
            <w:r w:rsidRPr="004C58A4">
              <w:rPr>
                <w:sz w:val="20"/>
              </w:rPr>
              <w:t>Iniciatíva nadviaže na súčasný Rámec EÚ pre vnútroštátne stratégie integrácie Rómov Nekontroverzná iniciatíva, SK ju vníma pozitívne.</w:t>
            </w:r>
          </w:p>
        </w:tc>
      </w:tr>
      <w:tr w:rsidR="001A4509" w:rsidTr="008A2C73">
        <w:trPr>
          <w:cantSplit/>
        </w:trPr>
        <w:tc>
          <w:tcPr>
            <w:tcW w:w="511" w:type="dxa"/>
            <w:tcBorders>
              <w:bottom w:val="single" w:sz="4" w:space="0" w:color="auto"/>
              <w:right w:val="single" w:sz="4" w:space="0" w:color="auto"/>
            </w:tcBorders>
          </w:tcPr>
          <w:p w:rsidR="001A4509" w:rsidRDefault="001A4509" w:rsidP="001A4509">
            <w:pPr>
              <w:pStyle w:val="Odsekzoznamu"/>
              <w:numPr>
                <w:ilvl w:val="0"/>
                <w:numId w:val="18"/>
              </w:numPr>
              <w:spacing w:after="0"/>
              <w:ind w:left="426"/>
              <w:rPr>
                <w:noProof/>
                <w:sz w:val="20"/>
              </w:rPr>
            </w:pPr>
          </w:p>
        </w:tc>
        <w:tc>
          <w:tcPr>
            <w:tcW w:w="1752" w:type="dxa"/>
            <w:tcBorders>
              <w:left w:val="single" w:sz="4" w:space="0" w:color="auto"/>
              <w:bottom w:val="single" w:sz="4" w:space="0" w:color="auto"/>
              <w:right w:val="single" w:sz="4" w:space="0" w:color="auto"/>
            </w:tcBorders>
            <w:tcMar>
              <w:top w:w="85" w:type="dxa"/>
              <w:bottom w:w="85" w:type="dxa"/>
            </w:tcMar>
          </w:tcPr>
          <w:p w:rsidR="001A4509" w:rsidRPr="00B95F81" w:rsidRDefault="001A4509" w:rsidP="001A4509">
            <w:pPr>
              <w:spacing w:after="0"/>
              <w:rPr>
                <w:b/>
                <w:bCs/>
                <w:noProof/>
                <w:sz w:val="20"/>
              </w:rPr>
            </w:pPr>
            <w:r w:rsidRPr="00B95F81">
              <w:rPr>
                <w:b/>
                <w:bCs/>
                <w:noProof/>
                <w:sz w:val="20"/>
              </w:rPr>
              <w:t>Demokracia</w:t>
            </w:r>
          </w:p>
        </w:tc>
        <w:tc>
          <w:tcPr>
            <w:tcW w:w="4111" w:type="dxa"/>
            <w:tcBorders>
              <w:left w:val="single" w:sz="4" w:space="0" w:color="auto"/>
              <w:bottom w:val="single" w:sz="4" w:space="0" w:color="auto"/>
              <w:right w:val="single" w:sz="4" w:space="0" w:color="auto"/>
            </w:tcBorders>
            <w:tcMar>
              <w:top w:w="85" w:type="dxa"/>
              <w:bottom w:w="85" w:type="dxa"/>
            </w:tcMar>
          </w:tcPr>
          <w:p w:rsidR="001A4509" w:rsidRPr="00B95F81" w:rsidRDefault="001A4509" w:rsidP="001A4509">
            <w:pPr>
              <w:spacing w:after="0"/>
              <w:rPr>
                <w:noProof/>
                <w:sz w:val="20"/>
              </w:rPr>
            </w:pPr>
            <w:r w:rsidRPr="00B95F81">
              <w:rPr>
                <w:b/>
                <w:bCs/>
                <w:noProof/>
                <w:sz w:val="20"/>
              </w:rPr>
              <w:t>Európsky akčný plán pre demokraciu</w:t>
            </w:r>
            <w:r w:rsidRPr="00B95F81">
              <w:rPr>
                <w:noProof/>
                <w:sz w:val="20"/>
              </w:rPr>
              <w:t xml:space="preserve"> (nelegislatívna a legislatívna iniciatíva vrátane posúdenia vplyvu, články 224 a 114 ZFEÚ, 4. štvrťrok 2020);</w:t>
            </w:r>
          </w:p>
        </w:tc>
        <w:tc>
          <w:tcPr>
            <w:tcW w:w="1418" w:type="dxa"/>
            <w:tcBorders>
              <w:left w:val="single" w:sz="4" w:space="0" w:color="auto"/>
              <w:bottom w:val="single" w:sz="4" w:space="0" w:color="auto"/>
              <w:right w:val="single" w:sz="4" w:space="0" w:color="auto"/>
            </w:tcBorders>
          </w:tcPr>
          <w:p w:rsidR="001A4509" w:rsidRPr="00B95F81" w:rsidRDefault="00B95F81" w:rsidP="00B95F81">
            <w:pPr>
              <w:spacing w:after="0"/>
              <w:jc w:val="center"/>
              <w:rPr>
                <w:b/>
                <w:bCs/>
                <w:noProof/>
                <w:sz w:val="20"/>
              </w:rPr>
            </w:pPr>
            <w:r w:rsidRPr="00B95F81">
              <w:rPr>
                <w:b/>
                <w:bCs/>
                <w:noProof/>
                <w:sz w:val="20"/>
              </w:rPr>
              <w:t>MZV EZ SR</w:t>
            </w:r>
          </w:p>
        </w:tc>
        <w:tc>
          <w:tcPr>
            <w:tcW w:w="6804" w:type="dxa"/>
            <w:tcBorders>
              <w:left w:val="single" w:sz="4" w:space="0" w:color="auto"/>
              <w:bottom w:val="single" w:sz="4" w:space="0" w:color="auto"/>
              <w:right w:val="single" w:sz="4" w:space="0" w:color="auto"/>
            </w:tcBorders>
          </w:tcPr>
          <w:p w:rsidR="001A4509" w:rsidRPr="00B95F81" w:rsidRDefault="00B95F81" w:rsidP="00B95F81">
            <w:pPr>
              <w:spacing w:after="0"/>
              <w:rPr>
                <w:b/>
                <w:bCs/>
                <w:i/>
                <w:sz w:val="20"/>
                <w:u w:val="single"/>
              </w:rPr>
            </w:pPr>
            <w:r w:rsidRPr="00B95F81">
              <w:rPr>
                <w:b/>
                <w:bCs/>
                <w:sz w:val="20"/>
                <w:u w:val="single"/>
              </w:rPr>
              <w:t>Vysoká priorita</w:t>
            </w:r>
            <w:r w:rsidRPr="00B95F81">
              <w:rPr>
                <w:bCs/>
                <w:sz w:val="20"/>
              </w:rPr>
              <w:t xml:space="preserve">- </w:t>
            </w:r>
            <w:r w:rsidRPr="00B95F81">
              <w:rPr>
                <w:sz w:val="20"/>
              </w:rPr>
              <w:t>V závislosti od obsahu sa predpokladajú aj legislatívne implikácie týkajúce sa volieb a predvolebnej kampane.</w:t>
            </w:r>
          </w:p>
        </w:tc>
      </w:tr>
      <w:tr w:rsidR="001A4509" w:rsidTr="008A2C73">
        <w:trPr>
          <w:cantSplit/>
        </w:trPr>
        <w:tc>
          <w:tcPr>
            <w:tcW w:w="511" w:type="dxa"/>
            <w:tcBorders>
              <w:bottom w:val="single" w:sz="4" w:space="0" w:color="auto"/>
              <w:right w:val="single" w:sz="4" w:space="0" w:color="auto"/>
            </w:tcBorders>
          </w:tcPr>
          <w:p w:rsidR="001A4509" w:rsidRDefault="001A4509" w:rsidP="001A4509">
            <w:pPr>
              <w:pStyle w:val="Odsekzoznamu"/>
              <w:numPr>
                <w:ilvl w:val="0"/>
                <w:numId w:val="18"/>
              </w:numPr>
              <w:spacing w:after="0"/>
              <w:ind w:left="426"/>
              <w:rPr>
                <w:noProof/>
                <w:sz w:val="20"/>
              </w:rPr>
            </w:pPr>
          </w:p>
        </w:tc>
        <w:tc>
          <w:tcPr>
            <w:tcW w:w="1752" w:type="dxa"/>
            <w:tcBorders>
              <w:left w:val="single" w:sz="4" w:space="0" w:color="auto"/>
              <w:bottom w:val="single" w:sz="4" w:space="0" w:color="auto"/>
            </w:tcBorders>
            <w:tcMar>
              <w:top w:w="85" w:type="dxa"/>
              <w:bottom w:w="85" w:type="dxa"/>
            </w:tcMar>
          </w:tcPr>
          <w:p w:rsidR="001A4509" w:rsidRDefault="001A4509" w:rsidP="001A4509">
            <w:pPr>
              <w:spacing w:after="0"/>
              <w:rPr>
                <w:noProof/>
                <w:sz w:val="20"/>
              </w:rPr>
            </w:pPr>
            <w:r>
              <w:rPr>
                <w:b/>
                <w:bCs/>
                <w:noProof/>
                <w:sz w:val="20"/>
              </w:rPr>
              <w:t>Budúcnosť Európy</w:t>
            </w:r>
          </w:p>
        </w:tc>
        <w:tc>
          <w:tcPr>
            <w:tcW w:w="4111" w:type="dxa"/>
            <w:tcBorders>
              <w:bottom w:val="single" w:sz="4" w:space="0" w:color="auto"/>
            </w:tcBorders>
            <w:tcMar>
              <w:top w:w="85" w:type="dxa"/>
              <w:bottom w:w="85" w:type="dxa"/>
            </w:tcMar>
          </w:tcPr>
          <w:p w:rsidR="001A4509" w:rsidRDefault="001A4509" w:rsidP="001A4509">
            <w:pPr>
              <w:spacing w:after="0"/>
              <w:rPr>
                <w:noProof/>
                <w:sz w:val="20"/>
              </w:rPr>
            </w:pPr>
            <w:r>
              <w:rPr>
                <w:b/>
                <w:noProof/>
                <w:sz w:val="20"/>
              </w:rPr>
              <w:t>Riešime budúcnosť Európy – nová konferencia pre všetkých</w:t>
            </w:r>
            <w:r>
              <w:rPr>
                <w:noProof/>
                <w:sz w:val="20"/>
              </w:rPr>
              <w:t xml:space="preserve"> (nelegislatívna iniciatíva, 1. štvrťrok 2020)</w:t>
            </w:r>
          </w:p>
        </w:tc>
        <w:tc>
          <w:tcPr>
            <w:tcW w:w="1418" w:type="dxa"/>
            <w:tcBorders>
              <w:bottom w:val="single" w:sz="4" w:space="0" w:color="auto"/>
            </w:tcBorders>
          </w:tcPr>
          <w:p w:rsidR="001A4509" w:rsidRDefault="001A4509" w:rsidP="001A4509">
            <w:pPr>
              <w:spacing w:after="0"/>
              <w:jc w:val="center"/>
              <w:rPr>
                <w:b/>
                <w:noProof/>
                <w:sz w:val="20"/>
              </w:rPr>
            </w:pPr>
            <w:r>
              <w:rPr>
                <w:b/>
                <w:noProof/>
                <w:sz w:val="20"/>
              </w:rPr>
              <w:t>MZVEZ SR</w:t>
            </w:r>
          </w:p>
        </w:tc>
        <w:tc>
          <w:tcPr>
            <w:tcW w:w="6804" w:type="dxa"/>
            <w:tcBorders>
              <w:bottom w:val="single" w:sz="4" w:space="0" w:color="auto"/>
            </w:tcBorders>
          </w:tcPr>
          <w:p w:rsidR="001A4509" w:rsidRPr="00C534D8" w:rsidRDefault="001A4509" w:rsidP="001A4509">
            <w:pPr>
              <w:rPr>
                <w:sz w:val="20"/>
              </w:rPr>
            </w:pPr>
            <w:r w:rsidRPr="00C534D8">
              <w:rPr>
                <w:b/>
                <w:sz w:val="20"/>
                <w:u w:val="single"/>
              </w:rPr>
              <w:t>Stredná dôležitosť</w:t>
            </w:r>
            <w:r>
              <w:rPr>
                <w:sz w:val="20"/>
              </w:rPr>
              <w:t xml:space="preserve"> - konferencia o budúcnosti Európy bude inkluzívnou platformou pre občiansku spoločnosť, Európske inštitúcie a členské krajiny s cieľom navrhnúť opatrenia pre zvýšenie demokratickej legitimity a lepšie fungovanie EÚ. Spoločná pozícia Rady zdôrazňuje ciele Strategickej agendy ako hlavné východiská pre diskusiu. Konferencia má trvať 2 roky a jej záverom bude správa predložená ER. Otvorenie konferencie sa predpokladá v máji 2020.</w:t>
            </w:r>
          </w:p>
        </w:tc>
      </w:tr>
      <w:tr w:rsidR="001A4509" w:rsidTr="008A2C73">
        <w:trPr>
          <w:cantSplit/>
        </w:trPr>
        <w:tc>
          <w:tcPr>
            <w:tcW w:w="511" w:type="dxa"/>
            <w:tcBorders>
              <w:bottom w:val="single" w:sz="4" w:space="0" w:color="auto"/>
              <w:right w:val="single" w:sz="4" w:space="0" w:color="auto"/>
            </w:tcBorders>
          </w:tcPr>
          <w:p w:rsidR="001A4509" w:rsidRDefault="001A4509" w:rsidP="001A4509">
            <w:pPr>
              <w:pStyle w:val="Odsekzoznamu"/>
              <w:numPr>
                <w:ilvl w:val="0"/>
                <w:numId w:val="18"/>
              </w:numPr>
              <w:spacing w:after="0"/>
              <w:ind w:left="426"/>
              <w:rPr>
                <w:noProof/>
                <w:sz w:val="20"/>
              </w:rPr>
            </w:pPr>
          </w:p>
        </w:tc>
        <w:tc>
          <w:tcPr>
            <w:tcW w:w="1752" w:type="dxa"/>
            <w:tcBorders>
              <w:left w:val="single" w:sz="4" w:space="0" w:color="auto"/>
              <w:bottom w:val="single" w:sz="4" w:space="0" w:color="auto"/>
            </w:tcBorders>
            <w:tcMar>
              <w:top w:w="85" w:type="dxa"/>
              <w:bottom w:w="85" w:type="dxa"/>
            </w:tcMar>
          </w:tcPr>
          <w:p w:rsidR="001A4509" w:rsidRDefault="001A4509" w:rsidP="001A4509">
            <w:pPr>
              <w:spacing w:after="0"/>
              <w:rPr>
                <w:noProof/>
                <w:sz w:val="20"/>
              </w:rPr>
            </w:pPr>
            <w:r>
              <w:rPr>
                <w:b/>
                <w:bCs/>
                <w:noProof/>
                <w:sz w:val="20"/>
              </w:rPr>
              <w:t>Právny štát</w:t>
            </w:r>
          </w:p>
        </w:tc>
        <w:tc>
          <w:tcPr>
            <w:tcW w:w="4111" w:type="dxa"/>
            <w:tcBorders>
              <w:bottom w:val="single" w:sz="4" w:space="0" w:color="auto"/>
            </w:tcBorders>
            <w:tcMar>
              <w:top w:w="85" w:type="dxa"/>
              <w:bottom w:w="85" w:type="dxa"/>
            </w:tcMar>
          </w:tcPr>
          <w:p w:rsidR="001A4509" w:rsidRDefault="001A4509" w:rsidP="001A4509">
            <w:pPr>
              <w:spacing w:after="0"/>
              <w:rPr>
                <w:noProof/>
                <w:sz w:val="20"/>
              </w:rPr>
            </w:pPr>
            <w:r>
              <w:rPr>
                <w:b/>
                <w:bCs/>
                <w:noProof/>
                <w:sz w:val="20"/>
              </w:rPr>
              <w:t>Výročná správa o právnom štáte z roku 2020</w:t>
            </w:r>
            <w:r>
              <w:rPr>
                <w:noProof/>
                <w:sz w:val="20"/>
              </w:rPr>
              <w:t xml:space="preserve"> (nelegislatívna iniciatíva, 3. štvrťrok 2020)</w:t>
            </w:r>
          </w:p>
        </w:tc>
        <w:tc>
          <w:tcPr>
            <w:tcW w:w="1418" w:type="dxa"/>
            <w:tcBorders>
              <w:bottom w:val="single" w:sz="4" w:space="0" w:color="auto"/>
            </w:tcBorders>
          </w:tcPr>
          <w:p w:rsidR="00E87849" w:rsidRDefault="00E87849" w:rsidP="00B95F81">
            <w:pPr>
              <w:spacing w:after="0"/>
              <w:jc w:val="center"/>
              <w:rPr>
                <w:b/>
                <w:bCs/>
                <w:noProof/>
                <w:sz w:val="20"/>
              </w:rPr>
            </w:pPr>
            <w:r>
              <w:rPr>
                <w:b/>
                <w:bCs/>
                <w:noProof/>
                <w:sz w:val="20"/>
              </w:rPr>
              <w:t>MZVEZ SR</w:t>
            </w:r>
          </w:p>
          <w:p w:rsidR="001A4509" w:rsidRDefault="001A4509" w:rsidP="00B95F81">
            <w:pPr>
              <w:spacing w:after="0"/>
              <w:jc w:val="center"/>
              <w:rPr>
                <w:b/>
                <w:bCs/>
                <w:noProof/>
                <w:sz w:val="20"/>
              </w:rPr>
            </w:pPr>
            <w:r>
              <w:rPr>
                <w:b/>
                <w:bCs/>
                <w:noProof/>
                <w:sz w:val="20"/>
              </w:rPr>
              <w:t>MS SR</w:t>
            </w:r>
          </w:p>
        </w:tc>
        <w:tc>
          <w:tcPr>
            <w:tcW w:w="6804" w:type="dxa"/>
            <w:tcBorders>
              <w:bottom w:val="single" w:sz="4" w:space="0" w:color="auto"/>
            </w:tcBorders>
          </w:tcPr>
          <w:p w:rsidR="001A4509" w:rsidRPr="00B95F81" w:rsidRDefault="00E87849" w:rsidP="00E87849">
            <w:pPr>
              <w:spacing w:after="0"/>
              <w:rPr>
                <w:b/>
                <w:sz w:val="20"/>
                <w:u w:val="single"/>
              </w:rPr>
            </w:pPr>
            <w:r w:rsidRPr="008A2FAC">
              <w:rPr>
                <w:b/>
                <w:bCs/>
                <w:noProof/>
                <w:sz w:val="20"/>
                <w:u w:val="single"/>
              </w:rPr>
              <w:t>Stredná priorita</w:t>
            </w:r>
            <w:r w:rsidRPr="008A2FAC">
              <w:rPr>
                <w:b/>
                <w:bCs/>
                <w:noProof/>
                <w:sz w:val="20"/>
              </w:rPr>
              <w:t xml:space="preserve"> </w:t>
            </w:r>
            <w:r>
              <w:rPr>
                <w:b/>
                <w:bCs/>
                <w:noProof/>
                <w:sz w:val="20"/>
              </w:rPr>
              <w:t xml:space="preserve">– </w:t>
            </w:r>
            <w:r w:rsidRPr="008A2FAC">
              <w:rPr>
                <w:bCs/>
                <w:noProof/>
                <w:sz w:val="20"/>
              </w:rPr>
              <w:t>Ide o súčasť nového mechanizmu EK na ochranu a podporu právneho štátu. Bližšie detaily zatiaľ nie sú známe. Vo všeobecnosti SR dlhodobo podporuje mechanizmy na ochranu a podporu právneho štátu.</w:t>
            </w:r>
          </w:p>
        </w:tc>
      </w:tr>
      <w:tr w:rsidR="001A4509" w:rsidTr="008A2C73">
        <w:trPr>
          <w:cantSplit/>
        </w:trPr>
        <w:tc>
          <w:tcPr>
            <w:tcW w:w="511" w:type="dxa"/>
            <w:tcBorders>
              <w:right w:val="single" w:sz="4" w:space="0" w:color="auto"/>
            </w:tcBorders>
          </w:tcPr>
          <w:p w:rsidR="001A4509" w:rsidRDefault="001A4509" w:rsidP="001A4509">
            <w:pPr>
              <w:pStyle w:val="Odsekzoznamu"/>
              <w:numPr>
                <w:ilvl w:val="0"/>
                <w:numId w:val="18"/>
              </w:numPr>
              <w:spacing w:after="0"/>
              <w:ind w:left="426"/>
              <w:rPr>
                <w:noProof/>
                <w:sz w:val="20"/>
              </w:rPr>
            </w:pPr>
          </w:p>
        </w:tc>
        <w:tc>
          <w:tcPr>
            <w:tcW w:w="1752" w:type="dxa"/>
            <w:tcBorders>
              <w:left w:val="single" w:sz="4" w:space="0" w:color="auto"/>
            </w:tcBorders>
            <w:tcMar>
              <w:top w:w="85" w:type="dxa"/>
              <w:bottom w:w="85" w:type="dxa"/>
            </w:tcMar>
          </w:tcPr>
          <w:p w:rsidR="001A4509" w:rsidRDefault="001A4509" w:rsidP="001A4509">
            <w:pPr>
              <w:spacing w:after="0"/>
              <w:rPr>
                <w:b/>
                <w:bCs/>
                <w:noProof/>
                <w:color w:val="000000"/>
                <w:sz w:val="20"/>
              </w:rPr>
            </w:pPr>
            <w:r>
              <w:rPr>
                <w:b/>
                <w:bCs/>
                <w:noProof/>
                <w:sz w:val="20"/>
              </w:rPr>
              <w:t>Základné práva</w:t>
            </w:r>
          </w:p>
        </w:tc>
        <w:tc>
          <w:tcPr>
            <w:tcW w:w="4111" w:type="dxa"/>
            <w:tcMar>
              <w:top w:w="85" w:type="dxa"/>
              <w:bottom w:w="85" w:type="dxa"/>
            </w:tcMar>
          </w:tcPr>
          <w:p w:rsidR="001A4509" w:rsidRDefault="001A4509" w:rsidP="001A4509">
            <w:pPr>
              <w:spacing w:after="0"/>
              <w:jc w:val="left"/>
              <w:rPr>
                <w:noProof/>
                <w:sz w:val="20"/>
              </w:rPr>
            </w:pPr>
            <w:r>
              <w:rPr>
                <w:b/>
                <w:bCs/>
                <w:noProof/>
                <w:sz w:val="20"/>
              </w:rPr>
              <w:t>Nová stratégia vykonávania Charty základných práv</w:t>
            </w:r>
            <w:r>
              <w:rPr>
                <w:noProof/>
                <w:sz w:val="20"/>
              </w:rPr>
              <w:t xml:space="preserve"> (nelegislatívna iniciatíva, 4. štvrťrok 2020);</w:t>
            </w:r>
          </w:p>
          <w:p w:rsidR="00B95F81" w:rsidRDefault="001A4509" w:rsidP="001A4509">
            <w:pPr>
              <w:spacing w:after="0"/>
              <w:jc w:val="left"/>
              <w:rPr>
                <w:b/>
                <w:bCs/>
                <w:noProof/>
                <w:sz w:val="20"/>
              </w:rPr>
            </w:pPr>
            <w:r>
              <w:rPr>
                <w:noProof/>
                <w:sz w:val="20"/>
              </w:rPr>
              <w:br/>
            </w:r>
          </w:p>
          <w:p w:rsidR="001A4509" w:rsidRDefault="001A4509" w:rsidP="001A4509">
            <w:pPr>
              <w:spacing w:after="0"/>
              <w:jc w:val="left"/>
              <w:rPr>
                <w:noProof/>
                <w:sz w:val="20"/>
              </w:rPr>
            </w:pPr>
            <w:r>
              <w:rPr>
                <w:b/>
                <w:bCs/>
                <w:noProof/>
                <w:sz w:val="20"/>
              </w:rPr>
              <w:t>Stratégia EÚ v oblasti práv obetí</w:t>
            </w:r>
            <w:r>
              <w:rPr>
                <w:noProof/>
                <w:sz w:val="20"/>
              </w:rPr>
              <w:t xml:space="preserve"> (nelegislatívna iniciatíva, 2. štvrťrok 2020);</w:t>
            </w:r>
          </w:p>
          <w:p w:rsidR="001A4509" w:rsidRDefault="001A4509" w:rsidP="001A4509">
            <w:pPr>
              <w:spacing w:after="0"/>
              <w:jc w:val="left"/>
              <w:rPr>
                <w:noProof/>
                <w:sz w:val="20"/>
              </w:rPr>
            </w:pPr>
          </w:p>
          <w:p w:rsidR="007168F1" w:rsidRDefault="007168F1" w:rsidP="001A4509">
            <w:pPr>
              <w:spacing w:after="0"/>
              <w:jc w:val="left"/>
              <w:rPr>
                <w:b/>
                <w:bCs/>
                <w:noProof/>
                <w:sz w:val="20"/>
              </w:rPr>
            </w:pPr>
          </w:p>
          <w:p w:rsidR="007168F1" w:rsidRDefault="007168F1" w:rsidP="001A4509">
            <w:pPr>
              <w:spacing w:after="0"/>
              <w:jc w:val="left"/>
              <w:rPr>
                <w:b/>
                <w:bCs/>
                <w:noProof/>
                <w:sz w:val="20"/>
              </w:rPr>
            </w:pPr>
          </w:p>
          <w:p w:rsidR="007168F1" w:rsidRDefault="007168F1" w:rsidP="001A4509">
            <w:pPr>
              <w:spacing w:after="0"/>
              <w:jc w:val="left"/>
              <w:rPr>
                <w:b/>
                <w:bCs/>
                <w:noProof/>
                <w:sz w:val="20"/>
              </w:rPr>
            </w:pPr>
          </w:p>
          <w:p w:rsidR="001A4509" w:rsidRDefault="001A4509" w:rsidP="001A4509">
            <w:pPr>
              <w:spacing w:after="0"/>
              <w:jc w:val="left"/>
              <w:rPr>
                <w:noProof/>
                <w:sz w:val="20"/>
              </w:rPr>
            </w:pPr>
            <w:r>
              <w:rPr>
                <w:b/>
                <w:bCs/>
                <w:noProof/>
                <w:sz w:val="20"/>
              </w:rPr>
              <w:t>Správa o uplatňovaní všeobecného nariadenia o ochrane údajov</w:t>
            </w:r>
            <w:r>
              <w:rPr>
                <w:noProof/>
                <w:sz w:val="20"/>
              </w:rPr>
              <w:t xml:space="preserve"> (nelegislatívna iniciatíva, 2. štvrťrok 2020);</w:t>
            </w:r>
          </w:p>
          <w:p w:rsidR="001A4509" w:rsidRDefault="001A4509" w:rsidP="001A4509">
            <w:pPr>
              <w:spacing w:after="0"/>
              <w:jc w:val="left"/>
              <w:rPr>
                <w:b/>
                <w:bCs/>
                <w:noProof/>
                <w:sz w:val="20"/>
              </w:rPr>
            </w:pPr>
            <w:r>
              <w:rPr>
                <w:noProof/>
                <w:sz w:val="20"/>
              </w:rPr>
              <w:br/>
            </w:r>
          </w:p>
          <w:p w:rsidR="007168F1" w:rsidRDefault="007168F1" w:rsidP="001A4509">
            <w:pPr>
              <w:spacing w:after="0"/>
              <w:jc w:val="left"/>
              <w:rPr>
                <w:b/>
                <w:bCs/>
                <w:noProof/>
                <w:sz w:val="20"/>
              </w:rPr>
            </w:pPr>
          </w:p>
          <w:p w:rsidR="007168F1" w:rsidRDefault="007168F1" w:rsidP="001A4509">
            <w:pPr>
              <w:spacing w:after="0"/>
              <w:jc w:val="left"/>
              <w:rPr>
                <w:b/>
                <w:bCs/>
                <w:noProof/>
                <w:sz w:val="20"/>
              </w:rPr>
            </w:pPr>
          </w:p>
          <w:p w:rsidR="007168F1" w:rsidRDefault="007168F1" w:rsidP="001A4509">
            <w:pPr>
              <w:spacing w:after="0"/>
              <w:jc w:val="left"/>
              <w:rPr>
                <w:b/>
                <w:bCs/>
                <w:noProof/>
                <w:sz w:val="20"/>
              </w:rPr>
            </w:pPr>
          </w:p>
          <w:p w:rsidR="001A4509" w:rsidRDefault="001A4509" w:rsidP="001A4509">
            <w:pPr>
              <w:spacing w:after="0"/>
              <w:jc w:val="left"/>
              <w:rPr>
                <w:noProof/>
                <w:sz w:val="20"/>
              </w:rPr>
            </w:pPr>
            <w:r>
              <w:rPr>
                <w:b/>
                <w:bCs/>
                <w:noProof/>
                <w:sz w:val="20"/>
              </w:rPr>
              <w:t>Zosúladenie príslušných pravidiel Únie v oblasti presadzovania práva so zreteľom na ochranu údajov</w:t>
            </w:r>
            <w:r>
              <w:rPr>
                <w:noProof/>
                <w:sz w:val="20"/>
              </w:rPr>
              <w:t xml:space="preserve"> (nelegislatívna iniciatíva, 2. štvrťrok 2020)</w:t>
            </w:r>
          </w:p>
        </w:tc>
        <w:tc>
          <w:tcPr>
            <w:tcW w:w="1418" w:type="dxa"/>
          </w:tcPr>
          <w:p w:rsidR="001A4509" w:rsidRDefault="001A4509" w:rsidP="00795224">
            <w:pPr>
              <w:spacing w:after="0"/>
              <w:jc w:val="center"/>
              <w:rPr>
                <w:b/>
                <w:bCs/>
                <w:noProof/>
                <w:sz w:val="20"/>
              </w:rPr>
            </w:pPr>
            <w:r>
              <w:rPr>
                <w:b/>
                <w:bCs/>
                <w:noProof/>
                <w:sz w:val="20"/>
              </w:rPr>
              <w:t>MS SR</w:t>
            </w:r>
          </w:p>
          <w:p w:rsidR="001A4509" w:rsidRDefault="001A4509" w:rsidP="00795224">
            <w:pPr>
              <w:spacing w:after="0"/>
              <w:jc w:val="center"/>
              <w:rPr>
                <w:b/>
                <w:bCs/>
                <w:noProof/>
                <w:sz w:val="20"/>
              </w:rPr>
            </w:pPr>
          </w:p>
          <w:p w:rsidR="001A4509" w:rsidRDefault="001A4509" w:rsidP="00795224">
            <w:pPr>
              <w:spacing w:after="0"/>
              <w:jc w:val="center"/>
              <w:rPr>
                <w:b/>
                <w:bCs/>
                <w:noProof/>
                <w:sz w:val="20"/>
              </w:rPr>
            </w:pPr>
          </w:p>
          <w:p w:rsidR="00B95F81" w:rsidRDefault="00B95F81" w:rsidP="00795224">
            <w:pPr>
              <w:spacing w:after="0"/>
              <w:jc w:val="center"/>
              <w:rPr>
                <w:b/>
                <w:bCs/>
                <w:noProof/>
                <w:sz w:val="20"/>
              </w:rPr>
            </w:pPr>
          </w:p>
          <w:p w:rsidR="00B95F81" w:rsidRDefault="00B95F81" w:rsidP="00795224">
            <w:pPr>
              <w:spacing w:after="0"/>
              <w:jc w:val="center"/>
              <w:rPr>
                <w:b/>
                <w:bCs/>
                <w:noProof/>
                <w:sz w:val="20"/>
              </w:rPr>
            </w:pPr>
          </w:p>
          <w:p w:rsidR="001A4509" w:rsidRDefault="001A4509" w:rsidP="00795224">
            <w:pPr>
              <w:spacing w:after="0"/>
              <w:jc w:val="center"/>
              <w:rPr>
                <w:b/>
                <w:bCs/>
                <w:noProof/>
                <w:sz w:val="20"/>
              </w:rPr>
            </w:pPr>
            <w:r>
              <w:rPr>
                <w:b/>
                <w:bCs/>
                <w:noProof/>
                <w:sz w:val="20"/>
              </w:rPr>
              <w:t>MS SR</w:t>
            </w:r>
          </w:p>
          <w:p w:rsidR="001A4509" w:rsidRDefault="001A4509" w:rsidP="00795224">
            <w:pPr>
              <w:spacing w:after="0"/>
              <w:jc w:val="center"/>
              <w:rPr>
                <w:b/>
                <w:bCs/>
                <w:noProof/>
                <w:sz w:val="20"/>
              </w:rPr>
            </w:pPr>
          </w:p>
          <w:p w:rsidR="001A4509" w:rsidRDefault="001A4509" w:rsidP="00795224">
            <w:pPr>
              <w:spacing w:after="0"/>
              <w:jc w:val="center"/>
              <w:rPr>
                <w:b/>
                <w:bCs/>
                <w:noProof/>
                <w:sz w:val="20"/>
              </w:rPr>
            </w:pPr>
          </w:p>
          <w:p w:rsidR="001A4509" w:rsidRDefault="001A4509" w:rsidP="00795224">
            <w:pPr>
              <w:spacing w:after="0"/>
              <w:jc w:val="center"/>
              <w:rPr>
                <w:b/>
                <w:bCs/>
                <w:noProof/>
                <w:sz w:val="20"/>
              </w:rPr>
            </w:pPr>
          </w:p>
          <w:p w:rsidR="007168F1" w:rsidRDefault="007168F1" w:rsidP="00795224">
            <w:pPr>
              <w:spacing w:after="0"/>
              <w:jc w:val="center"/>
              <w:rPr>
                <w:b/>
                <w:bCs/>
                <w:noProof/>
                <w:sz w:val="20"/>
              </w:rPr>
            </w:pPr>
          </w:p>
          <w:p w:rsidR="007168F1" w:rsidRDefault="007168F1" w:rsidP="00795224">
            <w:pPr>
              <w:spacing w:after="0"/>
              <w:jc w:val="center"/>
              <w:rPr>
                <w:b/>
                <w:bCs/>
                <w:noProof/>
                <w:sz w:val="20"/>
              </w:rPr>
            </w:pPr>
          </w:p>
          <w:p w:rsidR="001A4509" w:rsidRDefault="001A4509" w:rsidP="00795224">
            <w:pPr>
              <w:spacing w:after="0"/>
              <w:jc w:val="center"/>
              <w:rPr>
                <w:b/>
                <w:bCs/>
                <w:noProof/>
                <w:sz w:val="20"/>
              </w:rPr>
            </w:pPr>
            <w:r>
              <w:rPr>
                <w:b/>
                <w:bCs/>
                <w:noProof/>
                <w:sz w:val="20"/>
              </w:rPr>
              <w:t>ÚOOÚ SR</w:t>
            </w:r>
          </w:p>
          <w:p w:rsidR="001A4509" w:rsidRDefault="001A4509" w:rsidP="00795224">
            <w:pPr>
              <w:spacing w:after="0"/>
              <w:jc w:val="center"/>
              <w:rPr>
                <w:b/>
                <w:bCs/>
                <w:noProof/>
                <w:sz w:val="20"/>
              </w:rPr>
            </w:pPr>
            <w:r>
              <w:rPr>
                <w:b/>
                <w:bCs/>
                <w:noProof/>
                <w:sz w:val="20"/>
              </w:rPr>
              <w:t>MS SR</w:t>
            </w:r>
          </w:p>
          <w:p w:rsidR="001A4509" w:rsidRDefault="001A4509" w:rsidP="00795224">
            <w:pPr>
              <w:spacing w:after="0"/>
              <w:jc w:val="center"/>
              <w:rPr>
                <w:b/>
                <w:bCs/>
                <w:noProof/>
                <w:sz w:val="20"/>
              </w:rPr>
            </w:pPr>
          </w:p>
          <w:p w:rsidR="001A4509" w:rsidRDefault="001A4509" w:rsidP="00795224">
            <w:pPr>
              <w:spacing w:after="0"/>
              <w:jc w:val="center"/>
              <w:rPr>
                <w:b/>
                <w:bCs/>
                <w:noProof/>
                <w:sz w:val="20"/>
              </w:rPr>
            </w:pPr>
          </w:p>
          <w:p w:rsidR="001A4509" w:rsidRDefault="001A4509" w:rsidP="00795224">
            <w:pPr>
              <w:spacing w:after="0"/>
              <w:jc w:val="center"/>
              <w:rPr>
                <w:b/>
                <w:bCs/>
                <w:noProof/>
                <w:sz w:val="20"/>
              </w:rPr>
            </w:pPr>
          </w:p>
          <w:p w:rsidR="007168F1" w:rsidRDefault="007168F1" w:rsidP="007168F1">
            <w:pPr>
              <w:spacing w:after="0"/>
              <w:rPr>
                <w:b/>
                <w:bCs/>
                <w:noProof/>
                <w:sz w:val="20"/>
              </w:rPr>
            </w:pPr>
          </w:p>
          <w:p w:rsidR="007168F1" w:rsidRDefault="007168F1" w:rsidP="007168F1">
            <w:pPr>
              <w:spacing w:after="0"/>
              <w:rPr>
                <w:b/>
                <w:bCs/>
                <w:noProof/>
                <w:sz w:val="20"/>
              </w:rPr>
            </w:pPr>
          </w:p>
          <w:p w:rsidR="007168F1" w:rsidRDefault="007168F1" w:rsidP="00795224">
            <w:pPr>
              <w:spacing w:after="0"/>
              <w:jc w:val="center"/>
              <w:rPr>
                <w:b/>
                <w:bCs/>
                <w:noProof/>
                <w:sz w:val="20"/>
              </w:rPr>
            </w:pPr>
          </w:p>
          <w:p w:rsidR="001A4509" w:rsidRDefault="001A4509" w:rsidP="00795224">
            <w:pPr>
              <w:spacing w:after="0"/>
              <w:jc w:val="center"/>
              <w:rPr>
                <w:b/>
                <w:bCs/>
                <w:noProof/>
                <w:sz w:val="20"/>
              </w:rPr>
            </w:pPr>
            <w:r>
              <w:rPr>
                <w:b/>
                <w:bCs/>
                <w:noProof/>
                <w:sz w:val="20"/>
              </w:rPr>
              <w:t>ÚOOÚ SR</w:t>
            </w:r>
          </w:p>
          <w:p w:rsidR="001A4509" w:rsidRDefault="001A4509" w:rsidP="00795224">
            <w:pPr>
              <w:spacing w:after="0"/>
              <w:jc w:val="center"/>
              <w:rPr>
                <w:b/>
                <w:bCs/>
                <w:noProof/>
                <w:sz w:val="20"/>
              </w:rPr>
            </w:pPr>
            <w:r>
              <w:rPr>
                <w:b/>
                <w:bCs/>
                <w:noProof/>
                <w:sz w:val="20"/>
              </w:rPr>
              <w:t>MS SR</w:t>
            </w:r>
          </w:p>
          <w:p w:rsidR="001A4509" w:rsidRDefault="001A4509" w:rsidP="00795224">
            <w:pPr>
              <w:spacing w:after="0"/>
              <w:jc w:val="center"/>
              <w:rPr>
                <w:b/>
                <w:bCs/>
                <w:noProof/>
                <w:sz w:val="20"/>
              </w:rPr>
            </w:pPr>
            <w:r>
              <w:rPr>
                <w:b/>
                <w:bCs/>
                <w:noProof/>
                <w:sz w:val="20"/>
              </w:rPr>
              <w:t>MV SR</w:t>
            </w:r>
          </w:p>
        </w:tc>
        <w:tc>
          <w:tcPr>
            <w:tcW w:w="6804" w:type="dxa"/>
          </w:tcPr>
          <w:p w:rsidR="001A4509" w:rsidRDefault="001A4509" w:rsidP="00B95F81">
            <w:pPr>
              <w:spacing w:after="0"/>
              <w:ind w:right="112"/>
              <w:rPr>
                <w:b/>
                <w:sz w:val="20"/>
                <w:u w:val="single"/>
              </w:rPr>
            </w:pPr>
            <w:r>
              <w:rPr>
                <w:b/>
                <w:sz w:val="20"/>
                <w:u w:val="single"/>
              </w:rPr>
              <w:t xml:space="preserve">Stredná </w:t>
            </w:r>
            <w:r w:rsidRPr="00F465E1">
              <w:rPr>
                <w:b/>
                <w:sz w:val="20"/>
                <w:u w:val="single"/>
              </w:rPr>
              <w:t>priorita</w:t>
            </w:r>
            <w:r w:rsidR="00B95F81" w:rsidRPr="00B95F81">
              <w:rPr>
                <w:b/>
                <w:sz w:val="20"/>
              </w:rPr>
              <w:t xml:space="preserve"> -</w:t>
            </w:r>
            <w:r w:rsidR="00B95F81" w:rsidRPr="003B1CF2">
              <w:rPr>
                <w:sz w:val="20"/>
              </w:rPr>
              <w:t xml:space="preserve"> Nová stratégia nadviaže na predchádzajúcu berúc do úvahy skúsenosti z 10 ročného uplatňovania Charty ZP.Charta ZP je právne záväzná pre ČŠ pri uplatňovaní práva EÚ. EK a institúcie ju majú povinnosť uplatňovať v legislatívnom procese.</w:t>
            </w:r>
          </w:p>
          <w:p w:rsidR="001A4509" w:rsidRDefault="001A4509" w:rsidP="001A4509">
            <w:pPr>
              <w:spacing w:after="0"/>
              <w:ind w:right="112"/>
              <w:jc w:val="left"/>
              <w:rPr>
                <w:b/>
                <w:sz w:val="20"/>
                <w:u w:val="single"/>
              </w:rPr>
            </w:pPr>
          </w:p>
          <w:p w:rsidR="001A4509" w:rsidRDefault="001A4509" w:rsidP="0085785C">
            <w:pPr>
              <w:spacing w:after="0"/>
              <w:ind w:right="112"/>
              <w:rPr>
                <w:b/>
                <w:sz w:val="20"/>
                <w:u w:val="single"/>
              </w:rPr>
            </w:pPr>
            <w:r>
              <w:rPr>
                <w:b/>
                <w:sz w:val="20"/>
                <w:u w:val="single"/>
              </w:rPr>
              <w:t xml:space="preserve">Stredná </w:t>
            </w:r>
            <w:r w:rsidRPr="00F465E1">
              <w:rPr>
                <w:b/>
                <w:sz w:val="20"/>
                <w:u w:val="single"/>
              </w:rPr>
              <w:t>priorita</w:t>
            </w:r>
            <w:r w:rsidR="00795224" w:rsidRPr="00795224">
              <w:rPr>
                <w:sz w:val="20"/>
              </w:rPr>
              <w:t xml:space="preserve"> - </w:t>
            </w:r>
            <w:r w:rsidR="00795224" w:rsidRPr="00795224">
              <w:rPr>
                <w:color w:val="212121"/>
                <w:sz w:val="20"/>
              </w:rPr>
              <w:t>Cieľom je zlepšíť prístup obetí trestných činov k spravodlivosti a posilniť ich právo na kompenzáciu s osobitným prihladnutím na obete teroristických činov (vyplýva zo záverov Rady JHA z decembra 2019)</w:t>
            </w:r>
          </w:p>
          <w:p w:rsidR="001A4509" w:rsidRDefault="001A4509" w:rsidP="001A4509">
            <w:pPr>
              <w:spacing w:after="0"/>
              <w:ind w:right="112"/>
              <w:jc w:val="left"/>
              <w:rPr>
                <w:sz w:val="20"/>
              </w:rPr>
            </w:pPr>
          </w:p>
          <w:p w:rsidR="001A4509" w:rsidRDefault="001A4509" w:rsidP="001A4509">
            <w:pPr>
              <w:spacing w:after="0"/>
              <w:ind w:right="112"/>
              <w:jc w:val="left"/>
              <w:rPr>
                <w:sz w:val="20"/>
              </w:rPr>
            </w:pPr>
          </w:p>
          <w:p w:rsidR="001A4509" w:rsidRDefault="001A4509" w:rsidP="001A4509">
            <w:pPr>
              <w:spacing w:after="0"/>
              <w:ind w:right="112"/>
              <w:jc w:val="left"/>
              <w:rPr>
                <w:sz w:val="20"/>
              </w:rPr>
            </w:pPr>
          </w:p>
          <w:p w:rsidR="001A4509" w:rsidRDefault="001A4509" w:rsidP="001A4509">
            <w:pPr>
              <w:spacing w:after="0"/>
              <w:rPr>
                <w:sz w:val="20"/>
              </w:rPr>
            </w:pPr>
            <w:r w:rsidRPr="00FE2A32">
              <w:rPr>
                <w:b/>
                <w:bCs/>
                <w:sz w:val="20"/>
                <w:u w:val="single"/>
              </w:rPr>
              <w:t>Nízka priorita</w:t>
            </w:r>
            <w:r w:rsidRPr="00FE2A32">
              <w:rPr>
                <w:bCs/>
                <w:sz w:val="20"/>
              </w:rPr>
              <w:t xml:space="preserve"> -</w:t>
            </w:r>
            <w:r>
              <w:rPr>
                <w:sz w:val="20"/>
              </w:rPr>
              <w:t xml:space="preserve">KOM v súlade s čl. 97 všeobecného nariadenia o ochrane úajov (GDPR) predoží EP a Rade do 25. mája 2020 správu o hodnotení a preskúmaní GDPR. Správa bude zameraná najmä an prenosy osobných údajov do tretích krajín a medzinárodným organizáciam a mechanizmus konzistentnosti a spolupráce medzi doozornými orgánmi EHP. SR poskytlo vstupy potrebné pre správu a výsledky správy vezme na vedomie. </w:t>
            </w:r>
          </w:p>
          <w:p w:rsidR="001A4509" w:rsidRPr="00263C9E" w:rsidRDefault="001A4509" w:rsidP="001A4509">
            <w:pPr>
              <w:spacing w:after="0"/>
              <w:rPr>
                <w:sz w:val="20"/>
              </w:rPr>
            </w:pPr>
            <w:r>
              <w:rPr>
                <w:sz w:val="20"/>
              </w:rPr>
              <w:t xml:space="preserve"> </w:t>
            </w:r>
            <w:r>
              <w:rPr>
                <w:sz w:val="20"/>
              </w:rPr>
              <w:br/>
            </w:r>
          </w:p>
          <w:p w:rsidR="001A4509" w:rsidRPr="00263C9E" w:rsidRDefault="001A4509" w:rsidP="001A4509">
            <w:pPr>
              <w:spacing w:after="0"/>
              <w:rPr>
                <w:bCs/>
                <w:sz w:val="20"/>
              </w:rPr>
            </w:pPr>
            <w:r w:rsidRPr="00263C9E">
              <w:rPr>
                <w:b/>
                <w:bCs/>
                <w:sz w:val="20"/>
                <w:u w:val="single"/>
              </w:rPr>
              <w:t>Nízka priorita</w:t>
            </w:r>
            <w:r>
              <w:rPr>
                <w:bCs/>
                <w:sz w:val="20"/>
              </w:rPr>
              <w:t xml:space="preserve"> - </w:t>
            </w:r>
            <w:r>
              <w:rPr>
                <w:sz w:val="20"/>
              </w:rPr>
              <w:t>Keďže v článku 8 C</w:t>
            </w:r>
            <w:r w:rsidRPr="00E37C3E">
              <w:rPr>
                <w:sz w:val="20"/>
              </w:rPr>
              <w:t xml:space="preserve">harty a v článku 16 ZFEÚ  sa  požaduje, aby  sa  základné právo  na  ochranu osobných údajov  zabezpečilo konzistentne  v  celej  Únii, </w:t>
            </w:r>
            <w:r>
              <w:rPr>
                <w:sz w:val="20"/>
              </w:rPr>
              <w:t>COM</w:t>
            </w:r>
            <w:r w:rsidRPr="00E37C3E">
              <w:rPr>
                <w:sz w:val="20"/>
              </w:rPr>
              <w:t xml:space="preserve"> by mala zhodnotiť situáciu, pokiaľ ide o vzťah medzi </w:t>
            </w:r>
            <w:r>
              <w:rPr>
                <w:sz w:val="20"/>
              </w:rPr>
              <w:t xml:space="preserve">smernicou </w:t>
            </w:r>
            <w:r w:rsidRPr="00E37C3E">
              <w:rPr>
                <w:sz w:val="20"/>
              </w:rPr>
              <w:t xml:space="preserve">2016/680 </w:t>
            </w:r>
            <w:r>
              <w:rPr>
                <w:sz w:val="20"/>
              </w:rPr>
              <w:t>o presadzovaní práva</w:t>
            </w:r>
            <w:r w:rsidRPr="00E37C3E">
              <w:rPr>
                <w:sz w:val="20"/>
              </w:rPr>
              <w:t xml:space="preserve"> a aktmi, ktoré boli prijaté pred dátumom prijatia tejto smernice a ktoré upravujú spracúvanie osobných údajov medzi členskými štátmi a prístup určených  orgánov  členských  štátov  do  informačných systémov  zriadených  podľa zmlúv,  s  cieľom posúdiť potrebu zosúladenia týchto osobitných ustanovení s touto smernicou. </w:t>
            </w:r>
            <w:r>
              <w:rPr>
                <w:sz w:val="20"/>
              </w:rPr>
              <w:t>COM</w:t>
            </w:r>
            <w:r w:rsidRPr="00E37C3E">
              <w:rPr>
                <w:sz w:val="20"/>
              </w:rPr>
              <w:t xml:space="preserve"> by podľa potreby mala predložiť návrhy  zamerané na  zabezpečenie konzistentných právnych  predpisov  týkajúcich  sa  spracúvania osobných údajov.</w:t>
            </w:r>
            <w:r>
              <w:rPr>
                <w:sz w:val="20"/>
              </w:rPr>
              <w:t xml:space="preserve"> SR podporuje z</w:t>
            </w:r>
            <w:r w:rsidRPr="00830B00">
              <w:rPr>
                <w:sz w:val="20"/>
              </w:rPr>
              <w:t>osúladenie príslušných pravidiel Únie v oblasti presadzovania práva, pokiaľ ide o ochranu údajov</w:t>
            </w:r>
            <w:r>
              <w:rPr>
                <w:sz w:val="20"/>
              </w:rPr>
              <w:t>.</w:t>
            </w:r>
          </w:p>
        </w:tc>
      </w:tr>
      <w:tr w:rsidR="001A4509" w:rsidTr="008A2C73">
        <w:trPr>
          <w:cantSplit/>
        </w:trPr>
        <w:tc>
          <w:tcPr>
            <w:tcW w:w="511" w:type="dxa"/>
            <w:tcBorders>
              <w:bottom w:val="single" w:sz="4" w:space="0" w:color="auto"/>
              <w:right w:val="single" w:sz="4" w:space="0" w:color="auto"/>
            </w:tcBorders>
          </w:tcPr>
          <w:p w:rsidR="001A4509" w:rsidRDefault="001A4509" w:rsidP="001A4509">
            <w:pPr>
              <w:pStyle w:val="Odsekzoznamu"/>
              <w:numPr>
                <w:ilvl w:val="0"/>
                <w:numId w:val="18"/>
              </w:numPr>
              <w:spacing w:after="0"/>
              <w:ind w:left="426"/>
              <w:rPr>
                <w:noProof/>
                <w:sz w:val="20"/>
              </w:rPr>
            </w:pPr>
          </w:p>
        </w:tc>
        <w:tc>
          <w:tcPr>
            <w:tcW w:w="1752" w:type="dxa"/>
            <w:tcBorders>
              <w:left w:val="single" w:sz="4" w:space="0" w:color="auto"/>
              <w:bottom w:val="single" w:sz="4" w:space="0" w:color="auto"/>
            </w:tcBorders>
            <w:tcMar>
              <w:top w:w="85" w:type="dxa"/>
              <w:bottom w:w="85" w:type="dxa"/>
            </w:tcMar>
          </w:tcPr>
          <w:p w:rsidR="001A4509" w:rsidRDefault="001A4509" w:rsidP="001A4509">
            <w:pPr>
              <w:spacing w:after="0"/>
              <w:rPr>
                <w:noProof/>
                <w:sz w:val="20"/>
              </w:rPr>
            </w:pPr>
            <w:r>
              <w:rPr>
                <w:b/>
                <w:bCs/>
                <w:noProof/>
                <w:sz w:val="20"/>
              </w:rPr>
              <w:t>Lepšia právna regulácia</w:t>
            </w:r>
          </w:p>
        </w:tc>
        <w:tc>
          <w:tcPr>
            <w:tcW w:w="4111" w:type="dxa"/>
            <w:tcBorders>
              <w:bottom w:val="single" w:sz="4" w:space="0" w:color="auto"/>
            </w:tcBorders>
            <w:tcMar>
              <w:top w:w="85" w:type="dxa"/>
              <w:bottom w:w="85" w:type="dxa"/>
            </w:tcMar>
          </w:tcPr>
          <w:p w:rsidR="001A4509" w:rsidRDefault="001A4509" w:rsidP="001A4509">
            <w:pPr>
              <w:spacing w:after="0"/>
              <w:rPr>
                <w:noProof/>
                <w:sz w:val="20"/>
              </w:rPr>
            </w:pPr>
            <w:r>
              <w:rPr>
                <w:b/>
                <w:noProof/>
                <w:sz w:val="20"/>
              </w:rPr>
              <w:t>Oznámenie o lepšej právnej regulácii</w:t>
            </w:r>
            <w:r>
              <w:rPr>
                <w:noProof/>
                <w:sz w:val="20"/>
              </w:rPr>
              <w:t xml:space="preserve"> (nelegislatívna iniciatíva, 2. štvrťrok 2020) </w:t>
            </w:r>
          </w:p>
        </w:tc>
        <w:tc>
          <w:tcPr>
            <w:tcW w:w="1418" w:type="dxa"/>
            <w:tcBorders>
              <w:bottom w:val="single" w:sz="4" w:space="0" w:color="auto"/>
            </w:tcBorders>
          </w:tcPr>
          <w:p w:rsidR="001A4509" w:rsidRDefault="001A4509" w:rsidP="00795224">
            <w:pPr>
              <w:spacing w:after="0"/>
              <w:jc w:val="center"/>
              <w:rPr>
                <w:b/>
                <w:noProof/>
                <w:sz w:val="20"/>
              </w:rPr>
            </w:pPr>
            <w:r>
              <w:rPr>
                <w:b/>
                <w:noProof/>
                <w:sz w:val="20"/>
              </w:rPr>
              <w:t>MH SR</w:t>
            </w:r>
          </w:p>
        </w:tc>
        <w:tc>
          <w:tcPr>
            <w:tcW w:w="6804" w:type="dxa"/>
            <w:tcBorders>
              <w:bottom w:val="single" w:sz="4" w:space="0" w:color="auto"/>
            </w:tcBorders>
          </w:tcPr>
          <w:p w:rsidR="001A4509" w:rsidRDefault="001A4509" w:rsidP="001A4509">
            <w:pPr>
              <w:spacing w:after="0"/>
              <w:ind w:right="112"/>
              <w:rPr>
                <w:b/>
                <w:noProof/>
                <w:sz w:val="20"/>
              </w:rPr>
            </w:pPr>
            <w:r w:rsidRPr="00F465E1">
              <w:rPr>
                <w:b/>
                <w:sz w:val="20"/>
                <w:u w:val="single"/>
              </w:rPr>
              <w:t>Vysoká priorita</w:t>
            </w:r>
            <w:r>
              <w:rPr>
                <w:sz w:val="20"/>
              </w:rPr>
              <w:t xml:space="preserve"> -</w:t>
            </w:r>
            <w:r w:rsidR="005A0B42">
              <w:rPr>
                <w:sz w:val="20"/>
              </w:rPr>
              <w:t xml:space="preserve"> </w:t>
            </w:r>
            <w:r w:rsidRPr="006D4022">
              <w:rPr>
                <w:sz w:val="20"/>
              </w:rPr>
              <w:t xml:space="preserve">Téma lepšej regulácie je dôležitá pre SR z pohľadu </w:t>
            </w:r>
            <w:r>
              <w:rPr>
                <w:sz w:val="20"/>
              </w:rPr>
              <w:t>kontinuálneho zlepšovania podniakteľského prostredia ako aj fungovania a zefektívnovania verejných procesov a služieb pre občana. SR podporuje</w:t>
            </w:r>
            <w:r w:rsidRPr="00F465E1">
              <w:rPr>
                <w:sz w:val="20"/>
              </w:rPr>
              <w:t xml:space="preserve"> vypracovanie dokumentov súvisiacich s agendou Lepšej regulácie, </w:t>
            </w:r>
            <w:r>
              <w:rPr>
                <w:sz w:val="20"/>
              </w:rPr>
              <w:t xml:space="preserve">Využitie </w:t>
            </w:r>
            <w:r w:rsidRPr="00F465E1">
              <w:rPr>
                <w:sz w:val="20"/>
              </w:rPr>
              <w:t>iniciatívy pri posudzo</w:t>
            </w:r>
            <w:r>
              <w:rPr>
                <w:sz w:val="20"/>
              </w:rPr>
              <w:t xml:space="preserve">vaní nastavovaní legislatívy SR. </w:t>
            </w:r>
          </w:p>
        </w:tc>
      </w:tr>
      <w:tr w:rsidR="001A4509" w:rsidTr="008A2C73">
        <w:trPr>
          <w:cantSplit/>
        </w:trPr>
        <w:tc>
          <w:tcPr>
            <w:tcW w:w="511" w:type="dxa"/>
            <w:tcBorders>
              <w:bottom w:val="single" w:sz="4" w:space="0" w:color="auto"/>
              <w:right w:val="single" w:sz="4" w:space="0" w:color="auto"/>
            </w:tcBorders>
          </w:tcPr>
          <w:p w:rsidR="001A4509" w:rsidRDefault="001A4509" w:rsidP="001A4509">
            <w:pPr>
              <w:pStyle w:val="Odsekzoznamu"/>
              <w:numPr>
                <w:ilvl w:val="0"/>
                <w:numId w:val="18"/>
              </w:numPr>
              <w:spacing w:after="0"/>
              <w:ind w:left="426"/>
              <w:rPr>
                <w:noProof/>
                <w:sz w:val="20"/>
              </w:rPr>
            </w:pPr>
          </w:p>
        </w:tc>
        <w:tc>
          <w:tcPr>
            <w:tcW w:w="1752" w:type="dxa"/>
            <w:tcBorders>
              <w:left w:val="single" w:sz="4" w:space="0" w:color="auto"/>
              <w:bottom w:val="single" w:sz="4" w:space="0" w:color="auto"/>
            </w:tcBorders>
            <w:tcMar>
              <w:top w:w="85" w:type="dxa"/>
              <w:bottom w:w="85" w:type="dxa"/>
            </w:tcMar>
            <w:vAlign w:val="center"/>
          </w:tcPr>
          <w:p w:rsidR="001A4509" w:rsidRPr="00795224" w:rsidRDefault="001A4509" w:rsidP="001A4509">
            <w:pPr>
              <w:spacing w:after="0"/>
              <w:rPr>
                <w:noProof/>
                <w:sz w:val="20"/>
              </w:rPr>
            </w:pPr>
            <w:r w:rsidRPr="00795224">
              <w:rPr>
                <w:b/>
                <w:bCs/>
                <w:noProof/>
                <w:sz w:val="20"/>
              </w:rPr>
              <w:t>Strategický výhľad</w:t>
            </w:r>
          </w:p>
        </w:tc>
        <w:tc>
          <w:tcPr>
            <w:tcW w:w="4111" w:type="dxa"/>
            <w:tcMar>
              <w:top w:w="85" w:type="dxa"/>
              <w:bottom w:w="85" w:type="dxa"/>
            </w:tcMar>
            <w:vAlign w:val="center"/>
          </w:tcPr>
          <w:p w:rsidR="001A4509" w:rsidRPr="00795224" w:rsidRDefault="001A4509" w:rsidP="001A4509">
            <w:pPr>
              <w:spacing w:after="0"/>
              <w:rPr>
                <w:noProof/>
                <w:sz w:val="20"/>
              </w:rPr>
            </w:pPr>
            <w:r w:rsidRPr="00795224">
              <w:rPr>
                <w:b/>
                <w:noProof/>
                <w:sz w:val="20"/>
              </w:rPr>
              <w:t>Správa o strategickom výhľade z roku 2020</w:t>
            </w:r>
            <w:r w:rsidRPr="00795224">
              <w:rPr>
                <w:noProof/>
                <w:sz w:val="20"/>
              </w:rPr>
              <w:t xml:space="preserve"> (nelegislatívna iniciatíva, 2. štvrťrok 2020)</w:t>
            </w:r>
          </w:p>
        </w:tc>
        <w:tc>
          <w:tcPr>
            <w:tcW w:w="1418" w:type="dxa"/>
          </w:tcPr>
          <w:p w:rsidR="001A4509" w:rsidRPr="00795224" w:rsidRDefault="005A0B42" w:rsidP="00795224">
            <w:pPr>
              <w:spacing w:after="0"/>
              <w:jc w:val="center"/>
              <w:rPr>
                <w:b/>
                <w:noProof/>
                <w:sz w:val="20"/>
              </w:rPr>
            </w:pPr>
            <w:r w:rsidRPr="00795224">
              <w:rPr>
                <w:b/>
                <w:noProof/>
                <w:sz w:val="20"/>
              </w:rPr>
              <w:t>MZVEZ SR</w:t>
            </w:r>
          </w:p>
        </w:tc>
        <w:tc>
          <w:tcPr>
            <w:tcW w:w="6804" w:type="dxa"/>
          </w:tcPr>
          <w:p w:rsidR="001A4509" w:rsidRPr="0057711F" w:rsidRDefault="00B95F81" w:rsidP="00795224">
            <w:pPr>
              <w:spacing w:after="0"/>
              <w:rPr>
                <w:b/>
                <w:noProof/>
                <w:sz w:val="20"/>
                <w:highlight w:val="magenta"/>
              </w:rPr>
            </w:pPr>
            <w:r w:rsidRPr="00795224">
              <w:rPr>
                <w:b/>
                <w:noProof/>
                <w:sz w:val="20"/>
                <w:u w:val="single"/>
              </w:rPr>
              <w:t>Nízka priorita</w:t>
            </w:r>
            <w:r w:rsidR="00795224" w:rsidRPr="00795224">
              <w:rPr>
                <w:b/>
                <w:i/>
                <w:noProof/>
                <w:sz w:val="20"/>
              </w:rPr>
              <w:t>-</w:t>
            </w:r>
            <w:r w:rsidR="00795224">
              <w:rPr>
                <w:b/>
                <w:i/>
                <w:noProof/>
                <w:szCs w:val="24"/>
              </w:rPr>
              <w:t xml:space="preserve"> </w:t>
            </w:r>
            <w:r w:rsidR="00795224" w:rsidRPr="00B95F81">
              <w:rPr>
                <w:sz w:val="20"/>
              </w:rPr>
              <w:t xml:space="preserve">Pôjde o pravidelný správu o strategickom výhľade. Zaujímavým bude sledovať, ako sa ambícia </w:t>
            </w:r>
            <w:r w:rsidR="00795224">
              <w:rPr>
                <w:sz w:val="20"/>
              </w:rPr>
              <w:t xml:space="preserve">o tejto doložke stane  </w:t>
            </w:r>
            <w:r w:rsidR="00795224" w:rsidRPr="00B95F81">
              <w:rPr>
                <w:sz w:val="20"/>
              </w:rPr>
              <w:t xml:space="preserve">súčasťou každej legislatívy </w:t>
            </w:r>
            <w:r w:rsidR="00795224">
              <w:rPr>
                <w:sz w:val="20"/>
              </w:rPr>
              <w:t>a pretaví sa do reality</w:t>
            </w:r>
          </w:p>
        </w:tc>
      </w:tr>
    </w:tbl>
    <w:p w:rsidR="003227AF" w:rsidRPr="008B19CD" w:rsidRDefault="003227AF" w:rsidP="00A73ED0">
      <w:pPr>
        <w:spacing w:after="0"/>
        <w:rPr>
          <w:szCs w:val="24"/>
        </w:rPr>
      </w:pPr>
      <w:r>
        <w:rPr>
          <w:b/>
          <w:bCs/>
          <w:noProof/>
          <w:sz w:val="28"/>
          <w:szCs w:val="28"/>
          <w:u w:val="single"/>
        </w:rPr>
        <w:t>Príloha II: Iniciatívy v rámci programu REFIT</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000" w:firstRow="0" w:lastRow="0" w:firstColumn="0" w:lastColumn="0" w:noHBand="0" w:noVBand="0"/>
      </w:tblPr>
      <w:tblGrid>
        <w:gridCol w:w="647"/>
        <w:gridCol w:w="2467"/>
        <w:gridCol w:w="4961"/>
        <w:gridCol w:w="1276"/>
        <w:gridCol w:w="5245"/>
      </w:tblGrid>
      <w:tr w:rsidR="00B675B3" w:rsidTr="00A73ED0">
        <w:trPr>
          <w:cantSplit/>
          <w:tblHeader/>
        </w:trPr>
        <w:tc>
          <w:tcPr>
            <w:tcW w:w="647" w:type="dxa"/>
            <w:tcBorders>
              <w:bottom w:val="single" w:sz="4" w:space="0" w:color="auto"/>
            </w:tcBorders>
            <w:shd w:val="clear" w:color="auto" w:fill="99CCFF"/>
            <w:vAlign w:val="center"/>
          </w:tcPr>
          <w:p w:rsidR="00B675B3" w:rsidRDefault="00B675B3">
            <w:pPr>
              <w:keepNext/>
              <w:spacing w:after="0" w:line="276" w:lineRule="auto"/>
              <w:jc w:val="center"/>
              <w:rPr>
                <w:rFonts w:eastAsiaTheme="minorHAnsi" w:cstheme="minorBidi"/>
                <w:b/>
                <w:noProof/>
                <w:sz w:val="20"/>
              </w:rPr>
            </w:pPr>
            <w:r>
              <w:rPr>
                <w:b/>
                <w:bCs/>
                <w:noProof/>
                <w:sz w:val="20"/>
              </w:rPr>
              <w:t>Č.</w:t>
            </w:r>
          </w:p>
        </w:tc>
        <w:tc>
          <w:tcPr>
            <w:tcW w:w="2467" w:type="dxa"/>
            <w:tcBorders>
              <w:bottom w:val="single" w:sz="4" w:space="0" w:color="auto"/>
            </w:tcBorders>
            <w:shd w:val="clear" w:color="auto" w:fill="99CCFF"/>
            <w:vAlign w:val="center"/>
          </w:tcPr>
          <w:p w:rsidR="00B675B3" w:rsidRDefault="00B675B3">
            <w:pPr>
              <w:keepNext/>
              <w:spacing w:after="0" w:line="276" w:lineRule="auto"/>
              <w:jc w:val="center"/>
              <w:rPr>
                <w:rFonts w:eastAsiaTheme="minorHAnsi" w:cstheme="minorBidi"/>
                <w:b/>
                <w:noProof/>
                <w:sz w:val="20"/>
              </w:rPr>
            </w:pPr>
            <w:r>
              <w:rPr>
                <w:b/>
                <w:noProof/>
                <w:sz w:val="20"/>
              </w:rPr>
              <w:t>Názov</w:t>
            </w:r>
          </w:p>
        </w:tc>
        <w:tc>
          <w:tcPr>
            <w:tcW w:w="4961" w:type="dxa"/>
            <w:tcBorders>
              <w:bottom w:val="single" w:sz="4" w:space="0" w:color="auto"/>
            </w:tcBorders>
            <w:shd w:val="clear" w:color="auto" w:fill="99CCFF"/>
            <w:vAlign w:val="center"/>
          </w:tcPr>
          <w:p w:rsidR="00B675B3" w:rsidRDefault="00B675B3">
            <w:pPr>
              <w:keepNext/>
              <w:spacing w:after="0" w:line="276" w:lineRule="auto"/>
              <w:jc w:val="center"/>
              <w:rPr>
                <w:rFonts w:eastAsiaTheme="minorHAnsi" w:cstheme="minorBidi"/>
                <w:b/>
                <w:noProof/>
                <w:sz w:val="20"/>
              </w:rPr>
            </w:pPr>
            <w:r>
              <w:rPr>
                <w:b/>
                <w:noProof/>
                <w:sz w:val="20"/>
              </w:rPr>
              <w:t>Cieľ/potenciál zjednodušenia</w:t>
            </w:r>
            <w:r>
              <w:rPr>
                <w:noProof/>
                <w:sz w:val="20"/>
              </w:rPr>
              <w:t xml:space="preserve"> (stručné vysvetlenie cieľa programu REFIT, pokiaľ ide o revízie, a potenciálu zjednodušenia pre hodnotenia a kontroly vhodnosti)</w:t>
            </w:r>
          </w:p>
        </w:tc>
        <w:tc>
          <w:tcPr>
            <w:tcW w:w="1276" w:type="dxa"/>
            <w:tcBorders>
              <w:bottom w:val="single" w:sz="4" w:space="0" w:color="auto"/>
            </w:tcBorders>
            <w:shd w:val="clear" w:color="auto" w:fill="99CCFF"/>
          </w:tcPr>
          <w:p w:rsidR="00B675B3" w:rsidRDefault="003227AF">
            <w:pPr>
              <w:keepNext/>
              <w:spacing w:after="0" w:line="276" w:lineRule="auto"/>
              <w:jc w:val="center"/>
              <w:rPr>
                <w:b/>
                <w:noProof/>
                <w:sz w:val="20"/>
              </w:rPr>
            </w:pPr>
            <w:r>
              <w:rPr>
                <w:b/>
                <w:noProof/>
                <w:sz w:val="20"/>
              </w:rPr>
              <w:t>Gestor</w:t>
            </w:r>
          </w:p>
        </w:tc>
        <w:tc>
          <w:tcPr>
            <w:tcW w:w="5245" w:type="dxa"/>
            <w:tcBorders>
              <w:bottom w:val="single" w:sz="4" w:space="0" w:color="auto"/>
            </w:tcBorders>
            <w:shd w:val="clear" w:color="auto" w:fill="99CCFF"/>
          </w:tcPr>
          <w:p w:rsidR="00B675B3" w:rsidRDefault="003227AF">
            <w:pPr>
              <w:keepNext/>
              <w:spacing w:after="0" w:line="276" w:lineRule="auto"/>
              <w:jc w:val="center"/>
              <w:rPr>
                <w:b/>
                <w:noProof/>
                <w:sz w:val="20"/>
              </w:rPr>
            </w:pPr>
            <w:r w:rsidRPr="003227AF">
              <w:rPr>
                <w:b/>
                <w:bCs/>
                <w:noProof/>
                <w:sz w:val="20"/>
              </w:rPr>
              <w:t>Stupeň priority a pozíciu SR</w:t>
            </w:r>
          </w:p>
        </w:tc>
      </w:tr>
      <w:tr w:rsidR="00B675B3" w:rsidTr="00B675B3">
        <w:trPr>
          <w:cantSplit/>
        </w:trPr>
        <w:tc>
          <w:tcPr>
            <w:tcW w:w="8075" w:type="dxa"/>
            <w:gridSpan w:val="3"/>
            <w:tcBorders>
              <w:top w:val="single" w:sz="4" w:space="0" w:color="auto"/>
              <w:left w:val="single" w:sz="4" w:space="0" w:color="auto"/>
              <w:bottom w:val="single" w:sz="4" w:space="0" w:color="auto"/>
            </w:tcBorders>
            <w:shd w:val="clear" w:color="auto" w:fill="9ACA3C" w:themeFill="accent1"/>
          </w:tcPr>
          <w:p w:rsidR="00B675B3" w:rsidRDefault="00B675B3">
            <w:pPr>
              <w:keepNext/>
              <w:spacing w:before="60" w:after="60"/>
              <w:rPr>
                <w:b/>
                <w:bCs/>
                <w:noProof/>
                <w:sz w:val="20"/>
              </w:rPr>
            </w:pPr>
            <w:r>
              <w:rPr>
                <w:b/>
                <w:bCs/>
                <w:noProof/>
                <w:color w:val="FFFFFF" w:themeColor="background1"/>
                <w:sz w:val="20"/>
              </w:rPr>
              <w:t>Európsky ekologický dohovor</w:t>
            </w:r>
          </w:p>
        </w:tc>
        <w:tc>
          <w:tcPr>
            <w:tcW w:w="1276" w:type="dxa"/>
            <w:tcBorders>
              <w:top w:val="single" w:sz="4" w:space="0" w:color="auto"/>
              <w:left w:val="single" w:sz="4" w:space="0" w:color="auto"/>
              <w:bottom w:val="single" w:sz="4" w:space="0" w:color="auto"/>
            </w:tcBorders>
            <w:shd w:val="clear" w:color="auto" w:fill="9ACA3C" w:themeFill="accent1"/>
          </w:tcPr>
          <w:p w:rsidR="00B675B3" w:rsidRDefault="00B675B3">
            <w:pPr>
              <w:keepNext/>
              <w:spacing w:before="60" w:after="60"/>
              <w:rPr>
                <w:b/>
                <w:bCs/>
                <w:noProof/>
                <w:color w:val="FFFFFF" w:themeColor="background1"/>
                <w:sz w:val="20"/>
              </w:rPr>
            </w:pPr>
          </w:p>
        </w:tc>
        <w:tc>
          <w:tcPr>
            <w:tcW w:w="5245" w:type="dxa"/>
            <w:tcBorders>
              <w:top w:val="single" w:sz="4" w:space="0" w:color="auto"/>
              <w:left w:val="single" w:sz="4" w:space="0" w:color="auto"/>
              <w:bottom w:val="single" w:sz="4" w:space="0" w:color="auto"/>
            </w:tcBorders>
            <w:shd w:val="clear" w:color="auto" w:fill="9ACA3C" w:themeFill="accent1"/>
          </w:tcPr>
          <w:p w:rsidR="00B675B3" w:rsidRDefault="00B675B3">
            <w:pPr>
              <w:keepNext/>
              <w:spacing w:before="60" w:after="60"/>
              <w:rPr>
                <w:b/>
                <w:bCs/>
                <w:noProof/>
                <w:color w:val="FFFFFF" w:themeColor="background1"/>
                <w:sz w:val="20"/>
              </w:rPr>
            </w:pPr>
          </w:p>
        </w:tc>
      </w:tr>
      <w:tr w:rsidR="00B675B3" w:rsidTr="00A73ED0">
        <w:trPr>
          <w:cantSplit/>
          <w:trHeight w:val="2508"/>
        </w:trPr>
        <w:tc>
          <w:tcPr>
            <w:tcW w:w="647" w:type="dxa"/>
            <w:tcBorders>
              <w:top w:val="single" w:sz="4" w:space="0" w:color="auto"/>
              <w:left w:val="single" w:sz="4" w:space="0" w:color="auto"/>
              <w:bottom w:val="single" w:sz="4" w:space="0" w:color="auto"/>
              <w:right w:val="single" w:sz="4" w:space="0" w:color="auto"/>
            </w:tcBorders>
            <w:shd w:val="clear" w:color="auto" w:fill="auto"/>
          </w:tcPr>
          <w:p w:rsidR="00B675B3" w:rsidRDefault="00B675B3">
            <w:pPr>
              <w:keepNext/>
              <w:numPr>
                <w:ilvl w:val="0"/>
                <w:numId w:val="23"/>
              </w:numPr>
              <w:spacing w:after="0" w:line="276" w:lineRule="auto"/>
              <w:jc w:val="left"/>
              <w:rPr>
                <w:rFonts w:eastAsiaTheme="minorHAnsi" w:cstheme="minorBidi"/>
                <w:noProof/>
                <w:color w:val="000000"/>
                <w:sz w:val="20"/>
              </w:rPr>
            </w:pPr>
          </w:p>
        </w:tc>
        <w:tc>
          <w:tcPr>
            <w:tcW w:w="2467" w:type="dxa"/>
            <w:tcBorders>
              <w:top w:val="single" w:sz="4" w:space="0" w:color="auto"/>
              <w:left w:val="single" w:sz="4" w:space="0" w:color="auto"/>
              <w:bottom w:val="single" w:sz="4" w:space="0" w:color="auto"/>
              <w:right w:val="single" w:sz="4" w:space="0" w:color="auto"/>
            </w:tcBorders>
          </w:tcPr>
          <w:p w:rsidR="00B675B3" w:rsidRDefault="00B675B3" w:rsidP="00B675B3">
            <w:pPr>
              <w:keepNext/>
              <w:spacing w:after="0"/>
              <w:jc w:val="left"/>
              <w:rPr>
                <w:rFonts w:eastAsiaTheme="minorEastAsia" w:cstheme="minorBidi"/>
                <w:b/>
                <w:bCs/>
                <w:noProof/>
                <w:sz w:val="20"/>
              </w:rPr>
            </w:pPr>
            <w:r>
              <w:rPr>
                <w:b/>
                <w:bCs/>
                <w:noProof/>
                <w:sz w:val="20"/>
              </w:rPr>
              <w:t>Hodnotenie obchodných noriem [obsiahnuté v nariadení o spoločnej organizácii trhov (SOT), „raňajkových smerniciach“ a sekundárnych právnych predpisoch o spoločnej organizácii trhov]</w:t>
            </w:r>
          </w:p>
        </w:tc>
        <w:tc>
          <w:tcPr>
            <w:tcW w:w="4961" w:type="dxa"/>
            <w:tcBorders>
              <w:top w:val="single" w:sz="4" w:space="0" w:color="auto"/>
              <w:left w:val="single" w:sz="4" w:space="0" w:color="auto"/>
              <w:bottom w:val="single" w:sz="4" w:space="0" w:color="auto"/>
            </w:tcBorders>
          </w:tcPr>
          <w:p w:rsidR="00B675B3" w:rsidRDefault="00B675B3">
            <w:pPr>
              <w:keepNext/>
              <w:spacing w:after="0"/>
              <w:rPr>
                <w:rFonts w:eastAsiaTheme="minorEastAsia" w:cstheme="minorBidi"/>
                <w:noProof/>
                <w:sz w:val="20"/>
              </w:rPr>
            </w:pPr>
            <w:r>
              <w:rPr>
                <w:noProof/>
                <w:sz w:val="20"/>
              </w:rPr>
              <w:t>Hodnotenie obchodných noriem pomôže posúdiť súlad medzi rôznymi právnymi predpismi, ako aj určiť potenciál pre zjednodušenie. Výsledky hodnotenia môžu slúžiť ako základ pre úvahy o potrebe regulačných zmien týkajúcich sa obchodných noriem.</w:t>
            </w:r>
          </w:p>
        </w:tc>
        <w:tc>
          <w:tcPr>
            <w:tcW w:w="1276" w:type="dxa"/>
            <w:tcBorders>
              <w:top w:val="single" w:sz="4" w:space="0" w:color="auto"/>
              <w:left w:val="single" w:sz="4" w:space="0" w:color="auto"/>
              <w:bottom w:val="single" w:sz="4" w:space="0" w:color="auto"/>
            </w:tcBorders>
          </w:tcPr>
          <w:p w:rsidR="00B675B3" w:rsidRPr="001F52F5" w:rsidRDefault="001F52F5" w:rsidP="001F52F5">
            <w:pPr>
              <w:keepNext/>
              <w:spacing w:after="0"/>
              <w:jc w:val="center"/>
              <w:rPr>
                <w:b/>
                <w:noProof/>
                <w:sz w:val="20"/>
              </w:rPr>
            </w:pPr>
            <w:r w:rsidRPr="001F52F5">
              <w:rPr>
                <w:b/>
                <w:noProof/>
                <w:sz w:val="20"/>
              </w:rPr>
              <w:t>MPRV SR</w:t>
            </w:r>
          </w:p>
        </w:tc>
        <w:tc>
          <w:tcPr>
            <w:tcW w:w="5245" w:type="dxa"/>
            <w:tcBorders>
              <w:top w:val="single" w:sz="4" w:space="0" w:color="auto"/>
              <w:left w:val="single" w:sz="4" w:space="0" w:color="auto"/>
              <w:bottom w:val="single" w:sz="4" w:space="0" w:color="auto"/>
            </w:tcBorders>
          </w:tcPr>
          <w:p w:rsidR="00B675B3" w:rsidRPr="001F52F5" w:rsidRDefault="001F52F5" w:rsidP="001F52F5">
            <w:pPr>
              <w:spacing w:after="0"/>
              <w:ind w:right="112"/>
              <w:jc w:val="left"/>
              <w:rPr>
                <w:b/>
                <w:sz w:val="20"/>
              </w:rPr>
            </w:pPr>
            <w:r w:rsidRPr="001F52F5">
              <w:rPr>
                <w:b/>
                <w:sz w:val="20"/>
                <w:u w:val="single"/>
              </w:rPr>
              <w:t>Stredná priorita</w:t>
            </w:r>
            <w:r>
              <w:rPr>
                <w:b/>
                <w:sz w:val="20"/>
              </w:rPr>
              <w:t xml:space="preserve"> - </w:t>
            </w:r>
            <w:r>
              <w:rPr>
                <w:sz w:val="20"/>
              </w:rPr>
              <w:t>Hodnotiaca správa ešte nebola predložená na posúdenie. Správa o využití noriem kvality sa predpokladá v roku 2020. Táto správa bude predmetom diskusie medzi ČŠ a výsledkom by mal byť legislatívny návrh, v ktorom budú riešené otázky využitia noriem kvality pre poľnohospodársku prvovýrobu. Tento návrh by mal byť súčasťou novej SPP, začlenený bude do Pozmeňujúceho nariadenia, ktoré mení nar. 1308/2013.Potreba zamerania sa na rastlinolekárske opatrenia v rámci obchodu s komoditami s tretími krajinami</w:t>
            </w:r>
            <w:r w:rsidRPr="00902C5E">
              <w:rPr>
                <w:sz w:val="20"/>
              </w:rPr>
              <w:t xml:space="preserve"> (dovozné a vývozné </w:t>
            </w:r>
            <w:r>
              <w:rPr>
                <w:sz w:val="20"/>
              </w:rPr>
              <w:t xml:space="preserve">podmienky, prípadne elektronické rastlinolekárske </w:t>
            </w:r>
            <w:r w:rsidRPr="00902C5E">
              <w:rPr>
                <w:sz w:val="20"/>
              </w:rPr>
              <w:t>osvedčenia</w:t>
            </w:r>
            <w:r>
              <w:rPr>
                <w:sz w:val="20"/>
              </w:rPr>
              <w:t>).</w:t>
            </w:r>
          </w:p>
        </w:tc>
      </w:tr>
      <w:tr w:rsidR="00B675B3" w:rsidTr="00A73ED0">
        <w:trPr>
          <w:cantSplit/>
        </w:trPr>
        <w:tc>
          <w:tcPr>
            <w:tcW w:w="647" w:type="dxa"/>
            <w:tcBorders>
              <w:top w:val="single" w:sz="4" w:space="0" w:color="auto"/>
              <w:left w:val="single" w:sz="4" w:space="0" w:color="auto"/>
              <w:bottom w:val="single" w:sz="4" w:space="0" w:color="auto"/>
              <w:right w:val="single" w:sz="4" w:space="0" w:color="auto"/>
            </w:tcBorders>
            <w:shd w:val="clear" w:color="auto" w:fill="auto"/>
          </w:tcPr>
          <w:p w:rsidR="00B675B3" w:rsidRDefault="00B675B3">
            <w:pPr>
              <w:keepNext/>
              <w:numPr>
                <w:ilvl w:val="0"/>
                <w:numId w:val="23"/>
              </w:numPr>
              <w:spacing w:after="0" w:line="276" w:lineRule="auto"/>
              <w:jc w:val="left"/>
              <w:rPr>
                <w:rFonts w:eastAsiaTheme="minorHAnsi" w:cstheme="minorBidi"/>
                <w:noProof/>
                <w:color w:val="000000"/>
                <w:sz w:val="20"/>
              </w:rPr>
            </w:pPr>
          </w:p>
        </w:tc>
        <w:tc>
          <w:tcPr>
            <w:tcW w:w="2467" w:type="dxa"/>
            <w:tcBorders>
              <w:top w:val="single" w:sz="4" w:space="0" w:color="auto"/>
              <w:left w:val="single" w:sz="4" w:space="0" w:color="auto"/>
              <w:bottom w:val="single" w:sz="4" w:space="0" w:color="auto"/>
              <w:right w:val="single" w:sz="4" w:space="0" w:color="auto"/>
            </w:tcBorders>
          </w:tcPr>
          <w:p w:rsidR="00B675B3" w:rsidRDefault="00B675B3" w:rsidP="00B675B3">
            <w:pPr>
              <w:keepNext/>
              <w:spacing w:after="0"/>
              <w:jc w:val="left"/>
              <w:rPr>
                <w:rFonts w:eastAsiaTheme="minorEastAsia" w:cstheme="minorBidi"/>
                <w:b/>
                <w:bCs/>
                <w:noProof/>
                <w:sz w:val="20"/>
              </w:rPr>
            </w:pPr>
            <w:r>
              <w:rPr>
                <w:b/>
                <w:bCs/>
                <w:noProof/>
                <w:sz w:val="20"/>
              </w:rPr>
              <w:t>Hodnotenie zemepisných označení a zaručených tradičných špecialít chránených v EÚ</w:t>
            </w:r>
          </w:p>
        </w:tc>
        <w:tc>
          <w:tcPr>
            <w:tcW w:w="4961" w:type="dxa"/>
            <w:tcBorders>
              <w:top w:val="single" w:sz="4" w:space="0" w:color="auto"/>
              <w:left w:val="single" w:sz="4" w:space="0" w:color="auto"/>
              <w:bottom w:val="single" w:sz="4" w:space="0" w:color="auto"/>
            </w:tcBorders>
          </w:tcPr>
          <w:p w:rsidR="00B675B3" w:rsidRDefault="00B675B3">
            <w:pPr>
              <w:keepNext/>
              <w:spacing w:after="0"/>
              <w:rPr>
                <w:rFonts w:eastAsiaTheme="minorEastAsia" w:cstheme="minorBidi"/>
                <w:noProof/>
                <w:sz w:val="20"/>
              </w:rPr>
            </w:pPr>
            <w:r>
              <w:rPr>
                <w:noProof/>
                <w:sz w:val="20"/>
              </w:rPr>
              <w:t>Hodnotenie zemepisných označení a zaručených tradičných špecialít pomôže posúdiť súlad medzi rôznymi časťami právneho rámca pre systémy kvality EÚ a poskytne príležitosť na zváženie potreby jeho zlepšenia (modernizácia, zjednodušenie a zefektívnenie). Jeho výsledky môžu slúžiť ako základ pre úvahy o potrebe regulačných zmien týkajúcich sa systémov kvality EÚ.</w:t>
            </w:r>
          </w:p>
        </w:tc>
        <w:tc>
          <w:tcPr>
            <w:tcW w:w="1276" w:type="dxa"/>
            <w:tcBorders>
              <w:top w:val="single" w:sz="4" w:space="0" w:color="auto"/>
              <w:left w:val="single" w:sz="4" w:space="0" w:color="auto"/>
              <w:bottom w:val="single" w:sz="4" w:space="0" w:color="auto"/>
            </w:tcBorders>
          </w:tcPr>
          <w:p w:rsidR="00B675B3" w:rsidRDefault="001F52F5" w:rsidP="001F52F5">
            <w:pPr>
              <w:keepNext/>
              <w:spacing w:after="0"/>
              <w:jc w:val="center"/>
              <w:rPr>
                <w:b/>
                <w:noProof/>
                <w:sz w:val="20"/>
              </w:rPr>
            </w:pPr>
            <w:r w:rsidRPr="001F52F5">
              <w:rPr>
                <w:b/>
                <w:noProof/>
                <w:sz w:val="20"/>
              </w:rPr>
              <w:t>MPRV SR</w:t>
            </w:r>
          </w:p>
          <w:p w:rsidR="00AB034C" w:rsidRPr="00AB034C" w:rsidRDefault="00AB034C" w:rsidP="001F52F5">
            <w:pPr>
              <w:keepNext/>
              <w:spacing w:after="0"/>
              <w:jc w:val="center"/>
              <w:rPr>
                <w:b/>
                <w:noProof/>
                <w:sz w:val="20"/>
              </w:rPr>
            </w:pPr>
            <w:r w:rsidRPr="00AB034C">
              <w:rPr>
                <w:b/>
                <w:noProof/>
                <w:sz w:val="20"/>
              </w:rPr>
              <w:t>ÚPV SR</w:t>
            </w:r>
          </w:p>
        </w:tc>
        <w:tc>
          <w:tcPr>
            <w:tcW w:w="5245" w:type="dxa"/>
            <w:tcBorders>
              <w:top w:val="single" w:sz="4" w:space="0" w:color="auto"/>
              <w:left w:val="single" w:sz="4" w:space="0" w:color="auto"/>
              <w:bottom w:val="single" w:sz="4" w:space="0" w:color="auto"/>
            </w:tcBorders>
          </w:tcPr>
          <w:p w:rsidR="00B675B3" w:rsidRPr="001F52F5" w:rsidRDefault="001F52F5" w:rsidP="001F52F5">
            <w:pPr>
              <w:spacing w:after="0"/>
              <w:ind w:right="112"/>
              <w:rPr>
                <w:b/>
                <w:sz w:val="20"/>
                <w:u w:val="single"/>
              </w:rPr>
            </w:pPr>
            <w:r w:rsidRPr="001F52F5">
              <w:rPr>
                <w:b/>
                <w:sz w:val="20"/>
                <w:u w:val="single"/>
              </w:rPr>
              <w:t>Nízka priorita</w:t>
            </w:r>
            <w:r w:rsidRPr="001F52F5">
              <w:rPr>
                <w:b/>
                <w:sz w:val="20"/>
              </w:rPr>
              <w:t xml:space="preserve"> - </w:t>
            </w:r>
            <w:r>
              <w:rPr>
                <w:sz w:val="20"/>
              </w:rPr>
              <w:t xml:space="preserve">SR </w:t>
            </w:r>
            <w:r w:rsidRPr="00BF1C59">
              <w:rPr>
                <w:sz w:val="20"/>
              </w:rPr>
              <w:t>presadzuje politiku kvality s ohľadom na presadzovanie odbytu a zvýšenia spotrebiteľského povedomia u vysoko kvalitných potravín.</w:t>
            </w:r>
            <w:r>
              <w:rPr>
                <w:sz w:val="20"/>
              </w:rPr>
              <w:t>P</w:t>
            </w:r>
            <w:r w:rsidRPr="008B475B">
              <w:rPr>
                <w:sz w:val="20"/>
              </w:rPr>
              <w:t>odporujeme zusúladenie postupov v rámci schém kvality avšak je potrebné brať ohľad na špecifiká jednotlivých skupín výrobkov, napr. existencia len ZO v prípade liehovín.</w:t>
            </w:r>
          </w:p>
        </w:tc>
      </w:tr>
      <w:tr w:rsidR="002E6BBF" w:rsidTr="00A73ED0">
        <w:trPr>
          <w:cantSplit/>
          <w:trHeight w:val="4740"/>
        </w:trPr>
        <w:tc>
          <w:tcPr>
            <w:tcW w:w="647" w:type="dxa"/>
            <w:tcBorders>
              <w:top w:val="single" w:sz="4" w:space="0" w:color="auto"/>
              <w:left w:val="single" w:sz="4" w:space="0" w:color="auto"/>
              <w:bottom w:val="single" w:sz="4" w:space="0" w:color="auto"/>
              <w:right w:val="single" w:sz="4" w:space="0" w:color="auto"/>
            </w:tcBorders>
            <w:shd w:val="clear" w:color="auto" w:fill="auto"/>
          </w:tcPr>
          <w:p w:rsidR="002E6BBF" w:rsidRPr="003B1CF2" w:rsidRDefault="002E6BBF" w:rsidP="002E6BBF">
            <w:pPr>
              <w:keepNext/>
              <w:numPr>
                <w:ilvl w:val="0"/>
                <w:numId w:val="23"/>
              </w:numPr>
              <w:spacing w:after="0" w:line="276" w:lineRule="auto"/>
              <w:jc w:val="left"/>
              <w:rPr>
                <w:rFonts w:eastAsiaTheme="minorHAnsi" w:cstheme="minorBidi"/>
                <w:noProof/>
                <w:color w:val="000000"/>
                <w:sz w:val="20"/>
              </w:rPr>
            </w:pPr>
          </w:p>
        </w:tc>
        <w:tc>
          <w:tcPr>
            <w:tcW w:w="2467" w:type="dxa"/>
            <w:tcBorders>
              <w:top w:val="single" w:sz="4" w:space="0" w:color="auto"/>
              <w:left w:val="single" w:sz="4" w:space="0" w:color="auto"/>
              <w:bottom w:val="single" w:sz="4" w:space="0" w:color="auto"/>
              <w:right w:val="single" w:sz="4" w:space="0" w:color="auto"/>
            </w:tcBorders>
          </w:tcPr>
          <w:p w:rsidR="002E6BBF" w:rsidRPr="003B1CF2" w:rsidRDefault="002E6BBF" w:rsidP="002E6BBF">
            <w:pPr>
              <w:keepNext/>
              <w:spacing w:after="0"/>
              <w:jc w:val="left"/>
              <w:rPr>
                <w:rFonts w:eastAsiaTheme="minorEastAsia" w:cstheme="minorBidi"/>
                <w:b/>
                <w:bCs/>
                <w:noProof/>
                <w:sz w:val="20"/>
              </w:rPr>
            </w:pPr>
            <w:r w:rsidRPr="003B1CF2">
              <w:rPr>
                <w:b/>
                <w:bCs/>
                <w:noProof/>
                <w:sz w:val="20"/>
              </w:rPr>
              <w:t xml:space="preserve">Revízia usmernení k niektorým opatreniam štátnej pomoci v súvislosti so systémom obchodovania s emisnými kvótami skleníkových plynov po roku 2020 </w:t>
            </w:r>
          </w:p>
        </w:tc>
        <w:tc>
          <w:tcPr>
            <w:tcW w:w="4961" w:type="dxa"/>
            <w:tcBorders>
              <w:top w:val="single" w:sz="4" w:space="0" w:color="auto"/>
              <w:left w:val="single" w:sz="4" w:space="0" w:color="auto"/>
              <w:bottom w:val="single" w:sz="4" w:space="0" w:color="auto"/>
            </w:tcBorders>
          </w:tcPr>
          <w:p w:rsidR="002E6BBF" w:rsidRPr="003B1CF2" w:rsidRDefault="002E6BBF" w:rsidP="002E6BBF">
            <w:pPr>
              <w:keepNext/>
              <w:spacing w:after="0"/>
              <w:rPr>
                <w:rFonts w:eastAsiaTheme="minorEastAsia" w:cstheme="minorBidi"/>
                <w:noProof/>
                <w:sz w:val="20"/>
              </w:rPr>
            </w:pPr>
            <w:r w:rsidRPr="003B1CF2">
              <w:rPr>
                <w:noProof/>
                <w:sz w:val="20"/>
              </w:rPr>
              <w:t>Členské štáty môžu niektorým používateľom náročným na spotrebu elektriny poskytnúť kompenzáciu za časť vyšších nákladov na elektrickú energiu, ktoré sú dôsledkom existencie systému EÚ na obchodovanie s emisiami. Cieľom takejto kompenzácie je minimalizovať tzv. riziko úniku uhlíka, ku ktorému dochádza, keď náklady na emisie spôsobujú premiestnenie z EÚ do tretích krajín, v ktorých neexistujú porovnateľné obmedzenia. Existujúce pravidlá umožňujúce kompenzáciu sa budú revidovať, aby sa zabezpečilo ich prispôsobenie novému systému obchodovania s emisnými kvótami na obdobie rokov 2021 – 2030. (nelegislatívna iniciatíva vrátane posúdenia vplyvu, 4. štvrťrok 2020)</w:t>
            </w:r>
          </w:p>
        </w:tc>
        <w:tc>
          <w:tcPr>
            <w:tcW w:w="1276" w:type="dxa"/>
            <w:tcBorders>
              <w:top w:val="single" w:sz="4" w:space="0" w:color="auto"/>
              <w:left w:val="single" w:sz="4" w:space="0" w:color="auto"/>
              <w:bottom w:val="single" w:sz="4" w:space="0" w:color="auto"/>
            </w:tcBorders>
          </w:tcPr>
          <w:p w:rsidR="002E6BBF" w:rsidRDefault="002E6BBF" w:rsidP="00BB5F97">
            <w:pPr>
              <w:spacing w:after="0"/>
              <w:ind w:right="112"/>
              <w:jc w:val="center"/>
              <w:rPr>
                <w:b/>
                <w:sz w:val="20"/>
              </w:rPr>
            </w:pPr>
            <w:r w:rsidRPr="002E6BBF">
              <w:rPr>
                <w:b/>
                <w:sz w:val="20"/>
              </w:rPr>
              <w:t>MŽP SR</w:t>
            </w:r>
          </w:p>
          <w:p w:rsidR="002F1D07" w:rsidRPr="002E6BBF" w:rsidRDefault="002F1D07" w:rsidP="00BB5F97">
            <w:pPr>
              <w:spacing w:after="0"/>
              <w:ind w:right="112"/>
              <w:jc w:val="center"/>
              <w:rPr>
                <w:b/>
                <w:sz w:val="20"/>
              </w:rPr>
            </w:pPr>
            <w:r>
              <w:rPr>
                <w:b/>
                <w:sz w:val="20"/>
              </w:rPr>
              <w:t>PMÚ SR</w:t>
            </w:r>
          </w:p>
        </w:tc>
        <w:tc>
          <w:tcPr>
            <w:tcW w:w="5245" w:type="dxa"/>
            <w:tcBorders>
              <w:top w:val="single" w:sz="4" w:space="0" w:color="auto"/>
              <w:left w:val="single" w:sz="4" w:space="0" w:color="auto"/>
              <w:bottom w:val="single" w:sz="4" w:space="0" w:color="auto"/>
            </w:tcBorders>
          </w:tcPr>
          <w:p w:rsidR="002E6BBF" w:rsidRPr="002F1D07" w:rsidRDefault="002F1D07" w:rsidP="002F1D07">
            <w:pPr>
              <w:rPr>
                <w:sz w:val="20"/>
              </w:rPr>
            </w:pPr>
            <w:r>
              <w:rPr>
                <w:b/>
                <w:sz w:val="20"/>
                <w:u w:val="single"/>
              </w:rPr>
              <w:t>Stredná priorita</w:t>
            </w:r>
            <w:r>
              <w:rPr>
                <w:b/>
                <w:sz w:val="20"/>
              </w:rPr>
              <w:t xml:space="preserve"> </w:t>
            </w:r>
            <w:r>
              <w:rPr>
                <w:sz w:val="20"/>
              </w:rPr>
              <w:t>– Európska komisia v roku 2012 prijala usmernenia k niektorým opatreniam štátnej pomoci v súvislosti so systémom obchodovania s emisnými kvótami skleníkových plynov po roku 2012. V súlade so smernicou 2009/29/ES, ktorou sa mení a dopĺňa smernica 2003/87/ES (smernica o ETS), tieto usmernenia umožňujú členským štátom poskytnúť niektorým podnikom s veľkou spotrebou elektrickej energie kompenzáciu na časť nepriamych nákladov na emisie. Smernica o ETS bola revidovaná na ďalšie obdobie obchodovania 2021 – 2030, aby sa umožnilo dosiahnutie cieľov EÚ v oblasti znižovania emisií do roku 2030. Po uplynutí platnosti usmernení k ETS 2012 dňa 31. decembra 2020 je potrebná ich aktualizácia, pričom sa zohľadnia nové ustanovenia smernice 2003/87/ES o ETS v znení zmien smernice (EÚ) 2018/410. Podľa revidovanej smernice o ETS by členské štáty mali prijať finančné opatrenia v prospech odvetví alebo pododvetví, ktoré sú vystavené skutočnému riziku úniku uhlíka v dôsledku nepriamych nákladov na emisie, a to za predpokladu, že takéto finančné opatrenia sú v súlade s pravidlami štátnej pomoci, a najmä nespôsobia nenáležité narušenie hospodárskej súťaže na vnútornom trhu.</w:t>
            </w:r>
          </w:p>
        </w:tc>
      </w:tr>
      <w:tr w:rsidR="002E6BBF" w:rsidTr="00A73ED0">
        <w:trPr>
          <w:cantSplit/>
        </w:trPr>
        <w:tc>
          <w:tcPr>
            <w:tcW w:w="647" w:type="dxa"/>
            <w:tcBorders>
              <w:top w:val="single" w:sz="4" w:space="0" w:color="auto"/>
              <w:left w:val="single" w:sz="4" w:space="0" w:color="auto"/>
              <w:bottom w:val="single" w:sz="4" w:space="0" w:color="auto"/>
              <w:right w:val="single" w:sz="4" w:space="0" w:color="auto"/>
            </w:tcBorders>
            <w:shd w:val="clear" w:color="auto" w:fill="auto"/>
          </w:tcPr>
          <w:p w:rsidR="002E6BBF" w:rsidRDefault="002E6BBF" w:rsidP="002E6BBF">
            <w:pPr>
              <w:keepNext/>
              <w:numPr>
                <w:ilvl w:val="0"/>
                <w:numId w:val="23"/>
              </w:numPr>
              <w:spacing w:after="0" w:line="276" w:lineRule="auto"/>
              <w:jc w:val="left"/>
              <w:rPr>
                <w:rFonts w:eastAsiaTheme="minorHAnsi" w:cstheme="minorBidi"/>
                <w:noProof/>
                <w:color w:val="000000"/>
                <w:sz w:val="20"/>
              </w:rPr>
            </w:pPr>
          </w:p>
        </w:tc>
        <w:tc>
          <w:tcPr>
            <w:tcW w:w="2467" w:type="dxa"/>
            <w:tcBorders>
              <w:top w:val="single" w:sz="4" w:space="0" w:color="auto"/>
              <w:left w:val="single" w:sz="4" w:space="0" w:color="auto"/>
              <w:bottom w:val="single" w:sz="4" w:space="0" w:color="auto"/>
              <w:right w:val="single" w:sz="4" w:space="0" w:color="auto"/>
            </w:tcBorders>
          </w:tcPr>
          <w:p w:rsidR="002E6BBF" w:rsidRDefault="002E6BBF" w:rsidP="002E6BBF">
            <w:pPr>
              <w:keepNext/>
              <w:spacing w:after="0"/>
              <w:jc w:val="left"/>
              <w:rPr>
                <w:rFonts w:eastAsiaTheme="minorEastAsia" w:cstheme="minorBidi"/>
                <w:b/>
                <w:bCs/>
                <w:noProof/>
                <w:sz w:val="20"/>
              </w:rPr>
            </w:pPr>
            <w:r>
              <w:rPr>
                <w:b/>
                <w:bCs/>
                <w:noProof/>
                <w:sz w:val="20"/>
              </w:rPr>
              <w:t xml:space="preserve">Revízia nariadenia o transeurópskej energetickej sieti (TEN-E) </w:t>
            </w:r>
          </w:p>
        </w:tc>
        <w:tc>
          <w:tcPr>
            <w:tcW w:w="4961" w:type="dxa"/>
            <w:tcBorders>
              <w:top w:val="single" w:sz="4" w:space="0" w:color="auto"/>
              <w:left w:val="single" w:sz="4" w:space="0" w:color="auto"/>
              <w:bottom w:val="single" w:sz="4" w:space="0" w:color="auto"/>
            </w:tcBorders>
          </w:tcPr>
          <w:p w:rsidR="002E6BBF" w:rsidRDefault="002E6BBF" w:rsidP="002E6BBF">
            <w:pPr>
              <w:keepNext/>
              <w:spacing w:after="0"/>
              <w:rPr>
                <w:rFonts w:eastAsiaTheme="minorEastAsia" w:cstheme="minorBidi"/>
                <w:i/>
                <w:iCs/>
                <w:noProof/>
                <w:sz w:val="20"/>
              </w:rPr>
            </w:pPr>
            <w:r>
              <w:rPr>
                <w:noProof/>
                <w:sz w:val="20"/>
              </w:rPr>
              <w:t>Touto iniciatívou sa zabezpečí, aby bolo nariadenie TEN-E plne v súlade s európskym ekologickým dohovorom a dlhodobými cieľmi Únie v oblasti dekarbonizácie, a zároveň prispelo k integrácii odvetvia a trhu, bezpečnosti dodávok a hospodárskej súťaži. (legislatívna iniciatíva vrátane posúdenia vplyvu, článok 170 – 171 ZFEÚ, 4. štvrťrok 2020)</w:t>
            </w:r>
          </w:p>
        </w:tc>
        <w:tc>
          <w:tcPr>
            <w:tcW w:w="1276" w:type="dxa"/>
            <w:tcBorders>
              <w:top w:val="single" w:sz="4" w:space="0" w:color="auto"/>
              <w:left w:val="single" w:sz="4" w:space="0" w:color="auto"/>
              <w:bottom w:val="single" w:sz="4" w:space="0" w:color="auto"/>
            </w:tcBorders>
          </w:tcPr>
          <w:p w:rsidR="002E6BBF" w:rsidRPr="002E6BBF" w:rsidRDefault="002E6BBF" w:rsidP="002F1D07">
            <w:pPr>
              <w:spacing w:after="0"/>
              <w:ind w:right="112"/>
              <w:jc w:val="center"/>
              <w:rPr>
                <w:b/>
                <w:sz w:val="20"/>
              </w:rPr>
            </w:pPr>
            <w:r w:rsidRPr="002E6BBF">
              <w:rPr>
                <w:b/>
                <w:sz w:val="20"/>
              </w:rPr>
              <w:t>MH SR</w:t>
            </w:r>
          </w:p>
        </w:tc>
        <w:tc>
          <w:tcPr>
            <w:tcW w:w="5245" w:type="dxa"/>
            <w:tcBorders>
              <w:top w:val="single" w:sz="4" w:space="0" w:color="auto"/>
              <w:left w:val="single" w:sz="4" w:space="0" w:color="auto"/>
              <w:bottom w:val="single" w:sz="4" w:space="0" w:color="auto"/>
            </w:tcBorders>
          </w:tcPr>
          <w:p w:rsidR="002E6BBF" w:rsidRPr="00534DD0" w:rsidRDefault="002E6BBF" w:rsidP="002E6BBF">
            <w:pPr>
              <w:spacing w:after="0"/>
              <w:ind w:right="112"/>
              <w:rPr>
                <w:b/>
                <w:sz w:val="20"/>
              </w:rPr>
            </w:pPr>
            <w:r>
              <w:rPr>
                <w:b/>
                <w:sz w:val="20"/>
                <w:u w:val="single"/>
              </w:rPr>
              <w:t>Vysoká priorita</w:t>
            </w:r>
            <w:r>
              <w:rPr>
                <w:sz w:val="20"/>
              </w:rPr>
              <w:t xml:space="preserve"> - Revízia bude dôležitá v kontexte rozvoja energetickej infraštruktúry a dosiahnutia klimatickej neutrality do roku 2050. </w:t>
            </w:r>
          </w:p>
        </w:tc>
      </w:tr>
      <w:tr w:rsidR="002E6BBF" w:rsidTr="00A73ED0">
        <w:trPr>
          <w:cantSplit/>
        </w:trPr>
        <w:tc>
          <w:tcPr>
            <w:tcW w:w="647" w:type="dxa"/>
            <w:tcBorders>
              <w:top w:val="single" w:sz="4" w:space="0" w:color="auto"/>
              <w:left w:val="single" w:sz="4" w:space="0" w:color="auto"/>
              <w:bottom w:val="single" w:sz="4" w:space="0" w:color="auto"/>
              <w:right w:val="single" w:sz="4" w:space="0" w:color="auto"/>
            </w:tcBorders>
            <w:shd w:val="clear" w:color="auto" w:fill="auto"/>
          </w:tcPr>
          <w:p w:rsidR="002E6BBF" w:rsidRDefault="002E6BBF" w:rsidP="002E6BBF">
            <w:pPr>
              <w:keepNext/>
              <w:numPr>
                <w:ilvl w:val="0"/>
                <w:numId w:val="23"/>
              </w:numPr>
              <w:spacing w:after="0" w:line="276" w:lineRule="auto"/>
              <w:jc w:val="left"/>
              <w:rPr>
                <w:rFonts w:eastAsiaTheme="minorHAnsi" w:cstheme="minorBidi"/>
                <w:noProof/>
                <w:color w:val="000000"/>
                <w:sz w:val="20"/>
              </w:rPr>
            </w:pPr>
          </w:p>
        </w:tc>
        <w:tc>
          <w:tcPr>
            <w:tcW w:w="2467" w:type="dxa"/>
            <w:tcBorders>
              <w:top w:val="single" w:sz="4" w:space="0" w:color="auto"/>
              <w:left w:val="single" w:sz="4" w:space="0" w:color="auto"/>
              <w:bottom w:val="single" w:sz="4" w:space="0" w:color="auto"/>
              <w:right w:val="single" w:sz="4" w:space="0" w:color="auto"/>
            </w:tcBorders>
          </w:tcPr>
          <w:p w:rsidR="002E6BBF" w:rsidRDefault="002E6BBF" w:rsidP="002E6BBF">
            <w:pPr>
              <w:keepNext/>
              <w:spacing w:after="0"/>
              <w:jc w:val="left"/>
              <w:rPr>
                <w:rFonts w:eastAsiaTheme="minorEastAsia" w:cstheme="minorBidi"/>
                <w:b/>
                <w:bCs/>
                <w:noProof/>
                <w:sz w:val="20"/>
              </w:rPr>
            </w:pPr>
            <w:r>
              <w:rPr>
                <w:b/>
                <w:bCs/>
                <w:noProof/>
                <w:sz w:val="20"/>
              </w:rPr>
              <w:t>Hodnotenie smernice 2011/65/EÚ o obmedzení používania určitých nebezpečných látok v elektrických a elektronických zariadeniach</w:t>
            </w:r>
          </w:p>
        </w:tc>
        <w:tc>
          <w:tcPr>
            <w:tcW w:w="4961" w:type="dxa"/>
            <w:tcBorders>
              <w:top w:val="single" w:sz="4" w:space="0" w:color="auto"/>
              <w:left w:val="single" w:sz="4" w:space="0" w:color="auto"/>
              <w:bottom w:val="single" w:sz="4" w:space="0" w:color="auto"/>
            </w:tcBorders>
          </w:tcPr>
          <w:p w:rsidR="002E6BBF" w:rsidRDefault="002E6BBF" w:rsidP="002E6BBF">
            <w:pPr>
              <w:keepNext/>
              <w:spacing w:after="0"/>
              <w:rPr>
                <w:rFonts w:eastAsiaTheme="minorEastAsia" w:cstheme="minorBidi"/>
                <w:noProof/>
                <w:sz w:val="20"/>
              </w:rPr>
            </w:pPr>
            <w:r>
              <w:rPr>
                <w:noProof/>
                <w:sz w:val="20"/>
              </w:rPr>
              <w:t>Pri hodnotení smernice o obmedzení používania určitých nebezpečných látok sa posúdi jej účinnosť a efektívnosť z hľadiska postupu prijímania obmedzení látok a udeľovania výnimiek z obmedzení. Posúdi sa v ňom aj jej súlad s inými právnymi predpismi EÚ a jej relevantnosť voči nim, a to najmä so zreteľom na hodnotenia nariadenia REACH a smernice o ekodizajne.</w:t>
            </w:r>
          </w:p>
        </w:tc>
        <w:tc>
          <w:tcPr>
            <w:tcW w:w="1276" w:type="dxa"/>
            <w:tcBorders>
              <w:top w:val="single" w:sz="4" w:space="0" w:color="auto"/>
              <w:left w:val="single" w:sz="4" w:space="0" w:color="auto"/>
              <w:bottom w:val="single" w:sz="4" w:space="0" w:color="auto"/>
            </w:tcBorders>
          </w:tcPr>
          <w:p w:rsidR="002E6BBF" w:rsidRPr="002F1D07" w:rsidRDefault="002F1D07" w:rsidP="002F1D07">
            <w:pPr>
              <w:keepNext/>
              <w:spacing w:after="0"/>
              <w:jc w:val="center"/>
              <w:rPr>
                <w:b/>
                <w:noProof/>
                <w:sz w:val="20"/>
              </w:rPr>
            </w:pPr>
            <w:r w:rsidRPr="002F1D07">
              <w:rPr>
                <w:b/>
                <w:noProof/>
                <w:sz w:val="20"/>
              </w:rPr>
              <w:t>MH SR</w:t>
            </w:r>
          </w:p>
          <w:p w:rsidR="002F1D07" w:rsidRDefault="002F1D07" w:rsidP="002F1D07">
            <w:pPr>
              <w:keepNext/>
              <w:spacing w:after="0"/>
              <w:jc w:val="center"/>
              <w:rPr>
                <w:noProof/>
                <w:sz w:val="20"/>
              </w:rPr>
            </w:pPr>
            <w:r w:rsidRPr="002F1D07">
              <w:rPr>
                <w:b/>
                <w:noProof/>
                <w:sz w:val="20"/>
              </w:rPr>
              <w:t>MŽP SR</w:t>
            </w:r>
          </w:p>
        </w:tc>
        <w:tc>
          <w:tcPr>
            <w:tcW w:w="5245" w:type="dxa"/>
            <w:tcBorders>
              <w:top w:val="single" w:sz="4" w:space="0" w:color="auto"/>
              <w:left w:val="single" w:sz="4" w:space="0" w:color="auto"/>
              <w:bottom w:val="single" w:sz="4" w:space="0" w:color="auto"/>
            </w:tcBorders>
          </w:tcPr>
          <w:p w:rsidR="002E6BBF" w:rsidRDefault="002F1D07" w:rsidP="002E6BBF">
            <w:pPr>
              <w:keepNext/>
              <w:spacing w:after="0"/>
              <w:rPr>
                <w:noProof/>
                <w:sz w:val="20"/>
              </w:rPr>
            </w:pPr>
            <w:r w:rsidRPr="002F1D07">
              <w:rPr>
                <w:b/>
                <w:noProof/>
                <w:sz w:val="20"/>
                <w:u w:val="single"/>
              </w:rPr>
              <w:t>Nízka priorita</w:t>
            </w:r>
            <w:r>
              <w:rPr>
                <w:b/>
                <w:noProof/>
                <w:sz w:val="20"/>
              </w:rPr>
              <w:t xml:space="preserve"> - </w:t>
            </w:r>
            <w:r>
              <w:rPr>
                <w:noProof/>
                <w:sz w:val="20"/>
              </w:rPr>
              <w:t>vzhľadom k tomu, že politika výrobkov (EEZ) je v gescii MH SR a hodnotenie smernice bude zamerané na posudzovanie súladu s inými právnymi predpismi so zreteľom na hodnotenie nariadenia REACH a smernici o ekodizajne, ktoré sú taktiež v gescii MH SR, MŽP SR z hľadiska vecnej pôsobnosti tvorí len správcu danej smernice a preto sa k potrebe revízie nedokáže vyjadriť.</w:t>
            </w:r>
          </w:p>
        </w:tc>
      </w:tr>
      <w:tr w:rsidR="002E6BBF" w:rsidTr="00A73ED0">
        <w:trPr>
          <w:cantSplit/>
        </w:trPr>
        <w:tc>
          <w:tcPr>
            <w:tcW w:w="647" w:type="dxa"/>
            <w:tcBorders>
              <w:top w:val="single" w:sz="4" w:space="0" w:color="auto"/>
              <w:left w:val="single" w:sz="4" w:space="0" w:color="auto"/>
              <w:bottom w:val="single" w:sz="4" w:space="0" w:color="auto"/>
              <w:right w:val="single" w:sz="4" w:space="0" w:color="auto"/>
            </w:tcBorders>
            <w:shd w:val="clear" w:color="auto" w:fill="auto"/>
          </w:tcPr>
          <w:p w:rsidR="002E6BBF" w:rsidRDefault="002E6BBF" w:rsidP="002E6BBF">
            <w:pPr>
              <w:keepNext/>
              <w:numPr>
                <w:ilvl w:val="0"/>
                <w:numId w:val="23"/>
              </w:numPr>
              <w:spacing w:after="0" w:line="276" w:lineRule="auto"/>
              <w:jc w:val="left"/>
              <w:rPr>
                <w:rFonts w:eastAsiaTheme="minorHAnsi" w:cstheme="minorBidi"/>
                <w:noProof/>
                <w:color w:val="000000"/>
                <w:sz w:val="20"/>
              </w:rPr>
            </w:pPr>
          </w:p>
        </w:tc>
        <w:tc>
          <w:tcPr>
            <w:tcW w:w="2467" w:type="dxa"/>
            <w:tcBorders>
              <w:top w:val="single" w:sz="4" w:space="0" w:color="auto"/>
              <w:left w:val="single" w:sz="4" w:space="0" w:color="auto"/>
              <w:bottom w:val="single" w:sz="4" w:space="0" w:color="auto"/>
              <w:right w:val="single" w:sz="4" w:space="0" w:color="auto"/>
            </w:tcBorders>
          </w:tcPr>
          <w:p w:rsidR="002E6BBF" w:rsidRDefault="002E6BBF" w:rsidP="002E6BBF">
            <w:pPr>
              <w:keepNext/>
              <w:spacing w:after="0"/>
              <w:jc w:val="left"/>
              <w:rPr>
                <w:rFonts w:eastAsiaTheme="minorEastAsia" w:cstheme="minorBidi"/>
                <w:b/>
                <w:bCs/>
                <w:noProof/>
                <w:sz w:val="20"/>
              </w:rPr>
            </w:pPr>
            <w:r>
              <w:rPr>
                <w:b/>
                <w:bCs/>
                <w:noProof/>
                <w:sz w:val="20"/>
              </w:rPr>
              <w:t xml:space="preserve">Hodnotenie smernice 2000/53/EÚ o vozidlách po dobe životnosti  </w:t>
            </w:r>
          </w:p>
        </w:tc>
        <w:tc>
          <w:tcPr>
            <w:tcW w:w="4961" w:type="dxa"/>
            <w:tcBorders>
              <w:top w:val="single" w:sz="4" w:space="0" w:color="auto"/>
              <w:left w:val="single" w:sz="4" w:space="0" w:color="auto"/>
              <w:bottom w:val="single" w:sz="4" w:space="0" w:color="auto"/>
            </w:tcBorders>
          </w:tcPr>
          <w:p w:rsidR="002E6BBF" w:rsidRPr="003B1CF2" w:rsidRDefault="002E6BBF" w:rsidP="002E6BBF">
            <w:pPr>
              <w:keepNext/>
              <w:spacing w:after="0"/>
              <w:rPr>
                <w:rFonts w:eastAsiaTheme="minorEastAsia" w:cstheme="minorBidi"/>
                <w:noProof/>
                <w:sz w:val="20"/>
              </w:rPr>
            </w:pPr>
            <w:r w:rsidRPr="003B1CF2">
              <w:rPr>
                <w:noProof/>
                <w:sz w:val="20"/>
              </w:rPr>
              <w:t>Pri hodnotení smernice o vozidlách po dobe životnosti sa posúdi jej účinnosť, efektívnosť, súlad s inými právnymi predpismi a relevantnosť vzhľadom na širšie ciele politiky v oblasti obehového hospodárstva, plastov, efektívneho využívania zdrojov, surovín atď.</w:t>
            </w:r>
          </w:p>
        </w:tc>
        <w:tc>
          <w:tcPr>
            <w:tcW w:w="1276" w:type="dxa"/>
            <w:tcBorders>
              <w:top w:val="single" w:sz="4" w:space="0" w:color="auto"/>
              <w:left w:val="single" w:sz="4" w:space="0" w:color="auto"/>
              <w:bottom w:val="single" w:sz="4" w:space="0" w:color="auto"/>
            </w:tcBorders>
          </w:tcPr>
          <w:p w:rsidR="002E6BBF" w:rsidRDefault="002F1D07" w:rsidP="002F1D07">
            <w:pPr>
              <w:keepNext/>
              <w:spacing w:after="0"/>
              <w:jc w:val="center"/>
              <w:rPr>
                <w:b/>
                <w:noProof/>
                <w:sz w:val="20"/>
              </w:rPr>
            </w:pPr>
            <w:r w:rsidRPr="002F1D07">
              <w:rPr>
                <w:b/>
                <w:noProof/>
                <w:sz w:val="20"/>
              </w:rPr>
              <w:t>MŽP SR</w:t>
            </w:r>
          </w:p>
          <w:p w:rsidR="004D73FA" w:rsidRPr="002F1D07" w:rsidRDefault="004D73FA" w:rsidP="002F1D07">
            <w:pPr>
              <w:keepNext/>
              <w:spacing w:after="0"/>
              <w:jc w:val="center"/>
              <w:rPr>
                <w:b/>
                <w:noProof/>
                <w:sz w:val="20"/>
              </w:rPr>
            </w:pPr>
            <w:r>
              <w:rPr>
                <w:b/>
                <w:noProof/>
                <w:sz w:val="20"/>
              </w:rPr>
              <w:t>MDV SR</w:t>
            </w:r>
          </w:p>
          <w:p w:rsidR="002F1D07" w:rsidRPr="002F1D07" w:rsidRDefault="002F1D07" w:rsidP="002F1D07">
            <w:pPr>
              <w:keepNext/>
              <w:spacing w:after="0"/>
              <w:jc w:val="center"/>
              <w:rPr>
                <w:b/>
                <w:noProof/>
                <w:sz w:val="20"/>
              </w:rPr>
            </w:pPr>
          </w:p>
        </w:tc>
        <w:tc>
          <w:tcPr>
            <w:tcW w:w="5245" w:type="dxa"/>
            <w:tcBorders>
              <w:top w:val="single" w:sz="4" w:space="0" w:color="auto"/>
              <w:left w:val="single" w:sz="4" w:space="0" w:color="auto"/>
              <w:bottom w:val="single" w:sz="4" w:space="0" w:color="auto"/>
            </w:tcBorders>
          </w:tcPr>
          <w:p w:rsidR="002E6BBF" w:rsidRDefault="002F1D07" w:rsidP="002E6BBF">
            <w:pPr>
              <w:keepNext/>
              <w:spacing w:after="0"/>
              <w:rPr>
                <w:noProof/>
                <w:sz w:val="20"/>
              </w:rPr>
            </w:pPr>
            <w:r>
              <w:rPr>
                <w:b/>
                <w:noProof/>
                <w:sz w:val="20"/>
                <w:u w:val="single"/>
              </w:rPr>
              <w:t>Stredná priorita</w:t>
            </w:r>
            <w:r>
              <w:rPr>
                <w:noProof/>
                <w:sz w:val="20"/>
              </w:rPr>
              <w:t xml:space="preserve"> – Po hodnotení smernice o vozidlách po dobe životnosti, ktoré bude v 2. polroku 2020 bude nasledovať hodnotenie vplyvov a návrh Komisie na revíziu smernice o vozidlách po dobe životnosti (s dôrazom na riešenie situácie s vozidlami po dobe životnosti  mimo systému, spracovania plastov a ich spätné využitie pri výrobe nových vozidiel, predaja elektrických vozidiel, rozšírenia rozsahu smernice tak, aby bola v súlade s prioritami v rámci cirkulárnej ekonomiky).</w:t>
            </w:r>
          </w:p>
        </w:tc>
      </w:tr>
      <w:tr w:rsidR="002E6BBF" w:rsidTr="00A73ED0">
        <w:trPr>
          <w:cantSplit/>
        </w:trPr>
        <w:tc>
          <w:tcPr>
            <w:tcW w:w="647" w:type="dxa"/>
            <w:tcBorders>
              <w:top w:val="single" w:sz="4" w:space="0" w:color="auto"/>
              <w:left w:val="single" w:sz="4" w:space="0" w:color="auto"/>
              <w:bottom w:val="single" w:sz="4" w:space="0" w:color="auto"/>
              <w:right w:val="single" w:sz="4" w:space="0" w:color="auto"/>
            </w:tcBorders>
            <w:shd w:val="clear" w:color="auto" w:fill="auto"/>
          </w:tcPr>
          <w:p w:rsidR="002E6BBF" w:rsidRDefault="002E6BBF" w:rsidP="002E6BBF">
            <w:pPr>
              <w:keepNext/>
              <w:numPr>
                <w:ilvl w:val="0"/>
                <w:numId w:val="23"/>
              </w:numPr>
              <w:spacing w:after="0" w:line="276" w:lineRule="auto"/>
              <w:jc w:val="left"/>
              <w:rPr>
                <w:rFonts w:eastAsiaTheme="minorHAnsi" w:cstheme="minorBidi"/>
                <w:noProof/>
                <w:color w:val="000000"/>
                <w:sz w:val="20"/>
              </w:rPr>
            </w:pPr>
          </w:p>
        </w:tc>
        <w:tc>
          <w:tcPr>
            <w:tcW w:w="2467" w:type="dxa"/>
            <w:tcBorders>
              <w:top w:val="single" w:sz="4" w:space="0" w:color="auto"/>
              <w:left w:val="single" w:sz="4" w:space="0" w:color="auto"/>
              <w:bottom w:val="single" w:sz="4" w:space="0" w:color="auto"/>
              <w:right w:val="single" w:sz="4" w:space="0" w:color="auto"/>
            </w:tcBorders>
          </w:tcPr>
          <w:p w:rsidR="002E6BBF" w:rsidRDefault="002E6BBF" w:rsidP="002E6BBF">
            <w:pPr>
              <w:keepNext/>
              <w:spacing w:after="0"/>
              <w:jc w:val="left"/>
              <w:rPr>
                <w:rFonts w:eastAsiaTheme="minorEastAsia" w:cstheme="minorBidi"/>
                <w:b/>
                <w:bCs/>
                <w:noProof/>
                <w:sz w:val="20"/>
              </w:rPr>
            </w:pPr>
            <w:r>
              <w:rPr>
                <w:b/>
                <w:bCs/>
                <w:noProof/>
                <w:sz w:val="20"/>
              </w:rPr>
              <w:t>Hodnotenie smernice 2010/75/EÚ o priemyselných emisiách</w:t>
            </w:r>
          </w:p>
        </w:tc>
        <w:tc>
          <w:tcPr>
            <w:tcW w:w="4961" w:type="dxa"/>
            <w:tcBorders>
              <w:top w:val="single" w:sz="4" w:space="0" w:color="auto"/>
              <w:left w:val="single" w:sz="4" w:space="0" w:color="auto"/>
              <w:bottom w:val="single" w:sz="4" w:space="0" w:color="auto"/>
            </w:tcBorders>
          </w:tcPr>
          <w:p w:rsidR="002E6BBF" w:rsidRPr="003B1CF2" w:rsidRDefault="002E6BBF" w:rsidP="002E6BBF">
            <w:pPr>
              <w:keepNext/>
              <w:spacing w:after="0"/>
              <w:rPr>
                <w:rFonts w:eastAsiaTheme="minorEastAsia" w:cstheme="minorBidi"/>
                <w:noProof/>
                <w:sz w:val="20"/>
              </w:rPr>
            </w:pPr>
            <w:r w:rsidRPr="003B1CF2">
              <w:rPr>
                <w:noProof/>
                <w:sz w:val="20"/>
              </w:rPr>
              <w:t>V hodnotení smernice o priemyselných emisiách sa posúdi jej účinnosť, efektívnosť, pridaná hodnota EÚ, súlad s inými právnymi predpismi a relevantnosť, pokiaľ ide o riešenie dôležitých (agro) priemyselných zdrojov znečistenia ovzdušia, vody a pôdy.</w:t>
            </w:r>
          </w:p>
        </w:tc>
        <w:tc>
          <w:tcPr>
            <w:tcW w:w="1276" w:type="dxa"/>
            <w:tcBorders>
              <w:top w:val="single" w:sz="4" w:space="0" w:color="auto"/>
              <w:left w:val="single" w:sz="4" w:space="0" w:color="auto"/>
              <w:bottom w:val="single" w:sz="4" w:space="0" w:color="auto"/>
            </w:tcBorders>
          </w:tcPr>
          <w:p w:rsidR="002F1D07" w:rsidRPr="002F1D07" w:rsidRDefault="002F1D07" w:rsidP="002F1D07">
            <w:pPr>
              <w:keepNext/>
              <w:spacing w:after="0"/>
              <w:jc w:val="center"/>
              <w:rPr>
                <w:b/>
                <w:noProof/>
                <w:sz w:val="20"/>
              </w:rPr>
            </w:pPr>
            <w:r w:rsidRPr="002F1D07">
              <w:rPr>
                <w:b/>
                <w:noProof/>
                <w:sz w:val="20"/>
              </w:rPr>
              <w:t>MŽP SR</w:t>
            </w:r>
          </w:p>
          <w:p w:rsidR="002E6BBF" w:rsidRPr="002F1D07" w:rsidRDefault="002E6BBF" w:rsidP="002F1D07">
            <w:pPr>
              <w:keepNext/>
              <w:spacing w:after="0"/>
              <w:jc w:val="center"/>
              <w:rPr>
                <w:b/>
                <w:noProof/>
                <w:sz w:val="20"/>
              </w:rPr>
            </w:pPr>
          </w:p>
        </w:tc>
        <w:tc>
          <w:tcPr>
            <w:tcW w:w="5245" w:type="dxa"/>
            <w:tcBorders>
              <w:top w:val="single" w:sz="4" w:space="0" w:color="auto"/>
              <w:left w:val="single" w:sz="4" w:space="0" w:color="auto"/>
              <w:bottom w:val="single" w:sz="4" w:space="0" w:color="auto"/>
            </w:tcBorders>
          </w:tcPr>
          <w:p w:rsidR="002E6BBF" w:rsidRDefault="002F1D07" w:rsidP="002E6BBF">
            <w:pPr>
              <w:keepNext/>
              <w:spacing w:after="0"/>
              <w:rPr>
                <w:noProof/>
                <w:sz w:val="20"/>
              </w:rPr>
            </w:pPr>
            <w:r>
              <w:rPr>
                <w:b/>
                <w:noProof/>
                <w:sz w:val="20"/>
              </w:rPr>
              <w:t>Vysoká priorita –</w:t>
            </w:r>
            <w:r>
              <w:rPr>
                <w:noProof/>
                <w:sz w:val="20"/>
              </w:rPr>
              <w:t xml:space="preserve"> Slovenská republika sa aktívne zapojila do procesu hodnotenia implementácie smernice  o priemyselných emisiách, pričom zaslala EK rozsiahly súbor pripomienok a návrhov na zlepšenie. Hodnotiaca správa ešte nebola predložená na posúdenie. Správa o hodnotení smernice o priemyselných emisiách sa predpokladá v roku 2020. V správe bude vyhodnotený stav implementácie smernice o priemyselných emisiách a jej efektu na zvýšenie kvality životného prostredia. Predpokladá sa, že v nadväznosti na závery správy o hodnotení smernice sa touto iniciatívou pripraví nový legislatívny návrh smernice.</w:t>
            </w:r>
          </w:p>
        </w:tc>
      </w:tr>
      <w:tr w:rsidR="002E6BBF" w:rsidTr="00A73ED0">
        <w:trPr>
          <w:cantSplit/>
        </w:trPr>
        <w:tc>
          <w:tcPr>
            <w:tcW w:w="647" w:type="dxa"/>
            <w:tcBorders>
              <w:top w:val="single" w:sz="4" w:space="0" w:color="auto"/>
              <w:left w:val="single" w:sz="4" w:space="0" w:color="auto"/>
              <w:bottom w:val="single" w:sz="4" w:space="0" w:color="auto"/>
              <w:right w:val="single" w:sz="4" w:space="0" w:color="auto"/>
            </w:tcBorders>
            <w:shd w:val="clear" w:color="auto" w:fill="auto"/>
          </w:tcPr>
          <w:p w:rsidR="002E6BBF" w:rsidRDefault="002E6BBF" w:rsidP="002E6BBF">
            <w:pPr>
              <w:keepNext/>
              <w:numPr>
                <w:ilvl w:val="0"/>
                <w:numId w:val="23"/>
              </w:numPr>
              <w:spacing w:after="0" w:line="276" w:lineRule="auto"/>
              <w:jc w:val="left"/>
              <w:rPr>
                <w:rFonts w:eastAsiaTheme="minorHAnsi" w:cstheme="minorBidi"/>
                <w:noProof/>
                <w:color w:val="000000"/>
                <w:sz w:val="20"/>
              </w:rPr>
            </w:pPr>
          </w:p>
        </w:tc>
        <w:tc>
          <w:tcPr>
            <w:tcW w:w="2467" w:type="dxa"/>
            <w:tcBorders>
              <w:top w:val="single" w:sz="4" w:space="0" w:color="auto"/>
              <w:left w:val="single" w:sz="4" w:space="0" w:color="auto"/>
              <w:bottom w:val="single" w:sz="4" w:space="0" w:color="auto"/>
              <w:right w:val="single" w:sz="4" w:space="0" w:color="auto"/>
            </w:tcBorders>
          </w:tcPr>
          <w:p w:rsidR="002E6BBF" w:rsidRDefault="002E6BBF" w:rsidP="002E6BBF">
            <w:pPr>
              <w:keepNext/>
              <w:spacing w:after="0"/>
              <w:jc w:val="left"/>
              <w:rPr>
                <w:rFonts w:eastAsiaTheme="minorEastAsia" w:cstheme="minorBidi"/>
                <w:b/>
                <w:bCs/>
                <w:noProof/>
                <w:sz w:val="20"/>
              </w:rPr>
            </w:pPr>
            <w:r>
              <w:rPr>
                <w:b/>
                <w:bCs/>
                <w:noProof/>
                <w:sz w:val="20"/>
              </w:rPr>
              <w:t>Kontrola vhodnosti pravidiel EÚ zameraných proti nezákonnej ťažbe dreva [nariadenie EÚ o dreve, nariadenie (EÚ) č. 995/2010 a nariadenie (ES) č. 2173/2005 FLEGT v EÚ]</w:t>
            </w:r>
          </w:p>
        </w:tc>
        <w:tc>
          <w:tcPr>
            <w:tcW w:w="4961" w:type="dxa"/>
            <w:tcBorders>
              <w:top w:val="single" w:sz="4" w:space="0" w:color="auto"/>
              <w:left w:val="single" w:sz="4" w:space="0" w:color="auto"/>
              <w:bottom w:val="single" w:sz="4" w:space="0" w:color="auto"/>
            </w:tcBorders>
          </w:tcPr>
          <w:p w:rsidR="002E6BBF" w:rsidRPr="003B1CF2" w:rsidRDefault="002E6BBF" w:rsidP="002E6BBF">
            <w:pPr>
              <w:keepNext/>
              <w:spacing w:after="0"/>
              <w:rPr>
                <w:rFonts w:eastAsiaTheme="minorEastAsia" w:cstheme="minorBidi"/>
                <w:noProof/>
                <w:sz w:val="20"/>
              </w:rPr>
            </w:pPr>
            <w:r w:rsidRPr="003B1CF2">
              <w:rPr>
                <w:noProof/>
                <w:sz w:val="20"/>
              </w:rPr>
              <w:t>V rámci kontroly vhodnosti sa v prípade oboch nariadení posúdi účinnosť, efektívnosť, súlad, relevantnosť a pridaná hodnota EÚ, pokiaľ ide o prispievanie k boju proti nezákonnej ťažbe dreva na celom svete. Skúsenosti získané pri kontrole vhodnosti budú užitočné pri hodnotení opatrení na strane dopytu v prípade iných komodít.</w:t>
            </w:r>
          </w:p>
        </w:tc>
        <w:tc>
          <w:tcPr>
            <w:tcW w:w="1276" w:type="dxa"/>
            <w:tcBorders>
              <w:top w:val="single" w:sz="4" w:space="0" w:color="auto"/>
              <w:left w:val="single" w:sz="4" w:space="0" w:color="auto"/>
              <w:bottom w:val="single" w:sz="4" w:space="0" w:color="auto"/>
            </w:tcBorders>
          </w:tcPr>
          <w:p w:rsidR="002E6BBF" w:rsidRDefault="002F1D07" w:rsidP="002F1D07">
            <w:pPr>
              <w:keepNext/>
              <w:spacing w:after="0"/>
              <w:jc w:val="center"/>
              <w:rPr>
                <w:b/>
                <w:noProof/>
                <w:sz w:val="20"/>
              </w:rPr>
            </w:pPr>
            <w:r w:rsidRPr="002F1D07">
              <w:rPr>
                <w:b/>
                <w:noProof/>
                <w:sz w:val="20"/>
              </w:rPr>
              <w:t>MPRV SR</w:t>
            </w:r>
          </w:p>
          <w:p w:rsidR="004D73FA" w:rsidRPr="002F1D07" w:rsidRDefault="004D73FA" w:rsidP="002F1D07">
            <w:pPr>
              <w:keepNext/>
              <w:spacing w:after="0"/>
              <w:jc w:val="center"/>
              <w:rPr>
                <w:b/>
                <w:noProof/>
                <w:sz w:val="20"/>
              </w:rPr>
            </w:pPr>
            <w:r>
              <w:rPr>
                <w:b/>
                <w:noProof/>
                <w:sz w:val="20"/>
              </w:rPr>
              <w:t>MŽP SR</w:t>
            </w:r>
          </w:p>
        </w:tc>
        <w:tc>
          <w:tcPr>
            <w:tcW w:w="5245" w:type="dxa"/>
            <w:tcBorders>
              <w:top w:val="single" w:sz="4" w:space="0" w:color="auto"/>
              <w:left w:val="single" w:sz="4" w:space="0" w:color="auto"/>
              <w:bottom w:val="single" w:sz="4" w:space="0" w:color="auto"/>
            </w:tcBorders>
          </w:tcPr>
          <w:p w:rsidR="002E6BBF" w:rsidRDefault="002F1D07" w:rsidP="002E6BBF">
            <w:pPr>
              <w:keepNext/>
              <w:spacing w:after="0"/>
              <w:rPr>
                <w:noProof/>
                <w:sz w:val="20"/>
              </w:rPr>
            </w:pPr>
            <w:r>
              <w:rPr>
                <w:b/>
                <w:noProof/>
                <w:sz w:val="20"/>
                <w:u w:val="single"/>
              </w:rPr>
              <w:t>Vysoká priorita</w:t>
            </w:r>
            <w:r>
              <w:rPr>
                <w:noProof/>
                <w:sz w:val="20"/>
              </w:rPr>
              <w:t xml:space="preserve"> - Revízia bude dôležitá v kontexte preukazovania legálnosti ťažby dreva a jeho uvádzania na trh v súlade s nariadením EUTR a zákonom č. 113/2018 Z. z. a ostatnými právnymi predpismi upravujúcimi ťažbu v lesoch a výrub stromov z pozemkov rastúcich mimo lesa</w:t>
            </w:r>
          </w:p>
        </w:tc>
      </w:tr>
      <w:tr w:rsidR="002E6BBF" w:rsidTr="00A73ED0">
        <w:trPr>
          <w:cantSplit/>
        </w:trPr>
        <w:tc>
          <w:tcPr>
            <w:tcW w:w="647" w:type="dxa"/>
            <w:tcBorders>
              <w:top w:val="single" w:sz="4" w:space="0" w:color="auto"/>
              <w:left w:val="single" w:sz="4" w:space="0" w:color="auto"/>
              <w:bottom w:val="single" w:sz="4" w:space="0" w:color="auto"/>
              <w:right w:val="single" w:sz="4" w:space="0" w:color="auto"/>
            </w:tcBorders>
            <w:shd w:val="clear" w:color="auto" w:fill="auto"/>
          </w:tcPr>
          <w:p w:rsidR="002E6BBF" w:rsidRDefault="002E6BBF" w:rsidP="002E6BBF">
            <w:pPr>
              <w:keepNext/>
              <w:numPr>
                <w:ilvl w:val="0"/>
                <w:numId w:val="23"/>
              </w:numPr>
              <w:spacing w:after="0" w:line="276" w:lineRule="auto"/>
              <w:jc w:val="left"/>
              <w:rPr>
                <w:rFonts w:eastAsiaTheme="minorHAnsi" w:cstheme="minorBidi"/>
                <w:noProof/>
                <w:color w:val="000000"/>
                <w:sz w:val="20"/>
              </w:rPr>
            </w:pPr>
          </w:p>
        </w:tc>
        <w:tc>
          <w:tcPr>
            <w:tcW w:w="2467" w:type="dxa"/>
            <w:tcBorders>
              <w:top w:val="single" w:sz="4" w:space="0" w:color="auto"/>
              <w:left w:val="single" w:sz="4" w:space="0" w:color="auto"/>
              <w:bottom w:val="single" w:sz="4" w:space="0" w:color="auto"/>
              <w:right w:val="single" w:sz="4" w:space="0" w:color="auto"/>
            </w:tcBorders>
          </w:tcPr>
          <w:p w:rsidR="002E6BBF" w:rsidRPr="003B1CF2" w:rsidRDefault="002E6BBF" w:rsidP="002E6BBF">
            <w:pPr>
              <w:keepNext/>
              <w:spacing w:after="0"/>
              <w:jc w:val="left"/>
              <w:rPr>
                <w:rFonts w:eastAsiaTheme="minorEastAsia" w:cstheme="minorBidi"/>
                <w:b/>
                <w:bCs/>
                <w:noProof/>
                <w:sz w:val="20"/>
              </w:rPr>
            </w:pPr>
            <w:r w:rsidRPr="003B1CF2">
              <w:rPr>
                <w:b/>
                <w:bCs/>
                <w:noProof/>
                <w:sz w:val="20"/>
              </w:rPr>
              <w:t xml:space="preserve">Revízia smernice EÚ o batériách </w:t>
            </w:r>
          </w:p>
        </w:tc>
        <w:tc>
          <w:tcPr>
            <w:tcW w:w="4961" w:type="dxa"/>
            <w:tcBorders>
              <w:top w:val="single" w:sz="4" w:space="0" w:color="auto"/>
              <w:left w:val="single" w:sz="4" w:space="0" w:color="auto"/>
              <w:bottom w:val="single" w:sz="4" w:space="0" w:color="auto"/>
            </w:tcBorders>
            <w:vAlign w:val="center"/>
          </w:tcPr>
          <w:p w:rsidR="002E6BBF" w:rsidRPr="003B1CF2" w:rsidRDefault="002E6BBF" w:rsidP="002E6BBF">
            <w:pPr>
              <w:keepNext/>
              <w:spacing w:after="0"/>
              <w:rPr>
                <w:rFonts w:eastAsiaTheme="minorEastAsia" w:cstheme="minorBidi"/>
                <w:noProof/>
                <w:sz w:val="20"/>
              </w:rPr>
            </w:pPr>
            <w:r w:rsidRPr="003B1CF2">
              <w:rPr>
                <w:noProof/>
                <w:sz w:val="20"/>
              </w:rPr>
              <w:t>Ako sa uvádza v správach o hodnotení/vykonávaní smernice o batériách, cieľom revízie by malo byť lepšie zohľadnenie obehovosti, zlepšenie udržateľnosti a udržanie tempa s technologickým vývojom. S tým sa počíta aj v strategickom akčnom pláne pre batérie. V nadväznosti na závery správ o smernici sa touto iniciatívou upraví smernica alebo sa pripraví návrh nového nariadenia, ktorým sa smernica zrušuje, a to najmä s cieľom zahrnúť požiadavky týkajúce sa konca životnosti a udržateľnosti. (legislatívna iniciatíva vrátane posúdenia vplyvu; 4. štvrťrok 2020)</w:t>
            </w:r>
          </w:p>
        </w:tc>
        <w:tc>
          <w:tcPr>
            <w:tcW w:w="1276" w:type="dxa"/>
            <w:tcBorders>
              <w:top w:val="single" w:sz="4" w:space="0" w:color="auto"/>
              <w:left w:val="single" w:sz="4" w:space="0" w:color="auto"/>
              <w:bottom w:val="single" w:sz="4" w:space="0" w:color="auto"/>
            </w:tcBorders>
          </w:tcPr>
          <w:p w:rsidR="002F1D07" w:rsidRDefault="002F1D07" w:rsidP="002F1D07">
            <w:pPr>
              <w:keepNext/>
              <w:spacing w:after="0"/>
              <w:jc w:val="center"/>
              <w:rPr>
                <w:b/>
                <w:noProof/>
                <w:sz w:val="20"/>
              </w:rPr>
            </w:pPr>
            <w:r>
              <w:rPr>
                <w:b/>
                <w:noProof/>
                <w:sz w:val="20"/>
              </w:rPr>
              <w:t>MŽP SR</w:t>
            </w:r>
          </w:p>
          <w:p w:rsidR="002E6BBF" w:rsidRDefault="004D73FA" w:rsidP="002F1D07">
            <w:pPr>
              <w:keepNext/>
              <w:spacing w:after="0"/>
              <w:jc w:val="center"/>
              <w:rPr>
                <w:b/>
                <w:noProof/>
                <w:sz w:val="20"/>
              </w:rPr>
            </w:pPr>
            <w:r>
              <w:rPr>
                <w:b/>
                <w:noProof/>
                <w:sz w:val="20"/>
              </w:rPr>
              <w:t>MH SR</w:t>
            </w:r>
            <w:r>
              <w:rPr>
                <w:b/>
                <w:noProof/>
                <w:sz w:val="20"/>
              </w:rPr>
              <w:br/>
            </w:r>
          </w:p>
          <w:p w:rsidR="002F1D07" w:rsidRPr="00A27C5A" w:rsidRDefault="002F1D07" w:rsidP="002E6BBF">
            <w:pPr>
              <w:keepNext/>
              <w:spacing w:after="0"/>
              <w:rPr>
                <w:b/>
                <w:noProof/>
                <w:sz w:val="20"/>
              </w:rPr>
            </w:pPr>
          </w:p>
        </w:tc>
        <w:tc>
          <w:tcPr>
            <w:tcW w:w="5245" w:type="dxa"/>
            <w:tcBorders>
              <w:top w:val="single" w:sz="4" w:space="0" w:color="auto"/>
              <w:left w:val="single" w:sz="4" w:space="0" w:color="auto"/>
              <w:bottom w:val="single" w:sz="4" w:space="0" w:color="auto"/>
            </w:tcBorders>
          </w:tcPr>
          <w:p w:rsidR="002E6BBF" w:rsidRDefault="00A27C5A" w:rsidP="002205CF">
            <w:pPr>
              <w:keepNext/>
              <w:spacing w:after="0"/>
              <w:rPr>
                <w:noProof/>
                <w:sz w:val="20"/>
              </w:rPr>
            </w:pPr>
            <w:r>
              <w:rPr>
                <w:b/>
                <w:noProof/>
                <w:sz w:val="20"/>
                <w:u w:val="single"/>
              </w:rPr>
              <w:t>Vysoká priorita</w:t>
            </w:r>
            <w:r>
              <w:rPr>
                <w:noProof/>
                <w:sz w:val="20"/>
              </w:rPr>
              <w:t xml:space="preserve"> - </w:t>
            </w:r>
            <w:r w:rsidR="002F1D07">
              <w:rPr>
                <w:noProof/>
                <w:sz w:val="20"/>
              </w:rPr>
              <w:t>Revízia smernice o batériách a akumulátoroch, resp. prijatie nového nariadenia o batériách a akumulátoroch bude dôležité v kontexte  zastabilizovania, resp. ďalšieho rozvoja automobilového priemyslu v SR a predpokladaného postupného zvyšovania podielu elektromobility v EU a z toho vyplývajúcich požiadaviek  na spracovanie nových typov odpadových batérií, resp. zabezpečenia ich ďalšieho využitia.</w:t>
            </w:r>
          </w:p>
        </w:tc>
      </w:tr>
      <w:tr w:rsidR="002E6BBF" w:rsidTr="00A73ED0">
        <w:trPr>
          <w:cantSplit/>
        </w:trPr>
        <w:tc>
          <w:tcPr>
            <w:tcW w:w="647" w:type="dxa"/>
            <w:tcBorders>
              <w:top w:val="single" w:sz="4" w:space="0" w:color="auto"/>
              <w:left w:val="single" w:sz="4" w:space="0" w:color="auto"/>
              <w:bottom w:val="single" w:sz="4" w:space="0" w:color="auto"/>
              <w:right w:val="single" w:sz="4" w:space="0" w:color="auto"/>
            </w:tcBorders>
            <w:shd w:val="clear" w:color="auto" w:fill="auto"/>
          </w:tcPr>
          <w:p w:rsidR="002E6BBF" w:rsidRDefault="002E6BBF" w:rsidP="002E6BBF">
            <w:pPr>
              <w:keepNext/>
              <w:numPr>
                <w:ilvl w:val="0"/>
                <w:numId w:val="23"/>
              </w:numPr>
              <w:spacing w:after="0" w:line="276" w:lineRule="auto"/>
              <w:jc w:val="left"/>
              <w:rPr>
                <w:rFonts w:eastAsiaTheme="minorHAnsi" w:cstheme="minorBidi"/>
                <w:noProof/>
                <w:color w:val="000000"/>
                <w:sz w:val="20"/>
              </w:rPr>
            </w:pPr>
          </w:p>
        </w:tc>
        <w:tc>
          <w:tcPr>
            <w:tcW w:w="2467" w:type="dxa"/>
            <w:tcBorders>
              <w:top w:val="single" w:sz="4" w:space="0" w:color="auto"/>
              <w:left w:val="single" w:sz="4" w:space="0" w:color="auto"/>
              <w:bottom w:val="single" w:sz="4" w:space="0" w:color="auto"/>
              <w:right w:val="single" w:sz="4" w:space="0" w:color="auto"/>
            </w:tcBorders>
          </w:tcPr>
          <w:p w:rsidR="002E6BBF" w:rsidRPr="003B1CF2" w:rsidRDefault="002E6BBF" w:rsidP="002E6BBF">
            <w:pPr>
              <w:keepNext/>
              <w:spacing w:after="0"/>
              <w:jc w:val="left"/>
              <w:rPr>
                <w:rFonts w:eastAsiaTheme="minorEastAsia" w:cstheme="minorBidi"/>
                <w:b/>
                <w:bCs/>
                <w:noProof/>
                <w:sz w:val="20"/>
              </w:rPr>
            </w:pPr>
            <w:r w:rsidRPr="003B1CF2">
              <w:rPr>
                <w:b/>
                <w:bCs/>
                <w:noProof/>
                <w:sz w:val="20"/>
              </w:rPr>
              <w:t>Kontrola vhodnosti právnych predpisov EÚ v oblasti endokrinných disruptorov</w:t>
            </w:r>
          </w:p>
        </w:tc>
        <w:tc>
          <w:tcPr>
            <w:tcW w:w="4961" w:type="dxa"/>
            <w:tcBorders>
              <w:top w:val="single" w:sz="4" w:space="0" w:color="auto"/>
              <w:left w:val="single" w:sz="4" w:space="0" w:color="auto"/>
              <w:bottom w:val="single" w:sz="4" w:space="0" w:color="auto"/>
            </w:tcBorders>
          </w:tcPr>
          <w:p w:rsidR="002E6BBF" w:rsidRPr="003B1CF2" w:rsidRDefault="002E6BBF" w:rsidP="002E6BBF">
            <w:pPr>
              <w:keepNext/>
              <w:spacing w:after="0"/>
              <w:rPr>
                <w:rFonts w:eastAsiaTheme="minorEastAsia" w:cstheme="minorBidi"/>
                <w:noProof/>
                <w:sz w:val="20"/>
              </w:rPr>
            </w:pPr>
            <w:r w:rsidRPr="003B1CF2">
              <w:rPr>
                <w:noProof/>
                <w:sz w:val="20"/>
              </w:rPr>
              <w:t>Endokrinné disruptory sú látky, ktoré menia funkciu endokrinného (hormonálneho) systému a negatívne ovplyvňujú zdravie ľudí a zvierat. Tieto látky sú regulované v rámci rôznych opatrení EÚ. V rámci kontroly vhodnosti sa posúdi, či tieto opatrenia sledujú celkový cieľ ochrany ľudského zdravia a životného prostredia. Posúdi sa súlad, účinnosť, efektívnosť, relevantnosť a pridaná hodnota právnych predpisov EÚ s dôrazom na súlad s </w:t>
            </w:r>
            <w:r w:rsidRPr="003B1CF2">
              <w:rPr>
                <w:i/>
                <w:noProof/>
                <w:sz w:val="20"/>
              </w:rPr>
              <w:t>acquis</w:t>
            </w:r>
            <w:r w:rsidRPr="003B1CF2">
              <w:rPr>
                <w:noProof/>
                <w:sz w:val="20"/>
              </w:rPr>
              <w:t xml:space="preserve"> v oblasti chemikálií.</w:t>
            </w:r>
          </w:p>
        </w:tc>
        <w:tc>
          <w:tcPr>
            <w:tcW w:w="1276" w:type="dxa"/>
            <w:tcBorders>
              <w:top w:val="single" w:sz="4" w:space="0" w:color="auto"/>
              <w:left w:val="single" w:sz="4" w:space="0" w:color="auto"/>
              <w:bottom w:val="single" w:sz="4" w:space="0" w:color="auto"/>
            </w:tcBorders>
          </w:tcPr>
          <w:p w:rsidR="002E6BBF" w:rsidRPr="005B208D" w:rsidRDefault="005B208D" w:rsidP="00CF3A0F">
            <w:pPr>
              <w:keepNext/>
              <w:spacing w:after="0"/>
              <w:jc w:val="center"/>
              <w:rPr>
                <w:b/>
                <w:noProof/>
                <w:sz w:val="20"/>
              </w:rPr>
            </w:pPr>
            <w:r w:rsidRPr="005B208D">
              <w:rPr>
                <w:b/>
                <w:noProof/>
                <w:sz w:val="20"/>
              </w:rPr>
              <w:t>MH SR</w:t>
            </w:r>
          </w:p>
          <w:p w:rsidR="005B208D" w:rsidRPr="005B208D" w:rsidRDefault="005B208D" w:rsidP="00CF3A0F">
            <w:pPr>
              <w:spacing w:after="0"/>
              <w:ind w:right="112"/>
              <w:jc w:val="center"/>
              <w:rPr>
                <w:b/>
                <w:noProof/>
                <w:sz w:val="20"/>
              </w:rPr>
            </w:pPr>
            <w:r w:rsidRPr="005B208D">
              <w:rPr>
                <w:b/>
                <w:noProof/>
                <w:sz w:val="20"/>
              </w:rPr>
              <w:t>MŽP SR, MPaRR SR MZ SR</w:t>
            </w:r>
          </w:p>
          <w:p w:rsidR="005B208D" w:rsidRDefault="005B208D" w:rsidP="00CF3A0F">
            <w:pPr>
              <w:keepNext/>
              <w:spacing w:after="0"/>
              <w:jc w:val="center"/>
              <w:rPr>
                <w:noProof/>
                <w:sz w:val="20"/>
              </w:rPr>
            </w:pPr>
          </w:p>
        </w:tc>
        <w:tc>
          <w:tcPr>
            <w:tcW w:w="5245" w:type="dxa"/>
            <w:tcBorders>
              <w:top w:val="single" w:sz="4" w:space="0" w:color="auto"/>
              <w:left w:val="single" w:sz="4" w:space="0" w:color="auto"/>
              <w:bottom w:val="single" w:sz="4" w:space="0" w:color="auto"/>
            </w:tcBorders>
          </w:tcPr>
          <w:p w:rsidR="002E6BBF" w:rsidRPr="0057711F" w:rsidRDefault="0057711F" w:rsidP="005B208D">
            <w:pPr>
              <w:keepNext/>
              <w:spacing w:after="0"/>
              <w:rPr>
                <w:noProof/>
                <w:sz w:val="20"/>
              </w:rPr>
            </w:pPr>
            <w:r w:rsidRPr="0057711F">
              <w:rPr>
                <w:b/>
                <w:bCs/>
                <w:sz w:val="20"/>
                <w:u w:val="single"/>
              </w:rPr>
              <w:t>Stredná priorita</w:t>
            </w:r>
            <w:r>
              <w:rPr>
                <w:bCs/>
                <w:sz w:val="20"/>
              </w:rPr>
              <w:t xml:space="preserve"> - </w:t>
            </w:r>
            <w:r w:rsidR="005B208D" w:rsidRPr="0057711F">
              <w:rPr>
                <w:bCs/>
                <w:sz w:val="20"/>
              </w:rPr>
              <w:t>EK v súčasnosti skúma zdravotné, sociálno-ekonomické a environmentálne vplyvy v súvislosti s možným rozšírením rozsahu pôsobnosti Smernice Európskeho parlamentu a Rady 2004/37/ES o ochrane pracovníkov pred rizikami súvisiacimi s expozíciou karcinogénom alebo mutagénom pri práci o toxické látky na reprodukciu (reprotoxické látky) kategórie 1 a 2. Vzhľadom na to, že mechanizmus pôsobenia mnohých reprotoxických látok ide cez  endokrinný systém, závery tejto štúdie a následné opatrenia, ktoré  sa prijmú v  novele Smernice 2004/37/ES  budú tiež veľmi dôležité pre reguláci</w:t>
            </w:r>
            <w:r w:rsidRPr="0057711F">
              <w:rPr>
                <w:bCs/>
                <w:sz w:val="20"/>
              </w:rPr>
              <w:t>u takýchto látok na pracovisku.</w:t>
            </w:r>
          </w:p>
        </w:tc>
      </w:tr>
      <w:tr w:rsidR="002E6BBF" w:rsidTr="00A73ED0">
        <w:trPr>
          <w:cantSplit/>
        </w:trPr>
        <w:tc>
          <w:tcPr>
            <w:tcW w:w="647" w:type="dxa"/>
            <w:tcBorders>
              <w:bottom w:val="single" w:sz="4" w:space="0" w:color="auto"/>
            </w:tcBorders>
            <w:shd w:val="clear" w:color="auto" w:fill="auto"/>
          </w:tcPr>
          <w:p w:rsidR="002E6BBF" w:rsidRDefault="002E6BBF" w:rsidP="002E6BBF">
            <w:pPr>
              <w:keepNext/>
              <w:numPr>
                <w:ilvl w:val="0"/>
                <w:numId w:val="23"/>
              </w:numPr>
              <w:spacing w:after="0" w:line="276" w:lineRule="auto"/>
              <w:jc w:val="left"/>
              <w:rPr>
                <w:rFonts w:eastAsiaTheme="minorHAnsi" w:cstheme="minorBidi"/>
                <w:noProof/>
                <w:color w:val="000000"/>
                <w:sz w:val="20"/>
              </w:rPr>
            </w:pPr>
          </w:p>
        </w:tc>
        <w:tc>
          <w:tcPr>
            <w:tcW w:w="2467" w:type="dxa"/>
            <w:tcBorders>
              <w:bottom w:val="single" w:sz="4" w:space="0" w:color="auto"/>
            </w:tcBorders>
          </w:tcPr>
          <w:p w:rsidR="002E6BBF" w:rsidRPr="003B1CF2" w:rsidRDefault="002E6BBF" w:rsidP="002E6BBF">
            <w:pPr>
              <w:keepNext/>
              <w:spacing w:after="0"/>
              <w:jc w:val="left"/>
              <w:rPr>
                <w:rFonts w:eastAsiaTheme="minorEastAsia" w:cstheme="minorBidi"/>
                <w:b/>
                <w:bCs/>
                <w:noProof/>
                <w:sz w:val="20"/>
              </w:rPr>
            </w:pPr>
            <w:r w:rsidRPr="003B1CF2">
              <w:rPr>
                <w:b/>
                <w:bCs/>
                <w:noProof/>
                <w:sz w:val="20"/>
              </w:rPr>
              <w:t>Revízia nariadenia o obchodných normách, ktoré sa vzťahuje na produkty rybolovu a akvakultúry v EÚ</w:t>
            </w:r>
          </w:p>
        </w:tc>
        <w:tc>
          <w:tcPr>
            <w:tcW w:w="4961" w:type="dxa"/>
            <w:tcBorders>
              <w:bottom w:val="single" w:sz="4" w:space="0" w:color="auto"/>
            </w:tcBorders>
          </w:tcPr>
          <w:p w:rsidR="002E6BBF" w:rsidRPr="003B1CF2" w:rsidRDefault="002E6BBF" w:rsidP="002E6BBF">
            <w:pPr>
              <w:keepNext/>
              <w:spacing w:after="0"/>
              <w:rPr>
                <w:rFonts w:eastAsiaTheme="minorEastAsia" w:cstheme="minorBidi"/>
                <w:noProof/>
                <w:sz w:val="20"/>
              </w:rPr>
            </w:pPr>
            <w:r w:rsidRPr="003B1CF2">
              <w:rPr>
                <w:noProof/>
                <w:sz w:val="20"/>
              </w:rPr>
              <w:t>Touto revíziou sa zjednoduší právne nastavenie: jedným nariadením (EÚ) sa nahradia tri nariadenia, ktoré sa v súčasnosti vzťahujú aj na produkty akvakultúry, transparentnosť a informácie pre spotrebiteľov. (legislatívna iniciatíva vrátane posúdenia vplyvu, článok 43 ZFEÚ, 4. štvrťrok 2020)</w:t>
            </w:r>
          </w:p>
        </w:tc>
        <w:tc>
          <w:tcPr>
            <w:tcW w:w="1276" w:type="dxa"/>
            <w:tcBorders>
              <w:bottom w:val="single" w:sz="4" w:space="0" w:color="auto"/>
            </w:tcBorders>
          </w:tcPr>
          <w:p w:rsidR="002E6BBF" w:rsidRPr="00A27C5A" w:rsidRDefault="00A27C5A" w:rsidP="00CF3A0F">
            <w:pPr>
              <w:keepNext/>
              <w:spacing w:after="0"/>
              <w:jc w:val="center"/>
              <w:rPr>
                <w:b/>
                <w:noProof/>
                <w:sz w:val="20"/>
              </w:rPr>
            </w:pPr>
            <w:r>
              <w:rPr>
                <w:b/>
                <w:noProof/>
                <w:sz w:val="20"/>
              </w:rPr>
              <w:t>MPR</w:t>
            </w:r>
            <w:r w:rsidRPr="00A27C5A">
              <w:rPr>
                <w:b/>
                <w:noProof/>
                <w:sz w:val="20"/>
              </w:rPr>
              <w:t>V SR</w:t>
            </w:r>
          </w:p>
        </w:tc>
        <w:tc>
          <w:tcPr>
            <w:tcW w:w="5245" w:type="dxa"/>
            <w:tcBorders>
              <w:bottom w:val="single" w:sz="4" w:space="0" w:color="auto"/>
            </w:tcBorders>
          </w:tcPr>
          <w:p w:rsidR="002E6BBF" w:rsidRDefault="00A27C5A" w:rsidP="002E6BBF">
            <w:pPr>
              <w:keepNext/>
              <w:spacing w:after="0"/>
              <w:rPr>
                <w:noProof/>
                <w:sz w:val="20"/>
              </w:rPr>
            </w:pPr>
            <w:r>
              <w:rPr>
                <w:b/>
                <w:noProof/>
                <w:sz w:val="20"/>
                <w:u w:val="single"/>
              </w:rPr>
              <w:t>Nízka priorita -</w:t>
            </w:r>
            <w:r>
              <w:rPr>
                <w:noProof/>
                <w:sz w:val="20"/>
              </w:rPr>
              <w:t xml:space="preserve"> Pre SR je potrebné vytvorenie kompletného zoznamu obchodovaných vodných živočíchov vrátane mäkkýšov a kôrovcov  v slovenskom jazyku..</w:t>
            </w:r>
          </w:p>
        </w:tc>
      </w:tr>
      <w:tr w:rsidR="00D76AD2" w:rsidTr="00A73ED0">
        <w:trPr>
          <w:cantSplit/>
        </w:trPr>
        <w:tc>
          <w:tcPr>
            <w:tcW w:w="647" w:type="dxa"/>
            <w:tcBorders>
              <w:bottom w:val="single" w:sz="4" w:space="0" w:color="auto"/>
            </w:tcBorders>
            <w:shd w:val="clear" w:color="auto" w:fill="auto"/>
          </w:tcPr>
          <w:p w:rsidR="00D76AD2" w:rsidRDefault="00D76AD2" w:rsidP="00D76AD2">
            <w:pPr>
              <w:keepNext/>
              <w:numPr>
                <w:ilvl w:val="0"/>
                <w:numId w:val="23"/>
              </w:numPr>
              <w:spacing w:after="0" w:line="276" w:lineRule="auto"/>
              <w:jc w:val="left"/>
              <w:rPr>
                <w:rFonts w:eastAsiaTheme="minorHAnsi" w:cstheme="minorBidi"/>
                <w:noProof/>
                <w:color w:val="000000"/>
                <w:sz w:val="20"/>
              </w:rPr>
            </w:pPr>
          </w:p>
        </w:tc>
        <w:tc>
          <w:tcPr>
            <w:tcW w:w="2467" w:type="dxa"/>
            <w:tcBorders>
              <w:bottom w:val="single" w:sz="4" w:space="0" w:color="auto"/>
            </w:tcBorders>
          </w:tcPr>
          <w:p w:rsidR="00D76AD2" w:rsidRDefault="00D76AD2" w:rsidP="00D76AD2">
            <w:pPr>
              <w:keepNext/>
              <w:spacing w:after="0"/>
              <w:jc w:val="left"/>
              <w:rPr>
                <w:rFonts w:eastAsiaTheme="minorEastAsia" w:cstheme="minorBidi"/>
                <w:b/>
                <w:bCs/>
                <w:noProof/>
                <w:sz w:val="20"/>
              </w:rPr>
            </w:pPr>
            <w:r>
              <w:rPr>
                <w:b/>
                <w:bCs/>
                <w:noProof/>
                <w:sz w:val="20"/>
              </w:rPr>
              <w:t>Hodnotenie nariadenia 913/2010 o európskej železničnej sieti pre konkurencieschopnú nákladnú dopravu</w:t>
            </w:r>
            <w:r>
              <w:rPr>
                <w:b/>
                <w:noProof/>
                <w:sz w:val="20"/>
              </w:rPr>
              <w:br/>
            </w:r>
            <w:r>
              <w:rPr>
                <w:b/>
                <w:bCs/>
                <w:noProof/>
                <w:sz w:val="20"/>
              </w:rPr>
              <w:t>(nariadenie o koridoroch železničnej nákladnej dopravy)</w:t>
            </w:r>
          </w:p>
        </w:tc>
        <w:tc>
          <w:tcPr>
            <w:tcW w:w="4961" w:type="dxa"/>
            <w:tcBorders>
              <w:bottom w:val="single" w:sz="4" w:space="0" w:color="auto"/>
            </w:tcBorders>
          </w:tcPr>
          <w:p w:rsidR="00D76AD2" w:rsidRDefault="00D76AD2" w:rsidP="00D76AD2">
            <w:pPr>
              <w:keepNext/>
              <w:spacing w:after="0"/>
              <w:jc w:val="left"/>
              <w:rPr>
                <w:rFonts w:eastAsiaTheme="minorEastAsia" w:cstheme="minorBidi"/>
                <w:noProof/>
                <w:sz w:val="20"/>
              </w:rPr>
            </w:pPr>
            <w:r>
              <w:rPr>
                <w:noProof/>
                <w:sz w:val="20"/>
              </w:rPr>
              <w:t>Nárast nákladnej dopravy po železnici je kľúčovým prvkom politiky EÚ na zníženie emisií CO</w:t>
            </w:r>
            <w:r>
              <w:rPr>
                <w:noProof/>
                <w:sz w:val="20"/>
                <w:vertAlign w:val="subscript"/>
              </w:rPr>
              <w:t>2</w:t>
            </w:r>
            <w:r>
              <w:rPr>
                <w:noProof/>
                <w:sz w:val="20"/>
              </w:rPr>
              <w:t xml:space="preserve"> spojených s dopravou, no táto politika však čelí problémom. Nariadenie o koridoroch železničnej nákladnej dopravy je zamerané na zlepšenie spolupráce a koordinácie v prípade niekoľkých koridorov s osobitným potenciálom pre rozvoj medzinárodnej železničnej nákladnej dopravy.</w:t>
            </w:r>
            <w:r>
              <w:rPr>
                <w:noProof/>
                <w:sz w:val="20"/>
              </w:rPr>
              <w:br/>
              <w:t>Nariadenie (EÚ) 913/2010 o európskej železničnej sieti pre konkurencieschopnú nákladnú dopravu nadobudlo účinnosť v roku 2010 a zriadilo sa deväť koridorov železničnej nákladnej dopravy, pričom ďalšie dve koridory pribudli neskôr. Cieľom tohto hodnotenia je poskytnúť úplný prehľad o vykonávaní nariadenia, ako aj posúdenie jeho účinkov. Bude užitočné určiť, aké ďalšie kroky na úrovni EÚ sú potrebné na posilnenie nákladnej železničnej dopravy.</w:t>
            </w:r>
          </w:p>
        </w:tc>
        <w:tc>
          <w:tcPr>
            <w:tcW w:w="1276" w:type="dxa"/>
            <w:tcBorders>
              <w:bottom w:val="single" w:sz="4" w:space="0" w:color="auto"/>
            </w:tcBorders>
          </w:tcPr>
          <w:p w:rsidR="00D76AD2" w:rsidRPr="00D76AD2" w:rsidRDefault="00D76AD2" w:rsidP="002F1D07">
            <w:pPr>
              <w:spacing w:after="0" w:line="239" w:lineRule="auto"/>
              <w:ind w:right="112"/>
              <w:jc w:val="center"/>
              <w:rPr>
                <w:b/>
                <w:sz w:val="20"/>
              </w:rPr>
            </w:pPr>
            <w:r w:rsidRPr="00D76AD2">
              <w:rPr>
                <w:b/>
                <w:sz w:val="20"/>
              </w:rPr>
              <w:t>MDV SR</w:t>
            </w:r>
          </w:p>
        </w:tc>
        <w:tc>
          <w:tcPr>
            <w:tcW w:w="5245" w:type="dxa"/>
            <w:tcBorders>
              <w:bottom w:val="single" w:sz="4" w:space="0" w:color="auto"/>
            </w:tcBorders>
          </w:tcPr>
          <w:p w:rsidR="00D76AD2" w:rsidRPr="00D76AD2" w:rsidRDefault="00D76AD2" w:rsidP="00D76AD2">
            <w:pPr>
              <w:spacing w:after="0" w:line="239" w:lineRule="auto"/>
              <w:ind w:right="112"/>
              <w:rPr>
                <w:b/>
                <w:sz w:val="20"/>
                <w:u w:val="single"/>
              </w:rPr>
            </w:pPr>
            <w:r w:rsidRPr="00D76AD2">
              <w:rPr>
                <w:b/>
                <w:sz w:val="20"/>
                <w:u w:val="single"/>
              </w:rPr>
              <w:t>Vysoká priorita</w:t>
            </w:r>
            <w:r>
              <w:rPr>
                <w:b/>
                <w:sz w:val="20"/>
                <w:u w:val="single"/>
              </w:rPr>
              <w:t xml:space="preserve"> </w:t>
            </w:r>
            <w:r w:rsidRPr="00D76AD2">
              <w:rPr>
                <w:sz w:val="20"/>
              </w:rPr>
              <w:t xml:space="preserve">- </w:t>
            </w:r>
            <w:r>
              <w:rPr>
                <w:sz w:val="20"/>
              </w:rPr>
              <w:t>Vyhodnotenie implementácie nariadenia 913/2010 je potrebné vzhľadom na zvýšenú podporu energeticky efektívnych druhov dopravy akou je železničná doprava. Dôležitou bude interoperabilita medzinárodných železničných koridorov v súlade so sieťou TEN-T, koordinácia medzi príslušnými členskými štátmi a manažérmi infraštruktúry, dostatočne prepojenie s ostatnými druhmi dopravy a vytvorenie vhodných podmienok pre rozvoj hospodárskej súťaže. SR podporuje iniciatívu aj vzhľadom na to, že najvyšší podiel finančnej podpory zo strany EÚ ide práve do železničnej dopravy.</w:t>
            </w:r>
          </w:p>
        </w:tc>
      </w:tr>
      <w:tr w:rsidR="00D76AD2" w:rsidTr="00A73ED0">
        <w:trPr>
          <w:cantSplit/>
        </w:trPr>
        <w:tc>
          <w:tcPr>
            <w:tcW w:w="647" w:type="dxa"/>
            <w:tcBorders>
              <w:top w:val="single" w:sz="4" w:space="0" w:color="auto"/>
              <w:left w:val="single" w:sz="4" w:space="0" w:color="auto"/>
              <w:bottom w:val="single" w:sz="4" w:space="0" w:color="auto"/>
              <w:right w:val="single" w:sz="4" w:space="0" w:color="auto"/>
            </w:tcBorders>
            <w:shd w:val="clear" w:color="auto" w:fill="auto"/>
          </w:tcPr>
          <w:p w:rsidR="00D76AD2" w:rsidRDefault="00D76AD2" w:rsidP="00D76AD2">
            <w:pPr>
              <w:keepNext/>
              <w:numPr>
                <w:ilvl w:val="0"/>
                <w:numId w:val="23"/>
              </w:numPr>
              <w:spacing w:after="0" w:line="276" w:lineRule="auto"/>
              <w:jc w:val="left"/>
              <w:rPr>
                <w:rFonts w:eastAsiaTheme="minorHAnsi" w:cstheme="minorBidi"/>
                <w:b/>
                <w:noProof/>
                <w:color w:val="000000" w:themeColor="text1"/>
                <w:sz w:val="20"/>
              </w:rPr>
            </w:pPr>
          </w:p>
        </w:tc>
        <w:tc>
          <w:tcPr>
            <w:tcW w:w="2467" w:type="dxa"/>
            <w:tcBorders>
              <w:top w:val="single" w:sz="4" w:space="0" w:color="auto"/>
              <w:left w:val="single" w:sz="4" w:space="0" w:color="auto"/>
              <w:bottom w:val="single" w:sz="4" w:space="0" w:color="auto"/>
              <w:right w:val="single" w:sz="4" w:space="0" w:color="auto"/>
            </w:tcBorders>
          </w:tcPr>
          <w:p w:rsidR="00D76AD2" w:rsidRDefault="00D76AD2" w:rsidP="00D76AD2">
            <w:pPr>
              <w:keepNext/>
              <w:spacing w:after="0"/>
              <w:jc w:val="left"/>
              <w:rPr>
                <w:rFonts w:eastAsiaTheme="minorEastAsia" w:cstheme="minorBidi"/>
                <w:b/>
                <w:bCs/>
                <w:noProof/>
                <w:sz w:val="20"/>
              </w:rPr>
            </w:pPr>
            <w:r>
              <w:rPr>
                <w:b/>
                <w:bCs/>
                <w:noProof/>
                <w:sz w:val="20"/>
              </w:rPr>
              <w:t xml:space="preserve">Hodnotenie smernice 2009/128/ES o trvalo udržateľnom používaní pesticídov </w:t>
            </w:r>
          </w:p>
        </w:tc>
        <w:tc>
          <w:tcPr>
            <w:tcW w:w="4961" w:type="dxa"/>
            <w:tcBorders>
              <w:top w:val="single" w:sz="4" w:space="0" w:color="auto"/>
              <w:left w:val="single" w:sz="4" w:space="0" w:color="auto"/>
              <w:bottom w:val="single" w:sz="4" w:space="0" w:color="auto"/>
            </w:tcBorders>
          </w:tcPr>
          <w:p w:rsidR="00D76AD2" w:rsidRDefault="00D76AD2" w:rsidP="00D76AD2">
            <w:pPr>
              <w:keepNext/>
              <w:spacing w:after="0"/>
              <w:rPr>
                <w:rFonts w:eastAsiaTheme="minorEastAsia" w:cstheme="minorBidi"/>
                <w:noProof/>
                <w:sz w:val="20"/>
              </w:rPr>
            </w:pPr>
            <w:r>
              <w:rPr>
                <w:noProof/>
                <w:sz w:val="20"/>
              </w:rPr>
              <w:t>Toto hodnotenie sa okrem iného zameria na pokrok dosiahnutý smernicou v oblasti znižovania závislosti od pesticídov a v oblasti motivácie zavádzať nízkorizikové a nechemické alternatívy k pesticídom. Zváži sa aj potenciál zjednodušenia, napríklad pokiaľ ide o pravidlá pre kontrolu zariadení na aplikáciu pesticídov a nové pravidlá pre úradné kontroly.</w:t>
            </w:r>
          </w:p>
        </w:tc>
        <w:tc>
          <w:tcPr>
            <w:tcW w:w="1276" w:type="dxa"/>
            <w:tcBorders>
              <w:top w:val="single" w:sz="4" w:space="0" w:color="auto"/>
              <w:left w:val="single" w:sz="4" w:space="0" w:color="auto"/>
              <w:bottom w:val="single" w:sz="4" w:space="0" w:color="auto"/>
            </w:tcBorders>
          </w:tcPr>
          <w:p w:rsidR="00D76AD2" w:rsidRPr="001F52F5" w:rsidRDefault="00D76AD2" w:rsidP="002F1D07">
            <w:pPr>
              <w:spacing w:after="0"/>
              <w:ind w:right="112"/>
              <w:jc w:val="center"/>
              <w:rPr>
                <w:b/>
                <w:sz w:val="20"/>
              </w:rPr>
            </w:pPr>
            <w:r w:rsidRPr="001F52F5">
              <w:rPr>
                <w:b/>
                <w:sz w:val="20"/>
              </w:rPr>
              <w:t>MPRV SR</w:t>
            </w:r>
          </w:p>
          <w:p w:rsidR="00D76AD2" w:rsidRDefault="00D76AD2" w:rsidP="002F1D07">
            <w:pPr>
              <w:spacing w:after="0"/>
              <w:ind w:right="112"/>
              <w:jc w:val="center"/>
              <w:rPr>
                <w:b/>
                <w:sz w:val="20"/>
              </w:rPr>
            </w:pPr>
            <w:r w:rsidRPr="001F52F5">
              <w:rPr>
                <w:b/>
                <w:sz w:val="20"/>
              </w:rPr>
              <w:t>ÚVZ SR</w:t>
            </w:r>
          </w:p>
          <w:p w:rsidR="002F1D07" w:rsidRPr="00775E5F" w:rsidRDefault="002F1D07" w:rsidP="002F1D07">
            <w:pPr>
              <w:spacing w:after="0"/>
              <w:ind w:right="112"/>
              <w:jc w:val="center"/>
              <w:rPr>
                <w:b/>
                <w:sz w:val="20"/>
                <w:highlight w:val="yellow"/>
              </w:rPr>
            </w:pPr>
            <w:r>
              <w:rPr>
                <w:b/>
                <w:sz w:val="20"/>
              </w:rPr>
              <w:t>MŽP SR</w:t>
            </w:r>
          </w:p>
        </w:tc>
        <w:tc>
          <w:tcPr>
            <w:tcW w:w="5245" w:type="dxa"/>
            <w:tcBorders>
              <w:top w:val="single" w:sz="4" w:space="0" w:color="auto"/>
              <w:left w:val="single" w:sz="4" w:space="0" w:color="auto"/>
              <w:bottom w:val="single" w:sz="4" w:space="0" w:color="auto"/>
            </w:tcBorders>
          </w:tcPr>
          <w:p w:rsidR="00D76AD2" w:rsidRPr="001F52F5" w:rsidRDefault="00D76AD2" w:rsidP="00D76AD2">
            <w:pPr>
              <w:spacing w:after="0"/>
              <w:ind w:right="112"/>
              <w:rPr>
                <w:b/>
                <w:sz w:val="20"/>
              </w:rPr>
            </w:pPr>
            <w:r w:rsidRPr="001F52F5">
              <w:rPr>
                <w:b/>
                <w:sz w:val="20"/>
                <w:u w:val="single"/>
              </w:rPr>
              <w:t>Vysoká priorita</w:t>
            </w:r>
            <w:r>
              <w:rPr>
                <w:b/>
                <w:sz w:val="20"/>
              </w:rPr>
              <w:t xml:space="preserve"> - </w:t>
            </w:r>
            <w:r>
              <w:rPr>
                <w:sz w:val="20"/>
              </w:rPr>
              <w:t>Zníženie rizika pochádzajúceho z používania pesticíodov je strategickým cieľom v oblasti ochrany zdravia ľudí a životného prostredia. Smernica je rámcová a jej správna implementácia na národnej úrovni je prierezová  a medzirezortná</w:t>
            </w:r>
          </w:p>
        </w:tc>
      </w:tr>
      <w:tr w:rsidR="00D76AD2" w:rsidTr="00A73ED0">
        <w:trPr>
          <w:cantSplit/>
        </w:trPr>
        <w:tc>
          <w:tcPr>
            <w:tcW w:w="647" w:type="dxa"/>
            <w:tcBorders>
              <w:top w:val="single" w:sz="4" w:space="0" w:color="auto"/>
              <w:left w:val="single" w:sz="4" w:space="0" w:color="auto"/>
              <w:bottom w:val="single" w:sz="4" w:space="0" w:color="auto"/>
              <w:right w:val="single" w:sz="4" w:space="0" w:color="auto"/>
            </w:tcBorders>
            <w:shd w:val="clear" w:color="auto" w:fill="auto"/>
          </w:tcPr>
          <w:p w:rsidR="00D76AD2" w:rsidRDefault="00D76AD2" w:rsidP="00D76AD2">
            <w:pPr>
              <w:keepNext/>
              <w:numPr>
                <w:ilvl w:val="0"/>
                <w:numId w:val="23"/>
              </w:numPr>
              <w:spacing w:after="0" w:line="276" w:lineRule="auto"/>
              <w:jc w:val="left"/>
              <w:rPr>
                <w:rFonts w:eastAsiaTheme="minorHAnsi" w:cstheme="minorBidi"/>
                <w:b/>
                <w:noProof/>
                <w:color w:val="000000" w:themeColor="text1"/>
                <w:sz w:val="20"/>
              </w:rPr>
            </w:pPr>
          </w:p>
        </w:tc>
        <w:tc>
          <w:tcPr>
            <w:tcW w:w="2467" w:type="dxa"/>
            <w:tcBorders>
              <w:top w:val="single" w:sz="4" w:space="0" w:color="auto"/>
              <w:left w:val="single" w:sz="4" w:space="0" w:color="auto"/>
              <w:bottom w:val="single" w:sz="4" w:space="0" w:color="auto"/>
              <w:right w:val="single" w:sz="4" w:space="0" w:color="auto"/>
            </w:tcBorders>
          </w:tcPr>
          <w:p w:rsidR="00D76AD2" w:rsidRPr="003B1CF2" w:rsidRDefault="00D76AD2" w:rsidP="00D76AD2">
            <w:pPr>
              <w:keepNext/>
              <w:spacing w:after="0"/>
              <w:jc w:val="left"/>
              <w:rPr>
                <w:rFonts w:eastAsiaTheme="minorEastAsia" w:cstheme="minorBidi"/>
                <w:b/>
                <w:bCs/>
                <w:noProof/>
                <w:sz w:val="20"/>
              </w:rPr>
            </w:pPr>
            <w:r w:rsidRPr="003B1CF2">
              <w:rPr>
                <w:b/>
                <w:bCs/>
                <w:noProof/>
                <w:sz w:val="20"/>
              </w:rPr>
              <w:t xml:space="preserve">Hodnotenie stratégie EÚ v oblasti dobrých životných podmienok zvierat (2012 – 2015) </w:t>
            </w:r>
          </w:p>
        </w:tc>
        <w:tc>
          <w:tcPr>
            <w:tcW w:w="4961" w:type="dxa"/>
            <w:tcBorders>
              <w:top w:val="single" w:sz="4" w:space="0" w:color="auto"/>
              <w:left w:val="single" w:sz="4" w:space="0" w:color="auto"/>
              <w:bottom w:val="single" w:sz="4" w:space="0" w:color="auto"/>
            </w:tcBorders>
          </w:tcPr>
          <w:p w:rsidR="00D76AD2" w:rsidRPr="003B1CF2" w:rsidRDefault="00D76AD2" w:rsidP="00D76AD2">
            <w:pPr>
              <w:keepNext/>
              <w:spacing w:after="0"/>
              <w:rPr>
                <w:rFonts w:eastAsiaTheme="minorEastAsia" w:cstheme="minorBidi"/>
                <w:b/>
                <w:bCs/>
                <w:noProof/>
                <w:sz w:val="20"/>
              </w:rPr>
            </w:pPr>
            <w:r w:rsidRPr="003B1CF2">
              <w:rPr>
                <w:noProof/>
                <w:sz w:val="20"/>
              </w:rPr>
              <w:t>Toto hodnotenie sa bude zaoberať rozsahom, v akom stratégia EÚ v oblasti dobrých životných podmienok zvierat prispela k zjednodušeniu rámca EÚ pre dobré životné podmienky zvierat, a bude sa venovať aj zostávajúcemu priestoru na zjednodušenie, a to so zreteľom na vývoj potrieb v tejto oblasti.</w:t>
            </w:r>
          </w:p>
        </w:tc>
        <w:tc>
          <w:tcPr>
            <w:tcW w:w="1276" w:type="dxa"/>
            <w:tcBorders>
              <w:top w:val="single" w:sz="4" w:space="0" w:color="auto"/>
              <w:left w:val="single" w:sz="4" w:space="0" w:color="auto"/>
              <w:bottom w:val="single" w:sz="4" w:space="0" w:color="auto"/>
            </w:tcBorders>
          </w:tcPr>
          <w:p w:rsidR="00D76AD2" w:rsidRPr="00A27C5A" w:rsidRDefault="00A27C5A" w:rsidP="002F1D07">
            <w:pPr>
              <w:keepNext/>
              <w:spacing w:after="0"/>
              <w:jc w:val="center"/>
              <w:rPr>
                <w:b/>
                <w:noProof/>
                <w:sz w:val="20"/>
              </w:rPr>
            </w:pPr>
            <w:r>
              <w:rPr>
                <w:b/>
                <w:noProof/>
                <w:sz w:val="20"/>
              </w:rPr>
              <w:t>MPR</w:t>
            </w:r>
            <w:r w:rsidRPr="00A27C5A">
              <w:rPr>
                <w:b/>
                <w:noProof/>
                <w:sz w:val="20"/>
              </w:rPr>
              <w:t>V SR</w:t>
            </w:r>
          </w:p>
        </w:tc>
        <w:tc>
          <w:tcPr>
            <w:tcW w:w="5245" w:type="dxa"/>
            <w:tcBorders>
              <w:top w:val="single" w:sz="4" w:space="0" w:color="auto"/>
              <w:left w:val="single" w:sz="4" w:space="0" w:color="auto"/>
              <w:bottom w:val="single" w:sz="4" w:space="0" w:color="auto"/>
            </w:tcBorders>
          </w:tcPr>
          <w:p w:rsidR="00D76AD2" w:rsidRDefault="00A27C5A" w:rsidP="00D76AD2">
            <w:pPr>
              <w:keepNext/>
              <w:spacing w:after="0"/>
              <w:rPr>
                <w:noProof/>
                <w:sz w:val="20"/>
              </w:rPr>
            </w:pPr>
            <w:r>
              <w:rPr>
                <w:b/>
                <w:noProof/>
                <w:sz w:val="20"/>
                <w:u w:val="single"/>
              </w:rPr>
              <w:t>Vysoká priorita</w:t>
            </w:r>
            <w:r>
              <w:rPr>
                <w:noProof/>
                <w:sz w:val="20"/>
                <w:u w:val="single"/>
              </w:rPr>
              <w:t xml:space="preserve"> - </w:t>
            </w:r>
            <w:r>
              <w:rPr>
                <w:noProof/>
                <w:sz w:val="20"/>
              </w:rPr>
              <w:t>Pre SR sú otázky dobrých životných podmienok zvierat dôležité, avšak nepovažujeme za nevyhnutné vracať sa do minulosti. Skôr je potrebné pozerať sa dopredu - bez presne definovaných požiadaviek legislatívy bude len ťažko možný posun napr. v oblasti ochrany zvierat počas prepravy na dlhé cesty, skracovania chvostíkov u ošípaných, absentujú požiadavky na ochranu hospodárskych druhov zvierat (na úrovni EÚ sú definované len pre teľatá, nosnice, ošípané, a brojlery), atď.</w:t>
            </w:r>
          </w:p>
        </w:tc>
      </w:tr>
      <w:tr w:rsidR="00D76AD2" w:rsidTr="00A73ED0">
        <w:trPr>
          <w:cantSplit/>
          <w:trHeight w:val="2027"/>
        </w:trPr>
        <w:tc>
          <w:tcPr>
            <w:tcW w:w="647" w:type="dxa"/>
            <w:tcBorders>
              <w:top w:val="single" w:sz="4" w:space="0" w:color="auto"/>
              <w:left w:val="single" w:sz="4" w:space="0" w:color="auto"/>
              <w:bottom w:val="single" w:sz="4" w:space="0" w:color="auto"/>
              <w:right w:val="single" w:sz="4" w:space="0" w:color="auto"/>
            </w:tcBorders>
            <w:shd w:val="clear" w:color="auto" w:fill="auto"/>
          </w:tcPr>
          <w:p w:rsidR="00D76AD2" w:rsidRDefault="00D76AD2" w:rsidP="00D76AD2">
            <w:pPr>
              <w:keepNext/>
              <w:numPr>
                <w:ilvl w:val="0"/>
                <w:numId w:val="23"/>
              </w:numPr>
              <w:spacing w:after="0" w:line="276" w:lineRule="auto"/>
              <w:jc w:val="left"/>
              <w:rPr>
                <w:rFonts w:eastAsiaTheme="minorHAnsi" w:cstheme="minorBidi"/>
                <w:b/>
                <w:noProof/>
                <w:color w:val="000000" w:themeColor="text1"/>
                <w:sz w:val="20"/>
              </w:rPr>
            </w:pPr>
          </w:p>
        </w:tc>
        <w:tc>
          <w:tcPr>
            <w:tcW w:w="2467" w:type="dxa"/>
            <w:tcBorders>
              <w:top w:val="single" w:sz="4" w:space="0" w:color="auto"/>
              <w:left w:val="single" w:sz="4" w:space="0" w:color="auto"/>
              <w:bottom w:val="single" w:sz="4" w:space="0" w:color="auto"/>
              <w:right w:val="single" w:sz="4" w:space="0" w:color="auto"/>
            </w:tcBorders>
          </w:tcPr>
          <w:p w:rsidR="00D76AD2" w:rsidRDefault="00D76AD2" w:rsidP="00D76AD2">
            <w:pPr>
              <w:keepNext/>
              <w:spacing w:after="0"/>
              <w:jc w:val="left"/>
              <w:rPr>
                <w:rFonts w:eastAsiaTheme="minorEastAsia" w:cstheme="minorBidi"/>
                <w:b/>
                <w:bCs/>
                <w:noProof/>
                <w:sz w:val="20"/>
              </w:rPr>
            </w:pPr>
            <w:r>
              <w:rPr>
                <w:b/>
                <w:bCs/>
                <w:noProof/>
                <w:sz w:val="20"/>
              </w:rPr>
              <w:t>Hodnotenie povoľovania prípravkov na ochranu rastlín a maximálnych hladín rezíduí pesticídov</w:t>
            </w:r>
          </w:p>
        </w:tc>
        <w:tc>
          <w:tcPr>
            <w:tcW w:w="4961" w:type="dxa"/>
            <w:tcBorders>
              <w:top w:val="single" w:sz="4" w:space="0" w:color="auto"/>
              <w:left w:val="single" w:sz="4" w:space="0" w:color="auto"/>
              <w:bottom w:val="single" w:sz="4" w:space="0" w:color="auto"/>
            </w:tcBorders>
          </w:tcPr>
          <w:p w:rsidR="00D76AD2" w:rsidRDefault="00D76AD2" w:rsidP="00D76AD2">
            <w:pPr>
              <w:keepNext/>
              <w:spacing w:after="0"/>
              <w:rPr>
                <w:rFonts w:eastAsiaTheme="minorEastAsia" w:cstheme="minorBidi"/>
                <w:noProof/>
                <w:sz w:val="20"/>
              </w:rPr>
            </w:pPr>
            <w:r>
              <w:rPr>
                <w:noProof/>
                <w:sz w:val="20"/>
              </w:rPr>
              <w:t>Toto hodnotenie sa týka toho, ako sa vo všetkých členských štátoch vykonáva a ako tam funguje nariadenie 1107/2009 o prípravkoch na ochranu rastlín, ktoré sa uplatňuje od júna 2011, a nariadenie 396/2005 o maximálnych hladinách rezíduí, ktoré sa uplatňuje od septembra 2008. Navrhuje možné spôsoby zlepšenia vykonávania nariadení s cieľom zjednodušiť alebo posilniť súčasný regulačný rámec, napr. riešiť oneskorenia a zvýšiť transparentnosť, zlepšiť zónový systém povoľovania a vzájomného uznávania povolení, podporovať udržateľnú ochranu rastlín, nízko rizikové riešenia a účinné zmierňovanie rizika, ako aj zvýšiť súdržnosť a konzistentnosť medzi nariadeniami a inými právnymi predpismi EÚ.Hodnotenie sa zaoberá aj otázkami uvedenými v </w:t>
            </w:r>
            <w:hyperlink r:id="rId15" w:history="1">
              <w:r>
                <w:rPr>
                  <w:noProof/>
                  <w:color w:val="0000FF" w:themeColor="hyperlink"/>
                  <w:sz w:val="20"/>
                  <w:u w:val="single"/>
                </w:rPr>
                <w:t>stanovisku platformy REFIT XI.10</w:t>
              </w:r>
            </w:hyperlink>
            <w:r>
              <w:rPr>
                <w:noProof/>
                <w:sz w:val="20"/>
              </w:rPr>
              <w:t xml:space="preserve"> o látkach na viacnásobné použitie/z viacerých zdrojov (chlorát) prijatom 7. 6. 2017 a v </w:t>
            </w:r>
            <w:hyperlink r:id="rId16" w:history="1">
              <w:r>
                <w:rPr>
                  <w:noProof/>
                  <w:color w:val="0000FF" w:themeColor="hyperlink"/>
                  <w:sz w:val="20"/>
                  <w:u w:val="single"/>
                </w:rPr>
                <w:t>stanovisku platformy REFIT XI.22.a</w:t>
              </w:r>
            </w:hyperlink>
            <w:r>
              <w:rPr>
                <w:noProof/>
                <w:sz w:val="20"/>
              </w:rPr>
              <w:t xml:space="preserve"> o registrácií výrobkov na ochranu rastlín prijatom 14. 3. 2019.</w:t>
            </w:r>
          </w:p>
        </w:tc>
        <w:tc>
          <w:tcPr>
            <w:tcW w:w="1276" w:type="dxa"/>
            <w:tcBorders>
              <w:top w:val="single" w:sz="4" w:space="0" w:color="auto"/>
              <w:left w:val="single" w:sz="4" w:space="0" w:color="auto"/>
              <w:bottom w:val="single" w:sz="4" w:space="0" w:color="auto"/>
            </w:tcBorders>
          </w:tcPr>
          <w:p w:rsidR="00D76AD2" w:rsidRPr="001F52F5" w:rsidRDefault="00D76AD2" w:rsidP="0057711F">
            <w:pPr>
              <w:spacing w:after="0"/>
              <w:ind w:right="112"/>
              <w:jc w:val="center"/>
              <w:rPr>
                <w:b/>
                <w:sz w:val="20"/>
              </w:rPr>
            </w:pPr>
            <w:r w:rsidRPr="001F52F5">
              <w:rPr>
                <w:b/>
                <w:sz w:val="20"/>
              </w:rPr>
              <w:t>MaRV SR</w:t>
            </w:r>
          </w:p>
          <w:p w:rsidR="00D76AD2" w:rsidRPr="001F52F5" w:rsidRDefault="00D76AD2" w:rsidP="0057711F">
            <w:pPr>
              <w:spacing w:after="0"/>
              <w:ind w:right="112"/>
              <w:jc w:val="center"/>
              <w:rPr>
                <w:b/>
                <w:sz w:val="20"/>
              </w:rPr>
            </w:pPr>
            <w:r w:rsidRPr="001F52F5">
              <w:rPr>
                <w:b/>
                <w:sz w:val="20"/>
              </w:rPr>
              <w:t>MZ SR</w:t>
            </w:r>
          </w:p>
          <w:p w:rsidR="00D76AD2" w:rsidRPr="001F52F5" w:rsidRDefault="00D76AD2" w:rsidP="0057711F">
            <w:pPr>
              <w:spacing w:after="0"/>
              <w:ind w:right="112"/>
              <w:jc w:val="center"/>
              <w:rPr>
                <w:b/>
                <w:sz w:val="20"/>
              </w:rPr>
            </w:pPr>
            <w:r w:rsidRPr="001F52F5">
              <w:rPr>
                <w:b/>
                <w:sz w:val="20"/>
              </w:rPr>
              <w:t>MŽP SR</w:t>
            </w:r>
          </w:p>
          <w:p w:rsidR="00D76AD2" w:rsidRPr="00775E5F" w:rsidRDefault="00D76AD2" w:rsidP="0057711F">
            <w:pPr>
              <w:spacing w:after="0"/>
              <w:ind w:right="112"/>
              <w:jc w:val="center"/>
              <w:rPr>
                <w:b/>
                <w:sz w:val="20"/>
                <w:highlight w:val="yellow"/>
              </w:rPr>
            </w:pPr>
          </w:p>
        </w:tc>
        <w:tc>
          <w:tcPr>
            <w:tcW w:w="5245" w:type="dxa"/>
            <w:tcBorders>
              <w:top w:val="single" w:sz="4" w:space="0" w:color="auto"/>
              <w:left w:val="single" w:sz="4" w:space="0" w:color="auto"/>
              <w:bottom w:val="single" w:sz="4" w:space="0" w:color="auto"/>
            </w:tcBorders>
          </w:tcPr>
          <w:p w:rsidR="00D76AD2" w:rsidRPr="00775E5F" w:rsidRDefault="00D76AD2" w:rsidP="00D76AD2">
            <w:pPr>
              <w:spacing w:after="0"/>
              <w:ind w:right="112"/>
              <w:jc w:val="left"/>
              <w:rPr>
                <w:b/>
                <w:sz w:val="20"/>
              </w:rPr>
            </w:pPr>
            <w:r w:rsidRPr="001F52F5">
              <w:rPr>
                <w:b/>
                <w:sz w:val="20"/>
              </w:rPr>
              <w:t>Vysoká priorita</w:t>
            </w:r>
            <w:r>
              <w:rPr>
                <w:b/>
                <w:sz w:val="20"/>
              </w:rPr>
              <w:t xml:space="preserve"> - </w:t>
            </w:r>
            <w:r>
              <w:rPr>
                <w:sz w:val="20"/>
              </w:rPr>
              <w:t xml:space="preserve">Vzhľadom na pretrvávajúce vylučovanie pesticídnych látok je nevyhnutné rýchle zavádzanie alternatív. Hodnotenie účinnosti nariadenia (ES) č. 1107/2009  a následný návrh opatrení na zrýchlenie procesov je pre tento účel kľúčové. </w:t>
            </w:r>
          </w:p>
          <w:p w:rsidR="00D76AD2" w:rsidRPr="00775E5F" w:rsidRDefault="00D76AD2" w:rsidP="00D76AD2">
            <w:pPr>
              <w:spacing w:after="0"/>
              <w:ind w:right="112"/>
              <w:jc w:val="left"/>
              <w:rPr>
                <w:b/>
                <w:sz w:val="20"/>
                <w:highlight w:val="yellow"/>
              </w:rPr>
            </w:pPr>
          </w:p>
        </w:tc>
      </w:tr>
      <w:tr w:rsidR="00D76AD2" w:rsidTr="00A73ED0">
        <w:trPr>
          <w:cantSplit/>
          <w:trHeight w:val="1336"/>
        </w:trPr>
        <w:tc>
          <w:tcPr>
            <w:tcW w:w="647" w:type="dxa"/>
            <w:tcBorders>
              <w:top w:val="single" w:sz="4" w:space="0" w:color="auto"/>
              <w:left w:val="single" w:sz="4" w:space="0" w:color="auto"/>
              <w:bottom w:val="single" w:sz="4" w:space="0" w:color="auto"/>
              <w:right w:val="single" w:sz="4" w:space="0" w:color="auto"/>
            </w:tcBorders>
            <w:shd w:val="clear" w:color="auto" w:fill="auto"/>
          </w:tcPr>
          <w:p w:rsidR="00D76AD2" w:rsidRDefault="00D76AD2" w:rsidP="00D76AD2">
            <w:pPr>
              <w:keepNext/>
              <w:numPr>
                <w:ilvl w:val="0"/>
                <w:numId w:val="23"/>
              </w:numPr>
              <w:spacing w:after="0" w:line="276" w:lineRule="auto"/>
              <w:jc w:val="left"/>
              <w:rPr>
                <w:rFonts w:eastAsiaTheme="minorHAnsi" w:cstheme="minorBidi"/>
                <w:b/>
                <w:noProof/>
                <w:color w:val="000000" w:themeColor="text1"/>
                <w:sz w:val="20"/>
              </w:rPr>
            </w:pPr>
          </w:p>
        </w:tc>
        <w:tc>
          <w:tcPr>
            <w:tcW w:w="2467" w:type="dxa"/>
            <w:tcBorders>
              <w:top w:val="single" w:sz="4" w:space="0" w:color="auto"/>
              <w:left w:val="single" w:sz="4" w:space="0" w:color="auto"/>
              <w:bottom w:val="single" w:sz="4" w:space="0" w:color="auto"/>
              <w:right w:val="single" w:sz="4" w:space="0" w:color="auto"/>
            </w:tcBorders>
          </w:tcPr>
          <w:p w:rsidR="00D76AD2" w:rsidRDefault="00D76AD2" w:rsidP="00D76AD2">
            <w:pPr>
              <w:keepNext/>
              <w:spacing w:after="0"/>
              <w:jc w:val="left"/>
              <w:rPr>
                <w:rFonts w:eastAsiaTheme="minorEastAsia" w:cstheme="minorBidi"/>
                <w:b/>
                <w:bCs/>
                <w:noProof/>
                <w:sz w:val="20"/>
              </w:rPr>
            </w:pPr>
            <w:r>
              <w:rPr>
                <w:b/>
                <w:bCs/>
                <w:noProof/>
                <w:sz w:val="20"/>
              </w:rPr>
              <w:t>Hodnotenie nariadenia (ES) č. 1924/2006 o výživových a zdravotných tvrdeniach o potravinách, pokiaľ ide o nutričné zloženia a zdravotné tvrdenia o rastlinách a ich prípravkoch, ako aj o všeobecnom regulačnom rámci pre ich používanie v potravinách</w:t>
            </w:r>
          </w:p>
        </w:tc>
        <w:tc>
          <w:tcPr>
            <w:tcW w:w="4961" w:type="dxa"/>
            <w:tcBorders>
              <w:top w:val="single" w:sz="4" w:space="0" w:color="auto"/>
              <w:left w:val="single" w:sz="4" w:space="0" w:color="auto"/>
              <w:bottom w:val="single" w:sz="4" w:space="0" w:color="auto"/>
            </w:tcBorders>
          </w:tcPr>
          <w:p w:rsidR="00D76AD2" w:rsidRDefault="00D76AD2" w:rsidP="00D76AD2">
            <w:pPr>
              <w:keepNext/>
              <w:spacing w:after="0"/>
              <w:rPr>
                <w:rFonts w:eastAsiaTheme="minorEastAsia" w:cstheme="minorBidi"/>
                <w:noProof/>
                <w:sz w:val="20"/>
              </w:rPr>
            </w:pPr>
            <w:r>
              <w:rPr>
                <w:noProof/>
                <w:sz w:val="20"/>
              </w:rPr>
              <w:t>Toto hodnotenie sa zaoberá otázkou nastolenou v </w:t>
            </w:r>
            <w:hyperlink r:id="rId17" w:history="1">
              <w:r>
                <w:rPr>
                  <w:noProof/>
                  <w:color w:val="0000FF" w:themeColor="hyperlink"/>
                  <w:sz w:val="20"/>
                  <w:u w:val="single"/>
                </w:rPr>
                <w:t>stanovisku platformy REFIT XI.11.a-b</w:t>
              </w:r>
            </w:hyperlink>
            <w:r>
              <w:rPr>
                <w:noProof/>
                <w:sz w:val="20"/>
              </w:rPr>
              <w:t xml:space="preserve"> o tvorbe nutričných zložení. V hodnotení sa posudzoval vplyv súčasnej situácie (v ktorej neexistujú žiadne nutričné zloženia na úrovni EÚ). Skúma sa v ňom, či sú nutričné zloženia stále vhodné na svoj účel, oprávnené a primerané na zabezpečenie cieľov nariadenia o tvrdeniach. Očakáva sa, že výsledky tohto hodnotenia pomôžu pri riešení problémov, na ktoré podniky upozornili v súvislosti so smernicou o tradičných rastlinných liekoch, ako sa uvádza v </w:t>
            </w:r>
            <w:hyperlink r:id="rId18" w:history="1">
              <w:r>
                <w:rPr>
                  <w:noProof/>
                  <w:color w:val="0000FF" w:themeColor="hyperlink"/>
                  <w:sz w:val="20"/>
                  <w:u w:val="single"/>
                </w:rPr>
                <w:t>stanovisku platformy REFIT XI.6.a-b</w:t>
              </w:r>
            </w:hyperlink>
            <w:r>
              <w:rPr>
                <w:noProof/>
                <w:sz w:val="20"/>
              </w:rPr>
              <w:t>.</w:t>
            </w:r>
          </w:p>
        </w:tc>
        <w:tc>
          <w:tcPr>
            <w:tcW w:w="1276" w:type="dxa"/>
            <w:tcBorders>
              <w:top w:val="single" w:sz="4" w:space="0" w:color="auto"/>
              <w:left w:val="single" w:sz="4" w:space="0" w:color="auto"/>
              <w:bottom w:val="single" w:sz="4" w:space="0" w:color="auto"/>
            </w:tcBorders>
          </w:tcPr>
          <w:p w:rsidR="00D76AD2" w:rsidRPr="0057711F" w:rsidRDefault="00D76AD2" w:rsidP="0057711F">
            <w:pPr>
              <w:spacing w:after="1" w:line="239" w:lineRule="auto"/>
              <w:ind w:right="112"/>
              <w:jc w:val="center"/>
              <w:rPr>
                <w:b/>
                <w:sz w:val="20"/>
              </w:rPr>
            </w:pPr>
            <w:r w:rsidRPr="0057711F">
              <w:rPr>
                <w:b/>
                <w:sz w:val="20"/>
              </w:rPr>
              <w:t>MZ SR</w:t>
            </w:r>
          </w:p>
          <w:p w:rsidR="00D76AD2" w:rsidRPr="00775E5F" w:rsidRDefault="0057711F" w:rsidP="0057711F">
            <w:pPr>
              <w:spacing w:after="1" w:line="239" w:lineRule="auto"/>
              <w:ind w:right="112"/>
              <w:jc w:val="center"/>
              <w:rPr>
                <w:b/>
                <w:sz w:val="20"/>
                <w:highlight w:val="yellow"/>
              </w:rPr>
            </w:pPr>
            <w:r>
              <w:rPr>
                <w:b/>
                <w:sz w:val="20"/>
              </w:rPr>
              <w:t>ÚVZSR</w:t>
            </w:r>
          </w:p>
        </w:tc>
        <w:tc>
          <w:tcPr>
            <w:tcW w:w="5245" w:type="dxa"/>
            <w:tcBorders>
              <w:top w:val="single" w:sz="4" w:space="0" w:color="auto"/>
              <w:left w:val="single" w:sz="4" w:space="0" w:color="auto"/>
              <w:bottom w:val="single" w:sz="4" w:space="0" w:color="auto"/>
            </w:tcBorders>
          </w:tcPr>
          <w:p w:rsidR="00D76AD2" w:rsidRPr="0028662B" w:rsidRDefault="0028662B" w:rsidP="00D76AD2">
            <w:pPr>
              <w:spacing w:after="0"/>
              <w:ind w:right="112"/>
              <w:rPr>
                <w:sz w:val="20"/>
                <w:highlight w:val="yellow"/>
              </w:rPr>
            </w:pPr>
            <w:r w:rsidRPr="0028662B">
              <w:rPr>
                <w:b/>
                <w:sz w:val="20"/>
                <w:u w:val="single"/>
              </w:rPr>
              <w:t>Vysoká priorita</w:t>
            </w:r>
            <w:r w:rsidRPr="0028662B">
              <w:rPr>
                <w:b/>
                <w:sz w:val="20"/>
              </w:rPr>
              <w:t xml:space="preserve"> </w:t>
            </w:r>
            <w:r w:rsidRPr="0028662B">
              <w:rPr>
                <w:sz w:val="20"/>
              </w:rPr>
              <w:t>- Inciatívu považujeme za dôležitú.. Nutričné profily by mali predstavovať základ pre  možnosť vyjadrovania a hodnotenia nutričných faktorov z potravín alebo zo stravy a ich zosúladeniana EÚ úrovni. Doposiaľ neboli stanovené.  Požiadavka stanovenia nutričných profilov vyplýva z čl. 4 naraidenia 1924/2006. Taktiež dôležitou problematikou pre zhodnotenie a zjednotenie kritérií na úrovni EÚ sú požiadavky na tradičné byliny, ktoré vstupujú v rôznych formách do potravín  prostredníctvom výživových doplnkov.</w:t>
            </w:r>
          </w:p>
          <w:p w:rsidR="00D76AD2" w:rsidRPr="00775E5F" w:rsidRDefault="00D76AD2" w:rsidP="00D76AD2">
            <w:pPr>
              <w:spacing w:after="1" w:line="239" w:lineRule="auto"/>
              <w:ind w:right="112"/>
              <w:rPr>
                <w:b/>
                <w:sz w:val="20"/>
                <w:highlight w:val="yellow"/>
              </w:rPr>
            </w:pPr>
          </w:p>
        </w:tc>
      </w:tr>
      <w:tr w:rsidR="00D76AD2" w:rsidTr="00A73ED0">
        <w:trPr>
          <w:cantSplit/>
          <w:trHeight w:val="1380"/>
        </w:trPr>
        <w:tc>
          <w:tcPr>
            <w:tcW w:w="647" w:type="dxa"/>
            <w:tcBorders>
              <w:top w:val="single" w:sz="4" w:space="0" w:color="auto"/>
              <w:left w:val="single" w:sz="4" w:space="0" w:color="auto"/>
              <w:bottom w:val="single" w:sz="4" w:space="0" w:color="auto"/>
              <w:right w:val="single" w:sz="4" w:space="0" w:color="auto"/>
            </w:tcBorders>
            <w:shd w:val="clear" w:color="auto" w:fill="auto"/>
          </w:tcPr>
          <w:p w:rsidR="00D76AD2" w:rsidRDefault="00D76AD2" w:rsidP="00D76AD2">
            <w:pPr>
              <w:keepNext/>
              <w:numPr>
                <w:ilvl w:val="0"/>
                <w:numId w:val="23"/>
              </w:numPr>
              <w:spacing w:after="0" w:line="276" w:lineRule="auto"/>
              <w:jc w:val="left"/>
              <w:rPr>
                <w:rFonts w:eastAsiaTheme="minorHAnsi" w:cstheme="minorBidi"/>
                <w:b/>
                <w:noProof/>
                <w:color w:val="000000" w:themeColor="text1"/>
                <w:sz w:val="20"/>
              </w:rPr>
            </w:pPr>
          </w:p>
        </w:tc>
        <w:tc>
          <w:tcPr>
            <w:tcW w:w="2467" w:type="dxa"/>
            <w:tcBorders>
              <w:top w:val="single" w:sz="4" w:space="0" w:color="auto"/>
              <w:left w:val="single" w:sz="4" w:space="0" w:color="auto"/>
              <w:bottom w:val="single" w:sz="4" w:space="0" w:color="auto"/>
              <w:right w:val="single" w:sz="4" w:space="0" w:color="auto"/>
            </w:tcBorders>
          </w:tcPr>
          <w:p w:rsidR="00D76AD2" w:rsidRDefault="00D76AD2" w:rsidP="00D76AD2">
            <w:pPr>
              <w:keepNext/>
              <w:spacing w:after="0"/>
              <w:jc w:val="left"/>
              <w:rPr>
                <w:rFonts w:eastAsiaTheme="minorEastAsia" w:cstheme="minorBidi"/>
                <w:b/>
                <w:bCs/>
                <w:noProof/>
                <w:sz w:val="20"/>
              </w:rPr>
            </w:pPr>
            <w:r>
              <w:rPr>
                <w:b/>
                <w:bCs/>
                <w:noProof/>
                <w:sz w:val="20"/>
              </w:rPr>
              <w:t>Hodnotenie materiálov prichádzajúcich do styku s potravinami</w:t>
            </w:r>
          </w:p>
        </w:tc>
        <w:tc>
          <w:tcPr>
            <w:tcW w:w="4961" w:type="dxa"/>
            <w:tcBorders>
              <w:top w:val="single" w:sz="4" w:space="0" w:color="auto"/>
              <w:left w:val="single" w:sz="4" w:space="0" w:color="auto"/>
              <w:bottom w:val="single" w:sz="4" w:space="0" w:color="auto"/>
            </w:tcBorders>
          </w:tcPr>
          <w:p w:rsidR="00D76AD2" w:rsidRDefault="00D76AD2" w:rsidP="00D76AD2">
            <w:pPr>
              <w:keepNext/>
              <w:spacing w:after="0"/>
              <w:rPr>
                <w:rFonts w:eastAsiaTheme="minorEastAsia" w:cstheme="minorBidi"/>
                <w:noProof/>
                <w:sz w:val="20"/>
              </w:rPr>
            </w:pPr>
            <w:r>
              <w:rPr>
                <w:noProof/>
                <w:sz w:val="20"/>
              </w:rPr>
              <w:t>V tomto hodnotení sa skúmajú všetky aspekty súčasných právnych predpisov EÚ o materiáloch prichádzajúcich do styku s potravinami vrátane účinnosti vyhlásenia o zhode, ktoré sa v súčasnosti vyžaduje pri osobitných opatreniach na úrovni EÚ. Na základe tohto hodnotenia Komisia zváži, či sú na úrovni EÚ potrebné ďalšie opatrenia, a zohľadní aj rôzne otázky, ako napríklad otázku, na ktorú sa poukázalo v </w:t>
            </w:r>
            <w:hyperlink r:id="rId19" w:history="1">
              <w:r>
                <w:rPr>
                  <w:noProof/>
                  <w:color w:val="0000FF" w:themeColor="hyperlink"/>
                  <w:sz w:val="20"/>
                  <w:u w:val="single"/>
                </w:rPr>
                <w:t>stanovisku platformy REFIT XI.1a</w:t>
              </w:r>
            </w:hyperlink>
            <w:r>
              <w:rPr>
                <w:noProof/>
                <w:sz w:val="20"/>
              </w:rPr>
              <w:t>, kde sa odporúča spoločná európska požiadavka existencie vyhlásenia o zhode pre všetky typy materiálov prichádzajúcich do styku s potravinami.</w:t>
            </w:r>
          </w:p>
        </w:tc>
        <w:tc>
          <w:tcPr>
            <w:tcW w:w="1276" w:type="dxa"/>
            <w:tcBorders>
              <w:top w:val="single" w:sz="4" w:space="0" w:color="auto"/>
              <w:left w:val="single" w:sz="4" w:space="0" w:color="auto"/>
              <w:bottom w:val="single" w:sz="4" w:space="0" w:color="auto"/>
            </w:tcBorders>
          </w:tcPr>
          <w:p w:rsidR="00D76AD2" w:rsidRPr="0057711F" w:rsidRDefault="00D76AD2" w:rsidP="0057711F">
            <w:pPr>
              <w:spacing w:after="0"/>
              <w:ind w:right="112"/>
              <w:jc w:val="center"/>
              <w:rPr>
                <w:b/>
                <w:sz w:val="20"/>
              </w:rPr>
            </w:pPr>
            <w:r w:rsidRPr="0057711F">
              <w:rPr>
                <w:b/>
                <w:sz w:val="20"/>
              </w:rPr>
              <w:t>MZ SR</w:t>
            </w:r>
          </w:p>
          <w:p w:rsidR="00D76AD2" w:rsidRPr="0057711F" w:rsidRDefault="0057711F" w:rsidP="0057711F">
            <w:pPr>
              <w:spacing w:after="0"/>
              <w:ind w:right="112"/>
              <w:jc w:val="center"/>
              <w:rPr>
                <w:b/>
                <w:sz w:val="20"/>
              </w:rPr>
            </w:pPr>
            <w:r>
              <w:rPr>
                <w:b/>
                <w:sz w:val="20"/>
              </w:rPr>
              <w:t>ÚVZ SR</w:t>
            </w:r>
          </w:p>
        </w:tc>
        <w:tc>
          <w:tcPr>
            <w:tcW w:w="5245" w:type="dxa"/>
            <w:tcBorders>
              <w:top w:val="single" w:sz="4" w:space="0" w:color="auto"/>
              <w:left w:val="single" w:sz="4" w:space="0" w:color="auto"/>
              <w:bottom w:val="single" w:sz="4" w:space="0" w:color="auto"/>
            </w:tcBorders>
          </w:tcPr>
          <w:p w:rsidR="00D76AD2" w:rsidRPr="0057711F" w:rsidRDefault="0057711F" w:rsidP="00D76AD2">
            <w:pPr>
              <w:spacing w:after="0"/>
              <w:ind w:right="112"/>
              <w:rPr>
                <w:b/>
                <w:sz w:val="20"/>
              </w:rPr>
            </w:pPr>
            <w:r w:rsidRPr="0057711F">
              <w:rPr>
                <w:b/>
                <w:sz w:val="20"/>
                <w:u w:val="single"/>
              </w:rPr>
              <w:t>Vysoká priorita</w:t>
            </w:r>
            <w:r w:rsidRPr="0057711F">
              <w:rPr>
                <w:b/>
                <w:sz w:val="20"/>
              </w:rPr>
              <w:t xml:space="preserve"> - </w:t>
            </w:r>
            <w:r w:rsidR="00D76AD2" w:rsidRPr="0057711F">
              <w:rPr>
                <w:sz w:val="20"/>
              </w:rPr>
              <w:t>Vítame túto iniciatívu na prehodnotenie súčasnej legislatívy v zmysle špecifikovania požiadaviek na vyhlásenie o zhode pre všetky materiály a predmety (súčasný stav : zo 17 typov materiálov a predmetov je obsah vyhlásenia o zhode definovaný iba pre 5 typov). Toto prehodnotenie legislatívy prinesie efektívnejší výkon úradných kontrol a zlepšenie bezpečnosti uvádzaných výrobkov na trh EÚ.</w:t>
            </w:r>
          </w:p>
        </w:tc>
      </w:tr>
      <w:tr w:rsidR="00D76AD2" w:rsidTr="00A73ED0">
        <w:trPr>
          <w:cantSplit/>
          <w:trHeight w:val="1380"/>
        </w:trPr>
        <w:tc>
          <w:tcPr>
            <w:tcW w:w="647" w:type="dxa"/>
            <w:tcBorders>
              <w:top w:val="single" w:sz="4" w:space="0" w:color="auto"/>
              <w:left w:val="single" w:sz="4" w:space="0" w:color="auto"/>
              <w:bottom w:val="single" w:sz="4" w:space="0" w:color="auto"/>
              <w:right w:val="single" w:sz="4" w:space="0" w:color="auto"/>
            </w:tcBorders>
            <w:shd w:val="clear" w:color="auto" w:fill="auto"/>
          </w:tcPr>
          <w:p w:rsidR="00D76AD2" w:rsidRDefault="00D76AD2" w:rsidP="00D76AD2">
            <w:pPr>
              <w:keepNext/>
              <w:numPr>
                <w:ilvl w:val="0"/>
                <w:numId w:val="23"/>
              </w:numPr>
              <w:spacing w:after="0" w:line="276" w:lineRule="auto"/>
              <w:jc w:val="left"/>
              <w:rPr>
                <w:rFonts w:eastAsiaTheme="minorHAnsi" w:cstheme="minorBidi"/>
                <w:b/>
                <w:noProof/>
                <w:color w:val="000000" w:themeColor="text1"/>
                <w:sz w:val="20"/>
              </w:rPr>
            </w:pPr>
          </w:p>
        </w:tc>
        <w:tc>
          <w:tcPr>
            <w:tcW w:w="2467" w:type="dxa"/>
            <w:tcBorders>
              <w:top w:val="single" w:sz="4" w:space="0" w:color="auto"/>
              <w:left w:val="single" w:sz="4" w:space="0" w:color="auto"/>
              <w:bottom w:val="single" w:sz="4" w:space="0" w:color="auto"/>
              <w:right w:val="single" w:sz="4" w:space="0" w:color="auto"/>
            </w:tcBorders>
          </w:tcPr>
          <w:p w:rsidR="00D76AD2" w:rsidRDefault="00D76AD2" w:rsidP="00D76AD2">
            <w:pPr>
              <w:keepNext/>
              <w:spacing w:after="0"/>
              <w:jc w:val="left"/>
              <w:rPr>
                <w:rFonts w:eastAsiaTheme="minorEastAsia" w:cstheme="minorBidi"/>
                <w:b/>
                <w:bCs/>
                <w:noProof/>
                <w:sz w:val="20"/>
              </w:rPr>
            </w:pPr>
            <w:r>
              <w:rPr>
                <w:b/>
                <w:bCs/>
                <w:noProof/>
                <w:sz w:val="20"/>
              </w:rPr>
              <w:t>Hodnotenie smernice 2005/44/ES o harmonizovaných riečnych informačných službách (RIS) na vnútrozemských vodných cestách v Spoločenstve</w:t>
            </w:r>
          </w:p>
        </w:tc>
        <w:tc>
          <w:tcPr>
            <w:tcW w:w="4961" w:type="dxa"/>
            <w:tcBorders>
              <w:top w:val="single" w:sz="4" w:space="0" w:color="auto"/>
              <w:left w:val="single" w:sz="4" w:space="0" w:color="auto"/>
              <w:bottom w:val="single" w:sz="4" w:space="0" w:color="auto"/>
            </w:tcBorders>
          </w:tcPr>
          <w:p w:rsidR="00D76AD2" w:rsidRDefault="00D76AD2" w:rsidP="00D76AD2">
            <w:pPr>
              <w:keepNext/>
              <w:spacing w:after="0"/>
              <w:rPr>
                <w:rFonts w:eastAsiaTheme="minorEastAsia" w:cstheme="minorBidi"/>
                <w:noProof/>
                <w:sz w:val="20"/>
              </w:rPr>
            </w:pPr>
            <w:r>
              <w:rPr>
                <w:noProof/>
                <w:sz w:val="20"/>
              </w:rPr>
              <w:t>Riečne informačné služby (RIS) využívajú informačné a komunikačné technológie (IKT) na podporu bezpečnosti, účinnosti a šetrnosti vnútrozemskej vodnej dopravy k životnému prostrediu. Smernica RIS poskytuje rámec pre minimálne požiadavky a technické špecifikácie pre poskytovanie a zavádzanie RIS s cieľom zabezpečiť harmonizáciu, interoperabilitu a cezhraničnú kompatibilitu systémov RIS členských štátov pre vodné cesty triedy IV alebo vyššej. Hodnotenie sa zameriava na vykonávanie smernice a na aktuálny organizačný a technologický vývoj v danom odvetví, najmä pokiaľ ide o digitálne technológie. Hodnotia sa v ňom aj potenciálne oblasti zjednodušenia procesu, prostredníctvom ktorého sa pripravujú aktualizácie technických špecifikácií podľa smernice.</w:t>
            </w:r>
          </w:p>
        </w:tc>
        <w:tc>
          <w:tcPr>
            <w:tcW w:w="1276" w:type="dxa"/>
            <w:tcBorders>
              <w:top w:val="single" w:sz="4" w:space="0" w:color="auto"/>
              <w:left w:val="single" w:sz="4" w:space="0" w:color="auto"/>
              <w:bottom w:val="single" w:sz="4" w:space="0" w:color="auto"/>
            </w:tcBorders>
          </w:tcPr>
          <w:p w:rsidR="00D76AD2" w:rsidRPr="00D76AD2" w:rsidRDefault="00D76AD2" w:rsidP="00D76AD2">
            <w:pPr>
              <w:spacing w:after="0"/>
              <w:ind w:right="112"/>
              <w:jc w:val="center"/>
              <w:rPr>
                <w:b/>
                <w:sz w:val="20"/>
              </w:rPr>
            </w:pPr>
            <w:r w:rsidRPr="00D76AD2">
              <w:rPr>
                <w:b/>
                <w:sz w:val="20"/>
              </w:rPr>
              <w:t>MDV SR</w:t>
            </w:r>
          </w:p>
        </w:tc>
        <w:tc>
          <w:tcPr>
            <w:tcW w:w="5245" w:type="dxa"/>
            <w:tcBorders>
              <w:top w:val="single" w:sz="4" w:space="0" w:color="auto"/>
              <w:left w:val="single" w:sz="4" w:space="0" w:color="auto"/>
              <w:bottom w:val="single" w:sz="4" w:space="0" w:color="auto"/>
            </w:tcBorders>
          </w:tcPr>
          <w:p w:rsidR="00D76AD2" w:rsidRPr="00D76AD2" w:rsidRDefault="00D76AD2" w:rsidP="00D76AD2">
            <w:pPr>
              <w:spacing w:after="0"/>
              <w:ind w:right="112"/>
              <w:rPr>
                <w:sz w:val="20"/>
              </w:rPr>
            </w:pPr>
            <w:r w:rsidRPr="00D76AD2">
              <w:rPr>
                <w:b/>
                <w:sz w:val="20"/>
                <w:u w:val="single"/>
              </w:rPr>
              <w:t>Vysoká priorita</w:t>
            </w:r>
            <w:r>
              <w:rPr>
                <w:sz w:val="20"/>
              </w:rPr>
              <w:t xml:space="preserve"> - </w:t>
            </w:r>
            <w:r w:rsidRPr="00EF0E9F">
              <w:rPr>
                <w:sz w:val="20"/>
              </w:rPr>
              <w:t>Výmena informácií sa považuje za kľúčový faktor zvýšeného využívania vnútrozemskej vodnej dopravy. Počas posledného desaťročia Európska komisia, členské štáty a prevádzkovatelia infraštruktúry spolupracovali na vymedzení, vybudovaní a zavedení riečnych informačných služieb (RIS) s cieľom uľahčiť navigáciu a výmenu informácií medzi prevádzkovateľmi dopravy a manažérmi infraštruktúry.</w:t>
            </w:r>
            <w:r>
              <w:rPr>
                <w:sz w:val="20"/>
              </w:rPr>
              <w:t xml:space="preserve"> </w:t>
            </w:r>
            <w:r w:rsidRPr="00EF0E9F">
              <w:rPr>
                <w:sz w:val="20"/>
              </w:rPr>
              <w:t>V roku 2005 nadobudla účinnosť smernica 2005/44/ES o RIS, ktorá stanovuje minimálne požiadavky na umožnenie cezhraničnej zlučiteľnosti vnútroštátnych systémov. Stanovuje rámec pre rozmiestnenie a využívanie harmonizovaných riečnych informačných služieb s cieľom podporovať vnútrozemskú vodnú dopravu a zvýšiť bezpečnosť, efektívnosť, šetrnosť voči životnému prostrediu a rozhrania s inými druhmi dopravy. Viac ako desať rokov po uplatňovaní smernice je účelné vyhodnotiť, či je rámec smernice o RIS vhodný na daný účel a či zodpovedá očakávaným cieľom. Preto sa začala rozsiahla konzultácia s verejnosťou o výsledkoch, nedostatkoch a možných perspektívach smernice o RIS, ktorá bude prínosom pre celý proces hodnotenia.</w:t>
            </w:r>
            <w:r>
              <w:rPr>
                <w:sz w:val="20"/>
              </w:rPr>
              <w:t xml:space="preserve"> K aktializácii technických špecifikácií podľa smernice 2005/44/ES už došlo v minulom roku.Napĺňanie cieľov smernice o RIS sa v SR uskutočnilo cez projekty IRIS EuropeI – III a v súčasnosti projektom RIS COMEX.</w:t>
            </w:r>
          </w:p>
        </w:tc>
      </w:tr>
      <w:tr w:rsidR="00D76AD2" w:rsidTr="00B675B3">
        <w:trPr>
          <w:cantSplit/>
        </w:trPr>
        <w:tc>
          <w:tcPr>
            <w:tcW w:w="8075" w:type="dxa"/>
            <w:gridSpan w:val="3"/>
            <w:shd w:val="clear" w:color="auto" w:fill="18BAA8" w:themeFill="accent2"/>
          </w:tcPr>
          <w:p w:rsidR="00D76AD2" w:rsidRDefault="00D76AD2" w:rsidP="00D76AD2">
            <w:pPr>
              <w:keepNext/>
              <w:spacing w:before="60" w:after="60"/>
              <w:jc w:val="left"/>
              <w:rPr>
                <w:b/>
                <w:bCs/>
                <w:noProof/>
                <w:sz w:val="20"/>
              </w:rPr>
            </w:pPr>
            <w:r>
              <w:rPr>
                <w:b/>
                <w:bCs/>
                <w:noProof/>
                <w:color w:val="FFFFFF" w:themeColor="background1"/>
                <w:sz w:val="20"/>
              </w:rPr>
              <w:t>Európa pripravená na digitálny vek</w:t>
            </w:r>
          </w:p>
        </w:tc>
        <w:tc>
          <w:tcPr>
            <w:tcW w:w="1276" w:type="dxa"/>
            <w:shd w:val="clear" w:color="auto" w:fill="18BAA8" w:themeFill="accent2"/>
          </w:tcPr>
          <w:p w:rsidR="00D76AD2" w:rsidRDefault="00D76AD2" w:rsidP="00D76AD2">
            <w:pPr>
              <w:keepNext/>
              <w:spacing w:before="60" w:after="60"/>
              <w:rPr>
                <w:b/>
                <w:bCs/>
                <w:noProof/>
                <w:color w:val="FFFFFF" w:themeColor="background1"/>
                <w:sz w:val="20"/>
              </w:rPr>
            </w:pPr>
          </w:p>
        </w:tc>
        <w:tc>
          <w:tcPr>
            <w:tcW w:w="5245" w:type="dxa"/>
            <w:shd w:val="clear" w:color="auto" w:fill="18BAA8" w:themeFill="accent2"/>
          </w:tcPr>
          <w:p w:rsidR="00D76AD2" w:rsidRDefault="00D76AD2" w:rsidP="00D76AD2">
            <w:pPr>
              <w:keepNext/>
              <w:spacing w:before="60" w:after="60"/>
              <w:rPr>
                <w:b/>
                <w:bCs/>
                <w:noProof/>
                <w:color w:val="FFFFFF" w:themeColor="background1"/>
                <w:sz w:val="20"/>
              </w:rPr>
            </w:pPr>
          </w:p>
        </w:tc>
      </w:tr>
      <w:tr w:rsidR="00D76AD2" w:rsidTr="00A73ED0">
        <w:trPr>
          <w:cantSplit/>
        </w:trPr>
        <w:tc>
          <w:tcPr>
            <w:tcW w:w="647" w:type="dxa"/>
            <w:shd w:val="clear" w:color="auto" w:fill="auto"/>
          </w:tcPr>
          <w:p w:rsidR="00D76AD2" w:rsidRDefault="00D76AD2" w:rsidP="00D76AD2">
            <w:pPr>
              <w:numPr>
                <w:ilvl w:val="0"/>
                <w:numId w:val="23"/>
              </w:numPr>
              <w:spacing w:after="0" w:line="276" w:lineRule="auto"/>
              <w:jc w:val="left"/>
              <w:rPr>
                <w:rFonts w:eastAsiaTheme="minorHAnsi" w:cstheme="minorBidi"/>
                <w:b/>
                <w:noProof/>
                <w:color w:val="000000"/>
                <w:sz w:val="20"/>
              </w:rPr>
            </w:pPr>
          </w:p>
        </w:tc>
        <w:tc>
          <w:tcPr>
            <w:tcW w:w="2467" w:type="dxa"/>
            <w:shd w:val="clear" w:color="auto" w:fill="auto"/>
          </w:tcPr>
          <w:p w:rsidR="00D76AD2" w:rsidRDefault="00D76AD2" w:rsidP="00D76AD2">
            <w:pPr>
              <w:spacing w:after="0"/>
              <w:jc w:val="left"/>
              <w:rPr>
                <w:rFonts w:eastAsiaTheme="minorEastAsia" w:cstheme="minorBidi"/>
                <w:b/>
                <w:bCs/>
                <w:noProof/>
                <w:color w:val="000000" w:themeColor="text1"/>
                <w:sz w:val="20"/>
              </w:rPr>
            </w:pPr>
            <w:r>
              <w:rPr>
                <w:b/>
                <w:bCs/>
                <w:noProof/>
                <w:sz w:val="20"/>
              </w:rPr>
              <w:t>Správa Komisie Európskemu parlamentu a Rade o uplatňovaní nariadenia (EÚ) 910/2014 o elektronickej identifikácii a dôveryhodných službách pre elektronické transakcie na vnútornom trhu (nariadenie eIDAS)</w:t>
            </w:r>
          </w:p>
        </w:tc>
        <w:tc>
          <w:tcPr>
            <w:tcW w:w="4961" w:type="dxa"/>
          </w:tcPr>
          <w:p w:rsidR="00D76AD2" w:rsidRDefault="00D76AD2" w:rsidP="00D76AD2">
            <w:pPr>
              <w:spacing w:after="0"/>
              <w:rPr>
                <w:rFonts w:eastAsiaTheme="minorEastAsia" w:cstheme="minorBidi"/>
                <w:noProof/>
                <w:color w:val="000000" w:themeColor="text1"/>
                <w:sz w:val="20"/>
              </w:rPr>
            </w:pPr>
            <w:r>
              <w:rPr>
                <w:noProof/>
                <w:sz w:val="20"/>
              </w:rPr>
              <w:t xml:space="preserve">Komisia predloží Európskemu parlamentu a Rade správu o uplatňovaní nariadenia (EÚ) 910/2014, a to do 1. júla 2020, ako sa vyžaduje v článku 49 nariadenia. V správe sa posúdi, do akej miery je rámec eIDAS naďalej vhodný na účely dosahovania plánovaných výsledkov, výstupov a vplyvov, a môžu sa v nej uviesť ďalšie možné opatrenia na zlepšenie výkonnosti v oblasti regulácie. Komisia uskutoční hodnotenie v súlade s usmerneniami o lepšej právnej regulácii, pričom sa uskutoční aj verejná cielená konzultácia so zainteresovanými stranami. </w:t>
            </w:r>
          </w:p>
        </w:tc>
        <w:tc>
          <w:tcPr>
            <w:tcW w:w="1276" w:type="dxa"/>
          </w:tcPr>
          <w:p w:rsidR="00D76AD2" w:rsidRPr="008A2C73" w:rsidRDefault="00D76AD2" w:rsidP="00A026B9">
            <w:pPr>
              <w:spacing w:after="0"/>
              <w:ind w:right="112"/>
              <w:jc w:val="center"/>
              <w:rPr>
                <w:b/>
                <w:sz w:val="20"/>
              </w:rPr>
            </w:pPr>
            <w:r w:rsidRPr="008A2C73">
              <w:rPr>
                <w:b/>
                <w:sz w:val="20"/>
              </w:rPr>
              <w:t>NBÚ</w:t>
            </w:r>
          </w:p>
          <w:p w:rsidR="00D76AD2" w:rsidRPr="008A2C73" w:rsidRDefault="00D76AD2" w:rsidP="00A026B9">
            <w:pPr>
              <w:spacing w:after="0"/>
              <w:jc w:val="center"/>
              <w:rPr>
                <w:b/>
                <w:sz w:val="20"/>
              </w:rPr>
            </w:pPr>
            <w:r w:rsidRPr="008A2C73">
              <w:rPr>
                <w:b/>
                <w:sz w:val="20"/>
              </w:rPr>
              <w:t>ÚPVII</w:t>
            </w:r>
          </w:p>
          <w:p w:rsidR="00D76AD2" w:rsidRPr="008A2C73" w:rsidRDefault="00D76AD2" w:rsidP="00A026B9">
            <w:pPr>
              <w:spacing w:after="0"/>
              <w:jc w:val="center"/>
              <w:rPr>
                <w:b/>
                <w:noProof/>
                <w:sz w:val="20"/>
              </w:rPr>
            </w:pPr>
            <w:r w:rsidRPr="008A2C73">
              <w:rPr>
                <w:b/>
                <w:noProof/>
                <w:sz w:val="20"/>
              </w:rPr>
              <w:t>MS SR</w:t>
            </w:r>
          </w:p>
          <w:p w:rsidR="00D76AD2" w:rsidRPr="009D4C5D" w:rsidRDefault="00D76AD2" w:rsidP="00A026B9">
            <w:pPr>
              <w:spacing w:after="0"/>
              <w:jc w:val="center"/>
              <w:rPr>
                <w:b/>
                <w:noProof/>
                <w:sz w:val="20"/>
              </w:rPr>
            </w:pPr>
          </w:p>
        </w:tc>
        <w:tc>
          <w:tcPr>
            <w:tcW w:w="5245" w:type="dxa"/>
          </w:tcPr>
          <w:p w:rsidR="00D76AD2" w:rsidRPr="00545607" w:rsidRDefault="00D76AD2" w:rsidP="00545607">
            <w:pPr>
              <w:pStyle w:val="PredformtovanHTML"/>
              <w:jc w:val="both"/>
              <w:rPr>
                <w:rFonts w:ascii="Times New Roman" w:hAnsi="Times New Roman" w:cs="Times New Roman"/>
              </w:rPr>
            </w:pPr>
            <w:r w:rsidRPr="00154FB5">
              <w:rPr>
                <w:rFonts w:ascii="Times New Roman" w:hAnsi="Times New Roman" w:cs="Times New Roman"/>
                <w:bCs/>
              </w:rPr>
              <w:t xml:space="preserve">EK podá v zmysle čl. 49 nariadenia správu o </w:t>
            </w:r>
            <w:r>
              <w:rPr>
                <w:rFonts w:ascii="Times New Roman" w:hAnsi="Times New Roman" w:cs="Times New Roman"/>
                <w:bCs/>
              </w:rPr>
              <w:t>uplatňovaní smernice (do 1. 7.</w:t>
            </w:r>
            <w:r w:rsidRPr="00154FB5">
              <w:rPr>
                <w:rFonts w:ascii="Times New Roman" w:hAnsi="Times New Roman" w:cs="Times New Roman"/>
                <w:bCs/>
              </w:rPr>
              <w:t xml:space="preserve"> 2020). EK </w:t>
            </w:r>
            <w:r w:rsidRPr="00154FB5">
              <w:rPr>
                <w:rFonts w:ascii="Times New Roman" w:hAnsi="Times New Roman" w:cs="Times New Roman"/>
              </w:rPr>
              <w:t>posúdi, do akej miery je rámec eIDAS naďalej spôsobilý na dosiahnutie zamýšľaných výsledkov, výsledkov a vplyvov, a môže určiť možné ďalšie opatrenia na zlepšenie regulačných výkonov. EK vykoná hodnotenie v súlade s usmerneniami pre lepšiu právnu reguláciu (REFIT), pričom  táto správa bude zahŕňať aj verejné a cielené konzul</w:t>
            </w:r>
            <w:r w:rsidR="00545607">
              <w:rPr>
                <w:rFonts w:ascii="Times New Roman" w:hAnsi="Times New Roman" w:cs="Times New Roman"/>
              </w:rPr>
              <w:t xml:space="preserve">tácie so zúčastnenými stranami. </w:t>
            </w:r>
            <w:r w:rsidRPr="00545607">
              <w:rPr>
                <w:rFonts w:ascii="Times New Roman" w:hAnsi="Times New Roman" w:cs="Times New Roman"/>
              </w:rPr>
              <w:t>SR víta túto iniciatívu Komisie. Problematika je súčasťou Stratégie digitálnej transformácie Slovenska 2030 (Vyspelá a inkluzívna občianska spoločnosť; Spoločnosť a vzdelávanie. Občania a spotrebitelia sú schopní realizovať svoj potenciál v digitálnej dobe a ich práva sú chránené; Funkčná a moderná verejná správa, ktorá dokáže efektívne spracovať územie na národnej až po lokálnu úroveň).</w:t>
            </w:r>
          </w:p>
        </w:tc>
      </w:tr>
      <w:tr w:rsidR="00D76AD2" w:rsidTr="00A73ED0">
        <w:trPr>
          <w:cantSplit/>
        </w:trPr>
        <w:tc>
          <w:tcPr>
            <w:tcW w:w="647" w:type="dxa"/>
            <w:shd w:val="clear" w:color="auto" w:fill="auto"/>
          </w:tcPr>
          <w:p w:rsidR="00D76AD2" w:rsidRDefault="00D76AD2" w:rsidP="00D76AD2">
            <w:pPr>
              <w:numPr>
                <w:ilvl w:val="0"/>
                <w:numId w:val="23"/>
              </w:numPr>
              <w:tabs>
                <w:tab w:val="num" w:pos="709"/>
              </w:tabs>
              <w:spacing w:after="0" w:line="276" w:lineRule="auto"/>
              <w:jc w:val="left"/>
              <w:rPr>
                <w:rFonts w:eastAsiaTheme="minorHAnsi" w:cstheme="minorBidi"/>
                <w:b/>
                <w:noProof/>
                <w:color w:val="000000"/>
                <w:sz w:val="20"/>
              </w:rPr>
            </w:pPr>
          </w:p>
        </w:tc>
        <w:tc>
          <w:tcPr>
            <w:tcW w:w="2467" w:type="dxa"/>
            <w:shd w:val="clear" w:color="auto" w:fill="auto"/>
          </w:tcPr>
          <w:p w:rsidR="00D76AD2" w:rsidRDefault="00D76AD2" w:rsidP="00D76AD2">
            <w:pPr>
              <w:spacing w:after="0"/>
              <w:jc w:val="left"/>
              <w:rPr>
                <w:rFonts w:eastAsiaTheme="minorEastAsia" w:cstheme="minorBidi"/>
                <w:b/>
                <w:bCs/>
                <w:noProof/>
                <w:color w:val="000000" w:themeColor="text1"/>
                <w:sz w:val="20"/>
              </w:rPr>
            </w:pPr>
            <w:r>
              <w:rPr>
                <w:b/>
                <w:bCs/>
                <w:noProof/>
                <w:sz w:val="20"/>
              </w:rPr>
              <w:t>Preskúmanie smernice o znižovaní nákladov na širokopásmové pripojenie (smernica 2014/61/EÚ)</w:t>
            </w:r>
          </w:p>
        </w:tc>
        <w:tc>
          <w:tcPr>
            <w:tcW w:w="4961" w:type="dxa"/>
          </w:tcPr>
          <w:p w:rsidR="00D76AD2" w:rsidRDefault="00D76AD2" w:rsidP="00D76AD2">
            <w:pPr>
              <w:spacing w:after="0"/>
              <w:rPr>
                <w:rFonts w:eastAsiaTheme="minorEastAsia" w:cstheme="minorBidi"/>
                <w:noProof/>
                <w:color w:val="000000" w:themeColor="text1"/>
                <w:sz w:val="20"/>
              </w:rPr>
            </w:pPr>
            <w:r>
              <w:rPr>
                <w:noProof/>
                <w:sz w:val="20"/>
              </w:rPr>
              <w:t xml:space="preserve">Cieľom preskúmania je znížiť zbytočné a nákladné administratívne zaťaženie, ktoré môže výrazne odrádzať a oneskoriť zavádzanie sietí. Zameriava sa na ďalšie zlepšovanie súčasného opatrenia prostredníctvom zjednodušenia povolení a postupov alebo prostredníctvom zvýšenia pružnosti inžinierskych prác zlepšením koordinácie s inými infraštruktúrami (cesty, energetika a pod.). Môže ísť o veľkú príležitosť, ako novými právnymi predpismi znížiť celkovú administratívnu záťaž v sektore. </w:t>
            </w:r>
          </w:p>
        </w:tc>
        <w:tc>
          <w:tcPr>
            <w:tcW w:w="1276" w:type="dxa"/>
          </w:tcPr>
          <w:p w:rsidR="00D76AD2" w:rsidRPr="008A2C73" w:rsidRDefault="00D76AD2" w:rsidP="00A026B9">
            <w:pPr>
              <w:spacing w:after="0"/>
              <w:jc w:val="center"/>
              <w:rPr>
                <w:b/>
                <w:noProof/>
                <w:sz w:val="20"/>
              </w:rPr>
            </w:pPr>
            <w:r w:rsidRPr="008A2C73">
              <w:rPr>
                <w:b/>
                <w:noProof/>
                <w:sz w:val="20"/>
              </w:rPr>
              <w:t>MDV SR</w:t>
            </w:r>
          </w:p>
          <w:p w:rsidR="00D76AD2" w:rsidRDefault="00D76AD2" w:rsidP="00A026B9">
            <w:pPr>
              <w:spacing w:after="0"/>
              <w:jc w:val="center"/>
              <w:rPr>
                <w:noProof/>
                <w:sz w:val="20"/>
              </w:rPr>
            </w:pPr>
            <w:r w:rsidRPr="008A2C73">
              <w:rPr>
                <w:b/>
                <w:noProof/>
                <w:sz w:val="20"/>
              </w:rPr>
              <w:t>ÚPVII</w:t>
            </w:r>
          </w:p>
        </w:tc>
        <w:tc>
          <w:tcPr>
            <w:tcW w:w="5245" w:type="dxa"/>
          </w:tcPr>
          <w:p w:rsidR="00D76AD2" w:rsidRPr="0057711F" w:rsidRDefault="00D76AD2" w:rsidP="0057711F">
            <w:pPr>
              <w:pStyle w:val="PredformtovanHTML"/>
              <w:jc w:val="both"/>
              <w:rPr>
                <w:rFonts w:ascii="Times New Roman" w:hAnsi="Times New Roman" w:cs="Times New Roman"/>
              </w:rPr>
            </w:pPr>
            <w:r w:rsidRPr="00154FB5">
              <w:rPr>
                <w:rFonts w:ascii="Times New Roman" w:hAnsi="Times New Roman" w:cs="Times New Roman"/>
              </w:rPr>
              <w:t>Cieľom preskúmania je znížiť zbytočné a nákladné administratívne zaťaženie, ktoré môže výrazne odradiť a oneskoriť zavádzanie siete. Ide o ďalšie zlepšenie súčasného opatrenia prostredníctvom zjednodušenia povolení a postupov alebo zvýšenia koordinácie inžinierskych prác zlepšením koordinácie s inými infraštruktúrami (cesty, energia atď.). To môže predstavovať významnú príležitosť pre nové právne predpisy na zníženie celkovej administr</w:t>
            </w:r>
            <w:r w:rsidR="0057711F">
              <w:rPr>
                <w:rFonts w:ascii="Times New Roman" w:hAnsi="Times New Roman" w:cs="Times New Roman"/>
              </w:rPr>
              <w:t>atívnej záťaže v tomto odvetví.</w:t>
            </w:r>
          </w:p>
        </w:tc>
      </w:tr>
      <w:tr w:rsidR="00D76AD2" w:rsidTr="00A73ED0">
        <w:trPr>
          <w:cantSplit/>
        </w:trPr>
        <w:tc>
          <w:tcPr>
            <w:tcW w:w="647" w:type="dxa"/>
            <w:shd w:val="clear" w:color="auto" w:fill="auto"/>
          </w:tcPr>
          <w:p w:rsidR="00D76AD2" w:rsidRDefault="00D76AD2" w:rsidP="00D76AD2">
            <w:pPr>
              <w:numPr>
                <w:ilvl w:val="0"/>
                <w:numId w:val="23"/>
              </w:numPr>
              <w:tabs>
                <w:tab w:val="num" w:pos="709"/>
              </w:tabs>
              <w:spacing w:after="0" w:line="276" w:lineRule="auto"/>
              <w:jc w:val="left"/>
              <w:rPr>
                <w:rFonts w:eastAsiaTheme="minorHAnsi" w:cstheme="minorBidi"/>
                <w:b/>
                <w:noProof/>
                <w:color w:val="000000"/>
                <w:sz w:val="20"/>
              </w:rPr>
            </w:pPr>
          </w:p>
        </w:tc>
        <w:tc>
          <w:tcPr>
            <w:tcW w:w="2467" w:type="dxa"/>
            <w:shd w:val="clear" w:color="auto" w:fill="auto"/>
          </w:tcPr>
          <w:p w:rsidR="00D76AD2" w:rsidRDefault="00D76AD2" w:rsidP="00D76AD2">
            <w:pPr>
              <w:spacing w:after="0"/>
              <w:jc w:val="left"/>
              <w:rPr>
                <w:rFonts w:eastAsiaTheme="minorEastAsia" w:cstheme="minorBidi"/>
                <w:b/>
                <w:bCs/>
                <w:noProof/>
                <w:color w:val="000000" w:themeColor="text1"/>
                <w:sz w:val="20"/>
              </w:rPr>
            </w:pPr>
            <w:r>
              <w:rPr>
                <w:b/>
                <w:bCs/>
                <w:noProof/>
                <w:sz w:val="20"/>
              </w:rPr>
              <w:t>Preskúmanie nariadenia o vnútornom trhu a cezhraničnom elektronickom obchode (geografické blokovanie)</w:t>
            </w:r>
          </w:p>
        </w:tc>
        <w:tc>
          <w:tcPr>
            <w:tcW w:w="4961" w:type="dxa"/>
          </w:tcPr>
          <w:p w:rsidR="00D76AD2" w:rsidRDefault="00D76AD2" w:rsidP="00D76AD2">
            <w:pPr>
              <w:spacing w:after="0"/>
              <w:rPr>
                <w:rFonts w:eastAsiaTheme="minorEastAsia" w:cstheme="minorBidi"/>
                <w:noProof/>
                <w:color w:val="000000" w:themeColor="text1"/>
                <w:sz w:val="20"/>
              </w:rPr>
            </w:pPr>
            <w:r>
              <w:rPr>
                <w:noProof/>
                <w:sz w:val="20"/>
              </w:rPr>
              <w:t xml:space="preserve">Komisia predloží správu o hodnotení tohto nariadenia Európskemu parlamentu, Rade a Európskemu hospodárskemu a sociálnemu výboru do 23. marca 2020, ako sa vyžaduje v článku 9 nariadenia (EÚ) 302/2018. Komisia zohľadní celkový vplyv nariadenia na vnútorný trh a cezhraničný elektronický obchod, a to najmä potenciálne dodatočné administratívne a finančné zaťaženie obchodníkov vyplývajúce z existencie rôznych uplatniteľných regulačných režimov spotrebiteľského zmluvného práva. </w:t>
            </w:r>
          </w:p>
        </w:tc>
        <w:tc>
          <w:tcPr>
            <w:tcW w:w="1276" w:type="dxa"/>
          </w:tcPr>
          <w:p w:rsidR="00D76AD2" w:rsidRDefault="00D76AD2" w:rsidP="0057711F">
            <w:pPr>
              <w:spacing w:after="0"/>
              <w:jc w:val="center"/>
              <w:rPr>
                <w:b/>
                <w:noProof/>
                <w:sz w:val="20"/>
              </w:rPr>
            </w:pPr>
            <w:r w:rsidRPr="002E6BBF">
              <w:rPr>
                <w:b/>
                <w:noProof/>
                <w:sz w:val="20"/>
              </w:rPr>
              <w:t>MH SR</w:t>
            </w:r>
          </w:p>
          <w:p w:rsidR="00D76AD2" w:rsidRPr="002E6BBF" w:rsidRDefault="00D76AD2" w:rsidP="0057711F">
            <w:pPr>
              <w:spacing w:after="0"/>
              <w:jc w:val="center"/>
              <w:rPr>
                <w:b/>
                <w:noProof/>
                <w:sz w:val="20"/>
              </w:rPr>
            </w:pPr>
            <w:r>
              <w:rPr>
                <w:b/>
                <w:noProof/>
                <w:sz w:val="20"/>
              </w:rPr>
              <w:t>MS SR</w:t>
            </w:r>
          </w:p>
        </w:tc>
        <w:tc>
          <w:tcPr>
            <w:tcW w:w="5245" w:type="dxa"/>
          </w:tcPr>
          <w:p w:rsidR="00D76AD2" w:rsidRDefault="00D76AD2" w:rsidP="00D76AD2">
            <w:pPr>
              <w:spacing w:after="0"/>
              <w:ind w:right="112"/>
              <w:rPr>
                <w:b/>
                <w:sz w:val="20"/>
              </w:rPr>
            </w:pPr>
            <w:r w:rsidRPr="002E6BBF">
              <w:rPr>
                <w:b/>
                <w:sz w:val="20"/>
                <w:u w:val="single"/>
              </w:rPr>
              <w:t>Stredná priorita</w:t>
            </w:r>
            <w:r>
              <w:rPr>
                <w:b/>
                <w:sz w:val="20"/>
              </w:rPr>
              <w:t xml:space="preserve"> - </w:t>
            </w:r>
            <w:r>
              <w:rPr>
                <w:sz w:val="20"/>
              </w:rPr>
              <w:t xml:space="preserve">Uplatňovanie nariadenia v SR je obmedzené tým, že väčšina predajcov/poskytovateľov sú zahraničné subjekty. Význam má skôr pre slov. príjemcov/spotrebiteľov. Zatiaľ nie je známe, či pôjde len o správy EK, alebo bude nasledovať aj návrh na zmenu nariadenia, ak by EK identifikovala závažné problémy alebo nedostatky v jeho uplatňovaní. </w:t>
            </w:r>
          </w:p>
        </w:tc>
      </w:tr>
      <w:tr w:rsidR="00D76AD2" w:rsidTr="00A73ED0">
        <w:trPr>
          <w:cantSplit/>
        </w:trPr>
        <w:tc>
          <w:tcPr>
            <w:tcW w:w="647" w:type="dxa"/>
            <w:shd w:val="clear" w:color="auto" w:fill="auto"/>
          </w:tcPr>
          <w:p w:rsidR="00D76AD2" w:rsidRDefault="00D76AD2" w:rsidP="00D76AD2">
            <w:pPr>
              <w:numPr>
                <w:ilvl w:val="0"/>
                <w:numId w:val="23"/>
              </w:numPr>
              <w:tabs>
                <w:tab w:val="num" w:pos="709"/>
              </w:tabs>
              <w:spacing w:after="0" w:line="276" w:lineRule="auto"/>
              <w:jc w:val="left"/>
              <w:rPr>
                <w:rFonts w:eastAsiaTheme="minorHAnsi" w:cstheme="minorBidi"/>
                <w:b/>
                <w:noProof/>
                <w:color w:val="000000"/>
                <w:sz w:val="20"/>
              </w:rPr>
            </w:pPr>
          </w:p>
        </w:tc>
        <w:tc>
          <w:tcPr>
            <w:tcW w:w="2467" w:type="dxa"/>
            <w:shd w:val="clear" w:color="auto" w:fill="auto"/>
          </w:tcPr>
          <w:p w:rsidR="00D76AD2" w:rsidRDefault="00D76AD2" w:rsidP="00D76AD2">
            <w:pPr>
              <w:spacing w:after="0"/>
              <w:jc w:val="left"/>
              <w:rPr>
                <w:rFonts w:eastAsiaTheme="minorEastAsia" w:cstheme="minorBidi"/>
                <w:b/>
                <w:bCs/>
                <w:noProof/>
                <w:color w:val="000000" w:themeColor="text1"/>
                <w:sz w:val="20"/>
              </w:rPr>
            </w:pPr>
            <w:r>
              <w:rPr>
                <w:b/>
                <w:bCs/>
                <w:noProof/>
                <w:sz w:val="20"/>
              </w:rPr>
              <w:t xml:space="preserve">Revízia odporúčania o digitalizácii kultúrneho materiálu, jeho dostupnosti online a o uchovávaní digitálnych záznamov (2011/711/EÚ) </w:t>
            </w:r>
          </w:p>
        </w:tc>
        <w:tc>
          <w:tcPr>
            <w:tcW w:w="4961" w:type="dxa"/>
          </w:tcPr>
          <w:p w:rsidR="00D76AD2" w:rsidRDefault="00D76AD2" w:rsidP="00D76AD2">
            <w:pPr>
              <w:spacing w:after="0"/>
              <w:rPr>
                <w:rFonts w:eastAsiaTheme="minorEastAsia" w:cstheme="minorBidi"/>
                <w:noProof/>
                <w:color w:val="000000" w:themeColor="text1"/>
                <w:sz w:val="20"/>
              </w:rPr>
            </w:pPr>
            <w:r>
              <w:rPr>
                <w:noProof/>
                <w:sz w:val="20"/>
              </w:rPr>
              <w:t>V rámci prebiehajúceho hodnotenia sa posudzuje jeden z hlavných politických nástrojov v oblasti digitalizácie, online prístup k materiálu, ktorý predstavuje kultúrne dedičstvo, a jeho digitálne uchovávanie. Cieľom je zhromaždiť názory zainteresovaných strán týkajúce sa prípadnej aktualizácie na účely lepšieho zohľadnenia súčasných potrieb verejnosti v tejto oblasti a zvýšiť potenciál európskeho kultúrneho dedičstva v prospech občanov.</w:t>
            </w:r>
            <w:r>
              <w:rPr>
                <w:noProof/>
                <w:sz w:val="20"/>
              </w:rPr>
              <w:br/>
              <w:t xml:space="preserve">Pri revízii sa tieto aspekty preskúmajú v súlade so súčasnými technologickými trendmi a potrebami sektora. </w:t>
            </w:r>
          </w:p>
        </w:tc>
        <w:tc>
          <w:tcPr>
            <w:tcW w:w="1276" w:type="dxa"/>
          </w:tcPr>
          <w:p w:rsidR="00D76AD2" w:rsidRPr="006F423A" w:rsidRDefault="00D76AD2" w:rsidP="00D76AD2">
            <w:pPr>
              <w:spacing w:after="0"/>
              <w:jc w:val="center"/>
              <w:rPr>
                <w:b/>
                <w:noProof/>
                <w:sz w:val="20"/>
              </w:rPr>
            </w:pPr>
            <w:r w:rsidRPr="006F423A">
              <w:rPr>
                <w:b/>
                <w:noProof/>
                <w:sz w:val="20"/>
              </w:rPr>
              <w:t>MK SR</w:t>
            </w:r>
          </w:p>
        </w:tc>
        <w:tc>
          <w:tcPr>
            <w:tcW w:w="5245" w:type="dxa"/>
          </w:tcPr>
          <w:p w:rsidR="00D76AD2" w:rsidRPr="006F423A" w:rsidRDefault="00D76AD2" w:rsidP="00D76AD2">
            <w:pPr>
              <w:pStyle w:val="Normlnywebov"/>
              <w:rPr>
                <w:b/>
                <w:color w:val="000000"/>
                <w:sz w:val="20"/>
                <w:szCs w:val="20"/>
              </w:rPr>
            </w:pPr>
            <w:r w:rsidRPr="006F423A">
              <w:rPr>
                <w:b/>
                <w:color w:val="000000"/>
                <w:sz w:val="20"/>
                <w:szCs w:val="20"/>
                <w:u w:val="single"/>
              </w:rPr>
              <w:t>Stredná priorita</w:t>
            </w:r>
            <w:r>
              <w:rPr>
                <w:b/>
                <w:color w:val="000000"/>
                <w:sz w:val="20"/>
                <w:szCs w:val="20"/>
              </w:rPr>
              <w:t xml:space="preserve"> -   </w:t>
            </w:r>
            <w:r w:rsidRPr="007447ED">
              <w:rPr>
                <w:color w:val="000000"/>
                <w:sz w:val="20"/>
                <w:szCs w:val="20"/>
              </w:rPr>
              <w:t xml:space="preserve">V súčasnej dobe sa SR  zaoberá otázkou zdigitalizovaného obsahu a projektom digitalizácie po období udržatelnosti. </w:t>
            </w:r>
            <w:r>
              <w:rPr>
                <w:color w:val="000000"/>
                <w:sz w:val="20"/>
                <w:szCs w:val="20"/>
              </w:rPr>
              <w:t xml:space="preserve">   </w:t>
            </w:r>
            <w:r w:rsidRPr="007447ED">
              <w:rPr>
                <w:color w:val="000000"/>
                <w:sz w:val="20"/>
                <w:szCs w:val="20"/>
              </w:rPr>
              <w:t xml:space="preserve">V roku 2020 má </w:t>
            </w:r>
            <w:r>
              <w:rPr>
                <w:color w:val="000000"/>
                <w:sz w:val="20"/>
                <w:szCs w:val="20"/>
              </w:rPr>
              <w:t xml:space="preserve">SR </w:t>
            </w:r>
            <w:r w:rsidRPr="007447ED">
              <w:rPr>
                <w:color w:val="000000"/>
                <w:sz w:val="20"/>
                <w:szCs w:val="20"/>
              </w:rPr>
              <w:t>ambíciu pripraviť analýzu a stratégiu digitalizácie kultúrneho dedičstva, ktorej súčasťou je aj využiteľnosť zdigitalizovaného obsahu a jeho sprístupňovanie verejnosti, prípadne jeho ďalšie využívanie.</w:t>
            </w:r>
          </w:p>
          <w:p w:rsidR="00D76AD2" w:rsidRDefault="00D76AD2" w:rsidP="00D76AD2">
            <w:pPr>
              <w:spacing w:after="0"/>
              <w:rPr>
                <w:noProof/>
                <w:sz w:val="20"/>
              </w:rPr>
            </w:pPr>
          </w:p>
        </w:tc>
      </w:tr>
      <w:tr w:rsidR="00D76AD2" w:rsidTr="00A73ED0">
        <w:trPr>
          <w:cantSplit/>
        </w:trPr>
        <w:tc>
          <w:tcPr>
            <w:tcW w:w="647" w:type="dxa"/>
            <w:shd w:val="clear" w:color="auto" w:fill="auto"/>
          </w:tcPr>
          <w:p w:rsidR="00D76AD2" w:rsidRDefault="00D76AD2" w:rsidP="00D76AD2">
            <w:pPr>
              <w:numPr>
                <w:ilvl w:val="0"/>
                <w:numId w:val="23"/>
              </w:numPr>
              <w:tabs>
                <w:tab w:val="num" w:pos="709"/>
              </w:tabs>
              <w:spacing w:after="0" w:line="276" w:lineRule="auto"/>
              <w:jc w:val="left"/>
              <w:rPr>
                <w:rFonts w:eastAsiaTheme="minorHAnsi" w:cstheme="minorBidi"/>
                <w:b/>
                <w:noProof/>
                <w:color w:val="000000"/>
                <w:sz w:val="20"/>
              </w:rPr>
            </w:pPr>
          </w:p>
        </w:tc>
        <w:tc>
          <w:tcPr>
            <w:tcW w:w="2467" w:type="dxa"/>
            <w:shd w:val="clear" w:color="auto" w:fill="auto"/>
          </w:tcPr>
          <w:p w:rsidR="00D76AD2" w:rsidRDefault="00D76AD2" w:rsidP="00D76AD2">
            <w:pPr>
              <w:spacing w:after="0"/>
              <w:jc w:val="left"/>
              <w:rPr>
                <w:rFonts w:eastAsiaTheme="minorEastAsia" w:cstheme="minorBidi"/>
                <w:b/>
                <w:bCs/>
                <w:noProof/>
                <w:sz w:val="20"/>
              </w:rPr>
            </w:pPr>
            <w:r>
              <w:rPr>
                <w:b/>
                <w:bCs/>
                <w:noProof/>
                <w:sz w:val="20"/>
              </w:rPr>
              <w:t>Kontrola vhodnosti balíka modernizácie štátnej pomoci z roku 2012, usmernení pre železnice a poistenia krátkodobých vývozných úverov</w:t>
            </w:r>
          </w:p>
        </w:tc>
        <w:tc>
          <w:tcPr>
            <w:tcW w:w="4961" w:type="dxa"/>
          </w:tcPr>
          <w:p w:rsidR="00D76AD2" w:rsidRDefault="00D76AD2" w:rsidP="00D76AD2">
            <w:pPr>
              <w:spacing w:after="0"/>
              <w:rPr>
                <w:rFonts w:eastAsiaTheme="minorEastAsia" w:cstheme="minorBidi"/>
                <w:noProof/>
                <w:spacing w:val="-2"/>
                <w:sz w:val="20"/>
              </w:rPr>
            </w:pPr>
            <w:r>
              <w:rPr>
                <w:noProof/>
                <w:sz w:val="20"/>
              </w:rPr>
              <w:t>V dôsledku modernizácie štátnej pomoci je v súčasnosti 96 % nových realizovaných opatrení pomoci v rukách vnútroštátnych orgánov. Umožňuje to rýchlejšie vykonávanie zo strany členských štátov a kontrola štátnej pomoci tak môže „zohrávať zásadnú úlohu v zásadných otázkach a menšiu úlohu v menej dôležitých otázkach“. Prebiehajúca kontrola vhodnosti má okrem iného za cieľ posúdiť, do akej miery súčasný režim prispel k zníženiu administratívneho zaťaženia a či existuje ďalší potenciál na zefektívnenie a zjednodušenie pravidiel štátnej pomoci.</w:t>
            </w:r>
          </w:p>
        </w:tc>
        <w:tc>
          <w:tcPr>
            <w:tcW w:w="1276" w:type="dxa"/>
          </w:tcPr>
          <w:p w:rsidR="009F414D" w:rsidRDefault="00D76AD2" w:rsidP="00D76AD2">
            <w:pPr>
              <w:spacing w:after="0"/>
              <w:ind w:right="112"/>
              <w:jc w:val="center"/>
              <w:rPr>
                <w:b/>
                <w:sz w:val="20"/>
              </w:rPr>
            </w:pPr>
            <w:r w:rsidRPr="00997E7B">
              <w:rPr>
                <w:b/>
                <w:sz w:val="20"/>
              </w:rPr>
              <w:t>PMÚ SR</w:t>
            </w:r>
          </w:p>
          <w:p w:rsidR="00D76AD2" w:rsidRDefault="009F414D" w:rsidP="00D76AD2">
            <w:pPr>
              <w:spacing w:after="0"/>
              <w:ind w:right="112"/>
              <w:jc w:val="center"/>
              <w:rPr>
                <w:b/>
                <w:sz w:val="20"/>
              </w:rPr>
            </w:pPr>
            <w:r>
              <w:rPr>
                <w:b/>
                <w:sz w:val="20"/>
              </w:rPr>
              <w:t>MDV SR</w:t>
            </w:r>
          </w:p>
          <w:p w:rsidR="009F414D" w:rsidRPr="00997E7B" w:rsidRDefault="009F414D" w:rsidP="00D76AD2">
            <w:pPr>
              <w:spacing w:after="0"/>
              <w:ind w:right="112"/>
              <w:jc w:val="center"/>
              <w:rPr>
                <w:b/>
                <w:sz w:val="20"/>
              </w:rPr>
            </w:pPr>
            <w:r>
              <w:rPr>
                <w:b/>
                <w:sz w:val="20"/>
              </w:rPr>
              <w:t>Eximbanka</w:t>
            </w:r>
          </w:p>
        </w:tc>
        <w:tc>
          <w:tcPr>
            <w:tcW w:w="5245" w:type="dxa"/>
          </w:tcPr>
          <w:p w:rsidR="00D76AD2" w:rsidRDefault="006B4579" w:rsidP="00D76AD2">
            <w:pPr>
              <w:spacing w:after="0"/>
              <w:ind w:right="112"/>
              <w:rPr>
                <w:b/>
                <w:sz w:val="20"/>
              </w:rPr>
            </w:pPr>
            <w:r w:rsidRPr="00145BEA">
              <w:rPr>
                <w:b/>
                <w:sz w:val="20"/>
                <w:u w:val="single"/>
              </w:rPr>
              <w:t>Stredná priorita</w:t>
            </w:r>
            <w:r>
              <w:rPr>
                <w:b/>
                <w:sz w:val="20"/>
              </w:rPr>
              <w:t xml:space="preserve"> - </w:t>
            </w:r>
            <w:r w:rsidRPr="00EA59A7">
              <w:rPr>
                <w:sz w:val="20"/>
              </w:rPr>
              <w:t>Cieľom tejto iniciatívy EK je posúdiť, či sú konkrétne pravidlá štátnej pomoci, ktoré sú predmetom fitness check stále primerané účelu a zistiť, či prispeli k dosahovaniu politických cieľov stratégie EÚ 2020. V rámci konzultácie zisťuje EK názory členských štátov na účinnosť, efektívnosť, súdržnosť, relevantnosť a pridanú hodnotu EÚ v súvislosti s týmito pravidlami štátnej pomoci. Zohľadnia sa: a) všeobecné ciele iniciatívy modernizácie štátnej pomoci; b) špecifické ciele právneho rámca, ako aj c) aktuálne a (už známe) otázky a problémy v budúcnosti.</w:t>
            </w:r>
          </w:p>
        </w:tc>
      </w:tr>
      <w:tr w:rsidR="00D76AD2" w:rsidTr="00A73ED0">
        <w:trPr>
          <w:cantSplit/>
        </w:trPr>
        <w:tc>
          <w:tcPr>
            <w:tcW w:w="647" w:type="dxa"/>
            <w:shd w:val="clear" w:color="auto" w:fill="auto"/>
          </w:tcPr>
          <w:p w:rsidR="00D76AD2" w:rsidRDefault="00D76AD2" w:rsidP="00D76AD2">
            <w:pPr>
              <w:numPr>
                <w:ilvl w:val="0"/>
                <w:numId w:val="23"/>
              </w:numPr>
              <w:tabs>
                <w:tab w:val="num" w:pos="709"/>
              </w:tabs>
              <w:spacing w:after="0" w:line="276" w:lineRule="auto"/>
              <w:jc w:val="left"/>
              <w:rPr>
                <w:rFonts w:eastAsiaTheme="minorHAnsi" w:cstheme="minorBidi"/>
                <w:b/>
                <w:noProof/>
                <w:color w:val="000000"/>
                <w:sz w:val="20"/>
              </w:rPr>
            </w:pPr>
          </w:p>
        </w:tc>
        <w:tc>
          <w:tcPr>
            <w:tcW w:w="2467" w:type="dxa"/>
            <w:shd w:val="clear" w:color="auto" w:fill="auto"/>
          </w:tcPr>
          <w:p w:rsidR="00D76AD2" w:rsidRDefault="00D76AD2" w:rsidP="00D76AD2">
            <w:pPr>
              <w:spacing w:after="0"/>
              <w:jc w:val="left"/>
              <w:rPr>
                <w:rFonts w:eastAsiaTheme="minorEastAsia" w:cstheme="minorBidi"/>
                <w:b/>
                <w:bCs/>
                <w:noProof/>
                <w:sz w:val="20"/>
              </w:rPr>
            </w:pPr>
            <w:r>
              <w:rPr>
                <w:b/>
                <w:bCs/>
                <w:noProof/>
                <w:sz w:val="20"/>
              </w:rPr>
              <w:t>Hodnotenie nariadenia o skupinových výnimkách pre vertikálne dohody</w:t>
            </w:r>
          </w:p>
        </w:tc>
        <w:tc>
          <w:tcPr>
            <w:tcW w:w="4961" w:type="dxa"/>
          </w:tcPr>
          <w:p w:rsidR="00D76AD2" w:rsidRDefault="00D76AD2" w:rsidP="00D76AD2">
            <w:pPr>
              <w:spacing w:after="0"/>
              <w:rPr>
                <w:rFonts w:eastAsiaTheme="minorEastAsia" w:cstheme="minorBidi"/>
                <w:noProof/>
                <w:spacing w:val="-2"/>
                <w:sz w:val="20"/>
              </w:rPr>
            </w:pPr>
            <w:r>
              <w:rPr>
                <w:noProof/>
                <w:sz w:val="20"/>
              </w:rPr>
              <w:t>V rámci prebiehajúceho hodnotenia nariadenia o skupinových výnimkách pre vertikálne dohody a usmernení o vertikálnych obmedzeniach sa najmä posúdi, do akej miery súčasný systém splnil svoj cieľ vytvoriť bezpečný prístav pre vertikálne dohody, ktoré sú zamerané na zvýšenie efektívnosti, a tak poskytujú právnu istotu a znižujú náklady na dodržiavanie predpisov pre zainteresované strany. To zahŕňa určenie oblastí, v ktorých súčasný režim nemusí náležite odrážať nový vývoj na trhu, ako aj možné nedostatky, ktoré môžu mať za následok právnu neistotu, nezrovnalosti pri presadzovaní vertikálnych pravidiel v rôznych členských štátoch EÚ, a tým zvýšené náklady na dodržiavanie predpisov pre zainteresované strany.</w:t>
            </w:r>
          </w:p>
        </w:tc>
        <w:tc>
          <w:tcPr>
            <w:tcW w:w="1276" w:type="dxa"/>
          </w:tcPr>
          <w:p w:rsidR="00D76AD2" w:rsidRPr="00997E7B" w:rsidRDefault="00D76AD2" w:rsidP="00D76AD2">
            <w:pPr>
              <w:spacing w:after="0"/>
              <w:ind w:right="112"/>
              <w:jc w:val="center"/>
              <w:rPr>
                <w:b/>
                <w:sz w:val="20"/>
              </w:rPr>
            </w:pPr>
            <w:r w:rsidRPr="00997E7B">
              <w:rPr>
                <w:b/>
                <w:sz w:val="20"/>
              </w:rPr>
              <w:t>PMÚ SR</w:t>
            </w:r>
          </w:p>
        </w:tc>
        <w:tc>
          <w:tcPr>
            <w:tcW w:w="5245" w:type="dxa"/>
          </w:tcPr>
          <w:p w:rsidR="00D76AD2" w:rsidRPr="00997E7B" w:rsidRDefault="006B4579" w:rsidP="006B4579">
            <w:pPr>
              <w:spacing w:after="0"/>
              <w:ind w:right="112"/>
              <w:rPr>
                <w:b/>
                <w:sz w:val="20"/>
                <w:u w:val="single"/>
              </w:rPr>
            </w:pPr>
            <w:r w:rsidRPr="00336C25">
              <w:rPr>
                <w:b/>
                <w:sz w:val="20"/>
                <w:u w:val="single"/>
              </w:rPr>
              <w:t>Stredná priorita</w:t>
            </w:r>
            <w:r w:rsidRPr="00145BEA">
              <w:rPr>
                <w:sz w:val="20"/>
              </w:rPr>
              <w:t xml:space="preserve"> - Hodnotenie nariadenia o skupinovej výnimke pre vertikálne dohody (Nariadenie Komisie (EÚ) č. 330/2010 z 20. apríla 2010 o uplatňovaní článku 101 ods. 3 Zmluvy o fungovaní Európskej únie na kategórie vertikálnych dohôd a zosúladených postupov (Ú. v. EÚ L 102, 23.4.2010, s. 1 – 7)) a Usmernení o vertikálnych obmedzeniach (Ú. v. EÚ C 130, 19.5.2010, s. 1 – 46) z pohľadu plnenia ich účelu má za cieľ vyhodnotenie prípadných právnych medzier, zohľadnenie novej situácie na trhoch a následne posilnenie právnej istoty a zníženie nákladov zainteresovaných strán na dosiahnutie súladu s právnymi predpismi hospodárskej súťaže. V tejto súvislosti prebehla aj verejná konzultácia. Ide o rovnaké všeobecné a priamo uplatnitelné pravidlá pre vertikálne dohody v celej Európskej únii. Podľa konkrétneho návrhu bude možné bližšie určiť významnosť zmien</w:t>
            </w:r>
          </w:p>
        </w:tc>
      </w:tr>
      <w:tr w:rsidR="00D76AD2" w:rsidTr="00A73ED0">
        <w:trPr>
          <w:cantSplit/>
        </w:trPr>
        <w:tc>
          <w:tcPr>
            <w:tcW w:w="647" w:type="dxa"/>
            <w:shd w:val="clear" w:color="auto" w:fill="auto"/>
          </w:tcPr>
          <w:p w:rsidR="00D76AD2" w:rsidRDefault="00D76AD2" w:rsidP="00D76AD2">
            <w:pPr>
              <w:numPr>
                <w:ilvl w:val="0"/>
                <w:numId w:val="23"/>
              </w:numPr>
              <w:tabs>
                <w:tab w:val="num" w:pos="709"/>
              </w:tabs>
              <w:spacing w:after="0" w:line="276" w:lineRule="auto"/>
              <w:jc w:val="left"/>
              <w:rPr>
                <w:rFonts w:eastAsiaTheme="minorHAnsi" w:cstheme="minorBidi"/>
                <w:b/>
                <w:noProof/>
                <w:color w:val="000000"/>
                <w:sz w:val="20"/>
              </w:rPr>
            </w:pPr>
          </w:p>
        </w:tc>
        <w:tc>
          <w:tcPr>
            <w:tcW w:w="2467" w:type="dxa"/>
            <w:shd w:val="clear" w:color="auto" w:fill="auto"/>
          </w:tcPr>
          <w:p w:rsidR="00D76AD2" w:rsidRDefault="00D76AD2" w:rsidP="00D76AD2">
            <w:pPr>
              <w:spacing w:after="0"/>
              <w:jc w:val="left"/>
              <w:rPr>
                <w:rFonts w:eastAsiaTheme="minorEastAsia" w:cstheme="minorBidi"/>
                <w:b/>
                <w:bCs/>
                <w:noProof/>
                <w:sz w:val="20"/>
              </w:rPr>
            </w:pPr>
            <w:r>
              <w:rPr>
                <w:b/>
                <w:bCs/>
                <w:noProof/>
                <w:sz w:val="20"/>
              </w:rPr>
              <w:t>Hodnotenie procesných a jurisdikčných aspektov kontroly koncentrácií EÚ</w:t>
            </w:r>
          </w:p>
        </w:tc>
        <w:tc>
          <w:tcPr>
            <w:tcW w:w="4961" w:type="dxa"/>
          </w:tcPr>
          <w:p w:rsidR="00D76AD2" w:rsidRDefault="00D76AD2" w:rsidP="00D76AD2">
            <w:pPr>
              <w:spacing w:after="0"/>
              <w:rPr>
                <w:rFonts w:eastAsiaTheme="minorEastAsia" w:cstheme="minorBidi"/>
                <w:noProof/>
                <w:spacing w:val="-2"/>
                <w:sz w:val="20"/>
              </w:rPr>
            </w:pPr>
            <w:r>
              <w:rPr>
                <w:noProof/>
                <w:sz w:val="20"/>
              </w:rPr>
              <w:t>Prebiehajúce hodnotenie sa zameriava na zjednodušenie a v prípade potreby obmedzenie byrokracie, zjednodušenie systému postupovania prípadov a ďalšie zlepšenia technickej povahy. Okrem toho, vzhľadom na nedávnu diskusiu o účinnosti limitov pre stanovenie súdnej príslušnosti založených výlučne na obrate a uvedených v nariadení EÚ o fúziách, cieľom hodnotenia je aj posúdiť, či tieto limity umožňujú zachytiť všetky transakcie, ktoré môžu mať potenciálne vplyv na vnútorný trh.</w:t>
            </w:r>
          </w:p>
        </w:tc>
        <w:tc>
          <w:tcPr>
            <w:tcW w:w="1276" w:type="dxa"/>
          </w:tcPr>
          <w:p w:rsidR="00D76AD2" w:rsidRPr="00997E7B" w:rsidRDefault="00D76AD2" w:rsidP="00D76AD2">
            <w:pPr>
              <w:spacing w:after="0"/>
              <w:ind w:right="112"/>
              <w:jc w:val="center"/>
              <w:rPr>
                <w:b/>
                <w:sz w:val="20"/>
              </w:rPr>
            </w:pPr>
            <w:r w:rsidRPr="00997E7B">
              <w:rPr>
                <w:b/>
                <w:sz w:val="20"/>
              </w:rPr>
              <w:t>PMÚ SR</w:t>
            </w:r>
          </w:p>
        </w:tc>
        <w:tc>
          <w:tcPr>
            <w:tcW w:w="5245" w:type="dxa"/>
          </w:tcPr>
          <w:p w:rsidR="00D76AD2" w:rsidRDefault="006B4579" w:rsidP="00D76AD2">
            <w:pPr>
              <w:spacing w:after="0"/>
              <w:ind w:right="112"/>
              <w:rPr>
                <w:b/>
                <w:sz w:val="20"/>
              </w:rPr>
            </w:pPr>
            <w:r w:rsidRPr="00A36A8B">
              <w:rPr>
                <w:b/>
                <w:sz w:val="20"/>
                <w:u w:val="single"/>
              </w:rPr>
              <w:t>Stredná priorita</w:t>
            </w:r>
            <w:r w:rsidRPr="00145BEA">
              <w:rPr>
                <w:sz w:val="20"/>
              </w:rPr>
              <w:t xml:space="preserve"> - Akékoľvek zmeny pravidiel, pokiaľ ide o refferal systém majú vplyv na deľbu kompetencií, pokiaľ ide o posudzovanie koncentrácií Európskou komisiou a národnými súťažnými úradmi a súvisiaci proces, vrátane potenciálneho zjednodušovania systému. Prehodnocovanie notifikačných kritérií na úrovni Európskej komisie je v súlade s celosvetovým trendom o zachytenie koncentrácií, ktoré sú potenciálne problematické, avšak nespadajú pod klasické obratové kritériá. Pre SR dôležité z hľadiska zachytenia nových trendov v tejto oblasti a snahy o uniformný prístup</w:t>
            </w:r>
          </w:p>
        </w:tc>
      </w:tr>
      <w:tr w:rsidR="00D76AD2" w:rsidTr="00A73ED0">
        <w:trPr>
          <w:cantSplit/>
        </w:trPr>
        <w:tc>
          <w:tcPr>
            <w:tcW w:w="647" w:type="dxa"/>
            <w:shd w:val="clear" w:color="auto" w:fill="auto"/>
          </w:tcPr>
          <w:p w:rsidR="00D76AD2" w:rsidRDefault="00D76AD2" w:rsidP="00D76AD2">
            <w:pPr>
              <w:numPr>
                <w:ilvl w:val="0"/>
                <w:numId w:val="23"/>
              </w:numPr>
              <w:tabs>
                <w:tab w:val="num" w:pos="709"/>
              </w:tabs>
              <w:spacing w:after="0" w:line="276" w:lineRule="auto"/>
              <w:jc w:val="left"/>
              <w:rPr>
                <w:rFonts w:eastAsiaTheme="minorHAnsi" w:cstheme="minorBidi"/>
                <w:b/>
                <w:noProof/>
                <w:color w:val="000000"/>
                <w:sz w:val="20"/>
              </w:rPr>
            </w:pPr>
          </w:p>
        </w:tc>
        <w:tc>
          <w:tcPr>
            <w:tcW w:w="2467" w:type="dxa"/>
            <w:shd w:val="clear" w:color="auto" w:fill="auto"/>
          </w:tcPr>
          <w:p w:rsidR="00D76AD2" w:rsidRDefault="00D76AD2" w:rsidP="00D76AD2">
            <w:pPr>
              <w:spacing w:after="0"/>
              <w:jc w:val="left"/>
              <w:rPr>
                <w:rFonts w:eastAsiaTheme="minorEastAsia" w:cstheme="minorBidi"/>
                <w:b/>
                <w:bCs/>
                <w:noProof/>
                <w:sz w:val="20"/>
              </w:rPr>
            </w:pPr>
            <w:r>
              <w:rPr>
                <w:b/>
                <w:bCs/>
                <w:noProof/>
                <w:sz w:val="20"/>
              </w:rPr>
              <w:t>Cielená zmena všeobecného nariadenia o skupinových výnimkách v súvislosti s úniovými programami financovania</w:t>
            </w:r>
          </w:p>
        </w:tc>
        <w:tc>
          <w:tcPr>
            <w:tcW w:w="4961" w:type="dxa"/>
            <w:shd w:val="clear" w:color="auto" w:fill="auto"/>
          </w:tcPr>
          <w:p w:rsidR="00D76AD2" w:rsidRDefault="00D76AD2" w:rsidP="00D76AD2">
            <w:pPr>
              <w:spacing w:after="0"/>
              <w:rPr>
                <w:rFonts w:eastAsiaTheme="minorEastAsia" w:cstheme="minorBidi"/>
                <w:noProof/>
                <w:spacing w:val="-2"/>
                <w:sz w:val="20"/>
              </w:rPr>
            </w:pPr>
            <w:r>
              <w:rPr>
                <w:noProof/>
                <w:sz w:val="20"/>
              </w:rPr>
              <w:t>Komisia usiluje vzhľadom na nasledujúci viacročný finančný rámec o realizáciu zmeny všeobecného nariadenia o skupinových výnimkách tak. Návrhom sa zabezpečí, aby sa vnútroštátne financovanie z prostriedkov členských štátov alebo z EŠIF, ktoré sa spravujú na vnútroštátnej úrovni, a z centrálne riadených prostriedkov EÚ, mohlo bezproblémovo kombinovať v týchto oblastiach: finančné produkty podporované z fondu InvestEU; projekty v oblasti výskumu, vývoja a inovácií, ktoré majú známku excelentnosti a sú realizované v rámci programu Horizont 2020 alebo programu Horizont Európa, ako aj spolufinancované projekty a vytváranie tímov realizované v rámci programu Horizont 2020 alebo programu Horizont Európa; a projekty Európskej územnej spolupráce. (3. štvrťrok 2020)</w:t>
            </w:r>
          </w:p>
        </w:tc>
        <w:tc>
          <w:tcPr>
            <w:tcW w:w="1276" w:type="dxa"/>
          </w:tcPr>
          <w:p w:rsidR="00D76AD2" w:rsidRPr="008A2C73" w:rsidRDefault="00D76AD2" w:rsidP="00D76AD2">
            <w:pPr>
              <w:spacing w:after="0"/>
              <w:jc w:val="center"/>
              <w:rPr>
                <w:b/>
                <w:sz w:val="20"/>
              </w:rPr>
            </w:pPr>
            <w:r w:rsidRPr="008A2C73">
              <w:rPr>
                <w:b/>
                <w:sz w:val="20"/>
              </w:rPr>
              <w:t>NBÚ</w:t>
            </w:r>
          </w:p>
          <w:p w:rsidR="00D76AD2" w:rsidRDefault="00D76AD2" w:rsidP="00D76AD2">
            <w:pPr>
              <w:spacing w:after="0"/>
              <w:jc w:val="center"/>
              <w:rPr>
                <w:b/>
                <w:sz w:val="20"/>
              </w:rPr>
            </w:pPr>
            <w:r w:rsidRPr="008A2C73">
              <w:rPr>
                <w:b/>
                <w:sz w:val="20"/>
              </w:rPr>
              <w:t>ÚPVII</w:t>
            </w:r>
          </w:p>
          <w:p w:rsidR="006B4579" w:rsidRPr="008A2C73" w:rsidRDefault="006B4579" w:rsidP="00D76AD2">
            <w:pPr>
              <w:spacing w:after="0"/>
              <w:jc w:val="center"/>
              <w:rPr>
                <w:sz w:val="20"/>
              </w:rPr>
            </w:pPr>
            <w:r>
              <w:rPr>
                <w:b/>
                <w:sz w:val="20"/>
              </w:rPr>
              <w:t>PMÚ SR</w:t>
            </w:r>
          </w:p>
        </w:tc>
        <w:tc>
          <w:tcPr>
            <w:tcW w:w="5245" w:type="dxa"/>
          </w:tcPr>
          <w:p w:rsidR="006B4579" w:rsidRPr="00A36A8B" w:rsidRDefault="00D76AD2" w:rsidP="006B4579">
            <w:pPr>
              <w:spacing w:after="0"/>
              <w:rPr>
                <w:sz w:val="20"/>
              </w:rPr>
            </w:pPr>
            <w:r w:rsidRPr="00FF586F">
              <w:rPr>
                <w:b/>
                <w:sz w:val="20"/>
                <w:u w:val="single"/>
              </w:rPr>
              <w:t>Stredná priorita</w:t>
            </w:r>
            <w:r>
              <w:rPr>
                <w:sz w:val="20"/>
              </w:rPr>
              <w:t xml:space="preserve"> - </w:t>
            </w:r>
            <w:r w:rsidRPr="00FF586F">
              <w:rPr>
                <w:sz w:val="20"/>
              </w:rPr>
              <w:t>Stav návrhu prezentovaný na Rade TTE (3. 12. 2019).  Ukončenie rokovaní o spise je naviazané na schválenie nového Viacročného finančného rámca EÚ na roky 2021 - 2027.SR podporuje skoré dukončenie rokovaní o tomto návrhu nariadenia EÚ.</w:t>
            </w:r>
            <w:r w:rsidR="006B4579">
              <w:rPr>
                <w:sz w:val="20"/>
              </w:rPr>
              <w:t xml:space="preserve"> </w:t>
            </w:r>
            <w:r w:rsidR="006B4579" w:rsidRPr="00A36A8B">
              <w:rPr>
                <w:sz w:val="20"/>
              </w:rPr>
              <w:t xml:space="preserve">V nariadení (EÚ) č. 651/2014 (GBER) sa určité kategórie pomoci vyhlasujú za zlučiteľné s vnútorným trhom. Návrhom sa má nariadenie GBER revidovať v troch oblastiach, aby vďaka tomu členské štáty mohli vykonávať nasledujúce opatrenia štátnej pomoci bez predchádzajúcej notifikácie: </w:t>
            </w:r>
          </w:p>
          <w:p w:rsidR="006B4579" w:rsidRPr="00A36A8B" w:rsidRDefault="006B4579" w:rsidP="006B4579">
            <w:pPr>
              <w:spacing w:after="0"/>
              <w:rPr>
                <w:sz w:val="20"/>
              </w:rPr>
            </w:pPr>
            <w:r w:rsidRPr="00A36A8B">
              <w:rPr>
                <w:sz w:val="20"/>
              </w:rPr>
              <w:t xml:space="preserve">• vnútroštátne financovanie zahrnuté vo finančných produktoch podporovaných z fondu InvestEU; </w:t>
            </w:r>
          </w:p>
          <w:p w:rsidR="006B4579" w:rsidRPr="00A36A8B" w:rsidRDefault="006B4579" w:rsidP="006B4579">
            <w:pPr>
              <w:spacing w:after="0"/>
              <w:rPr>
                <w:sz w:val="20"/>
              </w:rPr>
            </w:pPr>
            <w:r w:rsidRPr="00A36A8B">
              <w:rPr>
                <w:sz w:val="20"/>
              </w:rPr>
              <w:t>• projekty v oblasti výskumu, vývoja a inovácií, ktorým bola udelená známka excelentnosti v rámci programu Horizont 2020 alebo Horizont Európa, ako aj spolufinancované projekty a akcie na vytváranie tímov v rámci programu Horizont 2020 alebo Horizont Európa;</w:t>
            </w:r>
          </w:p>
          <w:p w:rsidR="006B4579" w:rsidRDefault="006B4579" w:rsidP="006B4579">
            <w:pPr>
              <w:spacing w:after="0"/>
              <w:rPr>
                <w:sz w:val="20"/>
              </w:rPr>
            </w:pPr>
            <w:r w:rsidRPr="00A36A8B">
              <w:rPr>
                <w:sz w:val="20"/>
              </w:rPr>
              <w:t>• projekty Európskej územnej spolupráce.</w:t>
            </w:r>
          </w:p>
          <w:p w:rsidR="00D76AD2" w:rsidRPr="00FF586F" w:rsidRDefault="00D76AD2" w:rsidP="00D76AD2">
            <w:pPr>
              <w:spacing w:after="0"/>
              <w:rPr>
                <w:sz w:val="20"/>
              </w:rPr>
            </w:pPr>
          </w:p>
        </w:tc>
      </w:tr>
      <w:tr w:rsidR="00D76AD2" w:rsidTr="00A73ED0">
        <w:trPr>
          <w:cantSplit/>
        </w:trPr>
        <w:tc>
          <w:tcPr>
            <w:tcW w:w="647" w:type="dxa"/>
            <w:shd w:val="clear" w:color="auto" w:fill="auto"/>
          </w:tcPr>
          <w:p w:rsidR="00D76AD2" w:rsidRDefault="00D76AD2" w:rsidP="00D76AD2">
            <w:pPr>
              <w:numPr>
                <w:ilvl w:val="0"/>
                <w:numId w:val="23"/>
              </w:numPr>
              <w:tabs>
                <w:tab w:val="num" w:pos="709"/>
              </w:tabs>
              <w:spacing w:after="0" w:line="276" w:lineRule="auto"/>
              <w:jc w:val="left"/>
              <w:rPr>
                <w:rFonts w:eastAsiaTheme="minorHAnsi" w:cstheme="minorBidi"/>
                <w:b/>
                <w:noProof/>
                <w:color w:val="000000"/>
                <w:sz w:val="20"/>
              </w:rPr>
            </w:pPr>
          </w:p>
        </w:tc>
        <w:tc>
          <w:tcPr>
            <w:tcW w:w="2467" w:type="dxa"/>
            <w:shd w:val="clear" w:color="auto" w:fill="auto"/>
          </w:tcPr>
          <w:p w:rsidR="00D76AD2" w:rsidRDefault="00D76AD2" w:rsidP="00D76AD2">
            <w:pPr>
              <w:autoSpaceDE w:val="0"/>
              <w:autoSpaceDN w:val="0"/>
              <w:adjustRightInd w:val="0"/>
              <w:spacing w:after="0"/>
              <w:jc w:val="left"/>
              <w:rPr>
                <w:rFonts w:eastAsiaTheme="minorEastAsia"/>
                <w:b/>
                <w:bCs/>
                <w:noProof/>
                <w:color w:val="000000"/>
                <w:sz w:val="20"/>
              </w:rPr>
            </w:pPr>
            <w:r>
              <w:rPr>
                <w:b/>
                <w:bCs/>
                <w:noProof/>
                <w:sz w:val="20"/>
              </w:rPr>
              <w:t xml:space="preserve">Nariadenie o skupinovej výnimke pre konzorciá (výnimka z článku 101 ZFEÚ pre určité typy dohôd o spolupráci medzi prevádzkovateľmi kontajnerovej lodnej prepravy) </w:t>
            </w:r>
          </w:p>
        </w:tc>
        <w:tc>
          <w:tcPr>
            <w:tcW w:w="4961" w:type="dxa"/>
            <w:shd w:val="clear" w:color="auto" w:fill="auto"/>
          </w:tcPr>
          <w:p w:rsidR="00D76AD2" w:rsidRDefault="00D76AD2" w:rsidP="00D76AD2">
            <w:pPr>
              <w:spacing w:after="0"/>
              <w:rPr>
                <w:rFonts w:eastAsiaTheme="minorEastAsia" w:cstheme="minorBidi"/>
                <w:noProof/>
                <w:spacing w:val="-2"/>
                <w:sz w:val="20"/>
              </w:rPr>
            </w:pPr>
            <w:r>
              <w:rPr>
                <w:noProof/>
                <w:sz w:val="20"/>
              </w:rPr>
              <w:t>Predĺženie platnosti súčasného nariadenia o skupinovej výnimke pre konzorciá o ďalšie štyri roky bude naďalej zjednodušovať analýzu dodržiavania pravidiel hospodárskej súťaže zo strany konzorcií, obmedzovať závislosť od externého poradenstva a znižovať právne náklady. (2. štvrťrok 2020)</w:t>
            </w:r>
          </w:p>
        </w:tc>
        <w:tc>
          <w:tcPr>
            <w:tcW w:w="1276" w:type="dxa"/>
          </w:tcPr>
          <w:p w:rsidR="00D76AD2" w:rsidRDefault="00D76AD2" w:rsidP="00D76AD2">
            <w:pPr>
              <w:spacing w:after="0"/>
              <w:jc w:val="center"/>
              <w:rPr>
                <w:b/>
                <w:noProof/>
                <w:sz w:val="20"/>
              </w:rPr>
            </w:pPr>
            <w:r>
              <w:rPr>
                <w:b/>
                <w:noProof/>
                <w:sz w:val="20"/>
              </w:rPr>
              <w:t>MDV SR</w:t>
            </w:r>
          </w:p>
          <w:p w:rsidR="00D76AD2" w:rsidRDefault="00D76AD2" w:rsidP="00D76AD2">
            <w:pPr>
              <w:spacing w:after="0"/>
              <w:jc w:val="center"/>
              <w:rPr>
                <w:b/>
                <w:noProof/>
                <w:sz w:val="20"/>
              </w:rPr>
            </w:pPr>
            <w:r>
              <w:rPr>
                <w:b/>
                <w:noProof/>
                <w:sz w:val="20"/>
              </w:rPr>
              <w:t>PMÚ SR</w:t>
            </w:r>
          </w:p>
          <w:p w:rsidR="00D76AD2" w:rsidRPr="000F3FD5" w:rsidRDefault="00D76AD2" w:rsidP="00D76AD2">
            <w:pPr>
              <w:spacing w:after="0"/>
              <w:rPr>
                <w:b/>
                <w:noProof/>
                <w:sz w:val="20"/>
              </w:rPr>
            </w:pPr>
          </w:p>
        </w:tc>
        <w:tc>
          <w:tcPr>
            <w:tcW w:w="5245" w:type="dxa"/>
          </w:tcPr>
          <w:p w:rsidR="00D76AD2" w:rsidRPr="00D76AD2" w:rsidRDefault="00D76AD2" w:rsidP="00D76AD2">
            <w:pPr>
              <w:spacing w:after="0"/>
              <w:ind w:right="112"/>
              <w:rPr>
                <w:b/>
                <w:sz w:val="20"/>
                <w:u w:val="single"/>
              </w:rPr>
            </w:pPr>
            <w:r w:rsidRPr="00CC070C">
              <w:rPr>
                <w:b/>
                <w:sz w:val="20"/>
                <w:u w:val="single"/>
              </w:rPr>
              <w:t>Nízka priorita</w:t>
            </w:r>
            <w:r>
              <w:rPr>
                <w:sz w:val="20"/>
              </w:rPr>
              <w:t xml:space="preserve">- </w:t>
            </w:r>
            <w:r w:rsidRPr="00FB16FC">
              <w:rPr>
                <w:sz w:val="20"/>
              </w:rPr>
              <w:t xml:space="preserve"> </w:t>
            </w:r>
            <w:r>
              <w:rPr>
                <w:sz w:val="20"/>
              </w:rPr>
              <w:t>Na základe Nariadenia</w:t>
            </w:r>
            <w:r w:rsidRPr="000E3493">
              <w:rPr>
                <w:sz w:val="20"/>
              </w:rPr>
              <w:t xml:space="preserve"> Komisie (ES) č. 906/2009 z 28. septembra 2009 o uplatňovaní článku 81 ods. 3 zmluvy na určité kategórie dohôd, rozhodnutí a zosúladených postupov medzi spoločnosťami linkovej námornej dopravy (konzorciá)</w:t>
            </w:r>
            <w:r>
              <w:rPr>
                <w:sz w:val="20"/>
              </w:rPr>
              <w:t xml:space="preserve"> (</w:t>
            </w:r>
            <w:r w:rsidRPr="000E3493">
              <w:rPr>
                <w:sz w:val="20"/>
              </w:rPr>
              <w:t>Ú. v. EÚ L 256, 29.9.2009, s. 31 – 34</w:t>
            </w:r>
            <w:r>
              <w:rPr>
                <w:sz w:val="20"/>
              </w:rPr>
              <w:t>) sa</w:t>
            </w:r>
            <w:r w:rsidRPr="007D48A5">
              <w:rPr>
                <w:sz w:val="20"/>
              </w:rPr>
              <w:t xml:space="preserve"> článok 101 ods. 1 ZFEÚ </w:t>
            </w:r>
            <w:r>
              <w:rPr>
                <w:sz w:val="20"/>
              </w:rPr>
              <w:t>neuplatňuje</w:t>
            </w:r>
            <w:r w:rsidRPr="007D48A5">
              <w:rPr>
                <w:sz w:val="20"/>
              </w:rPr>
              <w:t xml:space="preserve"> na určité typy dohôd medzi spoločnosťami námornej dopravy o s</w:t>
            </w:r>
            <w:r>
              <w:rPr>
                <w:sz w:val="20"/>
              </w:rPr>
              <w:t>polupráci v „konzorciách“, t. j.</w:t>
            </w:r>
            <w:r w:rsidRPr="007D48A5">
              <w:rPr>
                <w:sz w:val="20"/>
              </w:rPr>
              <w:t xml:space="preserve"> </w:t>
            </w:r>
            <w:r>
              <w:rPr>
                <w:sz w:val="20"/>
              </w:rPr>
              <w:t>p</w:t>
            </w:r>
            <w:r w:rsidRPr="007D48A5">
              <w:rPr>
                <w:sz w:val="20"/>
              </w:rPr>
              <w:t xml:space="preserve">ri poskytovaní pravidelných a </w:t>
            </w:r>
            <w:r>
              <w:rPr>
                <w:sz w:val="20"/>
              </w:rPr>
              <w:t>plánovaných</w:t>
            </w:r>
            <w:r w:rsidRPr="007D48A5">
              <w:rPr>
                <w:sz w:val="20"/>
              </w:rPr>
              <w:t xml:space="preserve"> služieb </w:t>
            </w:r>
            <w:r>
              <w:rPr>
                <w:sz w:val="20"/>
              </w:rPr>
              <w:t xml:space="preserve">medzinárodnej námornej dopravy, </w:t>
            </w:r>
            <w:r w:rsidRPr="007D48A5">
              <w:rPr>
                <w:sz w:val="20"/>
              </w:rPr>
              <w:t xml:space="preserve">keďže </w:t>
            </w:r>
            <w:r>
              <w:rPr>
                <w:sz w:val="20"/>
              </w:rPr>
              <w:t xml:space="preserve">tieto spoločnosti </w:t>
            </w:r>
            <w:r w:rsidRPr="007D48A5">
              <w:rPr>
                <w:sz w:val="20"/>
              </w:rPr>
              <w:t>čas</w:t>
            </w:r>
            <w:r>
              <w:rPr>
                <w:sz w:val="20"/>
              </w:rPr>
              <w:t>to musia spolupracovať, aby bolo</w:t>
            </w:r>
            <w:r w:rsidRPr="007D48A5">
              <w:rPr>
                <w:sz w:val="20"/>
              </w:rPr>
              <w:t xml:space="preserve"> ich </w:t>
            </w:r>
            <w:r>
              <w:rPr>
                <w:sz w:val="20"/>
              </w:rPr>
              <w:t>fungovanie</w:t>
            </w:r>
            <w:r w:rsidRPr="007D48A5">
              <w:rPr>
                <w:sz w:val="20"/>
              </w:rPr>
              <w:t xml:space="preserve"> finančne životaschopnejši</w:t>
            </w:r>
            <w:r>
              <w:rPr>
                <w:sz w:val="20"/>
              </w:rPr>
              <w:t xml:space="preserve">e a efektívnejšie. </w:t>
            </w:r>
            <w:r w:rsidRPr="007D48A5">
              <w:rPr>
                <w:sz w:val="20"/>
              </w:rPr>
              <w:t>EÚ navrhuje predĺžiť platnosť nariadenia, ktorým sa výnimka udeľuje, o ďalšie 4 roky od skončenia platnosti v apríli 2020.</w:t>
            </w:r>
            <w:r>
              <w:rPr>
                <w:sz w:val="20"/>
              </w:rPr>
              <w:t xml:space="preserve"> Ak zostanú v platnosti súčasné výnimky, stav sa nezmení, čo bude výhodné pre podnikateľské subjekty. SR</w:t>
            </w:r>
            <w:r w:rsidRPr="00C232AD">
              <w:rPr>
                <w:sz w:val="20"/>
              </w:rPr>
              <w:t xml:space="preserve"> </w:t>
            </w:r>
            <w:r>
              <w:rPr>
                <w:sz w:val="20"/>
              </w:rPr>
              <w:t>ako vnútrozemský štát podporuje uvedené nariadenie resp. výnimku/y z neho, ale nakoľko sa nariadenie</w:t>
            </w:r>
            <w:r w:rsidRPr="00C232AD">
              <w:rPr>
                <w:sz w:val="20"/>
              </w:rPr>
              <w:t xml:space="preserve"> vzťahuje len na konzorciá, ktoré poskytujú služby medzinárodnej linkovej námornej dopravy z alebo do jedného alebo viacerých prístavov</w:t>
            </w:r>
            <w:r>
              <w:rPr>
                <w:sz w:val="20"/>
              </w:rPr>
              <w:t xml:space="preserve"> Spoločenstva, ide aj vzhľadom k uvedenej skutočnosti o nízku prioritu z hľadiska SR.</w:t>
            </w:r>
          </w:p>
        </w:tc>
      </w:tr>
      <w:tr w:rsidR="003A0118" w:rsidTr="00A73ED0">
        <w:trPr>
          <w:cantSplit/>
        </w:trPr>
        <w:tc>
          <w:tcPr>
            <w:tcW w:w="647" w:type="dxa"/>
            <w:shd w:val="clear" w:color="auto" w:fill="auto"/>
          </w:tcPr>
          <w:p w:rsidR="003A0118" w:rsidRDefault="003A0118" w:rsidP="003A0118">
            <w:pPr>
              <w:numPr>
                <w:ilvl w:val="0"/>
                <w:numId w:val="23"/>
              </w:numPr>
              <w:tabs>
                <w:tab w:val="num" w:pos="709"/>
              </w:tabs>
              <w:spacing w:after="0" w:line="276" w:lineRule="auto"/>
              <w:jc w:val="left"/>
              <w:rPr>
                <w:rFonts w:eastAsiaTheme="minorHAnsi" w:cstheme="minorBidi"/>
                <w:b/>
                <w:noProof/>
                <w:color w:val="000000"/>
                <w:sz w:val="20"/>
              </w:rPr>
            </w:pPr>
          </w:p>
        </w:tc>
        <w:tc>
          <w:tcPr>
            <w:tcW w:w="2467" w:type="dxa"/>
            <w:shd w:val="clear" w:color="auto" w:fill="auto"/>
          </w:tcPr>
          <w:p w:rsidR="003A0118" w:rsidRDefault="003A0118" w:rsidP="003A0118">
            <w:pPr>
              <w:autoSpaceDE w:val="0"/>
              <w:autoSpaceDN w:val="0"/>
              <w:adjustRightInd w:val="0"/>
              <w:spacing w:after="0"/>
              <w:jc w:val="left"/>
              <w:rPr>
                <w:rFonts w:eastAsiaTheme="minorEastAsia"/>
                <w:b/>
                <w:bCs/>
                <w:noProof/>
                <w:color w:val="000000"/>
                <w:sz w:val="20"/>
              </w:rPr>
            </w:pPr>
            <w:r>
              <w:rPr>
                <w:b/>
                <w:bCs/>
                <w:noProof/>
                <w:sz w:val="20"/>
              </w:rPr>
              <w:t>Hodnotenie smernice 2014/35/EÚ o nízkom napätí</w:t>
            </w:r>
          </w:p>
        </w:tc>
        <w:tc>
          <w:tcPr>
            <w:tcW w:w="4961" w:type="dxa"/>
            <w:shd w:val="clear" w:color="auto" w:fill="auto"/>
          </w:tcPr>
          <w:p w:rsidR="003A0118" w:rsidRDefault="003A0118" w:rsidP="003A0118">
            <w:pPr>
              <w:spacing w:after="0"/>
              <w:rPr>
                <w:rFonts w:eastAsiaTheme="minorEastAsia" w:cstheme="minorBidi"/>
                <w:noProof/>
                <w:spacing w:val="-2"/>
                <w:sz w:val="20"/>
              </w:rPr>
            </w:pPr>
            <w:r>
              <w:rPr>
                <w:noProof/>
                <w:sz w:val="20"/>
              </w:rPr>
              <w:t xml:space="preserve">Smernica o nízkom napätí zabezpečuje, aby elektrické zariadenia pohybujúce sa v rámci určitých limitov napätia poskytovali európskym občanom vysokú úroveň ochrany a plne profitovali z jednotného trhu. Uplatňuje sa od 20. apríla 2016. Účelom tohto hodnotenia je posúdiť, či je smernica vhodná na daný účel, pokiaľ ide o účinnosť, efektívnosť, relevantnosť, súdržnosť, pridanú hodnotu EÚ. Na základe záverov týkajúcich sa výkonnosti smernice Komisia posúdi, ktoré ďalšie kroky môžu byť potrebné na jej zlepšenie. </w:t>
            </w:r>
          </w:p>
        </w:tc>
        <w:tc>
          <w:tcPr>
            <w:tcW w:w="1276" w:type="dxa"/>
          </w:tcPr>
          <w:p w:rsidR="003A0118" w:rsidRPr="003A0118" w:rsidRDefault="003A0118" w:rsidP="003A0118">
            <w:pPr>
              <w:spacing w:after="0"/>
              <w:ind w:right="112"/>
              <w:jc w:val="center"/>
              <w:rPr>
                <w:b/>
                <w:color w:val="000000" w:themeColor="text1"/>
                <w:sz w:val="20"/>
              </w:rPr>
            </w:pPr>
            <w:r w:rsidRPr="003A0118">
              <w:rPr>
                <w:b/>
                <w:color w:val="000000" w:themeColor="text1"/>
                <w:sz w:val="20"/>
              </w:rPr>
              <w:t>ÚNMS SR</w:t>
            </w:r>
          </w:p>
        </w:tc>
        <w:tc>
          <w:tcPr>
            <w:tcW w:w="5245" w:type="dxa"/>
          </w:tcPr>
          <w:p w:rsidR="003A0118" w:rsidRPr="006F7476" w:rsidRDefault="003A0118" w:rsidP="003A0118">
            <w:pPr>
              <w:spacing w:after="0"/>
              <w:ind w:right="112"/>
              <w:jc w:val="left"/>
              <w:rPr>
                <w:b/>
                <w:color w:val="000000" w:themeColor="text1"/>
                <w:sz w:val="20"/>
              </w:rPr>
            </w:pPr>
            <w:r w:rsidRPr="003A0118">
              <w:rPr>
                <w:b/>
                <w:color w:val="000000" w:themeColor="text1"/>
                <w:sz w:val="20"/>
                <w:u w:val="single"/>
              </w:rPr>
              <w:t>Nízka priorita</w:t>
            </w:r>
            <w:r>
              <w:rPr>
                <w:color w:val="000000" w:themeColor="text1"/>
                <w:sz w:val="20"/>
              </w:rPr>
              <w:t xml:space="preserve"> - </w:t>
            </w:r>
            <w:r w:rsidRPr="006F7476">
              <w:rPr>
                <w:color w:val="000000" w:themeColor="text1"/>
                <w:sz w:val="20"/>
              </w:rPr>
              <w:t>V novembri 2019 bola zverejnená „LVD evaluation study“. Na poslednom zasadnutí pracovnej skupiny Komisie pre LVD bola podaná infrmácia, že ďalším krokom má byť príprava „staff working document“ Komisiou.</w:t>
            </w:r>
          </w:p>
        </w:tc>
      </w:tr>
      <w:tr w:rsidR="003A0118" w:rsidTr="00A73ED0">
        <w:trPr>
          <w:cantSplit/>
        </w:trPr>
        <w:tc>
          <w:tcPr>
            <w:tcW w:w="647" w:type="dxa"/>
            <w:shd w:val="clear" w:color="auto" w:fill="auto"/>
          </w:tcPr>
          <w:p w:rsidR="003A0118" w:rsidRDefault="003A0118" w:rsidP="003A0118">
            <w:pPr>
              <w:numPr>
                <w:ilvl w:val="0"/>
                <w:numId w:val="23"/>
              </w:numPr>
              <w:tabs>
                <w:tab w:val="num" w:pos="709"/>
              </w:tabs>
              <w:spacing w:after="0" w:line="276" w:lineRule="auto"/>
              <w:jc w:val="left"/>
              <w:rPr>
                <w:rFonts w:eastAsiaTheme="minorHAnsi" w:cstheme="minorBidi"/>
                <w:b/>
                <w:noProof/>
                <w:color w:val="000000"/>
                <w:sz w:val="20"/>
              </w:rPr>
            </w:pPr>
          </w:p>
        </w:tc>
        <w:tc>
          <w:tcPr>
            <w:tcW w:w="2467" w:type="dxa"/>
            <w:shd w:val="clear" w:color="auto" w:fill="auto"/>
          </w:tcPr>
          <w:p w:rsidR="003A0118" w:rsidRPr="003B1CF2" w:rsidRDefault="003A0118" w:rsidP="003A0118">
            <w:pPr>
              <w:autoSpaceDE w:val="0"/>
              <w:autoSpaceDN w:val="0"/>
              <w:adjustRightInd w:val="0"/>
              <w:spacing w:after="0"/>
              <w:jc w:val="left"/>
              <w:rPr>
                <w:rFonts w:eastAsiaTheme="minorEastAsia"/>
                <w:b/>
                <w:bCs/>
                <w:noProof/>
                <w:color w:val="000000"/>
                <w:sz w:val="20"/>
              </w:rPr>
            </w:pPr>
            <w:r w:rsidRPr="003B1CF2">
              <w:rPr>
                <w:b/>
                <w:bCs/>
                <w:noProof/>
                <w:sz w:val="20"/>
              </w:rPr>
              <w:t>Hodnotenie smernice 97/67/ES o poštových službách</w:t>
            </w:r>
          </w:p>
        </w:tc>
        <w:tc>
          <w:tcPr>
            <w:tcW w:w="4961" w:type="dxa"/>
            <w:shd w:val="clear" w:color="auto" w:fill="auto"/>
          </w:tcPr>
          <w:p w:rsidR="003A0118" w:rsidRPr="003B1CF2" w:rsidRDefault="003A0118" w:rsidP="003A0118">
            <w:pPr>
              <w:spacing w:after="0"/>
              <w:rPr>
                <w:rFonts w:eastAsiaTheme="minorEastAsia" w:cstheme="minorBidi"/>
                <w:noProof/>
                <w:spacing w:val="-2"/>
                <w:sz w:val="20"/>
              </w:rPr>
            </w:pPr>
            <w:r w:rsidRPr="003B1CF2">
              <w:rPr>
                <w:noProof/>
                <w:sz w:val="20"/>
              </w:rPr>
              <w:t>Sektor poštových služieb prechádza veľkými zmenami v dôsledku digitalizácie. Smernica o poštových službách (97/67/ES) pochádza z roku 1997 a bola revidovaná v rokoch 2002 a 2008.K správe o uplatňovaní smernice sa pripojí hodnotenie s cieľom posúdiť, či je smernica stále vhodná na daný účel a či je odolná vo vzťahu k budúcim zmenám.</w:t>
            </w:r>
          </w:p>
        </w:tc>
        <w:tc>
          <w:tcPr>
            <w:tcW w:w="1276" w:type="dxa"/>
          </w:tcPr>
          <w:p w:rsidR="003A0118" w:rsidRPr="00FF586F" w:rsidRDefault="003A0118" w:rsidP="003A0118">
            <w:pPr>
              <w:spacing w:after="0"/>
              <w:jc w:val="center"/>
              <w:rPr>
                <w:b/>
                <w:sz w:val="20"/>
              </w:rPr>
            </w:pPr>
            <w:r w:rsidRPr="00FF586F">
              <w:rPr>
                <w:b/>
                <w:sz w:val="20"/>
              </w:rPr>
              <w:t>MDV SR</w:t>
            </w:r>
          </w:p>
          <w:p w:rsidR="003A0118" w:rsidRDefault="003A0118" w:rsidP="003A0118">
            <w:pPr>
              <w:spacing w:after="0"/>
              <w:jc w:val="center"/>
              <w:rPr>
                <w:noProof/>
                <w:sz w:val="20"/>
              </w:rPr>
            </w:pPr>
            <w:r w:rsidRPr="00FF586F">
              <w:rPr>
                <w:b/>
                <w:sz w:val="20"/>
              </w:rPr>
              <w:t>ÚPVII MH SR</w:t>
            </w:r>
          </w:p>
        </w:tc>
        <w:tc>
          <w:tcPr>
            <w:tcW w:w="5245" w:type="dxa"/>
          </w:tcPr>
          <w:p w:rsidR="003A0118" w:rsidRPr="00FF586F" w:rsidRDefault="003A0118" w:rsidP="003A0118">
            <w:pPr>
              <w:spacing w:after="0"/>
              <w:ind w:right="112"/>
              <w:rPr>
                <w:sz w:val="20"/>
              </w:rPr>
            </w:pPr>
            <w:r w:rsidRPr="00D76AD2">
              <w:rPr>
                <w:b/>
                <w:sz w:val="20"/>
                <w:u w:val="single"/>
              </w:rPr>
              <w:t>Vysoká priorita</w:t>
            </w:r>
            <w:r>
              <w:rPr>
                <w:sz w:val="20"/>
              </w:rPr>
              <w:t xml:space="preserve"> - </w:t>
            </w:r>
            <w:r w:rsidRPr="00B966BD">
              <w:rPr>
                <w:sz w:val="20"/>
              </w:rPr>
              <w:t>Smernica o poštových službách sa datuje od roku 1997, ale revízie, najmä prostredníctvom smernice 2008/6 / ES, viedli k podstatnému prispôsobeniu textu požiadavkám poštového sektora a novým výzvam poštového trhu. Dvanásť rokov po úplnom otvorení poštových služieb na trhu považujeme túto smernicu o poštových službách za vhodnú na daný účel a tiež za budúci dôkaz odvetvovej regulácie. Podľa nášho názoru však niektoré časti jeho znenia, najmä definície, rozsah pôsobnosti a mechanizmus financovania univerzálnej služby, potrebujú revíziu. Ako veľmi dobrý príklad považujeme takúto zmenu a doplnenie smernice v záveroch a odporúčaniach poštových sektorových štúdií realizovaných pre Európsku komisiu za posledné dva roky.</w:t>
            </w:r>
            <w:r w:rsidRPr="00FF586F">
              <w:rPr>
                <w:sz w:val="20"/>
              </w:rPr>
              <w:t>V apríl 2019 bola dosiahnutá v pléne EP čiastočná dohoda. Ukončenie rokovaní o spise je naviazané na schválenie nového Viacročného finančného rámca EÚ na roky 2021 - 2027. SR podoruje skoré ukončenie rokovaní o návrhu nariadenia EÚ.</w:t>
            </w:r>
          </w:p>
        </w:tc>
      </w:tr>
      <w:tr w:rsidR="003A0118" w:rsidTr="00A73ED0">
        <w:trPr>
          <w:cantSplit/>
        </w:trPr>
        <w:tc>
          <w:tcPr>
            <w:tcW w:w="647" w:type="dxa"/>
            <w:shd w:val="clear" w:color="auto" w:fill="auto"/>
          </w:tcPr>
          <w:p w:rsidR="003A0118" w:rsidRDefault="003A0118" w:rsidP="003A0118">
            <w:pPr>
              <w:numPr>
                <w:ilvl w:val="0"/>
                <w:numId w:val="23"/>
              </w:numPr>
              <w:tabs>
                <w:tab w:val="num" w:pos="709"/>
              </w:tabs>
              <w:spacing w:after="0" w:line="276" w:lineRule="auto"/>
              <w:jc w:val="left"/>
              <w:rPr>
                <w:rFonts w:eastAsiaTheme="minorHAnsi" w:cstheme="minorBidi"/>
                <w:b/>
                <w:noProof/>
                <w:color w:val="000000"/>
                <w:sz w:val="20"/>
              </w:rPr>
            </w:pPr>
          </w:p>
        </w:tc>
        <w:tc>
          <w:tcPr>
            <w:tcW w:w="2467" w:type="dxa"/>
            <w:shd w:val="clear" w:color="auto" w:fill="auto"/>
          </w:tcPr>
          <w:p w:rsidR="003A0118" w:rsidRPr="003B1CF2" w:rsidRDefault="003A0118" w:rsidP="003A0118">
            <w:pPr>
              <w:spacing w:after="0"/>
              <w:jc w:val="left"/>
              <w:rPr>
                <w:rFonts w:eastAsiaTheme="minorEastAsia" w:cstheme="minorBidi"/>
                <w:b/>
                <w:bCs/>
                <w:noProof/>
                <w:sz w:val="20"/>
              </w:rPr>
            </w:pPr>
            <w:r w:rsidRPr="003B1CF2">
              <w:rPr>
                <w:b/>
                <w:bCs/>
                <w:noProof/>
                <w:sz w:val="20"/>
              </w:rPr>
              <w:t xml:space="preserve">Hodnotenie „vymedzenia pojmu MSP“ </w:t>
            </w:r>
          </w:p>
        </w:tc>
        <w:tc>
          <w:tcPr>
            <w:tcW w:w="4961" w:type="dxa"/>
            <w:shd w:val="clear" w:color="auto" w:fill="auto"/>
          </w:tcPr>
          <w:p w:rsidR="003A0118" w:rsidRPr="003B1CF2" w:rsidRDefault="003A0118" w:rsidP="003A0118">
            <w:pPr>
              <w:spacing w:after="0"/>
              <w:rPr>
                <w:rFonts w:eastAsiaTheme="minorEastAsia" w:cstheme="minorBidi"/>
                <w:noProof/>
                <w:sz w:val="20"/>
              </w:rPr>
            </w:pPr>
            <w:r w:rsidRPr="003B1CF2">
              <w:rPr>
                <w:noProof/>
                <w:sz w:val="20"/>
              </w:rPr>
              <w:t xml:space="preserve">Táto iniciatíva je zameraná na odporúčanie Komisie týkajúce sa vymedzenia pojmov mikropodnik, malý a stredný podnik (2003/361/ES). Stanovujú sa v ňom kritériá na určenie toho, či predmetný podnik je MSP (t. j. počet zamestnancov, celková výška obratu/celková súvaha a nezávislosť), a uplatňuje sa od 1. 1. 2005, keď nahradilo odporúčanie 96/280/ES. Vzhľadom na to, že na odporúčanie sa odkazuje vo viac ako 100 právnych aktoch EÚ, ktoré sa vzťahujú na širokú škálu politík EÚ, ako je napríklad štátna pomoc, nahradenie odporúčania bude znamenať potrebu zmeniť aj tieto odkazy. </w:t>
            </w:r>
          </w:p>
        </w:tc>
        <w:tc>
          <w:tcPr>
            <w:tcW w:w="1276" w:type="dxa"/>
          </w:tcPr>
          <w:p w:rsidR="003A0118" w:rsidRPr="00164F53" w:rsidRDefault="00601367" w:rsidP="00164F53">
            <w:pPr>
              <w:spacing w:after="0"/>
              <w:jc w:val="center"/>
              <w:rPr>
                <w:b/>
                <w:noProof/>
                <w:sz w:val="20"/>
              </w:rPr>
            </w:pPr>
            <w:r>
              <w:rPr>
                <w:b/>
                <w:noProof/>
                <w:sz w:val="20"/>
              </w:rPr>
              <w:t xml:space="preserve">MH </w:t>
            </w:r>
            <w:r w:rsidR="00164F53" w:rsidRPr="00164F53">
              <w:rPr>
                <w:b/>
                <w:noProof/>
                <w:sz w:val="20"/>
              </w:rPr>
              <w:t>SR</w:t>
            </w:r>
          </w:p>
        </w:tc>
        <w:tc>
          <w:tcPr>
            <w:tcW w:w="5245" w:type="dxa"/>
          </w:tcPr>
          <w:p w:rsidR="003A0118" w:rsidRDefault="00601367" w:rsidP="00601367">
            <w:pPr>
              <w:spacing w:after="0"/>
              <w:rPr>
                <w:noProof/>
                <w:sz w:val="20"/>
              </w:rPr>
            </w:pPr>
            <w:r>
              <w:rPr>
                <w:b/>
                <w:sz w:val="20"/>
                <w:u w:val="single"/>
              </w:rPr>
              <w:t xml:space="preserve">Stredná </w:t>
            </w:r>
            <w:r w:rsidRPr="00D76AD2">
              <w:rPr>
                <w:b/>
                <w:sz w:val="20"/>
                <w:u w:val="single"/>
              </w:rPr>
              <w:t>priorita</w:t>
            </w:r>
            <w:r w:rsidR="00F0579F">
              <w:rPr>
                <w:b/>
                <w:sz w:val="20"/>
                <w:u w:val="single"/>
              </w:rPr>
              <w:t xml:space="preserve"> </w:t>
            </w:r>
            <w:r w:rsidR="00F0579F">
              <w:rPr>
                <w:sz w:val="20"/>
              </w:rPr>
              <w:t xml:space="preserve">- </w:t>
            </w:r>
            <w:r w:rsidR="00F0579F" w:rsidRPr="00F0579F">
              <w:rPr>
                <w:sz w:val="20"/>
              </w:rPr>
              <w:t>SR sa zapojí do diskusie na úrovni PS EK a Rady</w:t>
            </w:r>
          </w:p>
        </w:tc>
      </w:tr>
      <w:tr w:rsidR="003A0118" w:rsidTr="00A73ED0">
        <w:trPr>
          <w:cantSplit/>
        </w:trPr>
        <w:tc>
          <w:tcPr>
            <w:tcW w:w="647" w:type="dxa"/>
            <w:shd w:val="clear" w:color="auto" w:fill="auto"/>
          </w:tcPr>
          <w:p w:rsidR="003A0118" w:rsidRDefault="003A0118" w:rsidP="003A0118">
            <w:pPr>
              <w:numPr>
                <w:ilvl w:val="0"/>
                <w:numId w:val="23"/>
              </w:numPr>
              <w:tabs>
                <w:tab w:val="num" w:pos="709"/>
              </w:tabs>
              <w:spacing w:after="0" w:line="276" w:lineRule="auto"/>
              <w:jc w:val="left"/>
              <w:rPr>
                <w:rFonts w:eastAsiaTheme="minorHAnsi" w:cstheme="minorBidi"/>
                <w:b/>
                <w:noProof/>
                <w:color w:val="000000"/>
                <w:sz w:val="20"/>
              </w:rPr>
            </w:pPr>
          </w:p>
        </w:tc>
        <w:tc>
          <w:tcPr>
            <w:tcW w:w="2467" w:type="dxa"/>
            <w:shd w:val="clear" w:color="auto" w:fill="auto"/>
          </w:tcPr>
          <w:p w:rsidR="003A0118" w:rsidRDefault="003A0118" w:rsidP="003A0118">
            <w:pPr>
              <w:spacing w:after="0"/>
              <w:jc w:val="left"/>
              <w:rPr>
                <w:rFonts w:eastAsiaTheme="minorEastAsia" w:cstheme="minorBidi"/>
                <w:b/>
                <w:bCs/>
                <w:noProof/>
                <w:sz w:val="20"/>
              </w:rPr>
            </w:pPr>
            <w:r>
              <w:rPr>
                <w:b/>
                <w:bCs/>
                <w:noProof/>
                <w:sz w:val="20"/>
              </w:rPr>
              <w:t>Revízia smernice 2006/42/ES o strojových zariadeniach</w:t>
            </w:r>
          </w:p>
        </w:tc>
        <w:tc>
          <w:tcPr>
            <w:tcW w:w="4961" w:type="dxa"/>
            <w:shd w:val="clear" w:color="auto" w:fill="auto"/>
          </w:tcPr>
          <w:p w:rsidR="003A0118" w:rsidRDefault="003A0118" w:rsidP="003A0118">
            <w:pPr>
              <w:spacing w:after="0"/>
              <w:jc w:val="left"/>
              <w:rPr>
                <w:rFonts w:eastAsiaTheme="minorEastAsia" w:cstheme="minorBidi"/>
                <w:noProof/>
                <w:sz w:val="20"/>
              </w:rPr>
            </w:pPr>
            <w:r>
              <w:rPr>
                <w:noProof/>
                <w:sz w:val="20"/>
              </w:rPr>
              <w:t xml:space="preserve">Cieľom iniciatívy je: </w:t>
            </w:r>
            <w:r>
              <w:rPr>
                <w:noProof/>
                <w:sz w:val="20"/>
              </w:rPr>
              <w:br/>
              <w:t xml:space="preserve">i) riešiť riziká plynúce z nových technológií a súčasne umožniť technický pokrok, </w:t>
            </w:r>
            <w:r>
              <w:rPr>
                <w:noProof/>
                <w:sz w:val="20"/>
              </w:rPr>
              <w:br/>
              <w:t xml:space="preserve">ii) zjednodušiť požiadavky na dokumentáciu tým, že sa povolia digitálne formáty, a tak znížiť administratívnu záťaž pre hospodárske subjekty, s ďalším pozitívnym vplyvom na environmentálne náklady, </w:t>
            </w:r>
            <w:r>
              <w:rPr>
                <w:noProof/>
                <w:sz w:val="20"/>
              </w:rPr>
              <w:br/>
              <w:t>iii) zlepšiť právnu zrozumiteľnosť niektorých hlavných koncepcií a vymedzení pojmov v súčasnom znení smernice,</w:t>
            </w:r>
            <w:r>
              <w:rPr>
                <w:noProof/>
                <w:sz w:val="20"/>
              </w:rPr>
              <w:br/>
              <w:t>iv) zabezpečiť súlad s ostatnými smernicami a nariadeniami pre výrobky a zlepšiť presadzovanie právnych predpisov prostredníctvom zosúladenia s novým legislatívnym rámcom,</w:t>
            </w:r>
            <w:r>
              <w:rPr>
                <w:noProof/>
                <w:sz w:val="20"/>
              </w:rPr>
              <w:br/>
              <w:t>v) znížiť náklady na transpozíciu prostredníctvom transformácie smernice na nariadenie.</w:t>
            </w:r>
            <w:r>
              <w:rPr>
                <w:noProof/>
                <w:sz w:val="20"/>
              </w:rPr>
              <w:br/>
              <w:t>(legislatívna iniciatíva vrátane posúdenia vplyvu, článok 114 ZFEÚ, 4. štvrťrok 2020)</w:t>
            </w:r>
          </w:p>
        </w:tc>
        <w:tc>
          <w:tcPr>
            <w:tcW w:w="1276" w:type="dxa"/>
          </w:tcPr>
          <w:p w:rsidR="003A0118" w:rsidRPr="003A0118" w:rsidRDefault="003A0118" w:rsidP="003A0118">
            <w:pPr>
              <w:spacing w:after="0"/>
              <w:ind w:right="112"/>
              <w:jc w:val="center"/>
              <w:rPr>
                <w:b/>
                <w:sz w:val="20"/>
              </w:rPr>
            </w:pPr>
            <w:r w:rsidRPr="003A0118">
              <w:rPr>
                <w:b/>
                <w:color w:val="000000" w:themeColor="text1"/>
                <w:sz w:val="20"/>
              </w:rPr>
              <w:t>ÚNMS SR</w:t>
            </w:r>
          </w:p>
        </w:tc>
        <w:tc>
          <w:tcPr>
            <w:tcW w:w="5245" w:type="dxa"/>
          </w:tcPr>
          <w:p w:rsidR="003A0118" w:rsidRPr="003A0118" w:rsidRDefault="003A0118" w:rsidP="003A0118">
            <w:pPr>
              <w:spacing w:after="0"/>
              <w:ind w:right="112"/>
              <w:jc w:val="left"/>
              <w:rPr>
                <w:b/>
                <w:color w:val="000000" w:themeColor="text1"/>
                <w:sz w:val="20"/>
              </w:rPr>
            </w:pPr>
            <w:r w:rsidRPr="003A0118">
              <w:rPr>
                <w:b/>
                <w:color w:val="000000" w:themeColor="text1"/>
                <w:sz w:val="20"/>
                <w:u w:val="single"/>
              </w:rPr>
              <w:t>Nízka priorita</w:t>
            </w:r>
            <w:r>
              <w:rPr>
                <w:color w:val="000000" w:themeColor="text1"/>
                <w:sz w:val="20"/>
              </w:rPr>
              <w:t xml:space="preserve"> - n</w:t>
            </w:r>
            <w:r w:rsidRPr="006F7476">
              <w:rPr>
                <w:color w:val="000000" w:themeColor="text1"/>
                <w:sz w:val="20"/>
              </w:rPr>
              <w:t>a poslednom zasadnutí pracovnej skupiny Komisie pre „machinery“  v roku 2019 bola podaná informácia, že revízia smernice 2006/42/ES o strojoch  je predmetom politickej „validácie“ novou Komisiou.</w:t>
            </w:r>
          </w:p>
        </w:tc>
      </w:tr>
      <w:tr w:rsidR="003A0118" w:rsidTr="00A73ED0">
        <w:trPr>
          <w:cantSplit/>
        </w:trPr>
        <w:tc>
          <w:tcPr>
            <w:tcW w:w="647" w:type="dxa"/>
            <w:shd w:val="clear" w:color="auto" w:fill="auto"/>
          </w:tcPr>
          <w:p w:rsidR="003A0118" w:rsidRDefault="003A0118" w:rsidP="003A0118">
            <w:pPr>
              <w:numPr>
                <w:ilvl w:val="0"/>
                <w:numId w:val="23"/>
              </w:numPr>
              <w:tabs>
                <w:tab w:val="num" w:pos="709"/>
              </w:tabs>
              <w:spacing w:after="0" w:line="276" w:lineRule="auto"/>
              <w:jc w:val="left"/>
              <w:rPr>
                <w:rFonts w:eastAsiaTheme="minorHAnsi" w:cstheme="minorBidi"/>
                <w:b/>
                <w:noProof/>
                <w:color w:val="000000"/>
                <w:sz w:val="20"/>
              </w:rPr>
            </w:pPr>
          </w:p>
        </w:tc>
        <w:tc>
          <w:tcPr>
            <w:tcW w:w="2467" w:type="dxa"/>
            <w:shd w:val="clear" w:color="auto" w:fill="auto"/>
          </w:tcPr>
          <w:p w:rsidR="003A0118" w:rsidRPr="003B1CF2" w:rsidRDefault="003A0118" w:rsidP="003A0118">
            <w:pPr>
              <w:spacing w:after="0"/>
              <w:jc w:val="left"/>
              <w:rPr>
                <w:rFonts w:eastAsiaTheme="minorEastAsia" w:cstheme="minorBidi"/>
                <w:b/>
                <w:bCs/>
                <w:noProof/>
                <w:sz w:val="20"/>
              </w:rPr>
            </w:pPr>
            <w:r w:rsidRPr="003B1CF2">
              <w:rPr>
                <w:b/>
                <w:bCs/>
                <w:noProof/>
                <w:sz w:val="20"/>
              </w:rPr>
              <w:t xml:space="preserve">Hodnotenie právnych predpisov EÚ o ochrane dizajnov </w:t>
            </w:r>
          </w:p>
        </w:tc>
        <w:tc>
          <w:tcPr>
            <w:tcW w:w="4961" w:type="dxa"/>
            <w:shd w:val="clear" w:color="auto" w:fill="auto"/>
          </w:tcPr>
          <w:p w:rsidR="003A0118" w:rsidRPr="003B1CF2" w:rsidRDefault="003A0118" w:rsidP="003A0118">
            <w:pPr>
              <w:spacing w:after="0"/>
              <w:rPr>
                <w:rFonts w:eastAsiaTheme="minorEastAsia" w:cstheme="minorBidi"/>
                <w:noProof/>
                <w:sz w:val="20"/>
              </w:rPr>
            </w:pPr>
            <w:r w:rsidRPr="003B1CF2">
              <w:rPr>
                <w:noProof/>
                <w:sz w:val="20"/>
              </w:rPr>
              <w:t xml:space="preserve">Účelom hodnotenia je analyzovať, do akej miery súčasné právne predpisy EÚ o ochrane dizajnov dosiahli svoje ciele, pokiaľ ide o účinnosť, efektívnosť, relevantnosť, súdržnosť a pridanú hodnotu EÚ. Poskytne jasné údaje o tom, do akej miery sa tieto právne predpisy stále považujú za vhodné na daný účel. V hodnotení sa identifikujú možnosti zjednodušenia postupov registrácie s cieľom uľahčiť, aby sa uľahčilo jednoduché využívanie ochrany dizajnov v EÚ s potenciálnym znížením nákladov a administratívneho zaťaženia v prospech podnikov, dizajnérov a MSP. </w:t>
            </w:r>
          </w:p>
        </w:tc>
        <w:tc>
          <w:tcPr>
            <w:tcW w:w="1276" w:type="dxa"/>
          </w:tcPr>
          <w:p w:rsidR="003A0118" w:rsidRPr="00AB034C" w:rsidRDefault="00AB034C" w:rsidP="00AB034C">
            <w:pPr>
              <w:spacing w:after="0"/>
              <w:jc w:val="center"/>
              <w:rPr>
                <w:b/>
                <w:noProof/>
                <w:sz w:val="20"/>
              </w:rPr>
            </w:pPr>
            <w:r w:rsidRPr="00AB034C">
              <w:rPr>
                <w:b/>
                <w:noProof/>
                <w:sz w:val="20"/>
              </w:rPr>
              <w:t>ÚPV SR</w:t>
            </w:r>
          </w:p>
        </w:tc>
        <w:tc>
          <w:tcPr>
            <w:tcW w:w="5245" w:type="dxa"/>
          </w:tcPr>
          <w:p w:rsidR="003A0118" w:rsidRDefault="00AB034C" w:rsidP="003A0118">
            <w:pPr>
              <w:spacing w:after="0"/>
              <w:rPr>
                <w:noProof/>
                <w:sz w:val="20"/>
              </w:rPr>
            </w:pPr>
            <w:r w:rsidRPr="00AB034C">
              <w:rPr>
                <w:b/>
                <w:noProof/>
                <w:sz w:val="20"/>
                <w:u w:val="single"/>
              </w:rPr>
              <w:t>Vysoká priorita</w:t>
            </w:r>
            <w:r>
              <w:rPr>
                <w:noProof/>
                <w:sz w:val="20"/>
              </w:rPr>
              <w:t xml:space="preserve"> - V júni 2019 bola na úrovni pracovnej skupiny iniciovaná diskusia k výsledkom verejnej konzultácie k ochrane dizajnov v EÚ uskutočnenej v období od decembra 2018 do apríla 2019. Reforma ochrany dizajnov v EÚ sa týka smernice Európskeho parlamentu a Rady 98/71/ES z 13. októbra 1998 o právnej ochrane dizajnov a nariadenia Rady (ES) č. 6/2002 z 12. decembra 2001 o dizajnoch Spoločenstva.</w:t>
            </w:r>
          </w:p>
        </w:tc>
      </w:tr>
      <w:tr w:rsidR="00A2157E" w:rsidTr="00A73ED0">
        <w:trPr>
          <w:cantSplit/>
        </w:trPr>
        <w:tc>
          <w:tcPr>
            <w:tcW w:w="647" w:type="dxa"/>
            <w:tcBorders>
              <w:bottom w:val="single" w:sz="4" w:space="0" w:color="auto"/>
            </w:tcBorders>
            <w:shd w:val="clear" w:color="auto" w:fill="auto"/>
          </w:tcPr>
          <w:p w:rsidR="00A2157E" w:rsidRDefault="00A2157E" w:rsidP="00A2157E">
            <w:pPr>
              <w:numPr>
                <w:ilvl w:val="0"/>
                <w:numId w:val="23"/>
              </w:numPr>
              <w:tabs>
                <w:tab w:val="num" w:pos="709"/>
              </w:tabs>
              <w:spacing w:after="0" w:line="276" w:lineRule="auto"/>
              <w:jc w:val="left"/>
              <w:rPr>
                <w:rFonts w:eastAsiaTheme="minorHAnsi" w:cstheme="minorBidi"/>
                <w:b/>
                <w:noProof/>
                <w:color w:val="000000"/>
                <w:sz w:val="20"/>
              </w:rPr>
            </w:pPr>
          </w:p>
        </w:tc>
        <w:tc>
          <w:tcPr>
            <w:tcW w:w="2467" w:type="dxa"/>
            <w:tcBorders>
              <w:bottom w:val="single" w:sz="4" w:space="0" w:color="auto"/>
            </w:tcBorders>
            <w:shd w:val="clear" w:color="auto" w:fill="auto"/>
          </w:tcPr>
          <w:p w:rsidR="00A2157E" w:rsidRDefault="00A2157E" w:rsidP="00A2157E">
            <w:pPr>
              <w:spacing w:after="0"/>
              <w:jc w:val="left"/>
              <w:rPr>
                <w:rFonts w:eastAsiaTheme="minorEastAsia" w:cstheme="minorBidi"/>
                <w:b/>
                <w:bCs/>
                <w:noProof/>
                <w:sz w:val="20"/>
              </w:rPr>
            </w:pPr>
            <w:r>
              <w:rPr>
                <w:b/>
                <w:bCs/>
                <w:noProof/>
                <w:sz w:val="20"/>
              </w:rPr>
              <w:t>Evaulácia smernice 2006/126/ES o vodičských preukazoch</w:t>
            </w:r>
          </w:p>
        </w:tc>
        <w:tc>
          <w:tcPr>
            <w:tcW w:w="4961" w:type="dxa"/>
            <w:tcBorders>
              <w:bottom w:val="single" w:sz="4" w:space="0" w:color="auto"/>
            </w:tcBorders>
          </w:tcPr>
          <w:p w:rsidR="00A2157E" w:rsidRDefault="00A2157E" w:rsidP="00A2157E">
            <w:pPr>
              <w:spacing w:after="0"/>
              <w:rPr>
                <w:rFonts w:eastAsiaTheme="minorEastAsia" w:cstheme="minorBidi"/>
                <w:noProof/>
                <w:sz w:val="20"/>
              </w:rPr>
            </w:pPr>
            <w:r>
              <w:rPr>
                <w:noProof/>
                <w:sz w:val="20"/>
              </w:rPr>
              <w:t xml:space="preserve">V hodnotení </w:t>
            </w:r>
            <w:r>
              <w:rPr>
                <w:i/>
                <w:noProof/>
                <w:sz w:val="20"/>
              </w:rPr>
              <w:t>ex post</w:t>
            </w:r>
            <w:r>
              <w:rPr>
                <w:noProof/>
                <w:sz w:val="20"/>
              </w:rPr>
              <w:t xml:space="preserve"> sa posúdi, do akej miery smernica prispela k zlepšeniu v oblasti bezpečnosti cestnej premávky, uľahčenia voľného pohybu a zníženia možnosti podvodu. Preskúma sa aj technický pokrok, napríklad pokiaľ ide o vozidlá a digitalizáciu (digitálne vodičské preukazy).</w:t>
            </w:r>
          </w:p>
        </w:tc>
        <w:tc>
          <w:tcPr>
            <w:tcW w:w="1276" w:type="dxa"/>
            <w:tcBorders>
              <w:bottom w:val="single" w:sz="4" w:space="0" w:color="auto"/>
            </w:tcBorders>
          </w:tcPr>
          <w:p w:rsidR="00A2157E" w:rsidRPr="00A2157E" w:rsidRDefault="00A2157E" w:rsidP="00A2157E">
            <w:pPr>
              <w:spacing w:after="0"/>
              <w:ind w:right="112"/>
              <w:jc w:val="center"/>
              <w:rPr>
                <w:b/>
                <w:sz w:val="20"/>
              </w:rPr>
            </w:pPr>
            <w:r w:rsidRPr="00A2157E">
              <w:rPr>
                <w:b/>
                <w:sz w:val="20"/>
              </w:rPr>
              <w:t>MV SR</w:t>
            </w:r>
          </w:p>
        </w:tc>
        <w:tc>
          <w:tcPr>
            <w:tcW w:w="5245" w:type="dxa"/>
            <w:tcBorders>
              <w:bottom w:val="single" w:sz="4" w:space="0" w:color="auto"/>
            </w:tcBorders>
          </w:tcPr>
          <w:p w:rsidR="00A2157E" w:rsidRPr="00A2157E" w:rsidRDefault="00A2157E" w:rsidP="00A2157E">
            <w:pPr>
              <w:spacing w:after="0"/>
              <w:ind w:right="112"/>
              <w:rPr>
                <w:sz w:val="20"/>
              </w:rPr>
            </w:pPr>
            <w:r w:rsidRPr="00A2157E">
              <w:rPr>
                <w:b/>
                <w:sz w:val="20"/>
                <w:u w:val="single"/>
              </w:rPr>
              <w:t>Nízka priorita</w:t>
            </w:r>
            <w:r>
              <w:rPr>
                <w:sz w:val="20"/>
              </w:rPr>
              <w:t xml:space="preserve"> - </w:t>
            </w:r>
            <w:r w:rsidRPr="0073601A">
              <w:rPr>
                <w:sz w:val="20"/>
              </w:rPr>
              <w:t>Zhodnotenie naplnenia cieľov smernice o vodičských preukazoch.</w:t>
            </w:r>
          </w:p>
        </w:tc>
      </w:tr>
      <w:tr w:rsidR="00A2157E" w:rsidTr="00B675B3">
        <w:trPr>
          <w:cantSplit/>
        </w:trPr>
        <w:tc>
          <w:tcPr>
            <w:tcW w:w="8075" w:type="dxa"/>
            <w:gridSpan w:val="3"/>
            <w:shd w:val="clear" w:color="auto" w:fill="F68A42" w:themeFill="accent3"/>
          </w:tcPr>
          <w:p w:rsidR="00A2157E" w:rsidRDefault="00A2157E" w:rsidP="00A2157E">
            <w:pPr>
              <w:keepNext/>
              <w:spacing w:before="60" w:after="60"/>
              <w:jc w:val="left"/>
              <w:rPr>
                <w:rFonts w:eastAsiaTheme="minorEastAsia" w:cstheme="minorBidi"/>
                <w:noProof/>
                <w:sz w:val="20"/>
              </w:rPr>
            </w:pPr>
            <w:r>
              <w:rPr>
                <w:b/>
                <w:bCs/>
                <w:noProof/>
                <w:color w:val="FFFFFF" w:themeColor="background1"/>
                <w:sz w:val="20"/>
              </w:rPr>
              <w:t>Hospodárstvo, ktoré pracuje v prospech ľudí</w:t>
            </w:r>
          </w:p>
        </w:tc>
        <w:tc>
          <w:tcPr>
            <w:tcW w:w="1276" w:type="dxa"/>
            <w:shd w:val="clear" w:color="auto" w:fill="F68A42" w:themeFill="accent3"/>
          </w:tcPr>
          <w:p w:rsidR="00A2157E" w:rsidRDefault="00A2157E" w:rsidP="00A2157E">
            <w:pPr>
              <w:keepNext/>
              <w:spacing w:before="60" w:after="60"/>
              <w:rPr>
                <w:b/>
                <w:bCs/>
                <w:noProof/>
                <w:color w:val="FFFFFF" w:themeColor="background1"/>
                <w:sz w:val="20"/>
              </w:rPr>
            </w:pPr>
          </w:p>
        </w:tc>
        <w:tc>
          <w:tcPr>
            <w:tcW w:w="5245" w:type="dxa"/>
            <w:shd w:val="clear" w:color="auto" w:fill="F68A42" w:themeFill="accent3"/>
          </w:tcPr>
          <w:p w:rsidR="00A2157E" w:rsidRDefault="00A2157E" w:rsidP="00A2157E">
            <w:pPr>
              <w:keepNext/>
              <w:spacing w:before="60" w:after="60"/>
              <w:rPr>
                <w:b/>
                <w:bCs/>
                <w:noProof/>
                <w:color w:val="FFFFFF" w:themeColor="background1"/>
                <w:sz w:val="20"/>
              </w:rPr>
            </w:pPr>
          </w:p>
        </w:tc>
      </w:tr>
      <w:tr w:rsidR="00A2157E" w:rsidTr="00A73ED0">
        <w:trPr>
          <w:cantSplit/>
        </w:trPr>
        <w:tc>
          <w:tcPr>
            <w:tcW w:w="647" w:type="dxa"/>
            <w:shd w:val="clear" w:color="auto" w:fill="auto"/>
          </w:tcPr>
          <w:p w:rsidR="00A2157E" w:rsidRDefault="00A2157E" w:rsidP="00A2157E">
            <w:pPr>
              <w:numPr>
                <w:ilvl w:val="0"/>
                <w:numId w:val="23"/>
              </w:numPr>
              <w:spacing w:after="0" w:line="276" w:lineRule="auto"/>
              <w:jc w:val="left"/>
              <w:rPr>
                <w:rFonts w:eastAsiaTheme="minorHAnsi" w:cstheme="minorBidi"/>
                <w:b/>
                <w:noProof/>
                <w:color w:val="000000"/>
                <w:sz w:val="20"/>
              </w:rPr>
            </w:pPr>
          </w:p>
        </w:tc>
        <w:tc>
          <w:tcPr>
            <w:tcW w:w="2467" w:type="dxa"/>
          </w:tcPr>
          <w:p w:rsidR="00A2157E" w:rsidRDefault="00A2157E" w:rsidP="00A2157E">
            <w:pPr>
              <w:spacing w:after="0" w:line="276" w:lineRule="auto"/>
              <w:jc w:val="left"/>
              <w:rPr>
                <w:rFonts w:eastAsiaTheme="minorEastAsia" w:cstheme="minorBidi"/>
                <w:b/>
                <w:bCs/>
                <w:noProof/>
                <w:sz w:val="20"/>
              </w:rPr>
            </w:pPr>
            <w:r>
              <w:rPr>
                <w:b/>
                <w:bCs/>
                <w:noProof/>
                <w:sz w:val="20"/>
              </w:rPr>
              <w:t>Jednotné pravidlá zaokrúhľovania [opatrenia v nadväznosti na správu o najnovšom vývoji, pokiaľ ide o euromince – COM(2018) 787 final/2]</w:t>
            </w:r>
          </w:p>
        </w:tc>
        <w:tc>
          <w:tcPr>
            <w:tcW w:w="4961" w:type="dxa"/>
          </w:tcPr>
          <w:p w:rsidR="00A2157E" w:rsidRDefault="00A2157E" w:rsidP="00A2157E">
            <w:pPr>
              <w:spacing w:after="0"/>
              <w:rPr>
                <w:rFonts w:eastAsiaTheme="minorEastAsia" w:cstheme="minorBidi"/>
                <w:noProof/>
                <w:sz w:val="20"/>
              </w:rPr>
            </w:pPr>
            <w:r>
              <w:rPr>
                <w:noProof/>
                <w:sz w:val="20"/>
              </w:rPr>
              <w:t>Hodnotenie používania jedno- a dvojcentových euromincí a možnosti zavedenia jednotných pravidiel zaokrúhľovania. Možným návrhom by sa zaviedli spoločné pravidlá zaokrúhľovania s cieľom riešiť výzvy súvisiace s používaním jedno- a dvojcentových euromincí (legislatívna iniciatíva vrátane posúdenia vplyvu, článok 133 ZFEÚ, 4. štvrťrok 2020).</w:t>
            </w:r>
          </w:p>
        </w:tc>
        <w:tc>
          <w:tcPr>
            <w:tcW w:w="1276" w:type="dxa"/>
          </w:tcPr>
          <w:p w:rsidR="00A2157E" w:rsidRPr="00FF586F" w:rsidRDefault="00A2157E" w:rsidP="00A2157E">
            <w:pPr>
              <w:spacing w:after="0"/>
              <w:jc w:val="center"/>
              <w:rPr>
                <w:b/>
                <w:noProof/>
                <w:sz w:val="20"/>
              </w:rPr>
            </w:pPr>
            <w:r w:rsidRPr="00FF586F">
              <w:rPr>
                <w:b/>
                <w:sz w:val="20"/>
              </w:rPr>
              <w:t>ÚPVII</w:t>
            </w:r>
          </w:p>
        </w:tc>
        <w:tc>
          <w:tcPr>
            <w:tcW w:w="5245" w:type="dxa"/>
          </w:tcPr>
          <w:p w:rsidR="00A2157E" w:rsidRPr="00FF586F" w:rsidRDefault="00A2157E" w:rsidP="00A2157E">
            <w:pPr>
              <w:spacing w:after="0"/>
              <w:rPr>
                <w:b/>
                <w:sz w:val="20"/>
                <w:u w:val="single"/>
              </w:rPr>
            </w:pPr>
            <w:r w:rsidRPr="00FF586F">
              <w:rPr>
                <w:b/>
                <w:sz w:val="20"/>
                <w:u w:val="single"/>
              </w:rPr>
              <w:t xml:space="preserve">Stredná </w:t>
            </w:r>
            <w:r>
              <w:rPr>
                <w:b/>
                <w:sz w:val="20"/>
                <w:u w:val="single"/>
              </w:rPr>
              <w:t>priorita</w:t>
            </w:r>
            <w:r w:rsidRPr="00FF586F">
              <w:rPr>
                <w:b/>
                <w:sz w:val="20"/>
              </w:rPr>
              <w:t xml:space="preserve"> - </w:t>
            </w:r>
            <w:r w:rsidRPr="00FF586F">
              <w:rPr>
                <w:sz w:val="20"/>
              </w:rPr>
              <w:t>v apríli 2019 bola dosiahnutá v EP čiastočná dohoda. Ukončenie rokovaní o spise súvisí s prijatím nového Viacročného finančného rámca EÚ na roky 2021 - 2027.SR podporuje skoré ukončenie rokovaní o návrhu nariadenia EÚ.</w:t>
            </w:r>
          </w:p>
        </w:tc>
      </w:tr>
      <w:tr w:rsidR="00A2157E" w:rsidTr="00A73ED0">
        <w:trPr>
          <w:cantSplit/>
        </w:trPr>
        <w:tc>
          <w:tcPr>
            <w:tcW w:w="647" w:type="dxa"/>
            <w:shd w:val="clear" w:color="auto" w:fill="auto"/>
          </w:tcPr>
          <w:p w:rsidR="00A2157E" w:rsidRDefault="00A2157E" w:rsidP="00A2157E">
            <w:pPr>
              <w:numPr>
                <w:ilvl w:val="0"/>
                <w:numId w:val="23"/>
              </w:numPr>
              <w:spacing w:after="0" w:line="276" w:lineRule="auto"/>
              <w:jc w:val="left"/>
              <w:rPr>
                <w:rFonts w:eastAsiaTheme="minorHAnsi" w:cstheme="minorBidi"/>
                <w:b/>
                <w:noProof/>
                <w:color w:val="000000"/>
                <w:sz w:val="20"/>
              </w:rPr>
            </w:pPr>
          </w:p>
        </w:tc>
        <w:tc>
          <w:tcPr>
            <w:tcW w:w="2467" w:type="dxa"/>
          </w:tcPr>
          <w:p w:rsidR="00A2157E" w:rsidRDefault="00A2157E" w:rsidP="00A2157E">
            <w:pPr>
              <w:spacing w:after="0"/>
              <w:jc w:val="left"/>
              <w:rPr>
                <w:rFonts w:eastAsiaTheme="minorEastAsia" w:cstheme="minorBidi"/>
                <w:b/>
                <w:bCs/>
                <w:noProof/>
                <w:sz w:val="20"/>
              </w:rPr>
            </w:pPr>
            <w:r>
              <w:rPr>
                <w:b/>
                <w:bCs/>
                <w:noProof/>
                <w:sz w:val="20"/>
              </w:rPr>
              <w:t>Kontrola vhodnosti v oblasti verejného podávania správ spoločnosťami</w:t>
            </w:r>
          </w:p>
        </w:tc>
        <w:tc>
          <w:tcPr>
            <w:tcW w:w="4961" w:type="dxa"/>
          </w:tcPr>
          <w:p w:rsidR="00A2157E" w:rsidRDefault="00A2157E" w:rsidP="00A2157E">
            <w:pPr>
              <w:spacing w:after="0"/>
              <w:rPr>
                <w:rFonts w:eastAsiaTheme="minorEastAsia" w:cstheme="minorBidi"/>
                <w:b/>
                <w:bCs/>
                <w:noProof/>
                <w:sz w:val="20"/>
              </w:rPr>
            </w:pPr>
            <w:r>
              <w:rPr>
                <w:noProof/>
                <w:sz w:val="20"/>
              </w:rPr>
              <w:t>Cieľom tejto kontroly vhodnosti je posúdiť, či právne predpisy EÚ o pravidelnom a verejnom podávaní správ spoločnosťami naďalej spĺňajú potrebu zainteresovaných strán, pokiaľ ide o informácie o činnostiach spoločností, ich výkonnosti, rizikách a vplyvoch.</w:t>
            </w:r>
          </w:p>
        </w:tc>
        <w:tc>
          <w:tcPr>
            <w:tcW w:w="1276" w:type="dxa"/>
          </w:tcPr>
          <w:p w:rsidR="00A2157E" w:rsidRDefault="00A2157E" w:rsidP="00A2157E">
            <w:pPr>
              <w:spacing w:after="0"/>
              <w:jc w:val="center"/>
              <w:rPr>
                <w:b/>
                <w:noProof/>
                <w:sz w:val="20"/>
              </w:rPr>
            </w:pPr>
            <w:r>
              <w:rPr>
                <w:b/>
                <w:noProof/>
                <w:sz w:val="20"/>
              </w:rPr>
              <w:t>MF SR</w:t>
            </w:r>
          </w:p>
          <w:p w:rsidR="00A2157E" w:rsidRPr="009D4C5D" w:rsidRDefault="00A2157E" w:rsidP="00A2157E">
            <w:pPr>
              <w:spacing w:after="0"/>
              <w:jc w:val="center"/>
              <w:rPr>
                <w:b/>
                <w:noProof/>
                <w:sz w:val="20"/>
              </w:rPr>
            </w:pPr>
            <w:r w:rsidRPr="009D4C5D">
              <w:rPr>
                <w:b/>
                <w:noProof/>
                <w:sz w:val="20"/>
              </w:rPr>
              <w:t>MS SR</w:t>
            </w:r>
          </w:p>
        </w:tc>
        <w:tc>
          <w:tcPr>
            <w:tcW w:w="5245" w:type="dxa"/>
          </w:tcPr>
          <w:p w:rsidR="00A2157E" w:rsidRDefault="00A2157E" w:rsidP="00A2157E">
            <w:pPr>
              <w:spacing w:after="0"/>
              <w:rPr>
                <w:noProof/>
                <w:sz w:val="20"/>
              </w:rPr>
            </w:pPr>
            <w:r w:rsidRPr="00BB5F97">
              <w:rPr>
                <w:b/>
                <w:sz w:val="20"/>
                <w:u w:val="single"/>
              </w:rPr>
              <w:t>Vysoká priorita</w:t>
            </w:r>
            <w:r w:rsidRPr="00C95939">
              <w:rPr>
                <w:b/>
                <w:sz w:val="20"/>
              </w:rPr>
              <w:t>-</w:t>
            </w:r>
            <w:r>
              <w:rPr>
                <w:b/>
                <w:sz w:val="20"/>
              </w:rPr>
              <w:t xml:space="preserve"> </w:t>
            </w:r>
            <w:r w:rsidRPr="001F0B35">
              <w:rPr>
                <w:sz w:val="20"/>
              </w:rPr>
              <w:t>Verejná konzultácia na túto tému bola už Komisiou uskutočnená. Pozícia SR bude závisieť od konkrétnych návrhov vyplývajúcich z kontroly vhodnosti.</w:t>
            </w:r>
          </w:p>
        </w:tc>
      </w:tr>
      <w:tr w:rsidR="00A2157E" w:rsidTr="00A73ED0">
        <w:trPr>
          <w:cantSplit/>
          <w:trHeight w:val="2390"/>
        </w:trPr>
        <w:tc>
          <w:tcPr>
            <w:tcW w:w="647" w:type="dxa"/>
            <w:shd w:val="clear" w:color="auto" w:fill="auto"/>
          </w:tcPr>
          <w:p w:rsidR="00A2157E" w:rsidRDefault="00A2157E" w:rsidP="00A2157E">
            <w:pPr>
              <w:numPr>
                <w:ilvl w:val="0"/>
                <w:numId w:val="23"/>
              </w:numPr>
              <w:spacing w:after="0" w:line="276" w:lineRule="auto"/>
              <w:jc w:val="left"/>
              <w:rPr>
                <w:rFonts w:eastAsiaTheme="minorHAnsi" w:cstheme="minorBidi"/>
                <w:b/>
                <w:noProof/>
                <w:color w:val="000000"/>
                <w:sz w:val="20"/>
              </w:rPr>
            </w:pPr>
          </w:p>
        </w:tc>
        <w:tc>
          <w:tcPr>
            <w:tcW w:w="2467" w:type="dxa"/>
          </w:tcPr>
          <w:p w:rsidR="00A2157E" w:rsidRDefault="00A2157E" w:rsidP="00A2157E">
            <w:pPr>
              <w:spacing w:after="0"/>
              <w:jc w:val="left"/>
              <w:rPr>
                <w:rFonts w:eastAsiaTheme="minorEastAsia" w:cstheme="minorBidi"/>
                <w:b/>
                <w:bCs/>
                <w:noProof/>
                <w:sz w:val="20"/>
              </w:rPr>
            </w:pPr>
            <w:r>
              <w:rPr>
                <w:b/>
                <w:bCs/>
                <w:noProof/>
                <w:sz w:val="20"/>
              </w:rPr>
              <w:t>Hodnotenie právnych predpisov o obchode s drogovými prekurzormi</w:t>
            </w:r>
          </w:p>
        </w:tc>
        <w:tc>
          <w:tcPr>
            <w:tcW w:w="4961" w:type="dxa"/>
          </w:tcPr>
          <w:p w:rsidR="00F56847" w:rsidRPr="00F56847" w:rsidRDefault="00F56847" w:rsidP="00F56847">
            <w:pPr>
              <w:spacing w:after="0"/>
              <w:rPr>
                <w:noProof/>
                <w:sz w:val="20"/>
              </w:rPr>
            </w:pPr>
            <w:r w:rsidRPr="00F56847">
              <w:rPr>
                <w:noProof/>
                <w:sz w:val="20"/>
              </w:rPr>
              <w:t>Nariadenie (ES) č. 273/2004 EP a Rady a nariadenie Rady (ES) č.</w:t>
            </w:r>
          </w:p>
          <w:p w:rsidR="00F56847" w:rsidRPr="00F56847" w:rsidRDefault="00F56847" w:rsidP="00F56847">
            <w:pPr>
              <w:spacing w:after="0"/>
              <w:rPr>
                <w:noProof/>
                <w:sz w:val="20"/>
              </w:rPr>
            </w:pPr>
            <w:r w:rsidRPr="00F56847">
              <w:rPr>
                <w:noProof/>
                <w:sz w:val="20"/>
              </w:rPr>
              <w:t>111/2005 o drogových prekurzoroch sa budú hodnotiť z hľadiska</w:t>
            </w:r>
          </w:p>
          <w:p w:rsidR="00F56847" w:rsidRPr="00F56847" w:rsidRDefault="00F56847" w:rsidP="00F56847">
            <w:pPr>
              <w:spacing w:after="0"/>
              <w:rPr>
                <w:noProof/>
                <w:sz w:val="20"/>
              </w:rPr>
            </w:pPr>
            <w:r w:rsidRPr="00F56847">
              <w:rPr>
                <w:noProof/>
                <w:sz w:val="20"/>
              </w:rPr>
              <w:t>ich cieľa, ktorým je vytvorenie monitorovacieho a kontrolného</w:t>
            </w:r>
          </w:p>
          <w:p w:rsidR="00F56847" w:rsidRPr="00F56847" w:rsidRDefault="00F56847" w:rsidP="00F56847">
            <w:pPr>
              <w:spacing w:after="0"/>
              <w:rPr>
                <w:noProof/>
                <w:sz w:val="20"/>
              </w:rPr>
            </w:pPr>
            <w:r w:rsidRPr="00F56847">
              <w:rPr>
                <w:noProof/>
                <w:sz w:val="20"/>
              </w:rPr>
              <w:t>systému obchodovania s drogovými prekurzormi s cieľom</w:t>
            </w:r>
          </w:p>
          <w:p w:rsidR="00F56847" w:rsidRPr="00F56847" w:rsidRDefault="00F56847" w:rsidP="00F56847">
            <w:pPr>
              <w:spacing w:after="0"/>
              <w:rPr>
                <w:noProof/>
                <w:sz w:val="20"/>
              </w:rPr>
            </w:pPr>
            <w:r w:rsidRPr="00F56847">
              <w:rPr>
                <w:noProof/>
                <w:sz w:val="20"/>
              </w:rPr>
              <w:t>zabrániť ich posunu z legálneho dodávateľského reťazca do</w:t>
            </w:r>
          </w:p>
          <w:p w:rsidR="00F56847" w:rsidRPr="00F56847" w:rsidRDefault="00F56847" w:rsidP="00F56847">
            <w:pPr>
              <w:spacing w:after="0"/>
              <w:rPr>
                <w:noProof/>
                <w:sz w:val="20"/>
              </w:rPr>
            </w:pPr>
            <w:r w:rsidRPr="00F56847">
              <w:rPr>
                <w:noProof/>
                <w:sz w:val="20"/>
              </w:rPr>
              <w:t>výroby nelegálnych drog. Okrem týchto dvoch nariadení sa</w:t>
            </w:r>
          </w:p>
          <w:p w:rsidR="00F56847" w:rsidRPr="00F56847" w:rsidRDefault="00F56847" w:rsidP="00F56847">
            <w:pPr>
              <w:spacing w:after="0"/>
              <w:rPr>
                <w:noProof/>
                <w:sz w:val="20"/>
              </w:rPr>
            </w:pPr>
            <w:r w:rsidRPr="00F56847">
              <w:rPr>
                <w:noProof/>
                <w:sz w:val="20"/>
              </w:rPr>
              <w:t>hodnotenie bude vzťahovať aj na ich súvisiace akty, delegované</w:t>
            </w:r>
          </w:p>
          <w:p w:rsidR="00F56847" w:rsidRPr="00F56847" w:rsidRDefault="00F56847" w:rsidP="00F56847">
            <w:pPr>
              <w:spacing w:after="0"/>
              <w:rPr>
                <w:noProof/>
                <w:sz w:val="20"/>
              </w:rPr>
            </w:pPr>
            <w:r w:rsidRPr="00F56847">
              <w:rPr>
                <w:noProof/>
                <w:sz w:val="20"/>
              </w:rPr>
              <w:t>nariadenie Komisie (EÚ) 2015/1011 a vykonávacie nariadenie</w:t>
            </w:r>
          </w:p>
          <w:p w:rsidR="00A2157E" w:rsidRDefault="00F56847" w:rsidP="00F56847">
            <w:pPr>
              <w:spacing w:after="0"/>
              <w:rPr>
                <w:rFonts w:eastAsiaTheme="minorEastAsia" w:cstheme="minorBidi"/>
                <w:noProof/>
                <w:color w:val="000000" w:themeColor="text1"/>
                <w:sz w:val="20"/>
              </w:rPr>
            </w:pPr>
            <w:r w:rsidRPr="00F56847">
              <w:rPr>
                <w:noProof/>
                <w:sz w:val="20"/>
              </w:rPr>
              <w:t>Komisie (EÚ) 2015/1013.</w:t>
            </w:r>
          </w:p>
        </w:tc>
        <w:tc>
          <w:tcPr>
            <w:tcW w:w="1276" w:type="dxa"/>
          </w:tcPr>
          <w:p w:rsidR="00A2157E" w:rsidRPr="00BB5F97" w:rsidRDefault="00A2157E" w:rsidP="00A2157E">
            <w:pPr>
              <w:spacing w:after="0"/>
              <w:ind w:right="112"/>
              <w:jc w:val="center"/>
              <w:rPr>
                <w:b/>
                <w:sz w:val="20"/>
              </w:rPr>
            </w:pPr>
            <w:r w:rsidRPr="00BB5F97">
              <w:rPr>
                <w:b/>
                <w:sz w:val="20"/>
              </w:rPr>
              <w:t>MH SR</w:t>
            </w:r>
          </w:p>
          <w:p w:rsidR="00A2157E" w:rsidRDefault="00A2157E" w:rsidP="00A2157E">
            <w:pPr>
              <w:spacing w:after="0"/>
              <w:ind w:right="112"/>
              <w:jc w:val="center"/>
              <w:rPr>
                <w:b/>
                <w:sz w:val="20"/>
              </w:rPr>
            </w:pPr>
            <w:r w:rsidRPr="00BB5F97">
              <w:rPr>
                <w:b/>
                <w:sz w:val="20"/>
              </w:rPr>
              <w:t>ŠUKL</w:t>
            </w:r>
          </w:p>
          <w:p w:rsidR="00F56847" w:rsidRDefault="00F56847" w:rsidP="00A2157E">
            <w:pPr>
              <w:spacing w:after="0"/>
              <w:ind w:right="112"/>
              <w:jc w:val="center"/>
              <w:rPr>
                <w:b/>
                <w:sz w:val="20"/>
              </w:rPr>
            </w:pPr>
            <w:r>
              <w:rPr>
                <w:b/>
                <w:sz w:val="20"/>
              </w:rPr>
              <w:t>MV SR</w:t>
            </w:r>
          </w:p>
          <w:p w:rsidR="00F56847" w:rsidRPr="00950042" w:rsidRDefault="00F56847" w:rsidP="00A2157E">
            <w:pPr>
              <w:spacing w:after="0"/>
              <w:ind w:right="112"/>
              <w:jc w:val="center"/>
              <w:rPr>
                <w:b/>
                <w:sz w:val="20"/>
                <w:highlight w:val="yellow"/>
              </w:rPr>
            </w:pPr>
            <w:r>
              <w:rPr>
                <w:b/>
                <w:sz w:val="20"/>
              </w:rPr>
              <w:t>MF SR</w:t>
            </w:r>
          </w:p>
        </w:tc>
        <w:tc>
          <w:tcPr>
            <w:tcW w:w="5245" w:type="dxa"/>
          </w:tcPr>
          <w:p w:rsidR="00A2157E" w:rsidRPr="004D73FA" w:rsidRDefault="00A2157E" w:rsidP="004D73FA">
            <w:pPr>
              <w:ind w:right="112"/>
              <w:rPr>
                <w:color w:val="FF0000"/>
                <w:sz w:val="20"/>
              </w:rPr>
            </w:pPr>
            <w:r w:rsidRPr="00F56847">
              <w:rPr>
                <w:b/>
                <w:sz w:val="20"/>
                <w:u w:val="single"/>
              </w:rPr>
              <w:t>Vysoká priorita</w:t>
            </w:r>
            <w:r w:rsidRPr="00F56847">
              <w:rPr>
                <w:b/>
                <w:sz w:val="20"/>
              </w:rPr>
              <w:t xml:space="preserve">- </w:t>
            </w:r>
            <w:r w:rsidR="004D73FA">
              <w:rPr>
                <w:sz w:val="20"/>
              </w:rPr>
              <w:t xml:space="preserve">Komisia v súlade s čl. 16 ods. 3 nariadenia (ES) č. 273/2004 </w:t>
            </w:r>
            <w:r w:rsidR="004D73FA" w:rsidRPr="004D73FA">
              <w:rPr>
                <w:sz w:val="20"/>
              </w:rPr>
              <w:t xml:space="preserve">EP a Rady a s čl. 32 ods. 4 </w:t>
            </w:r>
            <w:r w:rsidR="004D73FA">
              <w:rPr>
                <w:sz w:val="20"/>
              </w:rPr>
              <w:t xml:space="preserve">nariadenia </w:t>
            </w:r>
            <w:r w:rsidR="004D73FA" w:rsidRPr="004D73FA">
              <w:rPr>
                <w:sz w:val="20"/>
              </w:rPr>
              <w:t>Rady</w:t>
            </w:r>
            <w:r w:rsidR="004D73FA">
              <w:rPr>
                <w:sz w:val="20"/>
              </w:rPr>
              <w:t xml:space="preserve"> (ES) č. 111/2005</w:t>
            </w:r>
            <w:r w:rsidR="004D73FA" w:rsidRPr="004D73FA">
              <w:rPr>
                <w:sz w:val="20"/>
              </w:rPr>
              <w:t xml:space="preserve"> predložila Európskemu parlamentu a Rade </w:t>
            </w:r>
            <w:r w:rsidR="004D73FA">
              <w:rPr>
                <w:sz w:val="20"/>
              </w:rPr>
              <w:t xml:space="preserve">do 31. decembra 2019 správu </w:t>
            </w:r>
            <w:r w:rsidR="004D73FA" w:rsidRPr="004D73FA">
              <w:rPr>
                <w:sz w:val="20"/>
              </w:rPr>
              <w:t xml:space="preserve">o vykonávaní a fungovaní týchto nariadení. SR </w:t>
            </w:r>
            <w:r w:rsidR="004D73FA">
              <w:rPr>
                <w:sz w:val="20"/>
              </w:rPr>
              <w:t xml:space="preserve">poskytla vstupy potrebné pre správu. O identifikovaných závažných problémoch pri ich uplatňovaní </w:t>
            </w:r>
            <w:r w:rsidR="004D73FA" w:rsidRPr="004D73FA">
              <w:rPr>
                <w:sz w:val="20"/>
              </w:rPr>
              <w:t>Komisiu už v minulosti informovala. Z uvedeného dôvodu podporujeme revíziu, ktorej cieľom bude odstránenie nedostatkov, zosúladenie jednotlivých ustanovení a prijatie dodatočných opatrení.</w:t>
            </w:r>
          </w:p>
        </w:tc>
      </w:tr>
      <w:tr w:rsidR="00A2157E" w:rsidTr="00A73ED0">
        <w:trPr>
          <w:cantSplit/>
        </w:trPr>
        <w:tc>
          <w:tcPr>
            <w:tcW w:w="647" w:type="dxa"/>
            <w:tcBorders>
              <w:bottom w:val="single" w:sz="4" w:space="0" w:color="auto"/>
            </w:tcBorders>
            <w:shd w:val="clear" w:color="auto" w:fill="auto"/>
          </w:tcPr>
          <w:p w:rsidR="00A2157E" w:rsidRDefault="00A2157E" w:rsidP="00A2157E">
            <w:pPr>
              <w:numPr>
                <w:ilvl w:val="0"/>
                <w:numId w:val="23"/>
              </w:numPr>
              <w:spacing w:after="0" w:line="276" w:lineRule="auto"/>
              <w:jc w:val="left"/>
              <w:rPr>
                <w:rFonts w:eastAsiaTheme="minorHAnsi" w:cstheme="minorBidi"/>
                <w:b/>
                <w:noProof/>
                <w:color w:val="000000"/>
                <w:sz w:val="20"/>
              </w:rPr>
            </w:pPr>
          </w:p>
        </w:tc>
        <w:tc>
          <w:tcPr>
            <w:tcW w:w="2467" w:type="dxa"/>
            <w:tcBorders>
              <w:bottom w:val="single" w:sz="4" w:space="0" w:color="auto"/>
            </w:tcBorders>
          </w:tcPr>
          <w:p w:rsidR="00A2157E" w:rsidRDefault="00A2157E" w:rsidP="00A2157E">
            <w:pPr>
              <w:spacing w:after="0"/>
              <w:jc w:val="left"/>
              <w:rPr>
                <w:rFonts w:eastAsiaTheme="minorEastAsia" w:cstheme="minorBidi"/>
                <w:b/>
                <w:bCs/>
                <w:noProof/>
                <w:sz w:val="20"/>
              </w:rPr>
            </w:pPr>
            <w:r>
              <w:rPr>
                <w:b/>
                <w:bCs/>
                <w:noProof/>
                <w:sz w:val="20"/>
              </w:rPr>
              <w:t xml:space="preserve">Hodnotenie nariadenia 515/97 o vzájomnej pomoci v colných záležitostiach </w:t>
            </w:r>
          </w:p>
        </w:tc>
        <w:tc>
          <w:tcPr>
            <w:tcW w:w="4961" w:type="dxa"/>
            <w:tcBorders>
              <w:bottom w:val="single" w:sz="4" w:space="0" w:color="auto"/>
            </w:tcBorders>
          </w:tcPr>
          <w:p w:rsidR="00A2157E" w:rsidRDefault="00A2157E" w:rsidP="00A2157E">
            <w:pPr>
              <w:spacing w:after="0"/>
              <w:rPr>
                <w:rFonts w:eastAsiaTheme="minorEastAsia" w:cstheme="minorBidi"/>
                <w:noProof/>
                <w:sz w:val="20"/>
              </w:rPr>
            </w:pPr>
            <w:r>
              <w:rPr>
                <w:noProof/>
                <w:sz w:val="20"/>
              </w:rPr>
              <w:t>Nariadením č. 515/97 sa zabezpečuje správne uplatňovanie colných právnych predpisov EÚ. Od revízie nariadenia č. 515/97 vykonanej v roku 2015 sa zaznamenal nový vývoj (napr. nový režim ochrany údajov, nové riziká podvodov). V hodnotení sa posúdi celkové fungovanie nariadenia č. 515/97, a to aj s využitím cielenej konzultácie.</w:t>
            </w:r>
          </w:p>
        </w:tc>
        <w:tc>
          <w:tcPr>
            <w:tcW w:w="1276" w:type="dxa"/>
            <w:tcBorders>
              <w:bottom w:val="single" w:sz="4" w:space="0" w:color="auto"/>
            </w:tcBorders>
          </w:tcPr>
          <w:p w:rsidR="00A2157E" w:rsidRPr="00C95939" w:rsidRDefault="00A2157E" w:rsidP="00A2157E">
            <w:pPr>
              <w:spacing w:after="0"/>
              <w:jc w:val="center"/>
              <w:rPr>
                <w:b/>
                <w:noProof/>
                <w:sz w:val="20"/>
              </w:rPr>
            </w:pPr>
            <w:r w:rsidRPr="00C95939">
              <w:rPr>
                <w:b/>
                <w:noProof/>
                <w:sz w:val="20"/>
              </w:rPr>
              <w:t>MF SR</w:t>
            </w:r>
          </w:p>
        </w:tc>
        <w:tc>
          <w:tcPr>
            <w:tcW w:w="5245" w:type="dxa"/>
            <w:tcBorders>
              <w:bottom w:val="single" w:sz="4" w:space="0" w:color="auto"/>
            </w:tcBorders>
          </w:tcPr>
          <w:p w:rsidR="00A2157E" w:rsidRDefault="006A5DC7" w:rsidP="00A2157E">
            <w:pPr>
              <w:spacing w:after="0"/>
              <w:rPr>
                <w:noProof/>
                <w:sz w:val="20"/>
              </w:rPr>
            </w:pPr>
            <w:r>
              <w:rPr>
                <w:b/>
                <w:sz w:val="20"/>
                <w:u w:val="single"/>
              </w:rPr>
              <w:t xml:space="preserve">Stredná </w:t>
            </w:r>
            <w:r w:rsidR="00A2157E" w:rsidRPr="00BB5F97">
              <w:rPr>
                <w:b/>
                <w:sz w:val="20"/>
                <w:u w:val="single"/>
              </w:rPr>
              <w:t>priorita</w:t>
            </w:r>
            <w:r w:rsidR="00A2157E" w:rsidRPr="00C95939">
              <w:rPr>
                <w:b/>
                <w:sz w:val="20"/>
              </w:rPr>
              <w:t>-</w:t>
            </w:r>
            <w:r w:rsidR="00A2157E">
              <w:rPr>
                <w:b/>
                <w:sz w:val="20"/>
              </w:rPr>
              <w:t xml:space="preserve"> </w:t>
            </w:r>
            <w:r w:rsidR="00A2157E" w:rsidRPr="009973B3">
              <w:rPr>
                <w:sz w:val="20"/>
              </w:rPr>
              <w:t>SR víta a podporuje iniciatívu na revíziu nariadenia 515/97.</w:t>
            </w:r>
          </w:p>
        </w:tc>
      </w:tr>
      <w:tr w:rsidR="00A2157E" w:rsidTr="00B675B3">
        <w:trPr>
          <w:cantSplit/>
        </w:trPr>
        <w:tc>
          <w:tcPr>
            <w:tcW w:w="8075" w:type="dxa"/>
            <w:gridSpan w:val="3"/>
            <w:tcBorders>
              <w:bottom w:val="single" w:sz="4" w:space="0" w:color="auto"/>
            </w:tcBorders>
            <w:shd w:val="clear" w:color="auto" w:fill="585EAA" w:themeFill="accent4"/>
          </w:tcPr>
          <w:p w:rsidR="00A2157E" w:rsidRDefault="00A2157E" w:rsidP="00A2157E">
            <w:pPr>
              <w:keepNext/>
              <w:spacing w:before="60" w:after="60"/>
              <w:jc w:val="left"/>
              <w:rPr>
                <w:b/>
                <w:bCs/>
                <w:noProof/>
                <w:sz w:val="20"/>
              </w:rPr>
            </w:pPr>
            <w:r>
              <w:rPr>
                <w:b/>
                <w:bCs/>
                <w:noProof/>
                <w:color w:val="FFFFFF" w:themeColor="background1"/>
                <w:sz w:val="20"/>
              </w:rPr>
              <w:t>Silnejšia Európa vo svete</w:t>
            </w:r>
          </w:p>
        </w:tc>
        <w:tc>
          <w:tcPr>
            <w:tcW w:w="1276" w:type="dxa"/>
            <w:tcBorders>
              <w:bottom w:val="single" w:sz="4" w:space="0" w:color="auto"/>
            </w:tcBorders>
            <w:shd w:val="clear" w:color="auto" w:fill="585EAA" w:themeFill="accent4"/>
          </w:tcPr>
          <w:p w:rsidR="00A2157E" w:rsidRDefault="00A2157E" w:rsidP="00A2157E">
            <w:pPr>
              <w:keepNext/>
              <w:spacing w:before="60" w:after="60"/>
              <w:rPr>
                <w:b/>
                <w:bCs/>
                <w:noProof/>
                <w:color w:val="FFFFFF" w:themeColor="background1"/>
                <w:sz w:val="20"/>
              </w:rPr>
            </w:pPr>
          </w:p>
        </w:tc>
        <w:tc>
          <w:tcPr>
            <w:tcW w:w="5245" w:type="dxa"/>
            <w:tcBorders>
              <w:bottom w:val="single" w:sz="4" w:space="0" w:color="auto"/>
            </w:tcBorders>
            <w:shd w:val="clear" w:color="auto" w:fill="585EAA" w:themeFill="accent4"/>
          </w:tcPr>
          <w:p w:rsidR="00A2157E" w:rsidRDefault="00A2157E" w:rsidP="00A2157E">
            <w:pPr>
              <w:keepNext/>
              <w:spacing w:before="60" w:after="60"/>
              <w:rPr>
                <w:b/>
                <w:bCs/>
                <w:noProof/>
                <w:color w:val="FFFFFF" w:themeColor="background1"/>
                <w:sz w:val="20"/>
              </w:rPr>
            </w:pPr>
          </w:p>
        </w:tc>
      </w:tr>
      <w:tr w:rsidR="00A2157E" w:rsidTr="00A73ED0">
        <w:trPr>
          <w:cantSplit/>
        </w:trPr>
        <w:tc>
          <w:tcPr>
            <w:tcW w:w="647" w:type="dxa"/>
            <w:tcBorders>
              <w:top w:val="single" w:sz="4" w:space="0" w:color="auto"/>
              <w:left w:val="single" w:sz="4" w:space="0" w:color="auto"/>
              <w:bottom w:val="single" w:sz="4" w:space="0" w:color="auto"/>
              <w:right w:val="single" w:sz="4" w:space="0" w:color="auto"/>
            </w:tcBorders>
            <w:shd w:val="clear" w:color="auto" w:fill="auto"/>
          </w:tcPr>
          <w:p w:rsidR="00A2157E" w:rsidRDefault="00A2157E" w:rsidP="00A2157E">
            <w:pPr>
              <w:numPr>
                <w:ilvl w:val="0"/>
                <w:numId w:val="23"/>
              </w:numPr>
              <w:spacing w:after="0" w:line="276" w:lineRule="auto"/>
              <w:jc w:val="left"/>
              <w:rPr>
                <w:rFonts w:eastAsiaTheme="minorHAnsi" w:cstheme="minorBidi"/>
                <w:b/>
                <w:noProof/>
                <w:color w:val="000000" w:themeColor="text1"/>
                <w:sz w:val="20"/>
              </w:rPr>
            </w:pPr>
          </w:p>
        </w:tc>
        <w:tc>
          <w:tcPr>
            <w:tcW w:w="2467" w:type="dxa"/>
            <w:tcBorders>
              <w:top w:val="single" w:sz="4" w:space="0" w:color="auto"/>
              <w:left w:val="single" w:sz="4" w:space="0" w:color="auto"/>
              <w:bottom w:val="single" w:sz="4" w:space="0" w:color="auto"/>
              <w:right w:val="single" w:sz="4" w:space="0" w:color="auto"/>
            </w:tcBorders>
          </w:tcPr>
          <w:p w:rsidR="00A2157E" w:rsidRPr="003B1CF2" w:rsidRDefault="00A2157E" w:rsidP="00A2157E">
            <w:pPr>
              <w:spacing w:after="0"/>
              <w:jc w:val="left"/>
              <w:rPr>
                <w:rFonts w:eastAsiaTheme="minorEastAsia" w:cstheme="minorBidi"/>
                <w:b/>
                <w:noProof/>
                <w:sz w:val="20"/>
              </w:rPr>
            </w:pPr>
            <w:r w:rsidRPr="003B1CF2">
              <w:rPr>
                <w:b/>
                <w:noProof/>
                <w:sz w:val="20"/>
              </w:rPr>
              <w:t>Hodnotenie obchodného piliera šiestich dohôd o pridružení medzi EÚ a krajinami EUROMED (Tunisko, Maroko, Egypt, Jordánsko, Alžírsko a Libanon)</w:t>
            </w:r>
          </w:p>
        </w:tc>
        <w:tc>
          <w:tcPr>
            <w:tcW w:w="4961" w:type="dxa"/>
            <w:tcBorders>
              <w:top w:val="single" w:sz="4" w:space="0" w:color="auto"/>
              <w:left w:val="single" w:sz="4" w:space="0" w:color="auto"/>
              <w:bottom w:val="single" w:sz="4" w:space="0" w:color="auto"/>
              <w:right w:val="single" w:sz="4" w:space="0" w:color="auto"/>
            </w:tcBorders>
          </w:tcPr>
          <w:p w:rsidR="00A2157E" w:rsidRPr="003B1CF2" w:rsidRDefault="00A2157E" w:rsidP="00A2157E">
            <w:pPr>
              <w:spacing w:after="0"/>
              <w:jc w:val="left"/>
              <w:rPr>
                <w:rFonts w:eastAsiaTheme="minorEastAsia" w:cstheme="minorBidi"/>
                <w:noProof/>
                <w:sz w:val="20"/>
              </w:rPr>
            </w:pPr>
            <w:r w:rsidRPr="003B1CF2">
              <w:rPr>
                <w:noProof/>
                <w:sz w:val="20"/>
              </w:rPr>
              <w:t xml:space="preserve">Toto hodnotenie by mohlo identifikovať príležitosti na zefektívnenie postupov s potenciálnym znížením nákladov a administratívneho zaťaženia a zjednodušením procesov. Okrem toho by sa tieto potenciálne prínosy mohli využiť pri budúcich rokovaniach o tejto dohode alebo pri rokovaniach o dohodách s inými krajinami.  </w:t>
            </w:r>
          </w:p>
        </w:tc>
        <w:tc>
          <w:tcPr>
            <w:tcW w:w="1276" w:type="dxa"/>
            <w:tcBorders>
              <w:top w:val="single" w:sz="4" w:space="0" w:color="auto"/>
              <w:left w:val="single" w:sz="4" w:space="0" w:color="auto"/>
              <w:bottom w:val="single" w:sz="4" w:space="0" w:color="auto"/>
              <w:right w:val="single" w:sz="4" w:space="0" w:color="auto"/>
            </w:tcBorders>
          </w:tcPr>
          <w:p w:rsidR="00A2157E" w:rsidRDefault="00877ECD" w:rsidP="00877ECD">
            <w:pPr>
              <w:spacing w:after="0"/>
              <w:jc w:val="center"/>
              <w:rPr>
                <w:b/>
                <w:noProof/>
                <w:sz w:val="20"/>
              </w:rPr>
            </w:pPr>
            <w:r>
              <w:rPr>
                <w:b/>
                <w:noProof/>
                <w:sz w:val="20"/>
              </w:rPr>
              <w:t>MH SR</w:t>
            </w:r>
          </w:p>
          <w:p w:rsidR="00D6682E" w:rsidRDefault="00D6682E" w:rsidP="00D6682E">
            <w:pPr>
              <w:spacing w:after="0"/>
              <w:jc w:val="center"/>
              <w:rPr>
                <w:noProof/>
                <w:sz w:val="20"/>
              </w:rPr>
            </w:pPr>
            <w:r>
              <w:rPr>
                <w:b/>
                <w:sz w:val="20"/>
              </w:rPr>
              <w:t>MPRV SR</w:t>
            </w:r>
          </w:p>
        </w:tc>
        <w:tc>
          <w:tcPr>
            <w:tcW w:w="5245" w:type="dxa"/>
            <w:tcBorders>
              <w:top w:val="single" w:sz="4" w:space="0" w:color="auto"/>
              <w:left w:val="single" w:sz="4" w:space="0" w:color="auto"/>
              <w:bottom w:val="single" w:sz="4" w:space="0" w:color="auto"/>
              <w:right w:val="single" w:sz="4" w:space="0" w:color="auto"/>
            </w:tcBorders>
          </w:tcPr>
          <w:p w:rsidR="00A2157E" w:rsidRDefault="00D6682E" w:rsidP="00D6682E">
            <w:pPr>
              <w:rPr>
                <w:noProof/>
                <w:sz w:val="20"/>
              </w:rPr>
            </w:pPr>
            <w:r w:rsidRPr="00D6682E">
              <w:rPr>
                <w:b/>
                <w:noProof/>
                <w:sz w:val="20"/>
                <w:u w:val="single"/>
              </w:rPr>
              <w:t>Nízka priorita</w:t>
            </w:r>
            <w:r>
              <w:rPr>
                <w:noProof/>
                <w:sz w:val="20"/>
              </w:rPr>
              <w:t xml:space="preserve"> - </w:t>
            </w:r>
            <w:r w:rsidRPr="00D6682E">
              <w:rPr>
                <w:noProof/>
                <w:sz w:val="20"/>
              </w:rPr>
              <w:t>SR víta a podporuje iniciatívu na hodnotenie implementácie dohôd  EÚ s krajinami EUROMED</w:t>
            </w:r>
          </w:p>
        </w:tc>
      </w:tr>
      <w:tr w:rsidR="00A2157E" w:rsidTr="00A73ED0">
        <w:trPr>
          <w:cantSplit/>
        </w:trPr>
        <w:tc>
          <w:tcPr>
            <w:tcW w:w="647" w:type="dxa"/>
            <w:tcBorders>
              <w:top w:val="single" w:sz="4" w:space="0" w:color="auto"/>
              <w:left w:val="single" w:sz="4" w:space="0" w:color="auto"/>
              <w:bottom w:val="single" w:sz="4" w:space="0" w:color="auto"/>
              <w:right w:val="single" w:sz="4" w:space="0" w:color="auto"/>
            </w:tcBorders>
            <w:shd w:val="clear" w:color="auto" w:fill="auto"/>
          </w:tcPr>
          <w:p w:rsidR="00A2157E" w:rsidRDefault="00A2157E" w:rsidP="00A2157E">
            <w:pPr>
              <w:numPr>
                <w:ilvl w:val="0"/>
                <w:numId w:val="23"/>
              </w:numPr>
              <w:spacing w:after="0" w:line="276" w:lineRule="auto"/>
              <w:jc w:val="left"/>
              <w:rPr>
                <w:rFonts w:eastAsiaTheme="minorHAnsi" w:cstheme="minorBidi"/>
                <w:b/>
                <w:noProof/>
                <w:color w:val="000000" w:themeColor="text1"/>
                <w:sz w:val="20"/>
              </w:rPr>
            </w:pPr>
          </w:p>
        </w:tc>
        <w:tc>
          <w:tcPr>
            <w:tcW w:w="2467" w:type="dxa"/>
            <w:tcBorders>
              <w:top w:val="single" w:sz="4" w:space="0" w:color="auto"/>
              <w:left w:val="single" w:sz="4" w:space="0" w:color="auto"/>
              <w:bottom w:val="single" w:sz="4" w:space="0" w:color="auto"/>
              <w:right w:val="single" w:sz="4" w:space="0" w:color="auto"/>
            </w:tcBorders>
          </w:tcPr>
          <w:p w:rsidR="00A2157E" w:rsidRPr="003B1CF2" w:rsidRDefault="00A2157E" w:rsidP="00A2157E">
            <w:pPr>
              <w:spacing w:after="0"/>
              <w:jc w:val="left"/>
              <w:rPr>
                <w:rFonts w:eastAsiaTheme="minorEastAsia" w:cstheme="minorBidi"/>
                <w:b/>
                <w:noProof/>
                <w:sz w:val="20"/>
              </w:rPr>
            </w:pPr>
            <w:r w:rsidRPr="003B1CF2">
              <w:rPr>
                <w:b/>
                <w:noProof/>
                <w:sz w:val="20"/>
              </w:rPr>
              <w:t>Hodnotenie vykonávania Dohody o hospodárskom partnerstve medzi štátmi CARIFORUM-u a EÚ</w:t>
            </w:r>
          </w:p>
        </w:tc>
        <w:tc>
          <w:tcPr>
            <w:tcW w:w="4961" w:type="dxa"/>
            <w:tcBorders>
              <w:top w:val="single" w:sz="4" w:space="0" w:color="auto"/>
              <w:left w:val="single" w:sz="4" w:space="0" w:color="auto"/>
              <w:bottom w:val="single" w:sz="4" w:space="0" w:color="auto"/>
              <w:right w:val="single" w:sz="4" w:space="0" w:color="auto"/>
            </w:tcBorders>
          </w:tcPr>
          <w:p w:rsidR="00A2157E" w:rsidRPr="003B1CF2" w:rsidRDefault="00A2157E" w:rsidP="00A2157E">
            <w:pPr>
              <w:spacing w:after="0"/>
              <w:jc w:val="left"/>
              <w:rPr>
                <w:rFonts w:eastAsiaTheme="minorEastAsia" w:cstheme="minorBidi"/>
                <w:noProof/>
                <w:sz w:val="20"/>
              </w:rPr>
            </w:pPr>
            <w:r w:rsidRPr="003B1CF2">
              <w:rPr>
                <w:noProof/>
                <w:sz w:val="20"/>
              </w:rPr>
              <w:t xml:space="preserve">Toto hodnotenie by mohlo identifikovať príležitosti na zefektívnenie postupov s potenciálnym znížením nákladov a administratívneho zaťaženia a zjednodušením procesov. Okrem toho by sa tieto potenciálne prínosy mohli využiť pri budúcich rokovaniach o tejto dohode alebo pri rokovaniach o dohodách s inými krajinami.  </w:t>
            </w:r>
          </w:p>
        </w:tc>
        <w:tc>
          <w:tcPr>
            <w:tcW w:w="1276" w:type="dxa"/>
            <w:tcBorders>
              <w:top w:val="single" w:sz="4" w:space="0" w:color="auto"/>
              <w:left w:val="single" w:sz="4" w:space="0" w:color="auto"/>
              <w:bottom w:val="single" w:sz="4" w:space="0" w:color="auto"/>
              <w:right w:val="single" w:sz="4" w:space="0" w:color="auto"/>
            </w:tcBorders>
          </w:tcPr>
          <w:p w:rsidR="00A2157E" w:rsidRDefault="00877ECD" w:rsidP="00877ECD">
            <w:pPr>
              <w:spacing w:after="0"/>
              <w:jc w:val="center"/>
              <w:rPr>
                <w:b/>
                <w:noProof/>
                <w:sz w:val="20"/>
              </w:rPr>
            </w:pPr>
            <w:r>
              <w:rPr>
                <w:b/>
                <w:noProof/>
                <w:sz w:val="20"/>
              </w:rPr>
              <w:t>MH SR</w:t>
            </w:r>
          </w:p>
          <w:p w:rsidR="00D6682E" w:rsidRDefault="00D6682E" w:rsidP="00877ECD">
            <w:pPr>
              <w:spacing w:after="0"/>
              <w:jc w:val="center"/>
              <w:rPr>
                <w:noProof/>
                <w:sz w:val="20"/>
              </w:rPr>
            </w:pPr>
            <w:r>
              <w:rPr>
                <w:b/>
                <w:noProof/>
                <w:sz w:val="20"/>
              </w:rPr>
              <w:t>MZVEZ SR</w:t>
            </w:r>
          </w:p>
        </w:tc>
        <w:tc>
          <w:tcPr>
            <w:tcW w:w="5245" w:type="dxa"/>
            <w:tcBorders>
              <w:top w:val="single" w:sz="4" w:space="0" w:color="auto"/>
              <w:left w:val="single" w:sz="4" w:space="0" w:color="auto"/>
              <w:bottom w:val="single" w:sz="4" w:space="0" w:color="auto"/>
              <w:right w:val="single" w:sz="4" w:space="0" w:color="auto"/>
            </w:tcBorders>
          </w:tcPr>
          <w:p w:rsidR="00A2157E" w:rsidRPr="00D6682E" w:rsidRDefault="00D6682E" w:rsidP="00D6682E">
            <w:pPr>
              <w:rPr>
                <w:b/>
                <w:bCs/>
                <w:sz w:val="20"/>
              </w:rPr>
            </w:pPr>
            <w:r w:rsidRPr="00D6682E">
              <w:rPr>
                <w:b/>
                <w:noProof/>
                <w:sz w:val="20"/>
                <w:u w:val="single"/>
              </w:rPr>
              <w:t>Nízka priorita</w:t>
            </w:r>
            <w:r w:rsidRPr="00D6682E">
              <w:rPr>
                <w:noProof/>
                <w:sz w:val="20"/>
              </w:rPr>
              <w:t xml:space="preserve"> </w:t>
            </w:r>
            <w:r>
              <w:rPr>
                <w:noProof/>
                <w:sz w:val="20"/>
              </w:rPr>
              <w:t xml:space="preserve">- </w:t>
            </w:r>
            <w:r w:rsidRPr="00D6682E">
              <w:rPr>
                <w:noProof/>
                <w:sz w:val="20"/>
              </w:rPr>
              <w:t>SR víta a podporuje iniciatívu na hodnotenie implementácie dohody EPA medzi EÚ a zoskupením CARIFORUM</w:t>
            </w:r>
          </w:p>
        </w:tc>
      </w:tr>
      <w:tr w:rsidR="00A2157E" w:rsidTr="00A73ED0">
        <w:trPr>
          <w:cantSplit/>
        </w:trPr>
        <w:tc>
          <w:tcPr>
            <w:tcW w:w="647" w:type="dxa"/>
            <w:tcBorders>
              <w:top w:val="single" w:sz="4" w:space="0" w:color="auto"/>
              <w:left w:val="single" w:sz="4" w:space="0" w:color="auto"/>
              <w:bottom w:val="single" w:sz="4" w:space="0" w:color="auto"/>
              <w:right w:val="single" w:sz="4" w:space="0" w:color="auto"/>
            </w:tcBorders>
            <w:shd w:val="clear" w:color="auto" w:fill="auto"/>
          </w:tcPr>
          <w:p w:rsidR="00A2157E" w:rsidRDefault="00A2157E" w:rsidP="00A2157E">
            <w:pPr>
              <w:numPr>
                <w:ilvl w:val="0"/>
                <w:numId w:val="23"/>
              </w:numPr>
              <w:spacing w:after="0" w:line="276" w:lineRule="auto"/>
              <w:jc w:val="left"/>
              <w:rPr>
                <w:rFonts w:eastAsiaTheme="minorHAnsi" w:cstheme="minorBidi"/>
                <w:b/>
                <w:noProof/>
                <w:color w:val="000000" w:themeColor="text1"/>
                <w:sz w:val="20"/>
              </w:rPr>
            </w:pPr>
          </w:p>
        </w:tc>
        <w:tc>
          <w:tcPr>
            <w:tcW w:w="2467" w:type="dxa"/>
            <w:tcBorders>
              <w:top w:val="single" w:sz="4" w:space="0" w:color="auto"/>
              <w:left w:val="single" w:sz="4" w:space="0" w:color="auto"/>
              <w:bottom w:val="single" w:sz="4" w:space="0" w:color="auto"/>
              <w:right w:val="single" w:sz="4" w:space="0" w:color="auto"/>
            </w:tcBorders>
          </w:tcPr>
          <w:p w:rsidR="00A2157E" w:rsidRPr="003B1CF2" w:rsidRDefault="00A2157E" w:rsidP="00A2157E">
            <w:pPr>
              <w:spacing w:after="0"/>
              <w:jc w:val="left"/>
              <w:rPr>
                <w:rFonts w:eastAsiaTheme="minorEastAsia" w:cstheme="minorBidi"/>
                <w:b/>
                <w:bCs/>
                <w:noProof/>
                <w:sz w:val="20"/>
              </w:rPr>
            </w:pPr>
            <w:r w:rsidRPr="003B1CF2">
              <w:rPr>
                <w:b/>
                <w:bCs/>
                <w:noProof/>
                <w:sz w:val="20"/>
              </w:rPr>
              <w:t>Obchod bez mučenia</w:t>
            </w:r>
          </w:p>
        </w:tc>
        <w:tc>
          <w:tcPr>
            <w:tcW w:w="4961" w:type="dxa"/>
            <w:tcBorders>
              <w:top w:val="single" w:sz="4" w:space="0" w:color="auto"/>
              <w:left w:val="single" w:sz="4" w:space="0" w:color="auto"/>
              <w:bottom w:val="single" w:sz="4" w:space="0" w:color="auto"/>
              <w:right w:val="single" w:sz="4" w:space="0" w:color="auto"/>
            </w:tcBorders>
          </w:tcPr>
          <w:p w:rsidR="00A2157E" w:rsidRPr="003B1CF2" w:rsidRDefault="00A2157E" w:rsidP="00A2157E">
            <w:pPr>
              <w:spacing w:after="0"/>
              <w:jc w:val="left"/>
              <w:rPr>
                <w:rFonts w:eastAsiaTheme="minorEastAsia" w:cstheme="minorBidi"/>
                <w:noProof/>
                <w:sz w:val="20"/>
              </w:rPr>
            </w:pPr>
            <w:r w:rsidRPr="003B1CF2">
              <w:rPr>
                <w:noProof/>
                <w:sz w:val="20"/>
              </w:rPr>
              <w:t>Preskúmanie nariadenia Rady (EÚ) 2019/125 (nariadenie proti mučeniu) o obchodovaní s určitým tovarom, ktorý možno použiť na vykonanie trestu smrti, mučenie alebo iné kruté, neľudské alebo ponižujúce zaobchádzanie alebo trestanie.</w:t>
            </w:r>
            <w:r w:rsidRPr="003B1CF2">
              <w:rPr>
                <w:noProof/>
                <w:sz w:val="20"/>
              </w:rPr>
              <w:br/>
              <w:t>V súlade s článkom 32 nariadenia proti mučeniu Komisia preskúma do 31. júla 2020 a následne každých päť rokov jeho vykonávanie. Na základe správy o preskúmaní, ktorá sa má prijať do júla 2020, Komisia rozhodne, či by sa mali navrhnúť nejaké zmeny nariadenia. Bez toho, aby bol dotknutý výsledok preskúmania, a s cieľom zabezpečiť, aby príslušný tovar naďalej podliehal účinným obmedzeniam, by sa mohli zvážiť potenciálne oblasti zjednodušenia, napríklad v súvislosti s požiadavkami na podávanie správ alebo výmenou informácií.</w:t>
            </w:r>
          </w:p>
        </w:tc>
        <w:tc>
          <w:tcPr>
            <w:tcW w:w="1276" w:type="dxa"/>
            <w:tcBorders>
              <w:top w:val="single" w:sz="4" w:space="0" w:color="auto"/>
              <w:left w:val="single" w:sz="4" w:space="0" w:color="auto"/>
              <w:bottom w:val="single" w:sz="4" w:space="0" w:color="auto"/>
              <w:right w:val="single" w:sz="4" w:space="0" w:color="auto"/>
            </w:tcBorders>
          </w:tcPr>
          <w:p w:rsidR="00A2157E" w:rsidRPr="00AB20C6" w:rsidRDefault="00877ECD" w:rsidP="00AB20C6">
            <w:pPr>
              <w:spacing w:after="0"/>
              <w:jc w:val="center"/>
              <w:rPr>
                <w:b/>
                <w:noProof/>
                <w:sz w:val="20"/>
              </w:rPr>
            </w:pPr>
            <w:r>
              <w:rPr>
                <w:b/>
                <w:noProof/>
                <w:sz w:val="20"/>
              </w:rPr>
              <w:t xml:space="preserve">MH SR </w:t>
            </w:r>
          </w:p>
        </w:tc>
        <w:tc>
          <w:tcPr>
            <w:tcW w:w="5245" w:type="dxa"/>
            <w:tcBorders>
              <w:top w:val="single" w:sz="4" w:space="0" w:color="auto"/>
              <w:left w:val="single" w:sz="4" w:space="0" w:color="auto"/>
              <w:bottom w:val="single" w:sz="4" w:space="0" w:color="auto"/>
              <w:right w:val="single" w:sz="4" w:space="0" w:color="auto"/>
            </w:tcBorders>
          </w:tcPr>
          <w:p w:rsidR="00A2157E" w:rsidRDefault="00302340" w:rsidP="00302340">
            <w:pPr>
              <w:spacing w:after="0"/>
              <w:rPr>
                <w:noProof/>
                <w:sz w:val="20"/>
              </w:rPr>
            </w:pPr>
            <w:r>
              <w:rPr>
                <w:b/>
                <w:noProof/>
                <w:sz w:val="20"/>
                <w:u w:val="single"/>
              </w:rPr>
              <w:t>Nízka priorita</w:t>
            </w:r>
            <w:r>
              <w:rPr>
                <w:noProof/>
                <w:sz w:val="20"/>
              </w:rPr>
              <w:t xml:space="preserve"> – nakoľko od účinnosti nariadenia  Slovenská republika neeviduje žiadnu žiadosť na tovary, ktoré možno použiť na vykonanie trestu smrti, mučenie alebo iné kruté, neľudské alebo ponižujúce zaobchádzanie alebo trestanie.</w:t>
            </w:r>
          </w:p>
        </w:tc>
      </w:tr>
      <w:tr w:rsidR="00A2157E" w:rsidTr="00B675B3">
        <w:trPr>
          <w:cantSplit/>
        </w:trPr>
        <w:tc>
          <w:tcPr>
            <w:tcW w:w="8075" w:type="dxa"/>
            <w:gridSpan w:val="3"/>
            <w:shd w:val="clear" w:color="auto" w:fill="DA5C57" w:themeFill="accent6"/>
          </w:tcPr>
          <w:p w:rsidR="00A2157E" w:rsidRDefault="00A2157E" w:rsidP="00A2157E">
            <w:pPr>
              <w:keepNext/>
              <w:spacing w:before="60" w:after="60"/>
              <w:jc w:val="left"/>
              <w:rPr>
                <w:b/>
                <w:bCs/>
                <w:noProof/>
                <w:sz w:val="20"/>
              </w:rPr>
            </w:pPr>
            <w:r>
              <w:rPr>
                <w:b/>
                <w:bCs/>
                <w:noProof/>
                <w:color w:val="FFFFFF" w:themeColor="background1"/>
                <w:sz w:val="20"/>
              </w:rPr>
              <w:t>Podpora európskeho spôsobu života</w:t>
            </w:r>
          </w:p>
        </w:tc>
        <w:tc>
          <w:tcPr>
            <w:tcW w:w="1276" w:type="dxa"/>
            <w:shd w:val="clear" w:color="auto" w:fill="DA5C57" w:themeFill="accent6"/>
          </w:tcPr>
          <w:p w:rsidR="00A2157E" w:rsidRDefault="00A2157E" w:rsidP="00A2157E">
            <w:pPr>
              <w:keepNext/>
              <w:spacing w:before="60" w:after="60"/>
              <w:rPr>
                <w:b/>
                <w:bCs/>
                <w:noProof/>
                <w:color w:val="FFFFFF" w:themeColor="background1"/>
                <w:sz w:val="20"/>
              </w:rPr>
            </w:pPr>
          </w:p>
        </w:tc>
        <w:tc>
          <w:tcPr>
            <w:tcW w:w="5245" w:type="dxa"/>
            <w:shd w:val="clear" w:color="auto" w:fill="DA5C57" w:themeFill="accent6"/>
          </w:tcPr>
          <w:p w:rsidR="00A2157E" w:rsidRDefault="00A2157E" w:rsidP="00A2157E">
            <w:pPr>
              <w:keepNext/>
              <w:spacing w:before="60" w:after="60"/>
              <w:rPr>
                <w:b/>
                <w:bCs/>
                <w:noProof/>
                <w:color w:val="FFFFFF" w:themeColor="background1"/>
                <w:sz w:val="20"/>
              </w:rPr>
            </w:pPr>
          </w:p>
        </w:tc>
      </w:tr>
      <w:tr w:rsidR="00A2157E" w:rsidTr="00A73ED0">
        <w:trPr>
          <w:cantSplit/>
        </w:trPr>
        <w:tc>
          <w:tcPr>
            <w:tcW w:w="647" w:type="dxa"/>
            <w:tcBorders>
              <w:bottom w:val="single" w:sz="4" w:space="0" w:color="auto"/>
            </w:tcBorders>
            <w:shd w:val="clear" w:color="auto" w:fill="auto"/>
          </w:tcPr>
          <w:p w:rsidR="00A2157E" w:rsidRDefault="00A2157E" w:rsidP="00A2157E">
            <w:pPr>
              <w:numPr>
                <w:ilvl w:val="0"/>
                <w:numId w:val="23"/>
              </w:numPr>
              <w:spacing w:after="0" w:line="276" w:lineRule="auto"/>
              <w:jc w:val="left"/>
              <w:rPr>
                <w:rFonts w:eastAsiaTheme="minorHAnsi" w:cstheme="minorBidi"/>
                <w:b/>
                <w:noProof/>
                <w:color w:val="000000" w:themeColor="text1"/>
                <w:sz w:val="20"/>
              </w:rPr>
            </w:pPr>
          </w:p>
        </w:tc>
        <w:tc>
          <w:tcPr>
            <w:tcW w:w="2467" w:type="dxa"/>
            <w:tcBorders>
              <w:bottom w:val="single" w:sz="4" w:space="0" w:color="auto"/>
            </w:tcBorders>
          </w:tcPr>
          <w:p w:rsidR="00A2157E" w:rsidRDefault="00A2157E" w:rsidP="00A2157E">
            <w:pPr>
              <w:spacing w:after="0"/>
              <w:jc w:val="left"/>
              <w:rPr>
                <w:rFonts w:eastAsiaTheme="minorEastAsia" w:cstheme="minorBidi"/>
                <w:b/>
                <w:bCs/>
                <w:noProof/>
                <w:sz w:val="20"/>
              </w:rPr>
            </w:pPr>
            <w:r>
              <w:rPr>
                <w:b/>
                <w:bCs/>
                <w:noProof/>
                <w:sz w:val="20"/>
              </w:rPr>
              <w:t>Hodnotenie nariadenia (ES) č. 1901/2006 o liekoch na pediatrické použitie a nariadenia (ES) č. 141/2000 o liekoch na ojedinelé ochorenia</w:t>
            </w:r>
          </w:p>
        </w:tc>
        <w:tc>
          <w:tcPr>
            <w:tcW w:w="4961" w:type="dxa"/>
            <w:tcBorders>
              <w:bottom w:val="single" w:sz="4" w:space="0" w:color="auto"/>
            </w:tcBorders>
          </w:tcPr>
          <w:p w:rsidR="00A2157E" w:rsidRDefault="00A2157E" w:rsidP="00A2157E">
            <w:pPr>
              <w:spacing w:after="0"/>
              <w:rPr>
                <w:rFonts w:eastAsiaTheme="minorEastAsia" w:cstheme="minorBidi"/>
                <w:noProof/>
                <w:sz w:val="20"/>
              </w:rPr>
            </w:pPr>
            <w:r>
              <w:rPr>
                <w:noProof/>
                <w:sz w:val="20"/>
              </w:rPr>
              <w:t>Toto hodnotenie bude predstavovať zmysluplný príspevok pre budúcu farmaceutickú stratégiu EÚ. Na základe dostupných dôkazov sa v hodnotení samostatne aj spoločne hodnotia silné a slabé stránky nariadenia o liekoch na ojedinelé ochorenia a nariadenia o liekoch na pediatrické použitie. Hodnotenie sa okrem iného zameriava na výrobky, ktoré spĺňajú neuspokojené liečebné potreby, a na spôsob, akým boli stimuly stanovené v súčasných právnych predpisoch využité.</w:t>
            </w:r>
          </w:p>
        </w:tc>
        <w:tc>
          <w:tcPr>
            <w:tcW w:w="1276" w:type="dxa"/>
            <w:tcBorders>
              <w:bottom w:val="single" w:sz="4" w:space="0" w:color="auto"/>
            </w:tcBorders>
          </w:tcPr>
          <w:p w:rsidR="00A2157E" w:rsidRPr="00545607" w:rsidRDefault="00A2157E" w:rsidP="00A2157E">
            <w:pPr>
              <w:spacing w:after="0"/>
              <w:ind w:right="112"/>
              <w:jc w:val="center"/>
              <w:rPr>
                <w:b/>
                <w:sz w:val="20"/>
              </w:rPr>
            </w:pPr>
            <w:r w:rsidRPr="00545607">
              <w:rPr>
                <w:b/>
                <w:sz w:val="20"/>
              </w:rPr>
              <w:t>MZ SR</w:t>
            </w:r>
          </w:p>
        </w:tc>
        <w:tc>
          <w:tcPr>
            <w:tcW w:w="5245" w:type="dxa"/>
            <w:tcBorders>
              <w:bottom w:val="single" w:sz="4" w:space="0" w:color="auto"/>
            </w:tcBorders>
          </w:tcPr>
          <w:p w:rsidR="00A2157E" w:rsidRPr="00545607" w:rsidRDefault="00A2157E" w:rsidP="00A2157E">
            <w:pPr>
              <w:spacing w:after="0"/>
              <w:ind w:right="112"/>
              <w:rPr>
                <w:b/>
                <w:sz w:val="20"/>
              </w:rPr>
            </w:pPr>
            <w:r w:rsidRPr="00C95939">
              <w:rPr>
                <w:b/>
                <w:sz w:val="20"/>
                <w:u w:val="single"/>
              </w:rPr>
              <w:t>Vysoká priorita</w:t>
            </w:r>
            <w:r w:rsidRPr="00545607">
              <w:rPr>
                <w:b/>
                <w:sz w:val="20"/>
              </w:rPr>
              <w:t xml:space="preserve"> - </w:t>
            </w:r>
            <w:r w:rsidRPr="00545607">
              <w:rPr>
                <w:rFonts w:eastAsia="Calibri"/>
                <w:bCs/>
                <w:sz w:val="20"/>
                <w:lang w:eastAsia="en-US"/>
              </w:rPr>
              <w:t>Všeobecne problémom sú zriedkavé  ochorenia detí. Slovenská republika bude podporovať tvorbu osobitného nariadenia, ktoré bude obsahovať pozitívne prvky oboch nariadení v záujme vývoja nových liekov na zriedkavé ochorenia detí,</w:t>
            </w:r>
          </w:p>
          <w:p w:rsidR="00A2157E" w:rsidRPr="00545607" w:rsidRDefault="00A2157E" w:rsidP="00A2157E">
            <w:pPr>
              <w:spacing w:after="0"/>
              <w:ind w:right="112"/>
              <w:rPr>
                <w:b/>
                <w:sz w:val="20"/>
              </w:rPr>
            </w:pPr>
          </w:p>
          <w:p w:rsidR="00A2157E" w:rsidRPr="00545607" w:rsidRDefault="00A2157E" w:rsidP="00A2157E">
            <w:pPr>
              <w:spacing w:after="0"/>
              <w:ind w:right="112"/>
              <w:rPr>
                <w:b/>
                <w:sz w:val="20"/>
              </w:rPr>
            </w:pPr>
          </w:p>
        </w:tc>
      </w:tr>
      <w:tr w:rsidR="00A2157E" w:rsidTr="00B675B3">
        <w:trPr>
          <w:cantSplit/>
        </w:trPr>
        <w:tc>
          <w:tcPr>
            <w:tcW w:w="8075" w:type="dxa"/>
            <w:gridSpan w:val="3"/>
            <w:tcBorders>
              <w:top w:val="single" w:sz="4" w:space="0" w:color="auto"/>
              <w:left w:val="single" w:sz="4" w:space="0" w:color="auto"/>
              <w:bottom w:val="single" w:sz="4" w:space="0" w:color="auto"/>
              <w:right w:val="single" w:sz="4" w:space="0" w:color="auto"/>
            </w:tcBorders>
            <w:shd w:val="clear" w:color="auto" w:fill="00ADDC" w:themeFill="accent5"/>
          </w:tcPr>
          <w:p w:rsidR="00A2157E" w:rsidRDefault="00A2157E" w:rsidP="00A2157E">
            <w:pPr>
              <w:keepNext/>
              <w:spacing w:before="60" w:after="60"/>
              <w:jc w:val="left"/>
              <w:rPr>
                <w:b/>
                <w:bCs/>
                <w:noProof/>
                <w:sz w:val="20"/>
              </w:rPr>
            </w:pPr>
            <w:r>
              <w:rPr>
                <w:b/>
                <w:bCs/>
                <w:noProof/>
                <w:color w:val="FFFFFF" w:themeColor="background1"/>
                <w:sz w:val="20"/>
              </w:rPr>
              <w:t>Nový impulz pre európsku demokraciu</w:t>
            </w:r>
          </w:p>
        </w:tc>
        <w:tc>
          <w:tcPr>
            <w:tcW w:w="1276" w:type="dxa"/>
            <w:tcBorders>
              <w:top w:val="single" w:sz="4" w:space="0" w:color="auto"/>
              <w:left w:val="single" w:sz="4" w:space="0" w:color="auto"/>
              <w:bottom w:val="single" w:sz="4" w:space="0" w:color="auto"/>
              <w:right w:val="single" w:sz="4" w:space="0" w:color="auto"/>
            </w:tcBorders>
            <w:shd w:val="clear" w:color="auto" w:fill="00ADDC" w:themeFill="accent5"/>
          </w:tcPr>
          <w:p w:rsidR="00A2157E" w:rsidRDefault="00A2157E" w:rsidP="00A2157E">
            <w:pPr>
              <w:keepNext/>
              <w:spacing w:before="60" w:after="60"/>
              <w:rPr>
                <w:b/>
                <w:bCs/>
                <w:noProof/>
                <w:color w:val="FFFFFF" w:themeColor="background1"/>
                <w:sz w:val="20"/>
              </w:rPr>
            </w:pPr>
          </w:p>
        </w:tc>
        <w:tc>
          <w:tcPr>
            <w:tcW w:w="5245" w:type="dxa"/>
            <w:tcBorders>
              <w:top w:val="single" w:sz="4" w:space="0" w:color="auto"/>
              <w:left w:val="single" w:sz="4" w:space="0" w:color="auto"/>
              <w:bottom w:val="single" w:sz="4" w:space="0" w:color="auto"/>
              <w:right w:val="single" w:sz="4" w:space="0" w:color="auto"/>
            </w:tcBorders>
            <w:shd w:val="clear" w:color="auto" w:fill="00ADDC" w:themeFill="accent5"/>
          </w:tcPr>
          <w:p w:rsidR="00A2157E" w:rsidRDefault="00A2157E" w:rsidP="00A2157E">
            <w:pPr>
              <w:keepNext/>
              <w:spacing w:before="60" w:after="60"/>
              <w:rPr>
                <w:b/>
                <w:bCs/>
                <w:noProof/>
                <w:color w:val="FFFFFF" w:themeColor="background1"/>
                <w:sz w:val="20"/>
              </w:rPr>
            </w:pPr>
          </w:p>
        </w:tc>
      </w:tr>
      <w:tr w:rsidR="00A2157E" w:rsidTr="00A73ED0">
        <w:trPr>
          <w:cantSplit/>
        </w:trPr>
        <w:tc>
          <w:tcPr>
            <w:tcW w:w="647" w:type="dxa"/>
            <w:tcBorders>
              <w:top w:val="single" w:sz="4" w:space="0" w:color="auto"/>
              <w:left w:val="single" w:sz="4" w:space="0" w:color="auto"/>
              <w:bottom w:val="single" w:sz="4" w:space="0" w:color="auto"/>
              <w:right w:val="single" w:sz="4" w:space="0" w:color="auto"/>
            </w:tcBorders>
            <w:shd w:val="clear" w:color="auto" w:fill="auto"/>
          </w:tcPr>
          <w:p w:rsidR="00A2157E" w:rsidRDefault="00A2157E" w:rsidP="00A2157E">
            <w:pPr>
              <w:numPr>
                <w:ilvl w:val="0"/>
                <w:numId w:val="23"/>
              </w:numPr>
              <w:spacing w:after="0" w:line="276" w:lineRule="auto"/>
              <w:jc w:val="left"/>
              <w:rPr>
                <w:rFonts w:eastAsiaTheme="minorHAnsi" w:cstheme="minorBidi"/>
                <w:b/>
                <w:noProof/>
                <w:color w:val="000000" w:themeColor="text1"/>
                <w:sz w:val="20"/>
              </w:rPr>
            </w:pPr>
          </w:p>
        </w:tc>
        <w:tc>
          <w:tcPr>
            <w:tcW w:w="2467" w:type="dxa"/>
            <w:tcBorders>
              <w:top w:val="single" w:sz="4" w:space="0" w:color="auto"/>
              <w:left w:val="single" w:sz="4" w:space="0" w:color="auto"/>
              <w:bottom w:val="single" w:sz="4" w:space="0" w:color="auto"/>
              <w:right w:val="single" w:sz="4" w:space="0" w:color="auto"/>
            </w:tcBorders>
          </w:tcPr>
          <w:p w:rsidR="00A2157E" w:rsidRDefault="00A2157E" w:rsidP="00A2157E">
            <w:pPr>
              <w:spacing w:after="0"/>
              <w:jc w:val="left"/>
              <w:rPr>
                <w:rFonts w:eastAsiaTheme="minorEastAsia" w:cstheme="minorBidi"/>
                <w:b/>
                <w:bCs/>
                <w:noProof/>
                <w:sz w:val="20"/>
              </w:rPr>
            </w:pPr>
            <w:r>
              <w:rPr>
                <w:b/>
                <w:bCs/>
                <w:noProof/>
                <w:sz w:val="20"/>
              </w:rPr>
              <w:t>Návrh Komisie na preskúmanie smernice 2008/48/ES o spotrebiteľskom úvere</w:t>
            </w:r>
          </w:p>
        </w:tc>
        <w:tc>
          <w:tcPr>
            <w:tcW w:w="4961" w:type="dxa"/>
            <w:tcBorders>
              <w:top w:val="single" w:sz="4" w:space="0" w:color="auto"/>
              <w:left w:val="single" w:sz="4" w:space="0" w:color="auto"/>
              <w:bottom w:val="single" w:sz="4" w:space="0" w:color="auto"/>
              <w:right w:val="single" w:sz="4" w:space="0" w:color="auto"/>
            </w:tcBorders>
          </w:tcPr>
          <w:p w:rsidR="00A2157E" w:rsidRDefault="00A2157E" w:rsidP="00A2157E">
            <w:pPr>
              <w:spacing w:after="0"/>
              <w:jc w:val="left"/>
              <w:rPr>
                <w:rFonts w:eastAsiaTheme="minorEastAsia" w:cstheme="minorBidi"/>
                <w:noProof/>
                <w:sz w:val="20"/>
              </w:rPr>
            </w:pPr>
            <w:r>
              <w:rPr>
                <w:noProof/>
                <w:sz w:val="20"/>
              </w:rPr>
              <w:t>Prebiehajúce hodnotenie smernice sa zameria na dosiahnutý pokrok, náklady a prínosy. Zameria sa aj na to, či pôvodné ciele a nástroje smernice zodpovedajú súčasným potrebám, na monitorovanie fungovania smernice spolu s inými právnymi predpismi a na to, či intervencia EÚ priniesla výhody. Na základe výsledku hodnotenia sa preskúmaním zabezpečí lepšia informovanosť spotrebiteľov a lepšie pochopenie spotrebiteľských úverov, pričom sa zohľadní digitalizácia v poskytovaní takýchto produktov. Bude sa zameriavať na poskytnutie lepšej ochrany spotrebiteľom pred nezodpovednými úverovými postupmi, najmä tými, ktoré sú šírené na internete. (legislatívna iniciatíva vrátane posúdenia vplyvu, článok 114 ZFEÚ, 4. štvrťrok 2020)</w:t>
            </w:r>
          </w:p>
        </w:tc>
        <w:tc>
          <w:tcPr>
            <w:tcW w:w="1276" w:type="dxa"/>
            <w:tcBorders>
              <w:top w:val="single" w:sz="4" w:space="0" w:color="auto"/>
              <w:left w:val="single" w:sz="4" w:space="0" w:color="auto"/>
              <w:bottom w:val="single" w:sz="4" w:space="0" w:color="auto"/>
              <w:right w:val="single" w:sz="4" w:space="0" w:color="auto"/>
            </w:tcBorders>
          </w:tcPr>
          <w:p w:rsidR="00A2157E" w:rsidRDefault="00A2157E" w:rsidP="00A2157E">
            <w:pPr>
              <w:spacing w:after="0"/>
              <w:jc w:val="center"/>
              <w:rPr>
                <w:b/>
                <w:noProof/>
                <w:sz w:val="20"/>
              </w:rPr>
            </w:pPr>
            <w:r>
              <w:rPr>
                <w:b/>
                <w:noProof/>
                <w:sz w:val="20"/>
              </w:rPr>
              <w:t>MF SR</w:t>
            </w:r>
          </w:p>
          <w:p w:rsidR="00A2157E" w:rsidRPr="009D4C5D" w:rsidRDefault="00A2157E" w:rsidP="00A2157E">
            <w:pPr>
              <w:spacing w:after="0"/>
              <w:jc w:val="center"/>
              <w:rPr>
                <w:b/>
                <w:noProof/>
                <w:sz w:val="20"/>
              </w:rPr>
            </w:pPr>
            <w:r w:rsidRPr="009D4C5D">
              <w:rPr>
                <w:b/>
                <w:noProof/>
                <w:sz w:val="20"/>
              </w:rPr>
              <w:t>MS SR</w:t>
            </w:r>
          </w:p>
        </w:tc>
        <w:tc>
          <w:tcPr>
            <w:tcW w:w="5245" w:type="dxa"/>
            <w:tcBorders>
              <w:top w:val="single" w:sz="4" w:space="0" w:color="auto"/>
              <w:left w:val="single" w:sz="4" w:space="0" w:color="auto"/>
              <w:bottom w:val="single" w:sz="4" w:space="0" w:color="auto"/>
              <w:right w:val="single" w:sz="4" w:space="0" w:color="auto"/>
            </w:tcBorders>
          </w:tcPr>
          <w:p w:rsidR="00A2157E" w:rsidRDefault="00A2157E" w:rsidP="00A2157E">
            <w:pPr>
              <w:spacing w:after="0"/>
              <w:jc w:val="left"/>
              <w:rPr>
                <w:noProof/>
                <w:sz w:val="20"/>
              </w:rPr>
            </w:pPr>
            <w:r w:rsidRPr="00C95939">
              <w:rPr>
                <w:b/>
                <w:sz w:val="20"/>
                <w:u w:val="single"/>
              </w:rPr>
              <w:t>Stredná priorita</w:t>
            </w:r>
            <w:r>
              <w:rPr>
                <w:sz w:val="20"/>
              </w:rPr>
              <w:t xml:space="preserve"> - </w:t>
            </w:r>
            <w:r w:rsidRPr="00A670C8">
              <w:rPr>
                <w:sz w:val="20"/>
              </w:rPr>
              <w:t>pozícia sa bude odvíjať od obsahu návrhu.</w:t>
            </w:r>
          </w:p>
        </w:tc>
      </w:tr>
      <w:tr w:rsidR="00A2157E" w:rsidTr="00A73ED0">
        <w:trPr>
          <w:cantSplit/>
        </w:trPr>
        <w:tc>
          <w:tcPr>
            <w:tcW w:w="647" w:type="dxa"/>
            <w:tcBorders>
              <w:top w:val="single" w:sz="4" w:space="0" w:color="auto"/>
              <w:left w:val="single" w:sz="4" w:space="0" w:color="auto"/>
              <w:bottom w:val="single" w:sz="4" w:space="0" w:color="auto"/>
              <w:right w:val="single" w:sz="4" w:space="0" w:color="auto"/>
            </w:tcBorders>
            <w:shd w:val="clear" w:color="auto" w:fill="auto"/>
          </w:tcPr>
          <w:p w:rsidR="00A2157E" w:rsidRDefault="00A2157E" w:rsidP="00A2157E">
            <w:pPr>
              <w:numPr>
                <w:ilvl w:val="0"/>
                <w:numId w:val="23"/>
              </w:numPr>
              <w:spacing w:after="0" w:line="276" w:lineRule="auto"/>
              <w:jc w:val="left"/>
              <w:rPr>
                <w:rFonts w:eastAsiaTheme="minorHAnsi" w:cstheme="minorBidi"/>
                <w:b/>
                <w:noProof/>
                <w:color w:val="000000" w:themeColor="text1"/>
                <w:sz w:val="20"/>
              </w:rPr>
            </w:pPr>
          </w:p>
        </w:tc>
        <w:tc>
          <w:tcPr>
            <w:tcW w:w="2467" w:type="dxa"/>
            <w:tcBorders>
              <w:top w:val="single" w:sz="4" w:space="0" w:color="auto"/>
              <w:left w:val="single" w:sz="4" w:space="0" w:color="auto"/>
              <w:bottom w:val="single" w:sz="4" w:space="0" w:color="auto"/>
              <w:right w:val="single" w:sz="4" w:space="0" w:color="auto"/>
            </w:tcBorders>
          </w:tcPr>
          <w:p w:rsidR="00A2157E" w:rsidRDefault="00A2157E" w:rsidP="00A2157E">
            <w:pPr>
              <w:spacing w:after="0"/>
              <w:jc w:val="left"/>
              <w:rPr>
                <w:rFonts w:eastAsiaTheme="minorEastAsia" w:cstheme="minorBidi"/>
                <w:b/>
                <w:bCs/>
                <w:noProof/>
                <w:sz w:val="20"/>
              </w:rPr>
            </w:pPr>
            <w:r>
              <w:rPr>
                <w:b/>
                <w:bCs/>
                <w:noProof/>
                <w:sz w:val="20"/>
              </w:rPr>
              <w:t>Návrh Komisie na preskúmanie smernice 2002/65/ES o poskytovaní finančných služieb spotrebiteľom na diaľku</w:t>
            </w:r>
          </w:p>
        </w:tc>
        <w:tc>
          <w:tcPr>
            <w:tcW w:w="4961" w:type="dxa"/>
            <w:tcBorders>
              <w:top w:val="single" w:sz="4" w:space="0" w:color="auto"/>
              <w:left w:val="single" w:sz="4" w:space="0" w:color="auto"/>
              <w:bottom w:val="single" w:sz="4" w:space="0" w:color="auto"/>
              <w:right w:val="single" w:sz="4" w:space="0" w:color="auto"/>
            </w:tcBorders>
          </w:tcPr>
          <w:p w:rsidR="00A2157E" w:rsidRDefault="00A2157E" w:rsidP="00A2157E">
            <w:pPr>
              <w:spacing w:after="0"/>
              <w:jc w:val="left"/>
              <w:rPr>
                <w:rFonts w:eastAsiaTheme="minorEastAsia" w:cstheme="minorBidi"/>
                <w:noProof/>
                <w:sz w:val="20"/>
              </w:rPr>
            </w:pPr>
            <w:r>
              <w:rPr>
                <w:noProof/>
                <w:sz w:val="20"/>
              </w:rPr>
              <w:t>V prebiehajúcom hodnotení sa posúdi, či sa dosiahli pôvodné ciele, ako smernica funguje z hľadiska nákladov/prínosov, zníženia záťaže a zjednodušenia a ako smernica funguje spolu s inými právnymi predpismi v oblasti retailových finančných služieb, ochrany spotrebiteľa a ochrany údajov. V analýze sa posúdi, či nástroje smernice zodpovedajú pôvodným a súčasným potrebám a či smernica má pridanú hodnotu EÚ. Na základe výsledku hodnotenia sa preskúmaním zabezpečí lepšie pochopenie retailových finančných produktov pri zohľadnení digitalizácie v poskytovaní takýchto produktov. Bude sa zameriavať na poskytnutie lepšej ochrany spotrebiteľom pred nezodpovednými úverovými postupmi, najmä tými, ktoré sú šírené na internete. (legislatívna iniciatíva vrátane posúdenia vplyvu, článok 114 ZFEÚ, 4. štvrťrok 2020)</w:t>
            </w:r>
          </w:p>
        </w:tc>
        <w:tc>
          <w:tcPr>
            <w:tcW w:w="1276" w:type="dxa"/>
            <w:tcBorders>
              <w:top w:val="single" w:sz="4" w:space="0" w:color="auto"/>
              <w:left w:val="single" w:sz="4" w:space="0" w:color="auto"/>
              <w:bottom w:val="single" w:sz="4" w:space="0" w:color="auto"/>
              <w:right w:val="single" w:sz="4" w:space="0" w:color="auto"/>
            </w:tcBorders>
          </w:tcPr>
          <w:p w:rsidR="00A2157E" w:rsidRDefault="00A2157E" w:rsidP="00A2157E">
            <w:pPr>
              <w:spacing w:after="0"/>
              <w:jc w:val="center"/>
              <w:rPr>
                <w:b/>
                <w:noProof/>
                <w:sz w:val="20"/>
              </w:rPr>
            </w:pPr>
            <w:r>
              <w:rPr>
                <w:b/>
                <w:noProof/>
                <w:sz w:val="20"/>
              </w:rPr>
              <w:t>MF SR</w:t>
            </w:r>
          </w:p>
          <w:p w:rsidR="00A2157E" w:rsidRDefault="00A2157E" w:rsidP="00A2157E">
            <w:pPr>
              <w:spacing w:after="0"/>
              <w:jc w:val="center"/>
              <w:rPr>
                <w:noProof/>
                <w:sz w:val="20"/>
              </w:rPr>
            </w:pPr>
            <w:r w:rsidRPr="009D4C5D">
              <w:rPr>
                <w:b/>
                <w:noProof/>
                <w:sz w:val="20"/>
              </w:rPr>
              <w:t>MS SR</w:t>
            </w:r>
          </w:p>
        </w:tc>
        <w:tc>
          <w:tcPr>
            <w:tcW w:w="5245" w:type="dxa"/>
            <w:tcBorders>
              <w:top w:val="single" w:sz="4" w:space="0" w:color="auto"/>
              <w:left w:val="single" w:sz="4" w:space="0" w:color="auto"/>
              <w:bottom w:val="single" w:sz="4" w:space="0" w:color="auto"/>
              <w:right w:val="single" w:sz="4" w:space="0" w:color="auto"/>
            </w:tcBorders>
          </w:tcPr>
          <w:p w:rsidR="00A2157E" w:rsidRDefault="00A2157E" w:rsidP="00A2157E">
            <w:pPr>
              <w:spacing w:after="0"/>
              <w:jc w:val="left"/>
              <w:rPr>
                <w:noProof/>
                <w:sz w:val="20"/>
              </w:rPr>
            </w:pPr>
            <w:r w:rsidRPr="00C95939">
              <w:rPr>
                <w:b/>
                <w:sz w:val="20"/>
                <w:u w:val="single"/>
              </w:rPr>
              <w:t>Stredná priorita</w:t>
            </w:r>
            <w:r>
              <w:rPr>
                <w:sz w:val="20"/>
              </w:rPr>
              <w:t xml:space="preserve"> - </w:t>
            </w:r>
            <w:r w:rsidRPr="00A670C8">
              <w:rPr>
                <w:sz w:val="20"/>
              </w:rPr>
              <w:t>pozícia sa bude odvíjať od obsahu návrhu.</w:t>
            </w:r>
          </w:p>
        </w:tc>
      </w:tr>
      <w:tr w:rsidR="00A2157E" w:rsidTr="00A73ED0">
        <w:trPr>
          <w:cantSplit/>
        </w:trPr>
        <w:tc>
          <w:tcPr>
            <w:tcW w:w="647" w:type="dxa"/>
            <w:shd w:val="clear" w:color="auto" w:fill="auto"/>
          </w:tcPr>
          <w:p w:rsidR="00A2157E" w:rsidRDefault="00A2157E" w:rsidP="00A2157E">
            <w:pPr>
              <w:numPr>
                <w:ilvl w:val="0"/>
                <w:numId w:val="23"/>
              </w:numPr>
              <w:tabs>
                <w:tab w:val="num" w:pos="709"/>
              </w:tabs>
              <w:spacing w:after="0" w:line="276" w:lineRule="auto"/>
              <w:jc w:val="left"/>
              <w:rPr>
                <w:rFonts w:eastAsiaTheme="minorHAnsi" w:cstheme="minorBidi"/>
                <w:b/>
                <w:noProof/>
                <w:color w:val="000000"/>
                <w:sz w:val="20"/>
              </w:rPr>
            </w:pPr>
          </w:p>
        </w:tc>
        <w:tc>
          <w:tcPr>
            <w:tcW w:w="2467" w:type="dxa"/>
            <w:shd w:val="clear" w:color="auto" w:fill="auto"/>
          </w:tcPr>
          <w:p w:rsidR="00A2157E" w:rsidRDefault="00A2157E" w:rsidP="00A2157E">
            <w:pPr>
              <w:spacing w:after="0"/>
              <w:jc w:val="left"/>
              <w:rPr>
                <w:rFonts w:eastAsiaTheme="minorEastAsia" w:cstheme="minorBidi"/>
                <w:b/>
                <w:bCs/>
                <w:noProof/>
                <w:sz w:val="20"/>
              </w:rPr>
            </w:pPr>
            <w:r>
              <w:rPr>
                <w:b/>
                <w:bCs/>
                <w:noProof/>
                <w:sz w:val="20"/>
              </w:rPr>
              <w:t xml:space="preserve">Revízia smernice 2001/95/ES o všeobecnej bezpečnosti výrobkov </w:t>
            </w:r>
            <w:r>
              <w:rPr>
                <w:b/>
                <w:bCs/>
                <w:noProof/>
                <w:sz w:val="20"/>
              </w:rPr>
              <w:br/>
              <w:t>(nariadenie; právny základ – článok 114 ZFEÚ)</w:t>
            </w:r>
          </w:p>
        </w:tc>
        <w:tc>
          <w:tcPr>
            <w:tcW w:w="4961" w:type="dxa"/>
          </w:tcPr>
          <w:p w:rsidR="00A2157E" w:rsidRDefault="00A2157E" w:rsidP="00A2157E">
            <w:pPr>
              <w:spacing w:after="0"/>
              <w:rPr>
                <w:rFonts w:eastAsiaTheme="minorEastAsia" w:cstheme="minorBidi"/>
                <w:noProof/>
                <w:sz w:val="20"/>
              </w:rPr>
            </w:pPr>
            <w:r>
              <w:rPr>
                <w:noProof/>
                <w:sz w:val="20"/>
              </w:rPr>
              <w:t>Iniciatíva sa bude zaoberať otázkami bezpečnosti výrobkov, ktoré prinášajú nové technológie; riešiť potrebu konkrétnejších opatrení týkajúcich sa online predaja; aktualizovať všeobecný právny rámec týkajúci sa bezpečnosti výrobkov; a vzhľadom na nové nariadenie (EÚ) 2019/1020 o dohľade nad trhom a o súlade výrobkov odstráni diskrepancie medzi harmonizovanými a neharmonizovanými výrobkami, pokiaľ ide o dohľad nad trhom. Revíziou by sa tiež zlepšila účinnosť stiahnutí výrobkov od používateľov a pokrytie nových rizík v oblasti bezpečnosti výrobkov. Mala by posilniť právomoc členských štátov v oblasti presadzovania práva, najmä pokiaľ ide o dovozné kontroly. (legislatívna iniciatíva vrátane posúdenia vplyvu, článok 114 ZFEÚ, 4. štvrťrok 2020)</w:t>
            </w:r>
          </w:p>
        </w:tc>
        <w:tc>
          <w:tcPr>
            <w:tcW w:w="1276" w:type="dxa"/>
          </w:tcPr>
          <w:p w:rsidR="00A2157E" w:rsidRDefault="00A2157E" w:rsidP="00A2157E">
            <w:pPr>
              <w:spacing w:after="0"/>
              <w:jc w:val="center"/>
              <w:rPr>
                <w:b/>
                <w:noProof/>
                <w:sz w:val="20"/>
              </w:rPr>
            </w:pPr>
            <w:r w:rsidRPr="006F1A07">
              <w:rPr>
                <w:b/>
                <w:noProof/>
                <w:sz w:val="20"/>
              </w:rPr>
              <w:t>MH SR</w:t>
            </w:r>
          </w:p>
          <w:p w:rsidR="00A2157E" w:rsidRPr="006F1A07" w:rsidRDefault="00A2157E" w:rsidP="00A2157E">
            <w:pPr>
              <w:spacing w:after="0"/>
              <w:jc w:val="center"/>
              <w:rPr>
                <w:b/>
                <w:noProof/>
                <w:sz w:val="20"/>
              </w:rPr>
            </w:pPr>
          </w:p>
        </w:tc>
        <w:tc>
          <w:tcPr>
            <w:tcW w:w="5245" w:type="dxa"/>
          </w:tcPr>
          <w:p w:rsidR="00A2157E" w:rsidRPr="006F1A07" w:rsidRDefault="00A2157E" w:rsidP="00A2157E">
            <w:pPr>
              <w:spacing w:after="1" w:line="239" w:lineRule="auto"/>
              <w:ind w:right="112"/>
              <w:rPr>
                <w:sz w:val="20"/>
              </w:rPr>
            </w:pPr>
            <w:r w:rsidRPr="006F1A07">
              <w:rPr>
                <w:b/>
                <w:sz w:val="20"/>
                <w:u w:val="single"/>
              </w:rPr>
              <w:t>Vysoká priorita</w:t>
            </w:r>
            <w:r w:rsidRPr="006F1A07">
              <w:rPr>
                <w:sz w:val="20"/>
              </w:rPr>
              <w:t xml:space="preserve"> - Z dôvodu, že trh s výrobkami sa neustále vyvíja, a teda vznikajú i výrobky, ktoré v čase prijatia smernice neexistovali, SR podporuje revíziu predmetnej smernice, keďže jej cieľom je zabezpečiť, aby výrobky uvedené na trh boli naozaj bezpečné</w:t>
            </w:r>
          </w:p>
        </w:tc>
      </w:tr>
    </w:tbl>
    <w:p w:rsidR="00737F57" w:rsidRDefault="00B675B3">
      <w:pPr>
        <w:spacing w:after="0"/>
        <w:jc w:val="left"/>
        <w:rPr>
          <w:noProof/>
          <w:sz w:val="20"/>
        </w:rPr>
      </w:pPr>
      <w:r>
        <w:rPr>
          <w:noProof/>
        </w:rPr>
        <w:br w:type="page"/>
      </w:r>
    </w:p>
    <w:p w:rsidR="00737F57" w:rsidRDefault="00B675B3">
      <w:pPr>
        <w:spacing w:after="600"/>
        <w:jc w:val="center"/>
        <w:rPr>
          <w:b/>
          <w:noProof/>
          <w:sz w:val="28"/>
          <w:szCs w:val="28"/>
          <w:u w:val="single"/>
        </w:rPr>
      </w:pPr>
      <w:r>
        <w:rPr>
          <w:b/>
          <w:bCs/>
          <w:noProof/>
          <w:sz w:val="28"/>
          <w:szCs w:val="28"/>
          <w:u w:val="single"/>
        </w:rPr>
        <w:t>Príloha III: Prioritné návrhy v štádiu schvaľovania</w:t>
      </w:r>
      <w:r>
        <w:rPr>
          <w:rStyle w:val="Odkaznapoznmkupodiarou"/>
          <w:noProof/>
          <w:sz w:val="28"/>
          <w:szCs w:val="28"/>
        </w:rPr>
        <w:footnoteReference w:id="3"/>
      </w:r>
    </w:p>
    <w:tbl>
      <w:tblPr>
        <w:tblStyle w:val="Mriekatabuky"/>
        <w:tblW w:w="14737" w:type="dxa"/>
        <w:tblLayout w:type="fixed"/>
        <w:tblLook w:val="04A0" w:firstRow="1" w:lastRow="0" w:firstColumn="1" w:lastColumn="0" w:noHBand="0" w:noVBand="1"/>
      </w:tblPr>
      <w:tblGrid>
        <w:gridCol w:w="652"/>
        <w:gridCol w:w="4588"/>
        <w:gridCol w:w="1985"/>
        <w:gridCol w:w="1417"/>
        <w:gridCol w:w="6095"/>
      </w:tblGrid>
      <w:tr w:rsidR="003227AF" w:rsidTr="00687C5F">
        <w:trPr>
          <w:cantSplit/>
          <w:tblHeader/>
        </w:trPr>
        <w:tc>
          <w:tcPr>
            <w:tcW w:w="652" w:type="dxa"/>
            <w:tcBorders>
              <w:bottom w:val="single" w:sz="4" w:space="0" w:color="auto"/>
            </w:tcBorders>
            <w:shd w:val="clear" w:color="auto" w:fill="99CCFF"/>
            <w:tcMar>
              <w:top w:w="85" w:type="dxa"/>
              <w:left w:w="85" w:type="dxa"/>
              <w:bottom w:w="85" w:type="dxa"/>
              <w:right w:w="85" w:type="dxa"/>
            </w:tcMar>
          </w:tcPr>
          <w:p w:rsidR="003227AF" w:rsidRDefault="003227AF" w:rsidP="003227AF">
            <w:pPr>
              <w:spacing w:before="60" w:after="60"/>
              <w:rPr>
                <w:b/>
                <w:bCs/>
                <w:noProof/>
                <w:sz w:val="20"/>
              </w:rPr>
            </w:pPr>
            <w:r>
              <w:rPr>
                <w:b/>
                <w:bCs/>
                <w:noProof/>
                <w:sz w:val="20"/>
              </w:rPr>
              <w:t>Č.</w:t>
            </w:r>
          </w:p>
        </w:tc>
        <w:tc>
          <w:tcPr>
            <w:tcW w:w="4588" w:type="dxa"/>
            <w:tcBorders>
              <w:bottom w:val="single" w:sz="4" w:space="0" w:color="auto"/>
            </w:tcBorders>
            <w:shd w:val="clear" w:color="auto" w:fill="99CCFF"/>
            <w:tcMar>
              <w:top w:w="85" w:type="dxa"/>
              <w:left w:w="85" w:type="dxa"/>
              <w:bottom w:w="85" w:type="dxa"/>
              <w:right w:w="85" w:type="dxa"/>
            </w:tcMar>
          </w:tcPr>
          <w:p w:rsidR="003227AF" w:rsidRDefault="003227AF" w:rsidP="003227AF">
            <w:pPr>
              <w:spacing w:before="60" w:after="60"/>
              <w:jc w:val="center"/>
              <w:rPr>
                <w:b/>
                <w:bCs/>
                <w:noProof/>
                <w:sz w:val="20"/>
              </w:rPr>
            </w:pPr>
            <w:r>
              <w:rPr>
                <w:b/>
                <w:bCs/>
                <w:noProof/>
                <w:sz w:val="20"/>
              </w:rPr>
              <w:t>Úplný názov</w:t>
            </w:r>
          </w:p>
        </w:tc>
        <w:tc>
          <w:tcPr>
            <w:tcW w:w="1985" w:type="dxa"/>
            <w:tcBorders>
              <w:bottom w:val="single" w:sz="4" w:space="0" w:color="auto"/>
            </w:tcBorders>
            <w:shd w:val="clear" w:color="auto" w:fill="99CCFF"/>
            <w:tcMar>
              <w:top w:w="85" w:type="dxa"/>
              <w:left w:w="85" w:type="dxa"/>
              <w:bottom w:w="85" w:type="dxa"/>
              <w:right w:w="85" w:type="dxa"/>
            </w:tcMar>
          </w:tcPr>
          <w:p w:rsidR="003227AF" w:rsidRDefault="003227AF" w:rsidP="003227AF">
            <w:pPr>
              <w:spacing w:before="60" w:after="60"/>
              <w:jc w:val="center"/>
              <w:rPr>
                <w:b/>
                <w:bCs/>
                <w:noProof/>
                <w:sz w:val="20"/>
              </w:rPr>
            </w:pPr>
            <w:r>
              <w:rPr>
                <w:b/>
                <w:bCs/>
                <w:noProof/>
                <w:sz w:val="20"/>
              </w:rPr>
              <w:t>Odkazy</w:t>
            </w:r>
          </w:p>
        </w:tc>
        <w:tc>
          <w:tcPr>
            <w:tcW w:w="1417" w:type="dxa"/>
            <w:tcBorders>
              <w:bottom w:val="single" w:sz="4" w:space="0" w:color="auto"/>
            </w:tcBorders>
            <w:shd w:val="clear" w:color="auto" w:fill="99CCFF"/>
          </w:tcPr>
          <w:p w:rsidR="003227AF" w:rsidRDefault="003227AF" w:rsidP="003227AF">
            <w:pPr>
              <w:keepNext/>
              <w:spacing w:after="0" w:line="276" w:lineRule="auto"/>
              <w:jc w:val="center"/>
              <w:rPr>
                <w:b/>
                <w:noProof/>
                <w:sz w:val="20"/>
              </w:rPr>
            </w:pPr>
            <w:r>
              <w:rPr>
                <w:b/>
                <w:noProof/>
                <w:sz w:val="20"/>
              </w:rPr>
              <w:t>Gestor</w:t>
            </w:r>
          </w:p>
        </w:tc>
        <w:tc>
          <w:tcPr>
            <w:tcW w:w="6095" w:type="dxa"/>
            <w:tcBorders>
              <w:bottom w:val="single" w:sz="4" w:space="0" w:color="auto"/>
            </w:tcBorders>
            <w:shd w:val="clear" w:color="auto" w:fill="99CCFF"/>
          </w:tcPr>
          <w:p w:rsidR="003227AF" w:rsidRDefault="003227AF" w:rsidP="003227AF">
            <w:pPr>
              <w:keepNext/>
              <w:spacing w:after="0" w:line="276" w:lineRule="auto"/>
              <w:jc w:val="center"/>
              <w:rPr>
                <w:b/>
                <w:noProof/>
                <w:sz w:val="20"/>
              </w:rPr>
            </w:pPr>
            <w:r w:rsidRPr="003227AF">
              <w:rPr>
                <w:b/>
                <w:bCs/>
                <w:noProof/>
                <w:sz w:val="20"/>
              </w:rPr>
              <w:t>Stupeň priority a pozíciu SR</w:t>
            </w:r>
          </w:p>
        </w:tc>
      </w:tr>
      <w:tr w:rsidR="003227AF" w:rsidTr="00687C5F">
        <w:trPr>
          <w:cantSplit/>
        </w:trPr>
        <w:tc>
          <w:tcPr>
            <w:tcW w:w="7225" w:type="dxa"/>
            <w:gridSpan w:val="3"/>
            <w:shd w:val="clear" w:color="auto" w:fill="9ACA3C" w:themeFill="accent1"/>
            <w:tcMar>
              <w:top w:w="85" w:type="dxa"/>
              <w:left w:w="85" w:type="dxa"/>
              <w:bottom w:w="85" w:type="dxa"/>
              <w:right w:w="85" w:type="dxa"/>
            </w:tcMar>
          </w:tcPr>
          <w:p w:rsidR="003227AF" w:rsidRDefault="003227AF" w:rsidP="003227AF">
            <w:pPr>
              <w:keepNext/>
              <w:spacing w:before="60" w:after="60"/>
              <w:rPr>
                <w:b/>
                <w:bCs/>
                <w:noProof/>
                <w:sz w:val="20"/>
              </w:rPr>
            </w:pPr>
            <w:r>
              <w:rPr>
                <w:b/>
                <w:bCs/>
                <w:noProof/>
                <w:color w:val="FFFFFF" w:themeColor="background1"/>
                <w:sz w:val="20"/>
              </w:rPr>
              <w:t>Európsky ekologický dohovor</w:t>
            </w:r>
          </w:p>
        </w:tc>
        <w:tc>
          <w:tcPr>
            <w:tcW w:w="1417" w:type="dxa"/>
            <w:shd w:val="clear" w:color="auto" w:fill="9ACA3C" w:themeFill="accent1"/>
          </w:tcPr>
          <w:p w:rsidR="003227AF" w:rsidRDefault="003227AF" w:rsidP="003227AF">
            <w:pPr>
              <w:keepNext/>
              <w:spacing w:before="60" w:after="60"/>
              <w:rPr>
                <w:b/>
                <w:bCs/>
                <w:noProof/>
                <w:color w:val="FFFFFF" w:themeColor="background1"/>
                <w:sz w:val="20"/>
              </w:rPr>
            </w:pPr>
          </w:p>
        </w:tc>
        <w:tc>
          <w:tcPr>
            <w:tcW w:w="6095" w:type="dxa"/>
            <w:shd w:val="clear" w:color="auto" w:fill="9ACA3C" w:themeFill="accent1"/>
          </w:tcPr>
          <w:p w:rsidR="003227AF" w:rsidRDefault="003227AF" w:rsidP="003227AF">
            <w:pPr>
              <w:keepNext/>
              <w:spacing w:before="60" w:after="60"/>
              <w:rPr>
                <w:b/>
                <w:bCs/>
                <w:noProof/>
                <w:color w:val="FFFFFF" w:themeColor="background1"/>
                <w:sz w:val="20"/>
              </w:rPr>
            </w:pPr>
          </w:p>
        </w:tc>
      </w:tr>
      <w:tr w:rsidR="003227AF" w:rsidTr="00687C5F">
        <w:trPr>
          <w:cantSplit/>
        </w:trPr>
        <w:tc>
          <w:tcPr>
            <w:tcW w:w="652" w:type="dxa"/>
            <w:tcBorders>
              <w:right w:val="nil"/>
            </w:tcBorders>
            <w:shd w:val="clear" w:color="auto" w:fill="auto"/>
            <w:tcMar>
              <w:top w:w="85" w:type="dxa"/>
              <w:left w:w="85" w:type="dxa"/>
              <w:bottom w:w="85" w:type="dxa"/>
            </w:tcMar>
          </w:tcPr>
          <w:p w:rsidR="003227AF" w:rsidRDefault="003227AF" w:rsidP="003227AF">
            <w:pPr>
              <w:pStyle w:val="Odsekzoznamu"/>
              <w:numPr>
                <w:ilvl w:val="0"/>
                <w:numId w:val="20"/>
              </w:numPr>
              <w:spacing w:after="0"/>
              <w:ind w:left="426"/>
              <w:rPr>
                <w:b/>
                <w:noProof/>
                <w:sz w:val="20"/>
              </w:rPr>
            </w:pPr>
          </w:p>
        </w:tc>
        <w:tc>
          <w:tcPr>
            <w:tcW w:w="4588" w:type="dxa"/>
            <w:shd w:val="clear" w:color="auto" w:fill="auto"/>
            <w:tcMar>
              <w:top w:w="85" w:type="dxa"/>
              <w:left w:w="85" w:type="dxa"/>
              <w:bottom w:w="85" w:type="dxa"/>
            </w:tcMar>
          </w:tcPr>
          <w:p w:rsidR="003227AF" w:rsidRPr="003B1CF2" w:rsidRDefault="003227AF" w:rsidP="003227AF">
            <w:pPr>
              <w:spacing w:after="0"/>
              <w:rPr>
                <w:noProof/>
                <w:sz w:val="20"/>
              </w:rPr>
            </w:pPr>
            <w:r w:rsidRPr="003B1CF2">
              <w:rPr>
                <w:noProof/>
                <w:sz w:val="20"/>
              </w:rPr>
              <w:t>Návrh NARIADENIE EURÓPSKEHO PARLAMENTU A RADY, ktorým sa mení nariadenie (EÚ) 2015/757 s cieľom náležite zohľadniť globálny systém zberu údajov o spotrebe lodného paliva</w:t>
            </w:r>
            <w:r w:rsidRPr="003B1CF2">
              <w:rPr>
                <w:b/>
                <w:bCs/>
                <w:noProof/>
                <w:sz w:val="20"/>
              </w:rPr>
              <w:t xml:space="preserve"> </w:t>
            </w:r>
          </w:p>
        </w:tc>
        <w:tc>
          <w:tcPr>
            <w:tcW w:w="1985" w:type="dxa"/>
            <w:tcMar>
              <w:top w:w="85" w:type="dxa"/>
              <w:left w:w="85" w:type="dxa"/>
              <w:bottom w:w="85" w:type="dxa"/>
            </w:tcMar>
          </w:tcPr>
          <w:p w:rsidR="003227AF" w:rsidRPr="003B1CF2" w:rsidRDefault="003227AF" w:rsidP="003227AF">
            <w:pPr>
              <w:spacing w:after="0"/>
              <w:jc w:val="left"/>
              <w:rPr>
                <w:noProof/>
                <w:sz w:val="20"/>
              </w:rPr>
            </w:pPr>
            <w:r w:rsidRPr="003B1CF2">
              <w:rPr>
                <w:noProof/>
                <w:sz w:val="20"/>
              </w:rPr>
              <w:t>COM(2019) 38 final</w:t>
            </w:r>
            <w:r w:rsidRPr="003B1CF2">
              <w:rPr>
                <w:noProof/>
                <w:sz w:val="20"/>
              </w:rPr>
              <w:br/>
              <w:t>2019/0017 (COD)</w:t>
            </w:r>
            <w:r w:rsidRPr="003B1CF2">
              <w:rPr>
                <w:noProof/>
                <w:sz w:val="20"/>
              </w:rPr>
              <w:br/>
              <w:t>4. 2. 2019</w:t>
            </w:r>
          </w:p>
        </w:tc>
        <w:tc>
          <w:tcPr>
            <w:tcW w:w="1417" w:type="dxa"/>
          </w:tcPr>
          <w:p w:rsidR="003227AF" w:rsidRPr="00E87849" w:rsidRDefault="003227AF" w:rsidP="00CF3A0F">
            <w:pPr>
              <w:spacing w:after="0"/>
              <w:jc w:val="center"/>
              <w:rPr>
                <w:b/>
                <w:noProof/>
                <w:sz w:val="20"/>
              </w:rPr>
            </w:pPr>
            <w:r w:rsidRPr="00E87849">
              <w:rPr>
                <w:b/>
                <w:noProof/>
                <w:sz w:val="20"/>
              </w:rPr>
              <w:t>MŽP SR</w:t>
            </w:r>
          </w:p>
        </w:tc>
        <w:tc>
          <w:tcPr>
            <w:tcW w:w="6095" w:type="dxa"/>
          </w:tcPr>
          <w:p w:rsidR="003227AF" w:rsidRPr="0057711F" w:rsidRDefault="002F1D07" w:rsidP="002F1D07">
            <w:pPr>
              <w:spacing w:after="0"/>
              <w:rPr>
                <w:noProof/>
                <w:sz w:val="20"/>
                <w:highlight w:val="magenta"/>
              </w:rPr>
            </w:pPr>
            <w:r w:rsidRPr="002F1D07">
              <w:rPr>
                <w:b/>
                <w:sz w:val="20"/>
                <w:u w:val="single"/>
              </w:rPr>
              <w:t>Nízka priorita</w:t>
            </w:r>
            <w:r>
              <w:rPr>
                <w:sz w:val="20"/>
              </w:rPr>
              <w:t xml:space="preserve"> - </w:t>
            </w:r>
            <w:r>
              <w:rPr>
                <w:noProof/>
                <w:sz w:val="20"/>
              </w:rPr>
              <w:t>SR požiadala Európsku komisiu o udelenie výnimky z nariadenia 2015/757, pretože sa pod jej vlajkou neplavia žiadne lode, ktoré patria do rozsahu pôsobnosti tohto nariadenia. Reportovacie povinnosti sa SR priamo netýkajú, preto tento návrh nie je prioritný.</w:t>
            </w:r>
          </w:p>
        </w:tc>
      </w:tr>
      <w:tr w:rsidR="003227AF" w:rsidTr="00687C5F">
        <w:trPr>
          <w:cantSplit/>
        </w:trPr>
        <w:tc>
          <w:tcPr>
            <w:tcW w:w="652" w:type="dxa"/>
            <w:tcBorders>
              <w:right w:val="nil"/>
            </w:tcBorders>
            <w:shd w:val="clear" w:color="auto" w:fill="auto"/>
            <w:tcMar>
              <w:top w:w="85" w:type="dxa"/>
              <w:left w:w="85" w:type="dxa"/>
              <w:bottom w:w="85" w:type="dxa"/>
            </w:tcMar>
          </w:tcPr>
          <w:p w:rsidR="003227AF" w:rsidRDefault="003227AF" w:rsidP="003227AF">
            <w:pPr>
              <w:pStyle w:val="Odsekzoznamu"/>
              <w:numPr>
                <w:ilvl w:val="0"/>
                <w:numId w:val="20"/>
              </w:numPr>
              <w:spacing w:after="0"/>
              <w:ind w:left="426"/>
              <w:rPr>
                <w:b/>
                <w:noProof/>
                <w:sz w:val="20"/>
              </w:rPr>
            </w:pPr>
          </w:p>
        </w:tc>
        <w:tc>
          <w:tcPr>
            <w:tcW w:w="4588" w:type="dxa"/>
            <w:shd w:val="clear" w:color="auto" w:fill="auto"/>
            <w:tcMar>
              <w:top w:w="85" w:type="dxa"/>
              <w:left w:w="85" w:type="dxa"/>
              <w:bottom w:w="85" w:type="dxa"/>
            </w:tcMar>
          </w:tcPr>
          <w:p w:rsidR="003227AF" w:rsidRDefault="003227AF" w:rsidP="003227AF">
            <w:pPr>
              <w:spacing w:after="0"/>
              <w:rPr>
                <w:noProof/>
                <w:sz w:val="20"/>
              </w:rPr>
            </w:pPr>
            <w:r>
              <w:rPr>
                <w:noProof/>
                <w:sz w:val="20"/>
              </w:rPr>
              <w:t>Návrh NARIADENIE EURÓPSKEHO PARLAMENTU A RADY, ktorým sa mení nariadenie Rady č. 1224/2009 a ktorým sa menia nariadenia Rady (ES) č. 768/2005, (ES) č. 1967/2006, (ES) č. 1005/2008 a nariadenie (EÚ) Európskeho parlamentu a Rady č. 2016/1139 týkajúce sa kontroly rybolovu</w:t>
            </w:r>
          </w:p>
        </w:tc>
        <w:tc>
          <w:tcPr>
            <w:tcW w:w="1985" w:type="dxa"/>
            <w:tcMar>
              <w:top w:w="85" w:type="dxa"/>
              <w:left w:w="85" w:type="dxa"/>
              <w:bottom w:w="85" w:type="dxa"/>
            </w:tcMar>
          </w:tcPr>
          <w:p w:rsidR="003227AF" w:rsidRDefault="003227AF" w:rsidP="003227AF">
            <w:pPr>
              <w:spacing w:after="0"/>
              <w:jc w:val="left"/>
              <w:rPr>
                <w:noProof/>
                <w:sz w:val="20"/>
              </w:rPr>
            </w:pPr>
            <w:r>
              <w:rPr>
                <w:noProof/>
                <w:sz w:val="20"/>
              </w:rPr>
              <w:t>COM(2018) 368 final</w:t>
            </w:r>
            <w:r>
              <w:rPr>
                <w:noProof/>
                <w:sz w:val="20"/>
              </w:rPr>
              <w:br/>
              <w:t>2018/0193 (COD)</w:t>
            </w:r>
            <w:r>
              <w:rPr>
                <w:noProof/>
                <w:sz w:val="20"/>
              </w:rPr>
              <w:br/>
              <w:t>30. 5. 2018</w:t>
            </w:r>
          </w:p>
        </w:tc>
        <w:tc>
          <w:tcPr>
            <w:tcW w:w="1417" w:type="dxa"/>
          </w:tcPr>
          <w:p w:rsidR="003227AF" w:rsidRPr="00D76AD2" w:rsidRDefault="003227AF" w:rsidP="00CF3A0F">
            <w:pPr>
              <w:spacing w:after="0"/>
              <w:jc w:val="center"/>
              <w:rPr>
                <w:b/>
                <w:sz w:val="20"/>
              </w:rPr>
            </w:pPr>
            <w:r w:rsidRPr="00D76AD2">
              <w:rPr>
                <w:b/>
                <w:sz w:val="20"/>
              </w:rPr>
              <w:t>MPRV SR</w:t>
            </w:r>
          </w:p>
        </w:tc>
        <w:tc>
          <w:tcPr>
            <w:tcW w:w="6095" w:type="dxa"/>
          </w:tcPr>
          <w:p w:rsidR="003227AF" w:rsidRPr="001F52F5" w:rsidRDefault="003227AF" w:rsidP="003227AF">
            <w:pPr>
              <w:spacing w:after="0"/>
              <w:jc w:val="left"/>
              <w:rPr>
                <w:b/>
                <w:sz w:val="20"/>
                <w:u w:val="single"/>
              </w:rPr>
            </w:pPr>
            <w:r w:rsidRPr="001F52F5">
              <w:rPr>
                <w:b/>
                <w:sz w:val="20"/>
                <w:u w:val="single"/>
              </w:rPr>
              <w:t>Stredná priorita</w:t>
            </w:r>
            <w:r>
              <w:rPr>
                <w:b/>
                <w:sz w:val="20"/>
                <w:u w:val="single"/>
              </w:rPr>
              <w:t xml:space="preserve"> -</w:t>
            </w:r>
            <w:r w:rsidRPr="001F52F5">
              <w:rPr>
                <w:sz w:val="20"/>
              </w:rPr>
              <w:t>Priorita v oblasti vysledovateľnosti produktov rybolovu a akvakultúry. Kontroly vykonávané prostredníctvom Štátnej veterinárnej a potravinovej správy SR.</w:t>
            </w:r>
          </w:p>
        </w:tc>
      </w:tr>
      <w:tr w:rsidR="003227AF" w:rsidTr="00687C5F">
        <w:trPr>
          <w:cantSplit/>
        </w:trPr>
        <w:tc>
          <w:tcPr>
            <w:tcW w:w="652" w:type="dxa"/>
            <w:tcBorders>
              <w:right w:val="nil"/>
            </w:tcBorders>
            <w:shd w:val="clear" w:color="auto" w:fill="auto"/>
            <w:tcMar>
              <w:top w:w="85" w:type="dxa"/>
              <w:left w:w="85" w:type="dxa"/>
              <w:bottom w:w="85" w:type="dxa"/>
            </w:tcMar>
          </w:tcPr>
          <w:p w:rsidR="003227AF" w:rsidRDefault="003227AF" w:rsidP="003227AF">
            <w:pPr>
              <w:pStyle w:val="Odsekzoznamu"/>
              <w:numPr>
                <w:ilvl w:val="0"/>
                <w:numId w:val="20"/>
              </w:numPr>
              <w:spacing w:after="0"/>
              <w:ind w:left="426"/>
              <w:rPr>
                <w:b/>
                <w:noProof/>
                <w:sz w:val="20"/>
              </w:rPr>
            </w:pPr>
          </w:p>
        </w:tc>
        <w:tc>
          <w:tcPr>
            <w:tcW w:w="4588" w:type="dxa"/>
            <w:shd w:val="clear" w:color="auto" w:fill="auto"/>
            <w:tcMar>
              <w:top w:w="85" w:type="dxa"/>
              <w:left w:w="85" w:type="dxa"/>
              <w:bottom w:w="85" w:type="dxa"/>
            </w:tcMar>
          </w:tcPr>
          <w:p w:rsidR="003227AF" w:rsidRDefault="003227AF" w:rsidP="003227AF">
            <w:pPr>
              <w:spacing w:after="0"/>
              <w:rPr>
                <w:noProof/>
                <w:sz w:val="20"/>
              </w:rPr>
            </w:pPr>
            <w:r>
              <w:rPr>
                <w:noProof/>
                <w:sz w:val="20"/>
              </w:rPr>
              <w:t>Návrh NARIADENIE EURÓPSKEHO PARLAMENTU A RADY o zefektívnení opatrení na urýchlenie realizácie transeurópskej dopravnej siete</w:t>
            </w:r>
          </w:p>
        </w:tc>
        <w:tc>
          <w:tcPr>
            <w:tcW w:w="1985" w:type="dxa"/>
            <w:tcMar>
              <w:top w:w="85" w:type="dxa"/>
              <w:left w:w="85" w:type="dxa"/>
              <w:bottom w:w="85" w:type="dxa"/>
            </w:tcMar>
          </w:tcPr>
          <w:p w:rsidR="003227AF" w:rsidRDefault="003227AF" w:rsidP="003227AF">
            <w:pPr>
              <w:spacing w:after="0"/>
              <w:jc w:val="left"/>
              <w:rPr>
                <w:noProof/>
                <w:sz w:val="20"/>
              </w:rPr>
            </w:pPr>
            <w:r>
              <w:rPr>
                <w:noProof/>
                <w:sz w:val="20"/>
              </w:rPr>
              <w:t>COM(2018) 277 final</w:t>
            </w:r>
            <w:r>
              <w:rPr>
                <w:noProof/>
                <w:sz w:val="20"/>
              </w:rPr>
              <w:br/>
              <w:t>2018/0138 (COD)</w:t>
            </w:r>
            <w:r>
              <w:rPr>
                <w:noProof/>
                <w:sz w:val="20"/>
              </w:rPr>
              <w:br/>
              <w:t>17. 5. 2018</w:t>
            </w:r>
          </w:p>
        </w:tc>
        <w:tc>
          <w:tcPr>
            <w:tcW w:w="1417" w:type="dxa"/>
          </w:tcPr>
          <w:p w:rsidR="003227AF" w:rsidRPr="00D76AD2" w:rsidRDefault="003227AF" w:rsidP="00CF3A0F">
            <w:pPr>
              <w:spacing w:after="0"/>
              <w:jc w:val="center"/>
              <w:rPr>
                <w:b/>
                <w:sz w:val="20"/>
              </w:rPr>
            </w:pPr>
            <w:r w:rsidRPr="00D76AD2">
              <w:rPr>
                <w:b/>
                <w:sz w:val="20"/>
              </w:rPr>
              <w:t>MDV SR</w:t>
            </w:r>
          </w:p>
        </w:tc>
        <w:tc>
          <w:tcPr>
            <w:tcW w:w="6095" w:type="dxa"/>
          </w:tcPr>
          <w:p w:rsidR="003227AF" w:rsidRPr="00D76AD2" w:rsidRDefault="003227AF" w:rsidP="003227AF">
            <w:pPr>
              <w:spacing w:after="0"/>
              <w:rPr>
                <w:sz w:val="20"/>
              </w:rPr>
            </w:pPr>
            <w:r w:rsidRPr="00D76AD2">
              <w:rPr>
                <w:b/>
                <w:sz w:val="20"/>
                <w:u w:val="single"/>
              </w:rPr>
              <w:t>Vysoká priorita</w:t>
            </w:r>
            <w:r>
              <w:rPr>
                <w:sz w:val="20"/>
              </w:rPr>
              <w:t xml:space="preserve"> - N</w:t>
            </w:r>
            <w:r w:rsidRPr="0041397B">
              <w:rPr>
                <w:sz w:val="20"/>
              </w:rPr>
              <w:t>ávrh vychádza zo skúseností z vykonávania dopravných projektov, ktorých realizácia sa často komplikuje zložitými administratívnymi postupmi a regulačnou neistotou</w:t>
            </w:r>
            <w:r>
              <w:rPr>
                <w:sz w:val="20"/>
              </w:rPr>
              <w:t>. C</w:t>
            </w:r>
            <w:r w:rsidRPr="0041397B">
              <w:rPr>
                <w:sz w:val="20"/>
              </w:rPr>
              <w:t>ieľom návrhu je preto zavedenie efektívneho systému udeľovania povolení pre projekty na sieti TEN-T, čím by sa mali obmedziť oneskorenia, ako aj náklady na výstavbu</w:t>
            </w:r>
            <w:r>
              <w:rPr>
                <w:sz w:val="20"/>
              </w:rPr>
              <w:t>.</w:t>
            </w:r>
          </w:p>
          <w:p w:rsidR="003227AF" w:rsidRPr="0041397B" w:rsidRDefault="003227AF" w:rsidP="003227AF">
            <w:pPr>
              <w:spacing w:after="0"/>
              <w:rPr>
                <w:b/>
                <w:sz w:val="20"/>
              </w:rPr>
            </w:pPr>
            <w:r>
              <w:rPr>
                <w:sz w:val="20"/>
              </w:rPr>
              <w:t>V súčasnosti prebiehajú rokovania s EP. Pre SR je dôležitá zmena účinného nástroja z nariadenia na smernicu, ktorá bola prijatá na Rade TTE v decembri 2019. Zmena bola nutná najmä kvôli národným postupom v oblasti udeľovania povolení, ktoré by museli štáty zmeniť aj napriek tomu, že sú funkčné.</w:t>
            </w:r>
          </w:p>
        </w:tc>
      </w:tr>
      <w:tr w:rsidR="003227AF" w:rsidTr="00687C5F">
        <w:trPr>
          <w:cantSplit/>
        </w:trPr>
        <w:tc>
          <w:tcPr>
            <w:tcW w:w="652" w:type="dxa"/>
            <w:tcBorders>
              <w:right w:val="nil"/>
            </w:tcBorders>
            <w:shd w:val="clear" w:color="auto" w:fill="auto"/>
            <w:tcMar>
              <w:top w:w="85" w:type="dxa"/>
              <w:left w:w="85" w:type="dxa"/>
              <w:bottom w:w="85" w:type="dxa"/>
            </w:tcMar>
          </w:tcPr>
          <w:p w:rsidR="003227AF" w:rsidRDefault="003227AF" w:rsidP="003227AF">
            <w:pPr>
              <w:pStyle w:val="Odsekzoznamu"/>
              <w:numPr>
                <w:ilvl w:val="0"/>
                <w:numId w:val="20"/>
              </w:numPr>
              <w:spacing w:after="0"/>
              <w:ind w:left="426"/>
              <w:rPr>
                <w:b/>
                <w:noProof/>
                <w:sz w:val="20"/>
              </w:rPr>
            </w:pPr>
          </w:p>
        </w:tc>
        <w:tc>
          <w:tcPr>
            <w:tcW w:w="4588" w:type="dxa"/>
            <w:shd w:val="clear" w:color="auto" w:fill="auto"/>
            <w:tcMar>
              <w:top w:w="85" w:type="dxa"/>
              <w:left w:w="85" w:type="dxa"/>
              <w:bottom w:w="85" w:type="dxa"/>
            </w:tcMar>
          </w:tcPr>
          <w:p w:rsidR="003227AF" w:rsidRDefault="003227AF" w:rsidP="003227AF">
            <w:pPr>
              <w:spacing w:after="0"/>
              <w:rPr>
                <w:noProof/>
                <w:sz w:val="20"/>
              </w:rPr>
            </w:pPr>
            <w:r>
              <w:rPr>
                <w:noProof/>
                <w:sz w:val="20"/>
              </w:rPr>
              <w:t>Návrh SMERNICA EURÓPSKEHO PARLAMENTU A RADY, ktorou sa mení smernica 1999/62/ES o poplatkoch za používanie určitej dopravnej infraštruktúry ťažkými nákladnými vozidlami</w:t>
            </w:r>
          </w:p>
        </w:tc>
        <w:tc>
          <w:tcPr>
            <w:tcW w:w="1985" w:type="dxa"/>
            <w:tcMar>
              <w:top w:w="85" w:type="dxa"/>
              <w:left w:w="85" w:type="dxa"/>
              <w:bottom w:w="85" w:type="dxa"/>
            </w:tcMar>
          </w:tcPr>
          <w:p w:rsidR="003227AF" w:rsidRDefault="003227AF" w:rsidP="003227AF">
            <w:pPr>
              <w:spacing w:after="0"/>
              <w:jc w:val="left"/>
              <w:rPr>
                <w:noProof/>
                <w:sz w:val="20"/>
              </w:rPr>
            </w:pPr>
            <w:r>
              <w:rPr>
                <w:noProof/>
                <w:sz w:val="20"/>
              </w:rPr>
              <w:t>COM(2017) 275 final</w:t>
            </w:r>
            <w:r>
              <w:rPr>
                <w:noProof/>
                <w:sz w:val="20"/>
              </w:rPr>
              <w:br/>
              <w:t>2017/0114 (COD)</w:t>
            </w:r>
            <w:r>
              <w:rPr>
                <w:noProof/>
                <w:sz w:val="20"/>
              </w:rPr>
              <w:br/>
              <w:t>31. 5. 2017</w:t>
            </w:r>
          </w:p>
        </w:tc>
        <w:tc>
          <w:tcPr>
            <w:tcW w:w="1417" w:type="dxa"/>
          </w:tcPr>
          <w:p w:rsidR="003227AF" w:rsidRPr="00D76AD2" w:rsidRDefault="003227AF" w:rsidP="003227AF">
            <w:pPr>
              <w:spacing w:after="0"/>
              <w:jc w:val="center"/>
              <w:rPr>
                <w:b/>
                <w:sz w:val="20"/>
              </w:rPr>
            </w:pPr>
            <w:r w:rsidRPr="00D76AD2">
              <w:rPr>
                <w:b/>
                <w:sz w:val="20"/>
              </w:rPr>
              <w:t>MDV SR</w:t>
            </w:r>
          </w:p>
        </w:tc>
        <w:tc>
          <w:tcPr>
            <w:tcW w:w="6095" w:type="dxa"/>
          </w:tcPr>
          <w:p w:rsidR="003227AF" w:rsidRPr="00D76AD2" w:rsidRDefault="003227AF" w:rsidP="003227AF">
            <w:pPr>
              <w:spacing w:after="0"/>
              <w:rPr>
                <w:sz w:val="20"/>
              </w:rPr>
            </w:pPr>
            <w:r w:rsidRPr="00D76AD2">
              <w:rPr>
                <w:b/>
                <w:sz w:val="20"/>
                <w:u w:val="single"/>
              </w:rPr>
              <w:t>Vysoká priorita</w:t>
            </w:r>
            <w:r>
              <w:rPr>
                <w:sz w:val="20"/>
              </w:rPr>
              <w:t xml:space="preserve"> - </w:t>
            </w:r>
            <w:r w:rsidRPr="00AB24A5">
              <w:rPr>
                <w:sz w:val="20"/>
              </w:rPr>
              <w:t xml:space="preserve">Návrhom chce Komisia riešiť problémy súvisiacich so spoplatňovaním ciest. </w:t>
            </w:r>
            <w:r>
              <w:rPr>
                <w:sz w:val="20"/>
              </w:rPr>
              <w:t xml:space="preserve">V EÚ sa </w:t>
            </w:r>
            <w:r w:rsidRPr="00AB24A5">
              <w:rPr>
                <w:sz w:val="20"/>
              </w:rPr>
              <w:t>postupne prechádza na celosieťové mýto na základe vzdialenosti, avšak tento prechod je pomalý a v Únii stále nejednotný. Vzhľadom na veľké rozdiely vo vnútroštátnych politikách spoplatňovania ciest EK navrhuje postupnú harmonizáciu typu poplatkov (diaľničné známky na základe času alebo mýto na základe vzdialenosti) a typu používaných technológií na výber poplatkov. Návrhom sa má znížiť administratívne zaťaženie a náklady pre orgány verejnej moci aj účastníkov cestnej premávky. Cieľom iniciatívy je dosiahnuť pokrok pri uplatňovaní zásad „znečisťovateľ platí“ a „používateľ platí“, a tým podporiť finančne a environmentálne udržateľnú a sociálne spravodlivú cestnú dopravu. SR</w:t>
            </w:r>
            <w:r>
              <w:rPr>
                <w:sz w:val="20"/>
              </w:rPr>
              <w:t xml:space="preserve"> presadzuje zásadu </w:t>
            </w:r>
            <w:r w:rsidRPr="00AB24A5">
              <w:rPr>
                <w:sz w:val="20"/>
              </w:rPr>
              <w:t>„znečisťovateľ platí“ a „používateľ platí“</w:t>
            </w:r>
            <w:r>
              <w:rPr>
                <w:sz w:val="20"/>
              </w:rPr>
              <w:t xml:space="preserve"> a vníma ju ako dôležitý nástroj pri znižovaní emisií v doprave. Rozhodnutie o spôsobe spoplatňovania využíania infraštruktúry a o technológii, ktorá sa pri tom použije, uprednostňujeme ponechať na národnej úrovni aj s ohľadom na sociálne dopady.SR zároveň uprednostňuje zavádzanie mýta a užívateľských poplatkov pre rôzne kategórie vozidiel nezávisle od seba. Momentálne sa pracuje na novom revidovanom návrhu, keďže na júnovej ministerskej Rade TTE nebolo podporené všeobecné smerovanie k návrhu.</w:t>
            </w:r>
          </w:p>
        </w:tc>
      </w:tr>
      <w:tr w:rsidR="003227AF" w:rsidTr="00687C5F">
        <w:trPr>
          <w:cantSplit/>
        </w:trPr>
        <w:tc>
          <w:tcPr>
            <w:tcW w:w="652" w:type="dxa"/>
            <w:tcBorders>
              <w:right w:val="nil"/>
            </w:tcBorders>
            <w:shd w:val="clear" w:color="auto" w:fill="auto"/>
            <w:tcMar>
              <w:top w:w="85" w:type="dxa"/>
              <w:left w:w="85" w:type="dxa"/>
              <w:bottom w:w="85" w:type="dxa"/>
            </w:tcMar>
          </w:tcPr>
          <w:p w:rsidR="003227AF" w:rsidRPr="003B1CF2" w:rsidRDefault="003227AF" w:rsidP="003227AF">
            <w:pPr>
              <w:pStyle w:val="Odsekzoznamu"/>
              <w:numPr>
                <w:ilvl w:val="0"/>
                <w:numId w:val="20"/>
              </w:numPr>
              <w:spacing w:after="0"/>
              <w:ind w:left="426"/>
              <w:rPr>
                <w:b/>
                <w:noProof/>
                <w:sz w:val="20"/>
              </w:rPr>
            </w:pPr>
          </w:p>
        </w:tc>
        <w:tc>
          <w:tcPr>
            <w:tcW w:w="4588" w:type="dxa"/>
            <w:shd w:val="clear" w:color="auto" w:fill="auto"/>
            <w:tcMar>
              <w:top w:w="85" w:type="dxa"/>
              <w:left w:w="85" w:type="dxa"/>
              <w:bottom w:w="85" w:type="dxa"/>
            </w:tcMar>
          </w:tcPr>
          <w:p w:rsidR="003227AF" w:rsidRPr="003B1CF2" w:rsidRDefault="003227AF" w:rsidP="003227AF">
            <w:pPr>
              <w:spacing w:after="0"/>
              <w:rPr>
                <w:noProof/>
                <w:sz w:val="20"/>
              </w:rPr>
            </w:pPr>
            <w:r w:rsidRPr="003B1CF2">
              <w:rPr>
                <w:noProof/>
                <w:sz w:val="20"/>
              </w:rPr>
              <w:t>Návrh NARIADENIE RADY, ktorým sa mení nariadenie (ES) č. 866/2004 o režime podľa článku 2 protokolu 10 aktu o pristúpení, pokiaľ ide o tovar, na ktorý sa vzťahujú systémy kvality pre poľnohospodárske výrobky a potraviny</w:t>
            </w:r>
          </w:p>
        </w:tc>
        <w:tc>
          <w:tcPr>
            <w:tcW w:w="1985" w:type="dxa"/>
            <w:tcMar>
              <w:top w:w="85" w:type="dxa"/>
              <w:left w:w="85" w:type="dxa"/>
              <w:bottom w:w="85" w:type="dxa"/>
            </w:tcMar>
          </w:tcPr>
          <w:p w:rsidR="003227AF" w:rsidRPr="003B1CF2" w:rsidRDefault="003227AF" w:rsidP="003227AF">
            <w:pPr>
              <w:spacing w:after="0"/>
              <w:jc w:val="left"/>
              <w:rPr>
                <w:noProof/>
                <w:sz w:val="20"/>
              </w:rPr>
            </w:pPr>
            <w:r w:rsidRPr="003B1CF2">
              <w:rPr>
                <w:noProof/>
                <w:sz w:val="20"/>
              </w:rPr>
              <w:t>COM(2015) 380 final</w:t>
            </w:r>
            <w:r w:rsidRPr="003B1CF2">
              <w:rPr>
                <w:noProof/>
                <w:sz w:val="20"/>
              </w:rPr>
              <w:br/>
              <w:t>2015/0165 (NLE)</w:t>
            </w:r>
            <w:r w:rsidRPr="003B1CF2">
              <w:rPr>
                <w:noProof/>
                <w:sz w:val="20"/>
              </w:rPr>
              <w:br/>
              <w:t>28. 7. 2015</w:t>
            </w:r>
          </w:p>
        </w:tc>
        <w:tc>
          <w:tcPr>
            <w:tcW w:w="1417" w:type="dxa"/>
          </w:tcPr>
          <w:p w:rsidR="003227AF" w:rsidRPr="00A27C5A" w:rsidRDefault="00A27C5A" w:rsidP="00A27C5A">
            <w:pPr>
              <w:spacing w:after="0"/>
              <w:jc w:val="center"/>
              <w:rPr>
                <w:b/>
                <w:noProof/>
                <w:sz w:val="20"/>
              </w:rPr>
            </w:pPr>
            <w:r>
              <w:rPr>
                <w:b/>
                <w:noProof/>
                <w:sz w:val="20"/>
              </w:rPr>
              <w:t>MPR</w:t>
            </w:r>
            <w:r w:rsidRPr="00A27C5A">
              <w:rPr>
                <w:b/>
                <w:noProof/>
                <w:sz w:val="20"/>
              </w:rPr>
              <w:t>V SR</w:t>
            </w:r>
          </w:p>
        </w:tc>
        <w:tc>
          <w:tcPr>
            <w:tcW w:w="6095" w:type="dxa"/>
          </w:tcPr>
          <w:p w:rsidR="003227AF" w:rsidRDefault="00A27C5A" w:rsidP="003227AF">
            <w:pPr>
              <w:spacing w:after="0"/>
              <w:jc w:val="left"/>
              <w:rPr>
                <w:noProof/>
                <w:sz w:val="20"/>
              </w:rPr>
            </w:pPr>
            <w:r>
              <w:rPr>
                <w:b/>
                <w:sz w:val="20"/>
                <w:u w:val="single"/>
              </w:rPr>
              <w:t>Nízka priorita</w:t>
            </w:r>
            <w:r>
              <w:rPr>
                <w:sz w:val="20"/>
                <w:u w:val="single"/>
              </w:rPr>
              <w:t xml:space="preserve"> - </w:t>
            </w:r>
            <w:r>
              <w:rPr>
                <w:sz w:val="20"/>
              </w:rPr>
              <w:t>Nar. 866/2004 sa týka kontrol a prechodu osôb a tovaru na výsostné územie UK na Cypre.</w:t>
            </w:r>
          </w:p>
        </w:tc>
      </w:tr>
      <w:tr w:rsidR="003227AF" w:rsidTr="00687C5F">
        <w:trPr>
          <w:cantSplit/>
        </w:trPr>
        <w:tc>
          <w:tcPr>
            <w:tcW w:w="652" w:type="dxa"/>
            <w:tcBorders>
              <w:right w:val="nil"/>
            </w:tcBorders>
            <w:shd w:val="clear" w:color="auto" w:fill="auto"/>
            <w:tcMar>
              <w:top w:w="85" w:type="dxa"/>
              <w:left w:w="85" w:type="dxa"/>
              <w:bottom w:w="85" w:type="dxa"/>
            </w:tcMar>
          </w:tcPr>
          <w:p w:rsidR="003227AF" w:rsidRDefault="003227AF" w:rsidP="003227AF">
            <w:pPr>
              <w:pStyle w:val="Odsekzoznamu"/>
              <w:numPr>
                <w:ilvl w:val="0"/>
                <w:numId w:val="20"/>
              </w:numPr>
              <w:spacing w:after="0"/>
              <w:ind w:left="426"/>
              <w:rPr>
                <w:b/>
                <w:noProof/>
                <w:sz w:val="20"/>
              </w:rPr>
            </w:pPr>
          </w:p>
        </w:tc>
        <w:tc>
          <w:tcPr>
            <w:tcW w:w="4588" w:type="dxa"/>
            <w:shd w:val="clear" w:color="auto" w:fill="auto"/>
            <w:tcMar>
              <w:top w:w="85" w:type="dxa"/>
              <w:left w:w="85" w:type="dxa"/>
              <w:bottom w:w="85" w:type="dxa"/>
            </w:tcMar>
          </w:tcPr>
          <w:p w:rsidR="003227AF" w:rsidRDefault="003227AF" w:rsidP="003227AF">
            <w:pPr>
              <w:spacing w:after="0"/>
              <w:rPr>
                <w:noProof/>
                <w:sz w:val="20"/>
              </w:rPr>
            </w:pPr>
            <w:r>
              <w:rPr>
                <w:noProof/>
                <w:sz w:val="20"/>
              </w:rPr>
              <w:t>Návrh NARIADENIE EURÓPSKEHO PARLAMENTU A RADY, ktorým sa mení nariadenie (ES) č. 1829/2003, pokiaľ ide o možnosť členských štátov obmedziť alebo zakázať používanie geneticky modifikovaných potravín a krmív na svojom území</w:t>
            </w:r>
          </w:p>
        </w:tc>
        <w:tc>
          <w:tcPr>
            <w:tcW w:w="1985" w:type="dxa"/>
            <w:tcMar>
              <w:top w:w="85" w:type="dxa"/>
              <w:left w:w="85" w:type="dxa"/>
              <w:bottom w:w="85" w:type="dxa"/>
            </w:tcMar>
          </w:tcPr>
          <w:p w:rsidR="003227AF" w:rsidRDefault="003227AF" w:rsidP="003227AF">
            <w:pPr>
              <w:spacing w:after="0"/>
              <w:jc w:val="left"/>
              <w:rPr>
                <w:noProof/>
                <w:sz w:val="20"/>
              </w:rPr>
            </w:pPr>
            <w:r>
              <w:rPr>
                <w:noProof/>
                <w:sz w:val="20"/>
              </w:rPr>
              <w:t>COM(2015) 177 final</w:t>
            </w:r>
            <w:r>
              <w:rPr>
                <w:noProof/>
                <w:sz w:val="20"/>
              </w:rPr>
              <w:br/>
              <w:t>2015/0093 (COD)</w:t>
            </w:r>
            <w:r>
              <w:rPr>
                <w:noProof/>
                <w:sz w:val="20"/>
              </w:rPr>
              <w:br/>
              <w:t>22. 4. 2015</w:t>
            </w:r>
          </w:p>
        </w:tc>
        <w:tc>
          <w:tcPr>
            <w:tcW w:w="1417" w:type="dxa"/>
          </w:tcPr>
          <w:p w:rsidR="003227AF" w:rsidRDefault="003227AF" w:rsidP="003227AF">
            <w:pPr>
              <w:spacing w:after="0"/>
              <w:jc w:val="center"/>
              <w:rPr>
                <w:b/>
                <w:noProof/>
                <w:sz w:val="20"/>
              </w:rPr>
            </w:pPr>
            <w:r w:rsidRPr="001F52F5">
              <w:rPr>
                <w:b/>
                <w:noProof/>
                <w:sz w:val="20"/>
              </w:rPr>
              <w:t>MPRV SR</w:t>
            </w:r>
          </w:p>
          <w:p w:rsidR="002F1D07" w:rsidRPr="001F52F5" w:rsidRDefault="002F1D07" w:rsidP="003227AF">
            <w:pPr>
              <w:spacing w:after="0"/>
              <w:jc w:val="center"/>
              <w:rPr>
                <w:b/>
                <w:noProof/>
                <w:sz w:val="20"/>
              </w:rPr>
            </w:pPr>
            <w:r>
              <w:rPr>
                <w:b/>
                <w:noProof/>
                <w:sz w:val="20"/>
              </w:rPr>
              <w:t>MŽP SR</w:t>
            </w:r>
          </w:p>
        </w:tc>
        <w:tc>
          <w:tcPr>
            <w:tcW w:w="6095" w:type="dxa"/>
          </w:tcPr>
          <w:p w:rsidR="003227AF" w:rsidRPr="001F52F5" w:rsidRDefault="003227AF" w:rsidP="003227AF">
            <w:pPr>
              <w:spacing w:after="0"/>
              <w:rPr>
                <w:b/>
                <w:sz w:val="20"/>
              </w:rPr>
            </w:pPr>
            <w:r w:rsidRPr="002E6BBF">
              <w:rPr>
                <w:b/>
                <w:sz w:val="20"/>
                <w:u w:val="single"/>
              </w:rPr>
              <w:t>Nízka priorita</w:t>
            </w:r>
            <w:r>
              <w:rPr>
                <w:sz w:val="20"/>
              </w:rPr>
              <w:t xml:space="preserve"> - </w:t>
            </w:r>
            <w:r w:rsidRPr="00BF1C59">
              <w:rPr>
                <w:sz w:val="20"/>
              </w:rPr>
              <w:t>Riešenie uvedeného návrhu z r. 2015 má pre SR nízku prioritu, pretože trh SR zmeny zahrnuté v návrhu výrazne neovplyvnia v porovnaní s opatreniami a možnosťami, ktoré stanovuje Nariadenie ES č. 1829/2003. Najväčší dopad by pravdepodobne mala zmena neumožňujúca obmedzenie používania potravín a krmív, ktoré nemusia byť označené ako GMO – pri tzv. prahových hodnotách výskytu GMO.</w:t>
            </w:r>
          </w:p>
        </w:tc>
      </w:tr>
      <w:tr w:rsidR="003227AF" w:rsidTr="00687C5F">
        <w:trPr>
          <w:cantSplit/>
        </w:trPr>
        <w:tc>
          <w:tcPr>
            <w:tcW w:w="652" w:type="dxa"/>
            <w:tcBorders>
              <w:right w:val="nil"/>
            </w:tcBorders>
            <w:shd w:val="clear" w:color="auto" w:fill="auto"/>
            <w:tcMar>
              <w:top w:w="85" w:type="dxa"/>
              <w:left w:w="85" w:type="dxa"/>
              <w:bottom w:w="85" w:type="dxa"/>
            </w:tcMar>
          </w:tcPr>
          <w:p w:rsidR="003227AF" w:rsidRDefault="003227AF" w:rsidP="003227AF">
            <w:pPr>
              <w:pStyle w:val="Odsekzoznamu"/>
              <w:numPr>
                <w:ilvl w:val="0"/>
                <w:numId w:val="20"/>
              </w:numPr>
              <w:spacing w:after="0"/>
              <w:ind w:left="426"/>
              <w:rPr>
                <w:b/>
                <w:noProof/>
                <w:sz w:val="20"/>
              </w:rPr>
            </w:pPr>
          </w:p>
        </w:tc>
        <w:tc>
          <w:tcPr>
            <w:tcW w:w="4588" w:type="dxa"/>
            <w:shd w:val="clear" w:color="auto" w:fill="EEECE1" w:themeFill="background2"/>
            <w:tcMar>
              <w:top w:w="85" w:type="dxa"/>
              <w:left w:w="85" w:type="dxa"/>
              <w:bottom w:w="85" w:type="dxa"/>
            </w:tcMar>
          </w:tcPr>
          <w:p w:rsidR="003227AF" w:rsidRDefault="003227AF" w:rsidP="003227AF">
            <w:pPr>
              <w:spacing w:after="0"/>
              <w:rPr>
                <w:noProof/>
                <w:sz w:val="20"/>
              </w:rPr>
            </w:pPr>
            <w:r>
              <w:rPr>
                <w:noProof/>
                <w:sz w:val="20"/>
              </w:rPr>
              <w:t>Návrh NARIADENIE EURÓPSKEHO PARLAMENTU A RADY, ktorým sa zriaďuje Program InvestEU</w:t>
            </w:r>
          </w:p>
        </w:tc>
        <w:tc>
          <w:tcPr>
            <w:tcW w:w="1985" w:type="dxa"/>
            <w:tcMar>
              <w:top w:w="85" w:type="dxa"/>
              <w:left w:w="85" w:type="dxa"/>
              <w:bottom w:w="85" w:type="dxa"/>
            </w:tcMar>
          </w:tcPr>
          <w:p w:rsidR="003227AF" w:rsidRDefault="003227AF" w:rsidP="003227AF">
            <w:pPr>
              <w:spacing w:after="0"/>
              <w:jc w:val="left"/>
              <w:rPr>
                <w:noProof/>
                <w:sz w:val="20"/>
              </w:rPr>
            </w:pPr>
            <w:r>
              <w:rPr>
                <w:noProof/>
                <w:sz w:val="20"/>
              </w:rPr>
              <w:t>COM(2018) 439 final</w:t>
            </w:r>
            <w:r>
              <w:rPr>
                <w:noProof/>
                <w:sz w:val="20"/>
              </w:rPr>
              <w:br/>
              <w:t>2018/0229 (COD)</w:t>
            </w:r>
            <w:r>
              <w:rPr>
                <w:noProof/>
                <w:sz w:val="20"/>
              </w:rPr>
              <w:br/>
              <w:t>8. 6. 2018</w:t>
            </w:r>
          </w:p>
        </w:tc>
        <w:tc>
          <w:tcPr>
            <w:tcW w:w="1417" w:type="dxa"/>
          </w:tcPr>
          <w:p w:rsidR="003227AF" w:rsidRDefault="003227AF" w:rsidP="003227AF">
            <w:pPr>
              <w:spacing w:after="0"/>
              <w:jc w:val="center"/>
              <w:rPr>
                <w:b/>
                <w:noProof/>
                <w:sz w:val="20"/>
              </w:rPr>
            </w:pPr>
            <w:r w:rsidRPr="00865FF8">
              <w:rPr>
                <w:b/>
                <w:noProof/>
                <w:sz w:val="20"/>
              </w:rPr>
              <w:t>MF SR</w:t>
            </w:r>
          </w:p>
          <w:p w:rsidR="002F1D07" w:rsidRPr="00865FF8" w:rsidRDefault="002F1D07" w:rsidP="003227AF">
            <w:pPr>
              <w:spacing w:after="0"/>
              <w:jc w:val="center"/>
              <w:rPr>
                <w:b/>
                <w:noProof/>
                <w:sz w:val="20"/>
              </w:rPr>
            </w:pPr>
            <w:r>
              <w:rPr>
                <w:b/>
                <w:noProof/>
                <w:sz w:val="20"/>
              </w:rPr>
              <w:t>ÚPVII</w:t>
            </w:r>
          </w:p>
        </w:tc>
        <w:tc>
          <w:tcPr>
            <w:tcW w:w="6095" w:type="dxa"/>
          </w:tcPr>
          <w:p w:rsidR="003227AF" w:rsidRDefault="003227AF" w:rsidP="003227AF">
            <w:pPr>
              <w:spacing w:after="0"/>
              <w:rPr>
                <w:sz w:val="20"/>
              </w:rPr>
            </w:pPr>
            <w:r w:rsidRPr="00865FF8">
              <w:rPr>
                <w:b/>
                <w:sz w:val="20"/>
                <w:u w:val="single"/>
              </w:rPr>
              <w:t>Stredná priorita</w:t>
            </w:r>
            <w:r>
              <w:rPr>
                <w:sz w:val="20"/>
              </w:rPr>
              <w:t xml:space="preserve"> - </w:t>
            </w:r>
            <w:r w:rsidRPr="00865FF8">
              <w:rPr>
                <w:sz w:val="20"/>
              </w:rPr>
              <w:t xml:space="preserve">Európska komisia navrhla v roku 2018 v rámci balíka k viacročnému finančnému rámcu (VFR) na roky 2021-2027 zriadiť Program InvestEU, ktorého súčasťou sú Fond InvestEU, Poradenské centrum InvestEU a Portál InvestEU. Cieľom programu je zjednodušiť poskytovanie finančných nástrojov na úrovni EÚ a nahradiť 14 existujúcich nástrojov jedným Fondom InvestEU. Program InvestEU nadväzuje na úspech </w:t>
            </w:r>
            <w:r w:rsidRPr="00865FF8">
              <w:rPr>
                <w:bCs/>
                <w:sz w:val="20"/>
              </w:rPr>
              <w:t>Európskeho fondu pre strategické investície (EFSI)</w:t>
            </w:r>
            <w:r w:rsidRPr="00865FF8">
              <w:rPr>
                <w:sz w:val="20"/>
              </w:rPr>
              <w:t>, ktorý začal fungovať v júli 2015, aby posilnil investície a stimuloval hospodársky rast a zamestnanosť EÚ. Spočíva v poskytnutí záruky z rozpočtu EÚ vo výške 47,5 mld. eur (presná výška je predmetom rokovaní v rámci VFR 2021-2027), ktorú využijú implementační partneri na mobilizáciu dodatočných zdrojov vo výške 650 mld. eur na úvery, záruky, kapitálové investície a pod, pričom bude podporovať štyri oblasti: udržateľnú infraštruktúru, výskum, inovácie a digitalizáciu, malé a stredné podniky a investície so sociálnym vplyvom.Kľúčovým prvkom v programe budú implementační partneri, ktorí budú benefitovať zo záruky a následne štruktúrovať finančné produkty pre konečných prijímateľov. Z programu má až 75% implementovať EIB a o zvyšných 25% sa budú môcť uchádzať iní implementační partneri, ktorými môžu byť iné medzinárodné finančné inštitúcie (EBRD, CEB) alebo národné podporné banky a inštitúcie (SZRB, SIH). Dohoda ešte nie je o rozpočtových a horizontálnych otázkach, o ktorých sa v súčasnosti diskutuje v rámci rokovaní o nasledujúcom VFR na obdobie 2021 – 2027.</w:t>
            </w:r>
          </w:p>
        </w:tc>
      </w:tr>
      <w:tr w:rsidR="003227AF" w:rsidTr="00687C5F">
        <w:trPr>
          <w:cantSplit/>
        </w:trPr>
        <w:tc>
          <w:tcPr>
            <w:tcW w:w="652" w:type="dxa"/>
            <w:tcBorders>
              <w:right w:val="nil"/>
            </w:tcBorders>
            <w:shd w:val="clear" w:color="auto" w:fill="auto"/>
            <w:tcMar>
              <w:top w:w="85" w:type="dxa"/>
              <w:left w:w="85" w:type="dxa"/>
              <w:bottom w:w="85" w:type="dxa"/>
            </w:tcMar>
          </w:tcPr>
          <w:p w:rsidR="003227AF" w:rsidRDefault="003227AF" w:rsidP="003227AF">
            <w:pPr>
              <w:pStyle w:val="Odsekzoznamu"/>
              <w:numPr>
                <w:ilvl w:val="0"/>
                <w:numId w:val="20"/>
              </w:numPr>
              <w:spacing w:after="0"/>
              <w:ind w:left="426"/>
              <w:rPr>
                <w:b/>
                <w:noProof/>
                <w:sz w:val="20"/>
              </w:rPr>
            </w:pPr>
          </w:p>
        </w:tc>
        <w:tc>
          <w:tcPr>
            <w:tcW w:w="4588" w:type="dxa"/>
            <w:shd w:val="clear" w:color="auto" w:fill="EEECE1" w:themeFill="background2"/>
            <w:tcMar>
              <w:top w:w="85" w:type="dxa"/>
              <w:left w:w="85" w:type="dxa"/>
              <w:bottom w:w="85" w:type="dxa"/>
            </w:tcMar>
          </w:tcPr>
          <w:p w:rsidR="003227AF" w:rsidRDefault="003227AF" w:rsidP="003227AF">
            <w:pPr>
              <w:spacing w:after="0"/>
              <w:rPr>
                <w:noProof/>
                <w:sz w:val="20"/>
              </w:rPr>
            </w:pPr>
            <w:r>
              <w:rPr>
                <w:noProof/>
                <w:sz w:val="20"/>
              </w:rPr>
              <w:t>Návrh NARIADENIE RADY, ktorým sa stanovuje program pomoci na vyraďovanie jadrovej elektrárne Ignalina v Litve z prevádzky (program Ignalina); a ktorým sa zrušuje nariadenie Rady (EÚ) č. 1369/2013</w:t>
            </w:r>
          </w:p>
        </w:tc>
        <w:tc>
          <w:tcPr>
            <w:tcW w:w="1985" w:type="dxa"/>
            <w:tcMar>
              <w:top w:w="85" w:type="dxa"/>
              <w:left w:w="85" w:type="dxa"/>
              <w:bottom w:w="85" w:type="dxa"/>
            </w:tcMar>
          </w:tcPr>
          <w:p w:rsidR="003227AF" w:rsidRDefault="003227AF" w:rsidP="003227AF">
            <w:pPr>
              <w:spacing w:after="0"/>
              <w:jc w:val="left"/>
              <w:rPr>
                <w:noProof/>
                <w:sz w:val="20"/>
              </w:rPr>
            </w:pPr>
            <w:r>
              <w:rPr>
                <w:noProof/>
                <w:sz w:val="20"/>
              </w:rPr>
              <w:t>COM(2018) 466 final</w:t>
            </w:r>
            <w:r>
              <w:rPr>
                <w:noProof/>
                <w:sz w:val="20"/>
              </w:rPr>
              <w:br/>
              <w:t>2018/0251 (NLE)</w:t>
            </w:r>
            <w:r>
              <w:rPr>
                <w:noProof/>
                <w:sz w:val="20"/>
              </w:rPr>
              <w:br/>
              <w:t>13. 6. 2018</w:t>
            </w:r>
          </w:p>
        </w:tc>
        <w:tc>
          <w:tcPr>
            <w:tcW w:w="1417" w:type="dxa"/>
          </w:tcPr>
          <w:p w:rsidR="003227AF" w:rsidRPr="008A1982" w:rsidRDefault="003227AF" w:rsidP="003227AF">
            <w:pPr>
              <w:spacing w:after="0"/>
              <w:jc w:val="center"/>
              <w:rPr>
                <w:b/>
                <w:sz w:val="20"/>
              </w:rPr>
            </w:pPr>
            <w:r w:rsidRPr="008A1982">
              <w:rPr>
                <w:b/>
                <w:sz w:val="20"/>
              </w:rPr>
              <w:t>MH SR</w:t>
            </w:r>
          </w:p>
          <w:p w:rsidR="003227AF" w:rsidRPr="008A1982" w:rsidRDefault="003227AF" w:rsidP="003227AF">
            <w:pPr>
              <w:spacing w:after="0"/>
              <w:jc w:val="center"/>
              <w:rPr>
                <w:b/>
                <w:noProof/>
                <w:sz w:val="20"/>
              </w:rPr>
            </w:pPr>
            <w:r w:rsidRPr="008A1982">
              <w:rPr>
                <w:b/>
                <w:sz w:val="20"/>
              </w:rPr>
              <w:t>ÚJD SR</w:t>
            </w:r>
          </w:p>
        </w:tc>
        <w:tc>
          <w:tcPr>
            <w:tcW w:w="6095" w:type="dxa"/>
          </w:tcPr>
          <w:p w:rsidR="003227AF" w:rsidRDefault="003227AF" w:rsidP="003227AF">
            <w:pPr>
              <w:spacing w:after="0"/>
              <w:jc w:val="left"/>
              <w:rPr>
                <w:noProof/>
                <w:sz w:val="20"/>
              </w:rPr>
            </w:pPr>
            <w:r w:rsidRPr="002E6BBF">
              <w:rPr>
                <w:b/>
                <w:sz w:val="20"/>
                <w:u w:val="single"/>
              </w:rPr>
              <w:t>Nízka priorita</w:t>
            </w:r>
            <w:r>
              <w:rPr>
                <w:sz w:val="20"/>
              </w:rPr>
              <w:t xml:space="preserve"> -  Netýka sa priamo SR.</w:t>
            </w:r>
          </w:p>
        </w:tc>
      </w:tr>
      <w:tr w:rsidR="003227AF" w:rsidTr="00687C5F">
        <w:trPr>
          <w:cantSplit/>
        </w:trPr>
        <w:tc>
          <w:tcPr>
            <w:tcW w:w="652" w:type="dxa"/>
            <w:tcBorders>
              <w:right w:val="nil"/>
            </w:tcBorders>
            <w:shd w:val="clear" w:color="auto" w:fill="auto"/>
            <w:tcMar>
              <w:top w:w="85" w:type="dxa"/>
              <w:left w:w="85" w:type="dxa"/>
              <w:bottom w:w="85" w:type="dxa"/>
            </w:tcMar>
          </w:tcPr>
          <w:p w:rsidR="003227AF" w:rsidRDefault="003227AF" w:rsidP="003227AF">
            <w:pPr>
              <w:pStyle w:val="Odsekzoznamu"/>
              <w:numPr>
                <w:ilvl w:val="0"/>
                <w:numId w:val="20"/>
              </w:numPr>
              <w:spacing w:after="0"/>
              <w:ind w:left="426"/>
              <w:rPr>
                <w:b/>
                <w:noProof/>
                <w:sz w:val="20"/>
              </w:rPr>
            </w:pPr>
          </w:p>
        </w:tc>
        <w:tc>
          <w:tcPr>
            <w:tcW w:w="4588" w:type="dxa"/>
            <w:shd w:val="clear" w:color="auto" w:fill="EEECE1" w:themeFill="background2"/>
            <w:tcMar>
              <w:top w:w="85" w:type="dxa"/>
              <w:left w:w="85" w:type="dxa"/>
              <w:bottom w:w="85" w:type="dxa"/>
            </w:tcMar>
          </w:tcPr>
          <w:p w:rsidR="003227AF" w:rsidRDefault="003227AF" w:rsidP="003227AF">
            <w:pPr>
              <w:spacing w:after="0"/>
              <w:rPr>
                <w:noProof/>
                <w:sz w:val="20"/>
              </w:rPr>
            </w:pPr>
            <w:r>
              <w:rPr>
                <w:noProof/>
                <w:sz w:val="20"/>
              </w:rPr>
              <w:t>Návrh NARIADENIE RADY, ktorým sa stanovuje účelový program financovania vyraďovania jadrových zariadení z prevádzky a nakladania s rádioaktívnym odpadom a ktorým sa zrušuje nariadenie Rady (Euratom) č. 1368/2013</w:t>
            </w:r>
          </w:p>
        </w:tc>
        <w:tc>
          <w:tcPr>
            <w:tcW w:w="1985" w:type="dxa"/>
            <w:tcMar>
              <w:top w:w="85" w:type="dxa"/>
              <w:left w:w="85" w:type="dxa"/>
              <w:bottom w:w="85" w:type="dxa"/>
            </w:tcMar>
          </w:tcPr>
          <w:p w:rsidR="003227AF" w:rsidRDefault="003227AF" w:rsidP="003227AF">
            <w:pPr>
              <w:spacing w:after="0"/>
              <w:jc w:val="left"/>
              <w:rPr>
                <w:noProof/>
                <w:sz w:val="20"/>
              </w:rPr>
            </w:pPr>
            <w:r>
              <w:rPr>
                <w:noProof/>
                <w:sz w:val="20"/>
              </w:rPr>
              <w:t>COM(2018) 467 final</w:t>
            </w:r>
            <w:r>
              <w:rPr>
                <w:noProof/>
                <w:sz w:val="20"/>
              </w:rPr>
              <w:br/>
              <w:t>2018/0252 (NLE)</w:t>
            </w:r>
            <w:r>
              <w:rPr>
                <w:noProof/>
                <w:sz w:val="20"/>
              </w:rPr>
              <w:br/>
              <w:t>13. 6. 2018</w:t>
            </w:r>
          </w:p>
        </w:tc>
        <w:tc>
          <w:tcPr>
            <w:tcW w:w="1417" w:type="dxa"/>
          </w:tcPr>
          <w:p w:rsidR="003227AF" w:rsidRPr="008A1982" w:rsidRDefault="003227AF" w:rsidP="003227AF">
            <w:pPr>
              <w:spacing w:after="0"/>
              <w:jc w:val="center"/>
              <w:rPr>
                <w:b/>
                <w:sz w:val="20"/>
              </w:rPr>
            </w:pPr>
            <w:r w:rsidRPr="008A1982">
              <w:rPr>
                <w:b/>
                <w:sz w:val="20"/>
              </w:rPr>
              <w:t>MH SR</w:t>
            </w:r>
          </w:p>
          <w:p w:rsidR="003227AF" w:rsidRPr="008A1982" w:rsidRDefault="003227AF" w:rsidP="003227AF">
            <w:pPr>
              <w:spacing w:after="0"/>
              <w:jc w:val="center"/>
              <w:rPr>
                <w:b/>
                <w:noProof/>
                <w:sz w:val="20"/>
              </w:rPr>
            </w:pPr>
            <w:r w:rsidRPr="008A1982">
              <w:rPr>
                <w:b/>
                <w:sz w:val="20"/>
              </w:rPr>
              <w:t>ÚJD SR</w:t>
            </w:r>
          </w:p>
        </w:tc>
        <w:tc>
          <w:tcPr>
            <w:tcW w:w="6095" w:type="dxa"/>
          </w:tcPr>
          <w:p w:rsidR="003227AF" w:rsidRPr="00AB42C2" w:rsidRDefault="003227AF" w:rsidP="003227AF">
            <w:pPr>
              <w:spacing w:after="0"/>
              <w:rPr>
                <w:sz w:val="20"/>
              </w:rPr>
            </w:pPr>
            <w:r w:rsidRPr="002E6BBF">
              <w:rPr>
                <w:b/>
                <w:sz w:val="20"/>
                <w:u w:val="single"/>
              </w:rPr>
              <w:t>Vysoká priorita</w:t>
            </w:r>
            <w:r>
              <w:rPr>
                <w:sz w:val="20"/>
              </w:rPr>
              <w:t xml:space="preserve"> - </w:t>
            </w:r>
            <w:r w:rsidRPr="00AB42C2">
              <w:rPr>
                <w:sz w:val="20"/>
              </w:rPr>
              <w:t>Smernica na podporu vyraďovania JE Kozloduj v Bulharsku, JE V1 na Slovensku a jadrových zariadení Spoločného výskumného centra (JRC) je vysokou prioritou z dôvodu zabezpečenia ďalšej finančnej podpory EÚ na vyraďovanie jadrových zariadení aj v SR na nasledujúce obdobie VFR (2021-2027).</w:t>
            </w:r>
          </w:p>
        </w:tc>
      </w:tr>
      <w:tr w:rsidR="003227AF" w:rsidTr="00687C5F">
        <w:trPr>
          <w:cantSplit/>
        </w:trPr>
        <w:tc>
          <w:tcPr>
            <w:tcW w:w="652" w:type="dxa"/>
            <w:tcBorders>
              <w:right w:val="nil"/>
            </w:tcBorders>
            <w:shd w:val="clear" w:color="auto" w:fill="auto"/>
            <w:tcMar>
              <w:top w:w="85" w:type="dxa"/>
              <w:left w:w="85" w:type="dxa"/>
              <w:bottom w:w="85" w:type="dxa"/>
            </w:tcMar>
          </w:tcPr>
          <w:p w:rsidR="003227AF" w:rsidRDefault="003227AF" w:rsidP="003227AF">
            <w:pPr>
              <w:pStyle w:val="Odsekzoznamu"/>
              <w:numPr>
                <w:ilvl w:val="0"/>
                <w:numId w:val="20"/>
              </w:numPr>
              <w:spacing w:after="0"/>
              <w:ind w:left="426"/>
              <w:rPr>
                <w:b/>
                <w:noProof/>
                <w:sz w:val="20"/>
              </w:rPr>
            </w:pPr>
          </w:p>
        </w:tc>
        <w:tc>
          <w:tcPr>
            <w:tcW w:w="4588" w:type="dxa"/>
            <w:shd w:val="clear" w:color="auto" w:fill="EEECE1" w:themeFill="background2"/>
            <w:tcMar>
              <w:top w:w="85" w:type="dxa"/>
              <w:left w:w="85" w:type="dxa"/>
              <w:bottom w:w="85" w:type="dxa"/>
            </w:tcMar>
          </w:tcPr>
          <w:p w:rsidR="003227AF" w:rsidRDefault="003227AF" w:rsidP="003227AF">
            <w:pPr>
              <w:spacing w:after="0"/>
              <w:rPr>
                <w:noProof/>
                <w:sz w:val="20"/>
              </w:rPr>
            </w:pPr>
            <w:r>
              <w:rPr>
                <w:noProof/>
                <w:sz w:val="20"/>
              </w:rPr>
              <w:t>Návrh ROZHODNUTIE RADY, ktorým sa mení rozhodnutie 2007/198/Euratom, ktorým sa zriaďuje Európsky spoločný podnik pre ITER a rozvoj energie jadrovej syntézy a ktorým sa mu udeľujú výhody</w:t>
            </w:r>
          </w:p>
        </w:tc>
        <w:tc>
          <w:tcPr>
            <w:tcW w:w="1985" w:type="dxa"/>
            <w:tcMar>
              <w:top w:w="85" w:type="dxa"/>
              <w:left w:w="85" w:type="dxa"/>
              <w:bottom w:w="85" w:type="dxa"/>
            </w:tcMar>
          </w:tcPr>
          <w:p w:rsidR="003227AF" w:rsidRDefault="003227AF" w:rsidP="003227AF">
            <w:pPr>
              <w:spacing w:after="0"/>
              <w:jc w:val="left"/>
              <w:rPr>
                <w:noProof/>
                <w:sz w:val="20"/>
              </w:rPr>
            </w:pPr>
            <w:r>
              <w:rPr>
                <w:noProof/>
                <w:sz w:val="20"/>
              </w:rPr>
              <w:t>COM(2018) 445 final</w:t>
            </w:r>
            <w:r>
              <w:rPr>
                <w:noProof/>
                <w:sz w:val="20"/>
              </w:rPr>
              <w:br/>
              <w:t>2018/0235 (NLE)</w:t>
            </w:r>
            <w:r>
              <w:rPr>
                <w:noProof/>
                <w:sz w:val="20"/>
              </w:rPr>
              <w:br/>
              <w:t>7. 6. 2018</w:t>
            </w:r>
          </w:p>
        </w:tc>
        <w:tc>
          <w:tcPr>
            <w:tcW w:w="1417" w:type="dxa"/>
          </w:tcPr>
          <w:p w:rsidR="003227AF" w:rsidRPr="008A1982" w:rsidRDefault="005A5D83" w:rsidP="003227AF">
            <w:pPr>
              <w:spacing w:after="0"/>
              <w:jc w:val="center"/>
              <w:rPr>
                <w:b/>
                <w:sz w:val="20"/>
              </w:rPr>
            </w:pPr>
            <w:r>
              <w:rPr>
                <w:b/>
                <w:sz w:val="20"/>
              </w:rPr>
              <w:t xml:space="preserve">MŠVVaŠ </w:t>
            </w:r>
            <w:r w:rsidR="003227AF" w:rsidRPr="008A1982">
              <w:rPr>
                <w:b/>
                <w:sz w:val="20"/>
              </w:rPr>
              <w:t xml:space="preserve"> SR</w:t>
            </w:r>
          </w:p>
          <w:p w:rsidR="003227AF" w:rsidRPr="008A1982" w:rsidRDefault="003227AF" w:rsidP="003227AF">
            <w:pPr>
              <w:spacing w:after="0"/>
              <w:jc w:val="center"/>
              <w:rPr>
                <w:b/>
                <w:sz w:val="20"/>
              </w:rPr>
            </w:pPr>
            <w:r w:rsidRPr="008A1982">
              <w:rPr>
                <w:b/>
                <w:sz w:val="20"/>
              </w:rPr>
              <w:t>ÚVZ SR</w:t>
            </w:r>
          </w:p>
          <w:p w:rsidR="003227AF" w:rsidRDefault="003227AF" w:rsidP="003227AF">
            <w:pPr>
              <w:spacing w:after="0"/>
              <w:jc w:val="center"/>
              <w:rPr>
                <w:b/>
                <w:sz w:val="20"/>
              </w:rPr>
            </w:pPr>
            <w:r w:rsidRPr="008A1982">
              <w:rPr>
                <w:b/>
                <w:sz w:val="20"/>
              </w:rPr>
              <w:t>ÚJD SR</w:t>
            </w:r>
          </w:p>
          <w:p w:rsidR="000D5C05" w:rsidRPr="008A1982" w:rsidRDefault="000D5C05" w:rsidP="003227AF">
            <w:pPr>
              <w:spacing w:after="0"/>
              <w:jc w:val="center"/>
              <w:rPr>
                <w:b/>
                <w:noProof/>
                <w:sz w:val="20"/>
              </w:rPr>
            </w:pPr>
            <w:r w:rsidRPr="008A1982">
              <w:rPr>
                <w:b/>
                <w:sz w:val="20"/>
              </w:rPr>
              <w:t>MH SR</w:t>
            </w:r>
          </w:p>
        </w:tc>
        <w:tc>
          <w:tcPr>
            <w:tcW w:w="6095" w:type="dxa"/>
          </w:tcPr>
          <w:p w:rsidR="003227AF" w:rsidRPr="00D15665" w:rsidRDefault="003227AF" w:rsidP="003227AF">
            <w:pPr>
              <w:spacing w:after="0"/>
              <w:rPr>
                <w:b/>
                <w:sz w:val="20"/>
              </w:rPr>
            </w:pPr>
            <w:r>
              <w:rPr>
                <w:b/>
                <w:sz w:val="20"/>
                <w:u w:val="single"/>
              </w:rPr>
              <w:t xml:space="preserve">Stredná  </w:t>
            </w:r>
            <w:r w:rsidRPr="002E6BBF">
              <w:rPr>
                <w:b/>
                <w:sz w:val="20"/>
                <w:u w:val="single"/>
              </w:rPr>
              <w:t>priorita</w:t>
            </w:r>
            <w:r>
              <w:rPr>
                <w:sz w:val="20"/>
              </w:rPr>
              <w:t xml:space="preserve"> -  </w:t>
            </w:r>
            <w:r w:rsidRPr="007B2F96">
              <w:rPr>
                <w:sz w:val="20"/>
              </w:rPr>
              <w:t>Aktuálny stav rokovaní:</w:t>
            </w:r>
            <w:r w:rsidRPr="007B2F96">
              <w:rPr>
                <w:color w:val="0D0D0D" w:themeColor="text1" w:themeTint="F2"/>
                <w:sz w:val="20"/>
              </w:rPr>
              <w:t xml:space="preserve"> </w:t>
            </w:r>
            <w:r>
              <w:rPr>
                <w:color w:val="0D0D0D" w:themeColor="text1" w:themeTint="F2"/>
                <w:sz w:val="20"/>
              </w:rPr>
              <w:t xml:space="preserve">Najväčším problémom je recitál </w:t>
            </w:r>
            <w:r>
              <w:rPr>
                <w:bCs/>
                <w:sz w:val="20"/>
                <w:lang w:eastAsia="ar-SA"/>
              </w:rPr>
              <w:t xml:space="preserve">10, ktorý hovorí o </w:t>
            </w:r>
            <w:r w:rsidRPr="007E1CA2">
              <w:rPr>
                <w:bCs/>
                <w:sz w:val="20"/>
                <w:lang w:eastAsia="ar-SA"/>
              </w:rPr>
              <w:t>p</w:t>
            </w:r>
            <w:r>
              <w:rPr>
                <w:bCs/>
                <w:sz w:val="20"/>
                <w:lang w:eastAsia="ar-SA"/>
              </w:rPr>
              <w:t>ríspevku ITER</w:t>
            </w:r>
            <w:r w:rsidRPr="007E1CA2">
              <w:rPr>
                <w:bCs/>
                <w:sz w:val="20"/>
                <w:lang w:eastAsia="ar-SA"/>
              </w:rPr>
              <w:t xml:space="preserve"> k napln</w:t>
            </w:r>
            <w:r>
              <w:rPr>
                <w:bCs/>
                <w:sz w:val="20"/>
                <w:lang w:eastAsia="ar-SA"/>
              </w:rPr>
              <w:t>eniu</w:t>
            </w:r>
            <w:r w:rsidRPr="007E1CA2">
              <w:rPr>
                <w:bCs/>
                <w:sz w:val="20"/>
                <w:lang w:eastAsia="ar-SA"/>
              </w:rPr>
              <w:t xml:space="preserve"> klimatických c</w:t>
            </w:r>
            <w:r>
              <w:rPr>
                <w:bCs/>
                <w:sz w:val="20"/>
                <w:lang w:eastAsia="ar-SA"/>
              </w:rPr>
              <w:t>ieľov. Negatívny postoj niektorých delegá</w:t>
            </w:r>
            <w:r w:rsidRPr="007E1CA2">
              <w:rPr>
                <w:bCs/>
                <w:sz w:val="20"/>
                <w:lang w:eastAsia="ar-SA"/>
              </w:rPr>
              <w:t>c</w:t>
            </w:r>
            <w:r>
              <w:rPr>
                <w:bCs/>
                <w:sz w:val="20"/>
                <w:lang w:eastAsia="ar-SA"/>
              </w:rPr>
              <w:t>i</w:t>
            </w:r>
            <w:r w:rsidRPr="007E1CA2">
              <w:rPr>
                <w:bCs/>
                <w:sz w:val="20"/>
                <w:lang w:eastAsia="ar-SA"/>
              </w:rPr>
              <w:t xml:space="preserve">í (AT, LU a DE), </w:t>
            </w:r>
            <w:r>
              <w:rPr>
                <w:bCs/>
                <w:sz w:val="20"/>
                <w:lang w:eastAsia="ar-SA"/>
              </w:rPr>
              <w:t xml:space="preserve">ako aj diskusia ku klimatickým cieľom, ktorá sa uskutočnovala na iných úrovniach </w:t>
            </w:r>
            <w:r w:rsidRPr="007E1CA2">
              <w:rPr>
                <w:bCs/>
                <w:sz w:val="20"/>
                <w:lang w:eastAsia="ar-SA"/>
              </w:rPr>
              <w:t>(</w:t>
            </w:r>
            <w:r>
              <w:rPr>
                <w:bCs/>
                <w:sz w:val="20"/>
                <w:lang w:eastAsia="ar-SA"/>
              </w:rPr>
              <w:t>MFF, Green Deal</w:t>
            </w:r>
            <w:r w:rsidRPr="007E1CA2">
              <w:rPr>
                <w:bCs/>
                <w:sz w:val="20"/>
                <w:lang w:eastAsia="ar-SA"/>
              </w:rPr>
              <w:t xml:space="preserve"> a</w:t>
            </w:r>
            <w:r>
              <w:rPr>
                <w:bCs/>
                <w:sz w:val="20"/>
                <w:lang w:eastAsia="ar-SA"/>
              </w:rPr>
              <w:t xml:space="preserve"> i</w:t>
            </w:r>
            <w:r w:rsidRPr="007E1CA2">
              <w:rPr>
                <w:bCs/>
                <w:sz w:val="20"/>
                <w:lang w:eastAsia="ar-SA"/>
              </w:rPr>
              <w:t>.) ne</w:t>
            </w:r>
            <w:r>
              <w:rPr>
                <w:bCs/>
                <w:sz w:val="20"/>
                <w:lang w:eastAsia="ar-SA"/>
              </w:rPr>
              <w:t xml:space="preserve">umožnili posun v rokovaniach. </w:t>
            </w:r>
            <w:r>
              <w:rPr>
                <w:sz w:val="20"/>
              </w:rPr>
              <w:t xml:space="preserve">SR si uvedomuje význam projektu ITER, ktorý v budúcnosti prinesie </w:t>
            </w:r>
            <w:r w:rsidRPr="00191CEA">
              <w:rPr>
                <w:sz w:val="20"/>
              </w:rPr>
              <w:t xml:space="preserve">slovenským vedcom </w:t>
            </w:r>
            <w:r>
              <w:rPr>
                <w:sz w:val="20"/>
              </w:rPr>
              <w:t xml:space="preserve">možnosť podielať sa </w:t>
            </w:r>
            <w:r w:rsidRPr="00191CEA">
              <w:rPr>
                <w:sz w:val="20"/>
              </w:rPr>
              <w:t>na špičkovom výskume v oblasti jadrovej syntézy</w:t>
            </w:r>
            <w:r>
              <w:rPr>
                <w:sz w:val="20"/>
              </w:rPr>
              <w:t>. Keď bude dokument opätovne predložený na rokovanie na technickej úrovni, SR sa bude aktívne zapájať do jeho pripomienkovania</w:t>
            </w:r>
            <w:r w:rsidRPr="00AB42C2">
              <w:rPr>
                <w:sz w:val="20"/>
              </w:rPr>
              <w:t>Projekt ITER je spoločný pre krajiny EÚ a SR participuje na jeho financovaní. Význam tohto projektu by v prípade jeho úspešného dokončenia značný, avšak niekoľko desaťročí trvajúci vývoj stále nepriniesol požadované výsledky.</w:t>
            </w:r>
          </w:p>
        </w:tc>
      </w:tr>
      <w:tr w:rsidR="003227AF" w:rsidTr="00687C5F">
        <w:trPr>
          <w:cantSplit/>
        </w:trPr>
        <w:tc>
          <w:tcPr>
            <w:tcW w:w="652" w:type="dxa"/>
            <w:tcBorders>
              <w:right w:val="nil"/>
            </w:tcBorders>
            <w:shd w:val="clear" w:color="auto" w:fill="auto"/>
            <w:tcMar>
              <w:top w:w="85" w:type="dxa"/>
              <w:left w:w="85" w:type="dxa"/>
              <w:bottom w:w="85" w:type="dxa"/>
            </w:tcMar>
          </w:tcPr>
          <w:p w:rsidR="003227AF" w:rsidRDefault="003227AF" w:rsidP="003227AF">
            <w:pPr>
              <w:pStyle w:val="Odsekzoznamu"/>
              <w:numPr>
                <w:ilvl w:val="0"/>
                <w:numId w:val="20"/>
              </w:numPr>
              <w:spacing w:after="0"/>
              <w:ind w:left="426"/>
              <w:rPr>
                <w:b/>
                <w:noProof/>
                <w:sz w:val="20"/>
              </w:rPr>
            </w:pPr>
          </w:p>
        </w:tc>
        <w:tc>
          <w:tcPr>
            <w:tcW w:w="4588" w:type="dxa"/>
            <w:shd w:val="clear" w:color="auto" w:fill="EEECE1" w:themeFill="background2"/>
            <w:tcMar>
              <w:top w:w="85" w:type="dxa"/>
              <w:left w:w="85" w:type="dxa"/>
              <w:bottom w:w="85" w:type="dxa"/>
            </w:tcMar>
          </w:tcPr>
          <w:p w:rsidR="003227AF" w:rsidRPr="003B1CF2" w:rsidRDefault="003227AF" w:rsidP="003227AF">
            <w:pPr>
              <w:spacing w:after="0"/>
              <w:rPr>
                <w:noProof/>
                <w:sz w:val="20"/>
              </w:rPr>
            </w:pPr>
            <w:r w:rsidRPr="003B1CF2">
              <w:rPr>
                <w:noProof/>
                <w:sz w:val="20"/>
              </w:rPr>
              <w:t>Návrh NARIADENIE EURÓPSKEHO PARLAMENTU A RADY, ktorým sa stanovuje Program pre životné prostredie a ochranu klímy (LIFE) a zrušuje nariadenie (EÚ) č. 1293/2013</w:t>
            </w:r>
          </w:p>
        </w:tc>
        <w:tc>
          <w:tcPr>
            <w:tcW w:w="1985" w:type="dxa"/>
            <w:tcMar>
              <w:top w:w="85" w:type="dxa"/>
              <w:left w:w="85" w:type="dxa"/>
              <w:bottom w:w="85" w:type="dxa"/>
            </w:tcMar>
          </w:tcPr>
          <w:p w:rsidR="003227AF" w:rsidRPr="003B1CF2" w:rsidRDefault="003227AF" w:rsidP="003227AF">
            <w:pPr>
              <w:spacing w:after="0"/>
              <w:jc w:val="left"/>
              <w:rPr>
                <w:noProof/>
                <w:sz w:val="20"/>
              </w:rPr>
            </w:pPr>
            <w:r w:rsidRPr="003B1CF2">
              <w:rPr>
                <w:noProof/>
                <w:sz w:val="20"/>
              </w:rPr>
              <w:t>COM(2018) 385 final</w:t>
            </w:r>
            <w:r w:rsidRPr="003B1CF2">
              <w:rPr>
                <w:noProof/>
                <w:sz w:val="20"/>
              </w:rPr>
              <w:br/>
              <w:t>2018/0209 (COD)</w:t>
            </w:r>
            <w:r w:rsidRPr="003B1CF2">
              <w:rPr>
                <w:noProof/>
                <w:sz w:val="20"/>
              </w:rPr>
              <w:br/>
              <w:t>1. 6. 2018</w:t>
            </w:r>
          </w:p>
        </w:tc>
        <w:tc>
          <w:tcPr>
            <w:tcW w:w="1417" w:type="dxa"/>
          </w:tcPr>
          <w:p w:rsidR="003227AF" w:rsidRPr="00D44BCA" w:rsidRDefault="00D44BCA" w:rsidP="00D44BCA">
            <w:pPr>
              <w:spacing w:after="0"/>
              <w:jc w:val="center"/>
              <w:rPr>
                <w:b/>
                <w:noProof/>
                <w:sz w:val="20"/>
              </w:rPr>
            </w:pPr>
            <w:r w:rsidRPr="00D44BCA">
              <w:rPr>
                <w:b/>
                <w:noProof/>
                <w:sz w:val="20"/>
              </w:rPr>
              <w:t>MŽP SR</w:t>
            </w:r>
          </w:p>
        </w:tc>
        <w:tc>
          <w:tcPr>
            <w:tcW w:w="6095" w:type="dxa"/>
          </w:tcPr>
          <w:p w:rsidR="00D44BCA" w:rsidRDefault="00D44BCA" w:rsidP="00D44BCA">
            <w:pPr>
              <w:spacing w:after="0"/>
              <w:rPr>
                <w:sz w:val="20"/>
              </w:rPr>
            </w:pPr>
            <w:r>
              <w:rPr>
                <w:b/>
                <w:sz w:val="20"/>
                <w:u w:val="single"/>
              </w:rPr>
              <w:t>Vysoká priorita</w:t>
            </w:r>
            <w:r>
              <w:rPr>
                <w:b/>
                <w:sz w:val="20"/>
              </w:rPr>
              <w:t xml:space="preserve"> -</w:t>
            </w:r>
            <w:r>
              <w:rPr>
                <w:b/>
                <w:sz w:val="20"/>
                <w:u w:val="single"/>
              </w:rPr>
              <w:t xml:space="preserve"> LIFE</w:t>
            </w:r>
            <w:r>
              <w:rPr>
                <w:sz w:val="20"/>
              </w:rPr>
              <w:t xml:space="preserve"> je jedným z finančných nástrojov EÚ, ktorý tvorí súčasť návrhu viacročného finančného rámca pre obdobie 2021 až 2027. LIFE je hlavný program EÚ zameraný na financovanie akčných projektov v oblasti životného prostredia, ochrany prírody a klímy. Účelom návrhu nariadenia je vytvoriť právny základ pre program. Hlavnou novou črtou návrhu je pridanie podprogramu „Prechodu na čistú energiu“. Projekty prechodu na čistú energiu sa budú naďalej financovať do roku 2020 prostredníctvom programu Horizont 2020. Rýchle zavádzanie obnoviteľných zdrojov energie a zlepšená energetická účinnosť však môžu byť zásadným príspevkom k zmierneniu zmeny klímy so spoločným prínosom pre životné prostredie. Aktuálny stav rokovaní: Predbežná dohoda s EP po trialógoch bola dosiahnutá v marci 2019. Keďže navrhované nariadenie je jedným z balíkov návrhov súvisiacich s viacročným finančným rámcom (MFF), všetky ustanovenia, ktoré majú vplyv na rozpočet alebo horizontálny charakter, boli vylúčené z cieľového čiastočného všeobecného prístupu až do ďalšieho pokroku v oblasti MFF.</w:t>
            </w:r>
          </w:p>
          <w:p w:rsidR="003227AF" w:rsidRDefault="00D44BCA" w:rsidP="00D44BCA">
            <w:pPr>
              <w:spacing w:after="0"/>
              <w:rPr>
                <w:sz w:val="20"/>
              </w:rPr>
            </w:pPr>
            <w:r>
              <w:rPr>
                <w:sz w:val="20"/>
              </w:rPr>
              <w:t>MŽP SR sa bude naďalej aktívne zapáajať do rokovaní k príprave nariadenia, ako aj programových dokumentov. Počas doterajších rokovaní SR presadzovala najmä zachovanie Výboru LIFE, zvýšenie alokácie na projekty na ochranu prírody a biodiverzity (s dôrazom na podporu aktivít v územiach Natura 2000), podporu financovania budovania kapacít Národných kontaktných bodov pre lepšiu informovanosť a čerpanie prostriedkov LIFE.</w:t>
            </w:r>
          </w:p>
        </w:tc>
      </w:tr>
      <w:tr w:rsidR="003227AF" w:rsidTr="00687C5F">
        <w:trPr>
          <w:cantSplit/>
        </w:trPr>
        <w:tc>
          <w:tcPr>
            <w:tcW w:w="652" w:type="dxa"/>
            <w:tcBorders>
              <w:right w:val="nil"/>
            </w:tcBorders>
            <w:shd w:val="clear" w:color="auto" w:fill="auto"/>
            <w:tcMar>
              <w:top w:w="85" w:type="dxa"/>
              <w:left w:w="85" w:type="dxa"/>
              <w:bottom w:w="85" w:type="dxa"/>
            </w:tcMar>
          </w:tcPr>
          <w:p w:rsidR="003227AF" w:rsidRDefault="003227AF" w:rsidP="003227AF">
            <w:pPr>
              <w:pStyle w:val="Odsekzoznamu"/>
              <w:numPr>
                <w:ilvl w:val="0"/>
                <w:numId w:val="20"/>
              </w:numPr>
              <w:spacing w:after="0"/>
              <w:ind w:left="426"/>
              <w:rPr>
                <w:b/>
                <w:noProof/>
                <w:sz w:val="20"/>
              </w:rPr>
            </w:pPr>
          </w:p>
        </w:tc>
        <w:tc>
          <w:tcPr>
            <w:tcW w:w="4588" w:type="dxa"/>
            <w:shd w:val="clear" w:color="auto" w:fill="EEECE1" w:themeFill="background2"/>
            <w:tcMar>
              <w:top w:w="85" w:type="dxa"/>
              <w:left w:w="85" w:type="dxa"/>
              <w:bottom w:w="85" w:type="dxa"/>
            </w:tcMar>
          </w:tcPr>
          <w:p w:rsidR="003227AF" w:rsidRDefault="003227AF" w:rsidP="003227AF">
            <w:pPr>
              <w:spacing w:after="0"/>
              <w:rPr>
                <w:noProof/>
                <w:sz w:val="20"/>
              </w:rPr>
            </w:pPr>
            <w:r>
              <w:rPr>
                <w:noProof/>
                <w:sz w:val="20"/>
              </w:rPr>
              <w:t>Návrh NARIADENIE EURÓPSKEHO PARLAMENTU A RADY o Európskom námornom a rybárskom fonde a o zrušení nariadenia Európskeho parlamentu a Rady (EÚ) č. 508/2014</w:t>
            </w:r>
          </w:p>
        </w:tc>
        <w:tc>
          <w:tcPr>
            <w:tcW w:w="1985" w:type="dxa"/>
            <w:tcMar>
              <w:top w:w="85" w:type="dxa"/>
              <w:left w:w="85" w:type="dxa"/>
              <w:bottom w:w="85" w:type="dxa"/>
            </w:tcMar>
          </w:tcPr>
          <w:p w:rsidR="003227AF" w:rsidRDefault="003227AF" w:rsidP="003227AF">
            <w:pPr>
              <w:spacing w:after="0"/>
              <w:jc w:val="left"/>
              <w:rPr>
                <w:noProof/>
                <w:sz w:val="20"/>
              </w:rPr>
            </w:pPr>
            <w:r>
              <w:rPr>
                <w:noProof/>
                <w:sz w:val="20"/>
              </w:rPr>
              <w:t>COM(2018) 390 final</w:t>
            </w:r>
            <w:r>
              <w:rPr>
                <w:noProof/>
                <w:sz w:val="20"/>
              </w:rPr>
              <w:br/>
              <w:t>2018/0210 (COD) 12. 6. 2018</w:t>
            </w:r>
          </w:p>
        </w:tc>
        <w:tc>
          <w:tcPr>
            <w:tcW w:w="1417" w:type="dxa"/>
          </w:tcPr>
          <w:p w:rsidR="003227AF" w:rsidRPr="00687C5F" w:rsidRDefault="003227AF" w:rsidP="00687C5F">
            <w:pPr>
              <w:spacing w:after="0"/>
              <w:jc w:val="center"/>
              <w:rPr>
                <w:b/>
                <w:sz w:val="20"/>
              </w:rPr>
            </w:pPr>
            <w:r w:rsidRPr="00687C5F">
              <w:rPr>
                <w:b/>
                <w:sz w:val="20"/>
              </w:rPr>
              <w:t>MPRV SR</w:t>
            </w:r>
          </w:p>
        </w:tc>
        <w:tc>
          <w:tcPr>
            <w:tcW w:w="6095" w:type="dxa"/>
          </w:tcPr>
          <w:p w:rsidR="003227AF" w:rsidRPr="001F52F5" w:rsidRDefault="003227AF" w:rsidP="003227AF">
            <w:pPr>
              <w:spacing w:after="0"/>
              <w:rPr>
                <w:b/>
                <w:sz w:val="20"/>
                <w:u w:val="single"/>
              </w:rPr>
            </w:pPr>
            <w:r w:rsidRPr="001F52F5">
              <w:rPr>
                <w:b/>
                <w:sz w:val="20"/>
                <w:u w:val="single"/>
              </w:rPr>
              <w:t>Vysoká priorita</w:t>
            </w:r>
            <w:r>
              <w:rPr>
                <w:b/>
                <w:sz w:val="20"/>
                <w:u w:val="single"/>
              </w:rPr>
              <w:t xml:space="preserve"> - </w:t>
            </w:r>
            <w:r w:rsidRPr="00FE21C5">
              <w:rPr>
                <w:sz w:val="20"/>
              </w:rPr>
              <w:t>Podpora z ENRAF v podmienkach Slovenskej republiky (SR) sa plánuje smerovať najmä do sektora akvakultúry (hospodárskeho chovu rýb) a spracovateľského priemyslu produktov rybolovu a akvakultúry, no taktiež na podporu spoločnej rybárskej politiky (kontrola a presadzovanie, zber údajov), podporu genofondu vybraných druhov rýb a marketingových opatrení. HR PRES plánuje v 1. polovici roka 2020 uskutočniť toľko trialógov s EP koľko bude potrebných. Presný termín schválenia nariadenia o ENRAF post 2020 nie je však známy (pozn. v pláne majú 3 technické a 2 politické trialógy, predpoklad schválenia nariadenia je druhej polovici roku 2020).</w:t>
            </w:r>
          </w:p>
        </w:tc>
      </w:tr>
      <w:tr w:rsidR="003227AF" w:rsidTr="00687C5F">
        <w:trPr>
          <w:cantSplit/>
        </w:trPr>
        <w:tc>
          <w:tcPr>
            <w:tcW w:w="652" w:type="dxa"/>
            <w:tcBorders>
              <w:right w:val="nil"/>
            </w:tcBorders>
            <w:shd w:val="clear" w:color="auto" w:fill="auto"/>
            <w:tcMar>
              <w:top w:w="85" w:type="dxa"/>
              <w:left w:w="85" w:type="dxa"/>
              <w:bottom w:w="85" w:type="dxa"/>
            </w:tcMar>
          </w:tcPr>
          <w:p w:rsidR="003227AF" w:rsidRDefault="003227AF" w:rsidP="003227AF">
            <w:pPr>
              <w:pStyle w:val="Odsekzoznamu"/>
              <w:numPr>
                <w:ilvl w:val="0"/>
                <w:numId w:val="20"/>
              </w:numPr>
              <w:spacing w:after="0"/>
              <w:ind w:left="426"/>
              <w:rPr>
                <w:b/>
                <w:noProof/>
                <w:sz w:val="20"/>
              </w:rPr>
            </w:pPr>
          </w:p>
        </w:tc>
        <w:tc>
          <w:tcPr>
            <w:tcW w:w="4588" w:type="dxa"/>
            <w:shd w:val="clear" w:color="auto" w:fill="EEECE1" w:themeFill="background2"/>
            <w:tcMar>
              <w:top w:w="85" w:type="dxa"/>
              <w:left w:w="85" w:type="dxa"/>
              <w:bottom w:w="85" w:type="dxa"/>
            </w:tcMar>
          </w:tcPr>
          <w:p w:rsidR="003227AF" w:rsidRDefault="003227AF" w:rsidP="003227AF">
            <w:pPr>
              <w:spacing w:after="0"/>
              <w:rPr>
                <w:noProof/>
                <w:sz w:val="20"/>
              </w:rPr>
            </w:pPr>
            <w:r>
              <w:rPr>
                <w:noProof/>
                <w:sz w:val="20"/>
              </w:rPr>
              <w:t>Návrh NARIADENIE EURÓPSKEHO PARLAMENTU A RADY o financovaní, riadení a monitorovaní spoločnej poľnohospodárskej politiky, ktorým sa zrušuje nariadenie (EÚ) č. 1306/2013</w:t>
            </w:r>
          </w:p>
        </w:tc>
        <w:tc>
          <w:tcPr>
            <w:tcW w:w="1985" w:type="dxa"/>
            <w:tcMar>
              <w:top w:w="85" w:type="dxa"/>
              <w:left w:w="85" w:type="dxa"/>
              <w:bottom w:w="85" w:type="dxa"/>
            </w:tcMar>
          </w:tcPr>
          <w:p w:rsidR="003227AF" w:rsidRDefault="003227AF" w:rsidP="003227AF">
            <w:pPr>
              <w:spacing w:after="0"/>
              <w:jc w:val="left"/>
              <w:rPr>
                <w:noProof/>
                <w:sz w:val="20"/>
              </w:rPr>
            </w:pPr>
            <w:r>
              <w:rPr>
                <w:noProof/>
                <w:sz w:val="20"/>
              </w:rPr>
              <w:t>COM(2018) 393 final</w:t>
            </w:r>
            <w:r>
              <w:rPr>
                <w:noProof/>
                <w:sz w:val="20"/>
              </w:rPr>
              <w:br/>
              <w:t>2018/0217 (COD)</w:t>
            </w:r>
            <w:r>
              <w:rPr>
                <w:noProof/>
                <w:sz w:val="20"/>
              </w:rPr>
              <w:br/>
              <w:t>1. 6. 2018</w:t>
            </w:r>
          </w:p>
        </w:tc>
        <w:tc>
          <w:tcPr>
            <w:tcW w:w="1417" w:type="dxa"/>
          </w:tcPr>
          <w:p w:rsidR="003227AF" w:rsidRPr="00687C5F" w:rsidRDefault="003227AF" w:rsidP="00687C5F">
            <w:pPr>
              <w:spacing w:after="0"/>
              <w:jc w:val="center"/>
              <w:rPr>
                <w:b/>
                <w:sz w:val="20"/>
              </w:rPr>
            </w:pPr>
            <w:r w:rsidRPr="00687C5F">
              <w:rPr>
                <w:b/>
                <w:sz w:val="20"/>
              </w:rPr>
              <w:t>MPRV SR</w:t>
            </w:r>
          </w:p>
        </w:tc>
        <w:tc>
          <w:tcPr>
            <w:tcW w:w="6095" w:type="dxa"/>
          </w:tcPr>
          <w:p w:rsidR="003227AF" w:rsidRPr="001F52F5" w:rsidRDefault="003227AF" w:rsidP="003227AF">
            <w:pPr>
              <w:spacing w:after="0"/>
              <w:rPr>
                <w:b/>
                <w:sz w:val="20"/>
                <w:u w:val="single"/>
              </w:rPr>
            </w:pPr>
            <w:r w:rsidRPr="001F52F5">
              <w:rPr>
                <w:b/>
                <w:sz w:val="20"/>
                <w:u w:val="single"/>
              </w:rPr>
              <w:t>Vysoká priorita</w:t>
            </w:r>
            <w:r>
              <w:rPr>
                <w:b/>
                <w:sz w:val="20"/>
                <w:u w:val="single"/>
              </w:rPr>
              <w:t xml:space="preserve"> - </w:t>
            </w:r>
            <w:r w:rsidRPr="005D24B9">
              <w:rPr>
                <w:sz w:val="20"/>
              </w:rPr>
              <w:t>Návrh nariadenia je predmetom diskusie na technickej úrovn</w:t>
            </w:r>
            <w:r>
              <w:rPr>
                <w:sz w:val="20"/>
              </w:rPr>
              <w:t xml:space="preserve">i, ukončenie diskusie sa očakáva v roku 2020. Nariadenie je súčasťou reformného balíčka SPP. SR sa aktívne zúčastňuje diskusie. </w:t>
            </w:r>
            <w:r w:rsidRPr="008B475B">
              <w:rPr>
                <w:sz w:val="20"/>
              </w:rPr>
              <w:t>SR vo všeobecnosti predbežne podporuje návrh predmetného nariadenia. Konečné stanovisko k návrhu bude však možné zaujať až po doriešení otvorených otázok týkajúcich sa viacročného finančného rámca, ako aj po posúdení finálneho znenia príslušných ustanovení návrhu nariadenia o strategických plánoch SPP. Z pohľadu finančného riadenia SPP je pre SR dôležitou témou v rámci I. piliera využitie krízovej rezervy a zrušenie prahovej hodnoty na uplatnenie finančnej disciplíny, v rámci II. piliera výška zálohovej platby a zachovanie pravidla n+3. SR nesúhlasí s tým, aby celková nevyužitá suma krízovej rezervy, ktorá bude k dispozícii ku koncu roka 2020, nebola vo finančnom roku 2021 refundovaná prijímateľom. SR v rámci zjednodušenia, z dôvodu potreby zníženia administratívnej náročnosti, nesúhlasí s uplatňovaním stropu vo výške 2 000 EUR a podporuje návrh Komisie na zrušenie prahovej hodnoty na uplatnenie finančnej disciplíny. SR je toho názoru, že navrhnutá suma počiatočnej zálohovej platby 3 % na celé obdobie trvania strategického plánu SPP by sa mala zvýšiť na 7 %. SR nesúhlasí s navrhovaným zavedením pravidla n+2. SR navrhuje zachovať súčasnú úpravu automatického zrušenia viazanosti n+3.</w:t>
            </w:r>
            <w:r>
              <w:rPr>
                <w:sz w:val="20"/>
              </w:rPr>
              <w:t xml:space="preserve">  </w:t>
            </w:r>
          </w:p>
        </w:tc>
      </w:tr>
      <w:tr w:rsidR="003227AF" w:rsidTr="00687C5F">
        <w:trPr>
          <w:cantSplit/>
        </w:trPr>
        <w:tc>
          <w:tcPr>
            <w:tcW w:w="652" w:type="dxa"/>
            <w:tcBorders>
              <w:bottom w:val="single" w:sz="4" w:space="0" w:color="auto"/>
              <w:right w:val="nil"/>
            </w:tcBorders>
            <w:shd w:val="clear" w:color="auto" w:fill="auto"/>
            <w:tcMar>
              <w:top w:w="85" w:type="dxa"/>
              <w:left w:w="85" w:type="dxa"/>
              <w:bottom w:w="85" w:type="dxa"/>
            </w:tcMar>
          </w:tcPr>
          <w:p w:rsidR="003227AF" w:rsidRDefault="003227AF" w:rsidP="003227AF">
            <w:pPr>
              <w:pStyle w:val="Odsekzoznamu"/>
              <w:numPr>
                <w:ilvl w:val="0"/>
                <w:numId w:val="20"/>
              </w:numPr>
              <w:spacing w:after="0"/>
              <w:ind w:left="426"/>
              <w:rPr>
                <w:b/>
                <w:noProof/>
                <w:sz w:val="20"/>
              </w:rPr>
            </w:pPr>
          </w:p>
        </w:tc>
        <w:tc>
          <w:tcPr>
            <w:tcW w:w="4588" w:type="dxa"/>
            <w:tcBorders>
              <w:bottom w:val="single" w:sz="4" w:space="0" w:color="auto"/>
            </w:tcBorders>
            <w:shd w:val="clear" w:color="auto" w:fill="EEECE1" w:themeFill="background2"/>
            <w:tcMar>
              <w:top w:w="85" w:type="dxa"/>
              <w:left w:w="85" w:type="dxa"/>
              <w:bottom w:w="85" w:type="dxa"/>
            </w:tcMar>
          </w:tcPr>
          <w:p w:rsidR="003227AF" w:rsidRDefault="003227AF" w:rsidP="003227AF">
            <w:pPr>
              <w:spacing w:after="0"/>
              <w:rPr>
                <w:noProof/>
                <w:sz w:val="20"/>
              </w:rPr>
            </w:pPr>
            <w:r>
              <w:rPr>
                <w:noProof/>
                <w:sz w:val="20"/>
              </w:rPr>
              <w:t>Návrh NARIADENIE EURÓPSKEHO PARLAMENTU A RADY, ktorým sa mení nariadenie (EÚ) č. 1308/2013, ktorým sa vytvára spoločná organizácia trhov s poľnohospodárskymi výrobkami, nariadenie (EÚ) č. 1151/2012 o systémoch kvality pre poľnohospodárske výrobky a potraviny, nariadenie (EÚ) č. 251/2014 o vymedzení, opise, obchodnej úprave, označovaní a ochrane zemepisných označení aromatizovaných vínnych výrobkov, nariadenie (EÚ) č. 228/2013 o osobitných opatreniach v oblasti poľnohospodárstva v prospech najvzdialenejších regiónov Únie a nariadenie (EÚ) č. 229/2013 o osobitných opatreniach v oblasti poľnohospodárstva v prospech menších ostrovov v Egejskom mori</w:t>
            </w:r>
          </w:p>
        </w:tc>
        <w:tc>
          <w:tcPr>
            <w:tcW w:w="1985" w:type="dxa"/>
            <w:tcBorders>
              <w:bottom w:val="single" w:sz="4" w:space="0" w:color="auto"/>
            </w:tcBorders>
            <w:tcMar>
              <w:top w:w="85" w:type="dxa"/>
              <w:left w:w="85" w:type="dxa"/>
              <w:bottom w:w="85" w:type="dxa"/>
            </w:tcMar>
          </w:tcPr>
          <w:p w:rsidR="003227AF" w:rsidRDefault="003227AF" w:rsidP="003227AF">
            <w:pPr>
              <w:spacing w:after="0"/>
              <w:jc w:val="left"/>
              <w:rPr>
                <w:noProof/>
                <w:sz w:val="20"/>
              </w:rPr>
            </w:pPr>
            <w:r>
              <w:rPr>
                <w:noProof/>
                <w:sz w:val="20"/>
              </w:rPr>
              <w:t>COM(2018) 394 final</w:t>
            </w:r>
            <w:r>
              <w:rPr>
                <w:noProof/>
                <w:sz w:val="20"/>
              </w:rPr>
              <w:br/>
              <w:t>2018/0218 (COD)</w:t>
            </w:r>
            <w:r>
              <w:rPr>
                <w:noProof/>
                <w:sz w:val="20"/>
              </w:rPr>
              <w:br/>
              <w:t>23. 4. 2018</w:t>
            </w:r>
          </w:p>
        </w:tc>
        <w:tc>
          <w:tcPr>
            <w:tcW w:w="1417" w:type="dxa"/>
            <w:tcBorders>
              <w:bottom w:val="single" w:sz="4" w:space="0" w:color="auto"/>
            </w:tcBorders>
          </w:tcPr>
          <w:p w:rsidR="00AB034C" w:rsidRDefault="003227AF" w:rsidP="00AB034C">
            <w:pPr>
              <w:spacing w:after="0"/>
              <w:jc w:val="center"/>
              <w:rPr>
                <w:b/>
                <w:sz w:val="20"/>
              </w:rPr>
            </w:pPr>
            <w:r w:rsidRPr="00AB034C">
              <w:rPr>
                <w:b/>
                <w:sz w:val="20"/>
              </w:rPr>
              <w:t>MPRV SR</w:t>
            </w:r>
          </w:p>
          <w:p w:rsidR="003227AF" w:rsidRPr="00AB034C" w:rsidRDefault="00AB034C" w:rsidP="00AB034C">
            <w:pPr>
              <w:spacing w:after="0"/>
              <w:jc w:val="center"/>
              <w:rPr>
                <w:b/>
                <w:sz w:val="20"/>
              </w:rPr>
            </w:pPr>
            <w:r>
              <w:rPr>
                <w:b/>
                <w:sz w:val="20"/>
              </w:rPr>
              <w:t>ÚPV SR</w:t>
            </w:r>
          </w:p>
        </w:tc>
        <w:tc>
          <w:tcPr>
            <w:tcW w:w="6095" w:type="dxa"/>
            <w:tcBorders>
              <w:bottom w:val="single" w:sz="4" w:space="0" w:color="auto"/>
            </w:tcBorders>
          </w:tcPr>
          <w:p w:rsidR="003227AF" w:rsidRPr="001F52F5" w:rsidRDefault="003227AF" w:rsidP="003227AF">
            <w:pPr>
              <w:spacing w:after="0"/>
              <w:rPr>
                <w:b/>
                <w:sz w:val="20"/>
                <w:u w:val="single"/>
              </w:rPr>
            </w:pPr>
            <w:r w:rsidRPr="001F52F5">
              <w:rPr>
                <w:b/>
                <w:sz w:val="20"/>
                <w:u w:val="single"/>
              </w:rPr>
              <w:t>Vysoká priorita</w:t>
            </w:r>
            <w:r w:rsidRPr="001F52F5">
              <w:rPr>
                <w:b/>
                <w:sz w:val="20"/>
              </w:rPr>
              <w:t xml:space="preserve"> -</w:t>
            </w:r>
            <w:r>
              <w:rPr>
                <w:b/>
                <w:sz w:val="20"/>
                <w:u w:val="single"/>
              </w:rPr>
              <w:t xml:space="preserve"> </w:t>
            </w:r>
            <w:r w:rsidRPr="005D24B9">
              <w:rPr>
                <w:sz w:val="20"/>
              </w:rPr>
              <w:t>Návrh nariadenia je predmetom diskusie na technickej úrovn</w:t>
            </w:r>
            <w:r>
              <w:rPr>
                <w:sz w:val="20"/>
              </w:rPr>
              <w:t xml:space="preserve">i, ukončenie diskusie sa očakáva v roku 2020. Nariadenie je súčasťou reformného balíčka SPP.  SR sa aktívne zúčastňuje diskusie.   </w:t>
            </w:r>
          </w:p>
        </w:tc>
      </w:tr>
      <w:tr w:rsidR="003227AF" w:rsidTr="00687C5F">
        <w:trPr>
          <w:cantSplit/>
        </w:trPr>
        <w:tc>
          <w:tcPr>
            <w:tcW w:w="652" w:type="dxa"/>
            <w:tcBorders>
              <w:bottom w:val="single" w:sz="4" w:space="0" w:color="auto"/>
              <w:right w:val="nil"/>
            </w:tcBorders>
            <w:shd w:val="clear" w:color="auto" w:fill="auto"/>
            <w:tcMar>
              <w:top w:w="85" w:type="dxa"/>
              <w:left w:w="85" w:type="dxa"/>
              <w:bottom w:w="85" w:type="dxa"/>
            </w:tcMar>
          </w:tcPr>
          <w:p w:rsidR="003227AF" w:rsidRDefault="003227AF" w:rsidP="003227AF">
            <w:pPr>
              <w:pStyle w:val="Odsekzoznamu"/>
              <w:numPr>
                <w:ilvl w:val="0"/>
                <w:numId w:val="20"/>
              </w:numPr>
              <w:spacing w:after="0"/>
              <w:ind w:left="426"/>
              <w:rPr>
                <w:b/>
                <w:noProof/>
                <w:sz w:val="20"/>
              </w:rPr>
            </w:pPr>
          </w:p>
        </w:tc>
        <w:tc>
          <w:tcPr>
            <w:tcW w:w="4588" w:type="dxa"/>
            <w:tcBorders>
              <w:bottom w:val="single" w:sz="4" w:space="0" w:color="auto"/>
            </w:tcBorders>
            <w:shd w:val="clear" w:color="auto" w:fill="EEECE1" w:themeFill="background2"/>
            <w:tcMar>
              <w:top w:w="85" w:type="dxa"/>
              <w:left w:w="85" w:type="dxa"/>
              <w:bottom w:w="85" w:type="dxa"/>
            </w:tcMar>
          </w:tcPr>
          <w:p w:rsidR="003227AF" w:rsidRDefault="003227AF" w:rsidP="003227AF">
            <w:pPr>
              <w:spacing w:after="0"/>
              <w:rPr>
                <w:noProof/>
                <w:sz w:val="20"/>
              </w:rPr>
            </w:pPr>
            <w:r>
              <w:rPr>
                <w:noProof/>
                <w:sz w:val="20"/>
              </w:rPr>
              <w:t>Návrh NARIADENIE EURÓPSKEHO PARLAMENTU A RADY, ktorým sa stanovujú pravidlá týkajúce sa strategických plánov, ktoré majú zostaviť členské štáty v rámci spoločnej poľnohospodárskej politiky (strategické plány SPP) a ktoré sú financované z Európskeho poľnohospodárskeho záručného fondu (EPZF) a Európskeho poľnohospodárskeho fondu pre rozvoj vidieka (EPFRV), a ktorým sa zrušuje nariadenie Európskeho parlamentu a Rady (EÚ) č. 1305/2013 a nariadenie Európskeho parlamentu a Rady (EÚ) č. 1307/2013</w:t>
            </w:r>
          </w:p>
        </w:tc>
        <w:tc>
          <w:tcPr>
            <w:tcW w:w="1985" w:type="dxa"/>
            <w:tcBorders>
              <w:bottom w:val="single" w:sz="4" w:space="0" w:color="auto"/>
            </w:tcBorders>
            <w:tcMar>
              <w:top w:w="85" w:type="dxa"/>
              <w:left w:w="85" w:type="dxa"/>
              <w:bottom w:w="85" w:type="dxa"/>
            </w:tcMar>
          </w:tcPr>
          <w:p w:rsidR="003227AF" w:rsidRDefault="003227AF" w:rsidP="003227AF">
            <w:pPr>
              <w:spacing w:after="0"/>
              <w:jc w:val="left"/>
              <w:rPr>
                <w:noProof/>
                <w:sz w:val="20"/>
              </w:rPr>
            </w:pPr>
            <w:r>
              <w:rPr>
                <w:noProof/>
                <w:sz w:val="20"/>
              </w:rPr>
              <w:t>COM(2018) 392 final</w:t>
            </w:r>
            <w:r>
              <w:rPr>
                <w:noProof/>
                <w:sz w:val="20"/>
              </w:rPr>
              <w:br/>
              <w:t>2018/0216 (COD)</w:t>
            </w:r>
            <w:r>
              <w:rPr>
                <w:noProof/>
                <w:sz w:val="20"/>
              </w:rPr>
              <w:br/>
              <w:t>1. 6. 2018</w:t>
            </w:r>
          </w:p>
        </w:tc>
        <w:tc>
          <w:tcPr>
            <w:tcW w:w="1417" w:type="dxa"/>
            <w:tcBorders>
              <w:bottom w:val="single" w:sz="4" w:space="0" w:color="auto"/>
            </w:tcBorders>
          </w:tcPr>
          <w:p w:rsidR="003227AF" w:rsidRPr="005E6108" w:rsidRDefault="003227AF" w:rsidP="003227AF">
            <w:pPr>
              <w:spacing w:after="0"/>
              <w:jc w:val="center"/>
              <w:rPr>
                <w:b/>
                <w:sz w:val="20"/>
              </w:rPr>
            </w:pPr>
            <w:r w:rsidRPr="005E6108">
              <w:rPr>
                <w:b/>
                <w:sz w:val="20"/>
              </w:rPr>
              <w:t>MPRV SR</w:t>
            </w:r>
          </w:p>
        </w:tc>
        <w:tc>
          <w:tcPr>
            <w:tcW w:w="6095" w:type="dxa"/>
            <w:tcBorders>
              <w:bottom w:val="single" w:sz="4" w:space="0" w:color="auto"/>
            </w:tcBorders>
          </w:tcPr>
          <w:p w:rsidR="003227AF" w:rsidRPr="00BE055A" w:rsidRDefault="003227AF" w:rsidP="003227AF">
            <w:pPr>
              <w:spacing w:after="0"/>
              <w:rPr>
                <w:b/>
                <w:sz w:val="20"/>
                <w:u w:val="single"/>
              </w:rPr>
            </w:pPr>
            <w:r w:rsidRPr="00BE055A">
              <w:rPr>
                <w:b/>
                <w:sz w:val="20"/>
                <w:u w:val="single"/>
              </w:rPr>
              <w:t>Vysoká priorita</w:t>
            </w:r>
            <w:r>
              <w:rPr>
                <w:b/>
                <w:sz w:val="20"/>
                <w:u w:val="single"/>
              </w:rPr>
              <w:t xml:space="preserve"> </w:t>
            </w:r>
            <w:r w:rsidRPr="00BE055A">
              <w:rPr>
                <w:sz w:val="20"/>
              </w:rPr>
              <w:t xml:space="preserve">- Návrh nariadenia je predmetom diskusie na technickej úrovni, ukončenie diskusie sa očakáva v roku 2020. Nariadenie je súčasťou reformného balíčka SPP.  SR sa aktívne zúčastňuje diskusie.   </w:t>
            </w:r>
          </w:p>
        </w:tc>
      </w:tr>
      <w:tr w:rsidR="003227AF" w:rsidTr="00687C5F">
        <w:trPr>
          <w:cantSplit/>
        </w:trPr>
        <w:tc>
          <w:tcPr>
            <w:tcW w:w="652" w:type="dxa"/>
            <w:tcBorders>
              <w:bottom w:val="single" w:sz="4" w:space="0" w:color="auto"/>
              <w:right w:val="nil"/>
            </w:tcBorders>
            <w:shd w:val="clear" w:color="auto" w:fill="auto"/>
            <w:tcMar>
              <w:top w:w="85" w:type="dxa"/>
              <w:left w:w="85" w:type="dxa"/>
              <w:bottom w:w="85" w:type="dxa"/>
              <w:right w:w="85" w:type="dxa"/>
            </w:tcMar>
          </w:tcPr>
          <w:p w:rsidR="003227AF" w:rsidRDefault="003227AF" w:rsidP="003227AF">
            <w:pPr>
              <w:pStyle w:val="Odsekzoznamu"/>
              <w:numPr>
                <w:ilvl w:val="0"/>
                <w:numId w:val="20"/>
              </w:numPr>
              <w:spacing w:after="0"/>
              <w:ind w:left="426"/>
              <w:rPr>
                <w:b/>
                <w:noProof/>
                <w:sz w:val="20"/>
              </w:rPr>
            </w:pPr>
          </w:p>
        </w:tc>
        <w:tc>
          <w:tcPr>
            <w:tcW w:w="4588" w:type="dxa"/>
            <w:tcBorders>
              <w:bottom w:val="single" w:sz="4" w:space="0" w:color="auto"/>
            </w:tcBorders>
            <w:shd w:val="clear" w:color="auto" w:fill="EEECE1" w:themeFill="background2"/>
            <w:tcMar>
              <w:top w:w="85" w:type="dxa"/>
              <w:left w:w="85" w:type="dxa"/>
              <w:bottom w:w="85" w:type="dxa"/>
            </w:tcMar>
          </w:tcPr>
          <w:p w:rsidR="003227AF" w:rsidRDefault="003227AF" w:rsidP="003227AF">
            <w:pPr>
              <w:spacing w:after="0"/>
              <w:rPr>
                <w:noProof/>
                <w:sz w:val="20"/>
              </w:rPr>
            </w:pPr>
            <w:r>
              <w:rPr>
                <w:noProof/>
                <w:sz w:val="20"/>
              </w:rPr>
              <w:t>Návrh NARIADENIE EURÓPSKEHO PARLAMENTU A RADY, ktorým sa stanovujú určité prechodné ustanovenia týkajúce sa podpory z Európskeho poľnohospodárskeho fondu pre rozvoj vidieka (EPFRV) a Európskeho poľnohospodárskeho záručného fondu (EPZF) v roku 2021 a ktorým sa menia nariadenia (EÚ) č. 228/2013, (EÚ) č. 229/2013 a (EÚ) č. 1308/2013, pokiaľ ide o zdroje a ich distribúciu v roku 2021, a ktorým sa menia nariadenia (EÚ) č. 1305/2013, (EÚ) č. 1306/2013 a (EÚ) č. 1307/2013, pokiaľ ide o ich zdroje a uplatňovanie v roku 2021</w:t>
            </w:r>
          </w:p>
        </w:tc>
        <w:tc>
          <w:tcPr>
            <w:tcW w:w="1985" w:type="dxa"/>
            <w:tcBorders>
              <w:bottom w:val="single" w:sz="4" w:space="0" w:color="auto"/>
            </w:tcBorders>
            <w:tcMar>
              <w:top w:w="85" w:type="dxa"/>
              <w:left w:w="85" w:type="dxa"/>
              <w:bottom w:w="85" w:type="dxa"/>
            </w:tcMar>
          </w:tcPr>
          <w:p w:rsidR="003227AF" w:rsidRDefault="003227AF" w:rsidP="003227AF">
            <w:pPr>
              <w:spacing w:after="0"/>
              <w:jc w:val="left"/>
              <w:rPr>
                <w:noProof/>
                <w:sz w:val="20"/>
              </w:rPr>
            </w:pPr>
            <w:r>
              <w:rPr>
                <w:noProof/>
                <w:sz w:val="20"/>
              </w:rPr>
              <w:t>COM(2019) 581 final</w:t>
            </w:r>
            <w:r>
              <w:rPr>
                <w:noProof/>
                <w:sz w:val="20"/>
              </w:rPr>
              <w:br/>
              <w:t>2019/0254 (COD)</w:t>
            </w:r>
            <w:r>
              <w:rPr>
                <w:noProof/>
                <w:sz w:val="20"/>
              </w:rPr>
              <w:br/>
              <w:t>31. 10. 2019</w:t>
            </w:r>
          </w:p>
        </w:tc>
        <w:tc>
          <w:tcPr>
            <w:tcW w:w="1417" w:type="dxa"/>
            <w:tcBorders>
              <w:bottom w:val="single" w:sz="4" w:space="0" w:color="auto"/>
            </w:tcBorders>
          </w:tcPr>
          <w:p w:rsidR="003227AF" w:rsidRPr="002C7490" w:rsidRDefault="003227AF" w:rsidP="003227AF">
            <w:pPr>
              <w:spacing w:after="0"/>
              <w:jc w:val="center"/>
              <w:rPr>
                <w:b/>
                <w:sz w:val="20"/>
              </w:rPr>
            </w:pPr>
            <w:r w:rsidRPr="002C7490">
              <w:rPr>
                <w:b/>
                <w:sz w:val="20"/>
              </w:rPr>
              <w:t>MPRV SR</w:t>
            </w:r>
          </w:p>
        </w:tc>
        <w:tc>
          <w:tcPr>
            <w:tcW w:w="6095" w:type="dxa"/>
            <w:tcBorders>
              <w:bottom w:val="single" w:sz="4" w:space="0" w:color="auto"/>
            </w:tcBorders>
          </w:tcPr>
          <w:p w:rsidR="003227AF" w:rsidRDefault="003227AF" w:rsidP="003227AF">
            <w:pPr>
              <w:spacing w:after="0"/>
              <w:rPr>
                <w:b/>
                <w:sz w:val="20"/>
              </w:rPr>
            </w:pPr>
            <w:r w:rsidRPr="00BE055A">
              <w:rPr>
                <w:b/>
                <w:sz w:val="20"/>
                <w:u w:val="single"/>
              </w:rPr>
              <w:t>Vysoká priorita</w:t>
            </w:r>
            <w:r>
              <w:rPr>
                <w:b/>
                <w:sz w:val="20"/>
              </w:rPr>
              <w:t xml:space="preserve"> - </w:t>
            </w:r>
            <w:r w:rsidRPr="005D24B9">
              <w:rPr>
                <w:sz w:val="20"/>
              </w:rPr>
              <w:t>Návrh nariadenia je predmetom diskusie na technickej úrovn</w:t>
            </w:r>
            <w:r>
              <w:rPr>
                <w:sz w:val="20"/>
              </w:rPr>
              <w:t xml:space="preserve">i, ukončenie diskusie sa očakáva v roku 2020. Nariadenie ustanovuje pravidlá  pre prechodné obdobie, predbežne pre rok 2021. Bez stanovenia pravidiel financovania pre rok 2021 v celom sektore poľnohjospodárstva by bolo ohrozené fungovanie prebiehajúcich programov a opatrení počas prechodného obdobia až do účinnosti reformy SPP. SR sa aktívne zúčastňuje diskusie.   </w:t>
            </w:r>
          </w:p>
        </w:tc>
      </w:tr>
      <w:tr w:rsidR="003227AF" w:rsidTr="00687C5F">
        <w:trPr>
          <w:cantSplit/>
        </w:trPr>
        <w:tc>
          <w:tcPr>
            <w:tcW w:w="7225" w:type="dxa"/>
            <w:gridSpan w:val="3"/>
            <w:shd w:val="clear" w:color="auto" w:fill="18BAA8" w:themeFill="accent2"/>
            <w:tcMar>
              <w:top w:w="85" w:type="dxa"/>
              <w:left w:w="85" w:type="dxa"/>
              <w:bottom w:w="85" w:type="dxa"/>
              <w:right w:w="85" w:type="dxa"/>
            </w:tcMar>
          </w:tcPr>
          <w:p w:rsidR="003227AF" w:rsidRDefault="003227AF" w:rsidP="003227AF">
            <w:pPr>
              <w:spacing w:before="60" w:after="60"/>
              <w:rPr>
                <w:noProof/>
                <w:sz w:val="20"/>
              </w:rPr>
            </w:pPr>
            <w:r>
              <w:rPr>
                <w:b/>
                <w:bCs/>
                <w:noProof/>
                <w:color w:val="FFFFFF" w:themeColor="background1"/>
                <w:sz w:val="20"/>
              </w:rPr>
              <w:t>Európa pripravená na digitálny vek</w:t>
            </w:r>
          </w:p>
        </w:tc>
        <w:tc>
          <w:tcPr>
            <w:tcW w:w="1417" w:type="dxa"/>
            <w:shd w:val="clear" w:color="auto" w:fill="18BAA8" w:themeFill="accent2"/>
          </w:tcPr>
          <w:p w:rsidR="003227AF" w:rsidRDefault="003227AF" w:rsidP="003227AF">
            <w:pPr>
              <w:spacing w:before="60" w:after="60"/>
              <w:rPr>
                <w:b/>
                <w:bCs/>
                <w:noProof/>
                <w:color w:val="FFFFFF" w:themeColor="background1"/>
                <w:sz w:val="20"/>
              </w:rPr>
            </w:pPr>
          </w:p>
        </w:tc>
        <w:tc>
          <w:tcPr>
            <w:tcW w:w="6095" w:type="dxa"/>
            <w:shd w:val="clear" w:color="auto" w:fill="18BAA8" w:themeFill="accent2"/>
          </w:tcPr>
          <w:p w:rsidR="003227AF" w:rsidRDefault="003227AF" w:rsidP="003227AF">
            <w:pPr>
              <w:spacing w:before="60" w:after="60"/>
              <w:rPr>
                <w:b/>
                <w:bCs/>
                <w:noProof/>
                <w:color w:val="FFFFFF" w:themeColor="background1"/>
                <w:sz w:val="20"/>
              </w:rPr>
            </w:pPr>
          </w:p>
        </w:tc>
      </w:tr>
      <w:tr w:rsidR="003227AF" w:rsidTr="00687C5F">
        <w:trPr>
          <w:cantSplit/>
        </w:trPr>
        <w:tc>
          <w:tcPr>
            <w:tcW w:w="652" w:type="dxa"/>
            <w:tcBorders>
              <w:right w:val="nil"/>
            </w:tcBorders>
            <w:shd w:val="clear" w:color="auto" w:fill="auto"/>
            <w:tcMar>
              <w:top w:w="85" w:type="dxa"/>
              <w:left w:w="85" w:type="dxa"/>
              <w:bottom w:w="85" w:type="dxa"/>
            </w:tcMar>
          </w:tcPr>
          <w:p w:rsidR="003227AF" w:rsidRDefault="003227AF" w:rsidP="003227AF">
            <w:pPr>
              <w:pStyle w:val="Odsekzoznamu"/>
              <w:numPr>
                <w:ilvl w:val="0"/>
                <w:numId w:val="20"/>
              </w:numPr>
              <w:spacing w:after="0"/>
              <w:ind w:left="426"/>
              <w:rPr>
                <w:b/>
                <w:noProof/>
                <w:sz w:val="20"/>
              </w:rPr>
            </w:pPr>
          </w:p>
        </w:tc>
        <w:tc>
          <w:tcPr>
            <w:tcW w:w="4588" w:type="dxa"/>
            <w:shd w:val="clear" w:color="auto" w:fill="auto"/>
            <w:tcMar>
              <w:top w:w="85" w:type="dxa"/>
              <w:left w:w="85" w:type="dxa"/>
              <w:bottom w:w="85" w:type="dxa"/>
            </w:tcMar>
          </w:tcPr>
          <w:p w:rsidR="003227AF" w:rsidRDefault="003227AF" w:rsidP="003227AF">
            <w:pPr>
              <w:spacing w:after="0"/>
              <w:rPr>
                <w:noProof/>
                <w:sz w:val="20"/>
              </w:rPr>
            </w:pPr>
            <w:r>
              <w:rPr>
                <w:noProof/>
                <w:sz w:val="20"/>
              </w:rPr>
              <w:t>Návrh NARIADENIE EURÓPSKEHO PARLAMENTU A RADY o právach a povinnostiach cestujúcich v železničnej preprave (prepracované znenie)</w:t>
            </w:r>
            <w:r>
              <w:rPr>
                <w:b/>
                <w:bCs/>
                <w:noProof/>
                <w:sz w:val="20"/>
              </w:rPr>
              <w:t xml:space="preserve"> </w:t>
            </w:r>
          </w:p>
        </w:tc>
        <w:tc>
          <w:tcPr>
            <w:tcW w:w="1985" w:type="dxa"/>
            <w:tcMar>
              <w:top w:w="85" w:type="dxa"/>
              <w:left w:w="85" w:type="dxa"/>
              <w:bottom w:w="85" w:type="dxa"/>
            </w:tcMar>
          </w:tcPr>
          <w:p w:rsidR="003227AF" w:rsidRDefault="003227AF" w:rsidP="003227AF">
            <w:pPr>
              <w:spacing w:after="0"/>
              <w:jc w:val="left"/>
              <w:rPr>
                <w:noProof/>
                <w:sz w:val="20"/>
              </w:rPr>
            </w:pPr>
            <w:r>
              <w:rPr>
                <w:noProof/>
                <w:sz w:val="20"/>
              </w:rPr>
              <w:t>COM(2017) 548 final.</w:t>
            </w:r>
            <w:r>
              <w:rPr>
                <w:noProof/>
                <w:sz w:val="20"/>
              </w:rPr>
              <w:br/>
              <w:t>2017/0237 (COD)</w:t>
            </w:r>
            <w:r>
              <w:rPr>
                <w:noProof/>
                <w:sz w:val="20"/>
              </w:rPr>
              <w:br/>
              <w:t>27. 9. 2017</w:t>
            </w:r>
          </w:p>
        </w:tc>
        <w:tc>
          <w:tcPr>
            <w:tcW w:w="1417" w:type="dxa"/>
          </w:tcPr>
          <w:p w:rsidR="003227AF" w:rsidRPr="006F1A07" w:rsidRDefault="003227AF" w:rsidP="003227AF">
            <w:pPr>
              <w:spacing w:after="0"/>
              <w:jc w:val="center"/>
              <w:rPr>
                <w:b/>
                <w:sz w:val="20"/>
              </w:rPr>
            </w:pPr>
            <w:r w:rsidRPr="006F1A07">
              <w:rPr>
                <w:b/>
                <w:sz w:val="20"/>
              </w:rPr>
              <w:t>MDV SR</w:t>
            </w:r>
          </w:p>
          <w:p w:rsidR="003227AF" w:rsidRDefault="003227AF" w:rsidP="003227AF">
            <w:pPr>
              <w:spacing w:after="0"/>
              <w:jc w:val="center"/>
              <w:rPr>
                <w:b/>
                <w:sz w:val="20"/>
              </w:rPr>
            </w:pPr>
            <w:r w:rsidRPr="006F1A07">
              <w:rPr>
                <w:b/>
                <w:sz w:val="20"/>
              </w:rPr>
              <w:t>MH SR</w:t>
            </w:r>
          </w:p>
          <w:p w:rsidR="003227AF" w:rsidRDefault="003227AF" w:rsidP="003227AF">
            <w:pPr>
              <w:spacing w:after="0"/>
              <w:jc w:val="center"/>
              <w:rPr>
                <w:noProof/>
                <w:sz w:val="20"/>
              </w:rPr>
            </w:pPr>
          </w:p>
        </w:tc>
        <w:tc>
          <w:tcPr>
            <w:tcW w:w="6095" w:type="dxa"/>
          </w:tcPr>
          <w:p w:rsidR="003227AF" w:rsidRPr="006F1A07" w:rsidRDefault="003227AF" w:rsidP="003227AF">
            <w:pPr>
              <w:spacing w:after="0"/>
              <w:rPr>
                <w:sz w:val="20"/>
              </w:rPr>
            </w:pPr>
            <w:r w:rsidRPr="006F1A07">
              <w:rPr>
                <w:b/>
                <w:sz w:val="20"/>
                <w:u w:val="single"/>
              </w:rPr>
              <w:t>Vysoká priorita</w:t>
            </w:r>
            <w:r w:rsidRPr="006F1A07">
              <w:rPr>
                <w:sz w:val="20"/>
              </w:rPr>
              <w:t xml:space="preserve"> - </w:t>
            </w:r>
            <w:r w:rsidRPr="006F1A07">
              <w:rPr>
                <w:bCs/>
                <w:sz w:val="20"/>
              </w:rPr>
              <w:t xml:space="preserve">SR považuje za potrebné pokračovať v rokovaniach o predmetnom návrhu nariadenia, pretože uvedený návrh nielenže nadväzuje na existujúci systém medzinárodného práva [Jednotné právne predpisy pre Zmluvu o medzinárodnej železničnej preprave cestujúcich a batožín (CIV)], ale takisto rozširuje jeho rozsah na služby vnútroštátnej osobnej železničnej dopravy. V neposlednom rade je potrebné poukázať i na skutočnosť, že týmto návrhom by sa mala zaistiť aj rovnováha medzi posilňovaním práv cestujúcich v železničnej doprave na jednej strane a znižovaním zaťaženia železničných podnikov na strane druhej. </w:t>
            </w:r>
          </w:p>
          <w:p w:rsidR="003227AF" w:rsidRDefault="003227AF" w:rsidP="003227AF">
            <w:pPr>
              <w:spacing w:after="0"/>
              <w:jc w:val="left"/>
              <w:rPr>
                <w:noProof/>
                <w:sz w:val="20"/>
              </w:rPr>
            </w:pPr>
          </w:p>
        </w:tc>
      </w:tr>
      <w:tr w:rsidR="003227AF" w:rsidTr="00687C5F">
        <w:trPr>
          <w:cantSplit/>
        </w:trPr>
        <w:tc>
          <w:tcPr>
            <w:tcW w:w="652" w:type="dxa"/>
            <w:tcBorders>
              <w:right w:val="nil"/>
            </w:tcBorders>
            <w:shd w:val="clear" w:color="auto" w:fill="auto"/>
            <w:tcMar>
              <w:top w:w="85" w:type="dxa"/>
              <w:left w:w="85" w:type="dxa"/>
              <w:bottom w:w="85" w:type="dxa"/>
            </w:tcMar>
          </w:tcPr>
          <w:p w:rsidR="003227AF" w:rsidRDefault="003227AF" w:rsidP="003227AF">
            <w:pPr>
              <w:pStyle w:val="Odsekzoznamu"/>
              <w:numPr>
                <w:ilvl w:val="0"/>
                <w:numId w:val="20"/>
              </w:numPr>
              <w:spacing w:after="0"/>
              <w:ind w:left="426"/>
              <w:rPr>
                <w:b/>
                <w:noProof/>
                <w:sz w:val="20"/>
              </w:rPr>
            </w:pPr>
          </w:p>
        </w:tc>
        <w:tc>
          <w:tcPr>
            <w:tcW w:w="4588" w:type="dxa"/>
            <w:shd w:val="clear" w:color="auto" w:fill="auto"/>
            <w:tcMar>
              <w:top w:w="85" w:type="dxa"/>
              <w:left w:w="85" w:type="dxa"/>
              <w:bottom w:w="85" w:type="dxa"/>
            </w:tcMar>
          </w:tcPr>
          <w:p w:rsidR="003227AF" w:rsidRDefault="003227AF" w:rsidP="003227AF">
            <w:pPr>
              <w:spacing w:after="0"/>
              <w:rPr>
                <w:noProof/>
                <w:sz w:val="20"/>
              </w:rPr>
            </w:pPr>
            <w:r>
              <w:rPr>
                <w:noProof/>
                <w:sz w:val="20"/>
              </w:rPr>
              <w:t>Návrh NARIADENIE EURÓPSKEHO PARLAMENTU A RADY, ktorým sa mení nariadenie (ES) č. 261/2004, ktorým sa ustanovujú spoločné pravidlá systému náhrad a pomoci cestujúcim pri odmietnutí nástupu do lietadla, v prípade zrušenia alebo veľkého meškania letov, a nariadenie (ES) č. 2027/97 o zodpovednosti leteckého dopravcu pri preprave cestujúcich a ich batožiny v leteckej doprave</w:t>
            </w:r>
          </w:p>
        </w:tc>
        <w:tc>
          <w:tcPr>
            <w:tcW w:w="1985" w:type="dxa"/>
            <w:tcMar>
              <w:top w:w="85" w:type="dxa"/>
              <w:left w:w="85" w:type="dxa"/>
              <w:bottom w:w="85" w:type="dxa"/>
            </w:tcMar>
          </w:tcPr>
          <w:p w:rsidR="003227AF" w:rsidRDefault="003227AF" w:rsidP="003227AF">
            <w:pPr>
              <w:spacing w:after="0"/>
              <w:jc w:val="left"/>
              <w:rPr>
                <w:noProof/>
                <w:sz w:val="20"/>
              </w:rPr>
            </w:pPr>
            <w:r>
              <w:rPr>
                <w:noProof/>
                <w:sz w:val="20"/>
              </w:rPr>
              <w:t>COM(2013) 130 final.</w:t>
            </w:r>
            <w:r>
              <w:rPr>
                <w:noProof/>
                <w:sz w:val="20"/>
              </w:rPr>
              <w:br/>
              <w:t>2013/0072 (COD)</w:t>
            </w:r>
            <w:r>
              <w:rPr>
                <w:noProof/>
                <w:sz w:val="20"/>
              </w:rPr>
              <w:br/>
              <w:t>13. 3. 2013</w:t>
            </w:r>
          </w:p>
        </w:tc>
        <w:tc>
          <w:tcPr>
            <w:tcW w:w="1417" w:type="dxa"/>
          </w:tcPr>
          <w:p w:rsidR="003227AF" w:rsidRDefault="003227AF" w:rsidP="003227AF">
            <w:pPr>
              <w:spacing w:after="0"/>
              <w:jc w:val="center"/>
              <w:rPr>
                <w:b/>
                <w:noProof/>
                <w:sz w:val="20"/>
              </w:rPr>
            </w:pPr>
            <w:r w:rsidRPr="006F1A07">
              <w:rPr>
                <w:b/>
                <w:noProof/>
                <w:sz w:val="20"/>
              </w:rPr>
              <w:t>MH SR</w:t>
            </w:r>
          </w:p>
          <w:p w:rsidR="003227AF" w:rsidRPr="006F1A07" w:rsidRDefault="003227AF" w:rsidP="003227AF">
            <w:pPr>
              <w:spacing w:after="0"/>
              <w:jc w:val="center"/>
              <w:rPr>
                <w:b/>
                <w:noProof/>
                <w:sz w:val="20"/>
              </w:rPr>
            </w:pPr>
          </w:p>
        </w:tc>
        <w:tc>
          <w:tcPr>
            <w:tcW w:w="6095" w:type="dxa"/>
          </w:tcPr>
          <w:p w:rsidR="003227AF" w:rsidRPr="006F1A07" w:rsidRDefault="003227AF" w:rsidP="003227AF">
            <w:pPr>
              <w:spacing w:after="0"/>
              <w:rPr>
                <w:b/>
                <w:sz w:val="20"/>
                <w:u w:val="single"/>
              </w:rPr>
            </w:pPr>
            <w:r w:rsidRPr="006F1A07">
              <w:rPr>
                <w:b/>
                <w:sz w:val="20"/>
                <w:u w:val="single"/>
              </w:rPr>
              <w:t>Vysoká priorita</w:t>
            </w:r>
            <w:r>
              <w:rPr>
                <w:b/>
                <w:sz w:val="20"/>
                <w:u w:val="single"/>
              </w:rPr>
              <w:t xml:space="preserve"> - </w:t>
            </w:r>
            <w:r w:rsidRPr="006F1A07">
              <w:rPr>
                <w:sz w:val="20"/>
              </w:rPr>
              <w:t xml:space="preserve">SR </w:t>
            </w:r>
            <w:r w:rsidRPr="006F1A07">
              <w:rPr>
                <w:bCs/>
                <w:sz w:val="20"/>
              </w:rPr>
              <w:t xml:space="preserve">považuje za potrebné pokračovať v rokovaniach </w:t>
            </w:r>
            <w:r w:rsidRPr="006F1A07">
              <w:rPr>
                <w:sz w:val="20"/>
              </w:rPr>
              <w:t xml:space="preserve">o predmetnom návrhu nariadenia, pretože jedným z hlavných </w:t>
            </w:r>
            <w:r w:rsidRPr="006F1A07">
              <w:rPr>
                <w:rFonts w:eastAsiaTheme="minorEastAsia"/>
                <w:sz w:val="20"/>
              </w:rPr>
              <w:t>cieľov tohto návrhu je zlepšiť presadzovanie práva objasnením kľúčových zásad a implicitných práv cestujúcich, ktoré v minulosti vyvolali mnoho sporov medzi leteckými spoločnosťami a cestujúcimi.</w:t>
            </w:r>
          </w:p>
        </w:tc>
      </w:tr>
      <w:tr w:rsidR="003227AF" w:rsidTr="00687C5F">
        <w:trPr>
          <w:cantSplit/>
        </w:trPr>
        <w:tc>
          <w:tcPr>
            <w:tcW w:w="652" w:type="dxa"/>
            <w:tcBorders>
              <w:right w:val="nil"/>
            </w:tcBorders>
            <w:shd w:val="clear" w:color="auto" w:fill="auto"/>
            <w:tcMar>
              <w:top w:w="85" w:type="dxa"/>
              <w:left w:w="85" w:type="dxa"/>
              <w:bottom w:w="85" w:type="dxa"/>
            </w:tcMar>
          </w:tcPr>
          <w:p w:rsidR="003227AF" w:rsidRDefault="003227AF" w:rsidP="003227AF">
            <w:pPr>
              <w:pStyle w:val="Odsekzoznamu"/>
              <w:numPr>
                <w:ilvl w:val="0"/>
                <w:numId w:val="20"/>
              </w:numPr>
              <w:spacing w:after="0"/>
              <w:ind w:left="426"/>
              <w:rPr>
                <w:b/>
                <w:noProof/>
                <w:sz w:val="20"/>
              </w:rPr>
            </w:pPr>
          </w:p>
        </w:tc>
        <w:tc>
          <w:tcPr>
            <w:tcW w:w="4588" w:type="dxa"/>
            <w:shd w:val="clear" w:color="auto" w:fill="auto"/>
            <w:tcMar>
              <w:top w:w="85" w:type="dxa"/>
              <w:left w:w="85" w:type="dxa"/>
              <w:bottom w:w="85" w:type="dxa"/>
            </w:tcMar>
          </w:tcPr>
          <w:p w:rsidR="003227AF" w:rsidRDefault="003227AF" w:rsidP="003227AF">
            <w:pPr>
              <w:spacing w:after="0"/>
              <w:rPr>
                <w:noProof/>
                <w:sz w:val="20"/>
              </w:rPr>
            </w:pPr>
            <w:r>
              <w:rPr>
                <w:noProof/>
                <w:sz w:val="20"/>
              </w:rPr>
              <w:t>Návrh NARIADENIE EURÓPSKEHO PARLAMENTU A RADY o implementácii jednotného európskeho neba (Prepracované znenie)</w:t>
            </w:r>
          </w:p>
        </w:tc>
        <w:tc>
          <w:tcPr>
            <w:tcW w:w="1985" w:type="dxa"/>
            <w:tcMar>
              <w:top w:w="85" w:type="dxa"/>
              <w:left w:w="85" w:type="dxa"/>
              <w:bottom w:w="85" w:type="dxa"/>
            </w:tcMar>
          </w:tcPr>
          <w:p w:rsidR="003227AF" w:rsidRDefault="003227AF" w:rsidP="003227AF">
            <w:pPr>
              <w:spacing w:after="0"/>
              <w:jc w:val="left"/>
              <w:rPr>
                <w:noProof/>
                <w:sz w:val="20"/>
              </w:rPr>
            </w:pPr>
            <w:r>
              <w:rPr>
                <w:noProof/>
                <w:sz w:val="20"/>
              </w:rPr>
              <w:t>COM(2013) 410 final.</w:t>
            </w:r>
            <w:r>
              <w:rPr>
                <w:noProof/>
                <w:sz w:val="20"/>
              </w:rPr>
              <w:br/>
              <w:t>2013/0186 (COD)</w:t>
            </w:r>
            <w:r>
              <w:rPr>
                <w:noProof/>
                <w:sz w:val="20"/>
              </w:rPr>
              <w:br/>
              <w:t>11. 6. 2013</w:t>
            </w:r>
          </w:p>
        </w:tc>
        <w:tc>
          <w:tcPr>
            <w:tcW w:w="1417" w:type="dxa"/>
          </w:tcPr>
          <w:p w:rsidR="003227AF" w:rsidRPr="00D76AD2" w:rsidRDefault="003227AF" w:rsidP="003227AF">
            <w:pPr>
              <w:spacing w:after="0"/>
              <w:jc w:val="center"/>
              <w:rPr>
                <w:b/>
                <w:sz w:val="20"/>
              </w:rPr>
            </w:pPr>
            <w:r w:rsidRPr="00D76AD2">
              <w:rPr>
                <w:b/>
                <w:sz w:val="20"/>
              </w:rPr>
              <w:t>MDV SR</w:t>
            </w:r>
          </w:p>
        </w:tc>
        <w:tc>
          <w:tcPr>
            <w:tcW w:w="6095" w:type="dxa"/>
          </w:tcPr>
          <w:p w:rsidR="003227AF" w:rsidRPr="00D76AD2" w:rsidRDefault="003227AF" w:rsidP="003227AF">
            <w:pPr>
              <w:spacing w:after="0"/>
              <w:jc w:val="left"/>
              <w:rPr>
                <w:sz w:val="20"/>
              </w:rPr>
            </w:pPr>
            <w:r w:rsidRPr="00D76AD2">
              <w:rPr>
                <w:b/>
                <w:sz w:val="20"/>
                <w:u w:val="single"/>
              </w:rPr>
              <w:t>Vysoká priorita</w:t>
            </w:r>
            <w:r>
              <w:rPr>
                <w:sz w:val="20"/>
              </w:rPr>
              <w:t xml:space="preserve"> - </w:t>
            </w:r>
            <w:r w:rsidRPr="00D32F7E">
              <w:rPr>
                <w:sz w:val="20"/>
              </w:rPr>
              <w:t>Cieľom iniciatívy Jednotné európske nebo (SES) je zvýšiť celkovú efektívnosť</w:t>
            </w:r>
            <w:r>
              <w:rPr>
                <w:sz w:val="20"/>
              </w:rPr>
              <w:t xml:space="preserve"> spôsobu organizácie a riadenia </w:t>
            </w:r>
            <w:r w:rsidRPr="00D32F7E">
              <w:rPr>
                <w:sz w:val="20"/>
              </w:rPr>
              <w:t>európskeho vzdušného priestoru prostredníctvom reformy odvetvia, ktoré poskytuje letecké navigačné služby (ANS).</w:t>
            </w:r>
            <w:r>
              <w:rPr>
                <w:sz w:val="20"/>
              </w:rPr>
              <w:t xml:space="preserve"> </w:t>
            </w:r>
            <w:r w:rsidRPr="00D32F7E">
              <w:rPr>
                <w:sz w:val="20"/>
              </w:rPr>
              <w:t>V súčasnosti sa e</w:t>
            </w:r>
            <w:r>
              <w:rPr>
                <w:sz w:val="20"/>
              </w:rPr>
              <w:t xml:space="preserve">urópsky vzdušný priestor </w:t>
            </w:r>
            <w:r w:rsidRPr="00D32F7E">
              <w:rPr>
                <w:sz w:val="20"/>
              </w:rPr>
              <w:t>blíži k svojim kapacitným limitom z dôvodu fungovania systému ATM v Európe. V nasledujúcich rokoch bude doprava naďalej rásť. Aj krátke oneskorenie v legislatívnom procese mohlo mať za následok zdržanie 3-5 rokov, čo bude mať výrazný vplyv na cestujúcich aj letecké spoločnosti.</w:t>
            </w:r>
            <w:r>
              <w:rPr>
                <w:sz w:val="20"/>
              </w:rPr>
              <w:t xml:space="preserve"> </w:t>
            </w:r>
            <w:r w:rsidRPr="00D32F7E">
              <w:rPr>
                <w:sz w:val="20"/>
              </w:rPr>
              <w:t>Počas leta 2018 meškanie letovej prevádzky dosiahlo veľmi vysokú úroveň, ktorá bola spôsobená najmä ve</w:t>
            </w:r>
            <w:r>
              <w:rPr>
                <w:sz w:val="20"/>
              </w:rPr>
              <w:t xml:space="preserve">ľkým nárastom leteckej dopravy, </w:t>
            </w:r>
            <w:r w:rsidRPr="00D32F7E">
              <w:rPr>
                <w:sz w:val="20"/>
              </w:rPr>
              <w:t xml:space="preserve">nedostatočnou kapacitou (nedostatok riadiacich letovej prevádzky) v niektorých ČŠ a ďalšími faktormi (štrajky, počasie). </w:t>
            </w:r>
            <w:r>
              <w:rPr>
                <w:sz w:val="20"/>
              </w:rPr>
              <w:t>SR</w:t>
            </w:r>
            <w:r w:rsidRPr="00D32F7E">
              <w:rPr>
                <w:sz w:val="20"/>
              </w:rPr>
              <w:t xml:space="preserve"> zastáva pozíciu, že </w:t>
            </w:r>
            <w:r w:rsidRPr="00D32F7E">
              <w:rPr>
                <w:rStyle w:val="tlid-translation"/>
                <w:sz w:val="20"/>
                <w:szCs w:val="27"/>
              </w:rPr>
              <w:t>súbor opatrení nariadenia SES2+ je zastaraný a neobsahuje riešenia, ktoré by vyriešili súčasnú krízu. Podľa SK je nutná reforma v súlade so zásadou lepšej právnej regulácie.</w:t>
            </w:r>
          </w:p>
        </w:tc>
      </w:tr>
      <w:tr w:rsidR="003227AF" w:rsidTr="00687C5F">
        <w:trPr>
          <w:cantSplit/>
        </w:trPr>
        <w:tc>
          <w:tcPr>
            <w:tcW w:w="652" w:type="dxa"/>
            <w:tcBorders>
              <w:right w:val="nil"/>
            </w:tcBorders>
            <w:shd w:val="clear" w:color="auto" w:fill="auto"/>
            <w:tcMar>
              <w:top w:w="85" w:type="dxa"/>
              <w:left w:w="85" w:type="dxa"/>
              <w:bottom w:w="85" w:type="dxa"/>
            </w:tcMar>
          </w:tcPr>
          <w:p w:rsidR="003227AF" w:rsidRDefault="003227AF" w:rsidP="003227AF">
            <w:pPr>
              <w:pStyle w:val="Odsekzoznamu"/>
              <w:numPr>
                <w:ilvl w:val="0"/>
                <w:numId w:val="20"/>
              </w:numPr>
              <w:spacing w:after="0"/>
              <w:ind w:left="426"/>
              <w:rPr>
                <w:b/>
                <w:noProof/>
                <w:sz w:val="20"/>
              </w:rPr>
            </w:pPr>
          </w:p>
        </w:tc>
        <w:tc>
          <w:tcPr>
            <w:tcW w:w="4588" w:type="dxa"/>
            <w:shd w:val="clear" w:color="auto" w:fill="auto"/>
            <w:tcMar>
              <w:top w:w="85" w:type="dxa"/>
              <w:left w:w="85" w:type="dxa"/>
              <w:bottom w:w="85" w:type="dxa"/>
            </w:tcMar>
          </w:tcPr>
          <w:p w:rsidR="003227AF" w:rsidRDefault="003227AF" w:rsidP="003227AF">
            <w:pPr>
              <w:spacing w:after="0"/>
              <w:rPr>
                <w:noProof/>
                <w:sz w:val="20"/>
              </w:rPr>
            </w:pPr>
            <w:r>
              <w:rPr>
                <w:noProof/>
                <w:sz w:val="20"/>
              </w:rPr>
              <w:t>Návrh NARIADENIE EURÓPSKEHO PARLAMENTU A RADY o spoločných pravidlách prideľovania prevádzkových intervalov na letiskách Európskej únie</w:t>
            </w:r>
          </w:p>
        </w:tc>
        <w:tc>
          <w:tcPr>
            <w:tcW w:w="1985" w:type="dxa"/>
            <w:tcMar>
              <w:top w:w="85" w:type="dxa"/>
              <w:left w:w="85" w:type="dxa"/>
              <w:bottom w:w="85" w:type="dxa"/>
            </w:tcMar>
          </w:tcPr>
          <w:p w:rsidR="003227AF" w:rsidRDefault="003227AF" w:rsidP="003227AF">
            <w:pPr>
              <w:spacing w:after="0"/>
              <w:jc w:val="left"/>
              <w:rPr>
                <w:noProof/>
                <w:sz w:val="20"/>
              </w:rPr>
            </w:pPr>
            <w:r>
              <w:rPr>
                <w:noProof/>
                <w:sz w:val="20"/>
              </w:rPr>
              <w:t>COM(2011) 827 final.</w:t>
            </w:r>
            <w:r>
              <w:rPr>
                <w:noProof/>
                <w:sz w:val="20"/>
              </w:rPr>
              <w:br/>
              <w:t>2011/0391 (COD)</w:t>
            </w:r>
            <w:r>
              <w:rPr>
                <w:noProof/>
                <w:sz w:val="20"/>
              </w:rPr>
              <w:br/>
              <w:t>1. 12. 2011</w:t>
            </w:r>
          </w:p>
        </w:tc>
        <w:tc>
          <w:tcPr>
            <w:tcW w:w="1417" w:type="dxa"/>
          </w:tcPr>
          <w:p w:rsidR="003227AF" w:rsidRPr="00D76AD2" w:rsidRDefault="003227AF" w:rsidP="003227AF">
            <w:pPr>
              <w:spacing w:after="0"/>
              <w:jc w:val="center"/>
              <w:rPr>
                <w:b/>
                <w:sz w:val="20"/>
              </w:rPr>
            </w:pPr>
            <w:r w:rsidRPr="00D76AD2">
              <w:rPr>
                <w:b/>
                <w:sz w:val="20"/>
              </w:rPr>
              <w:t>MDV SR</w:t>
            </w:r>
          </w:p>
        </w:tc>
        <w:tc>
          <w:tcPr>
            <w:tcW w:w="6095" w:type="dxa"/>
          </w:tcPr>
          <w:p w:rsidR="003227AF" w:rsidRPr="00D76AD2" w:rsidRDefault="003227AF" w:rsidP="003227AF">
            <w:pPr>
              <w:spacing w:after="0"/>
              <w:rPr>
                <w:sz w:val="20"/>
              </w:rPr>
            </w:pPr>
            <w:r w:rsidRPr="00D76AD2">
              <w:rPr>
                <w:b/>
                <w:sz w:val="20"/>
                <w:u w:val="single"/>
              </w:rPr>
              <w:t>Stredná priorita</w:t>
            </w:r>
            <w:r>
              <w:rPr>
                <w:sz w:val="20"/>
              </w:rPr>
              <w:t xml:space="preserve"> - </w:t>
            </w:r>
            <w:r w:rsidRPr="00C22BF7">
              <w:rPr>
                <w:sz w:val="20"/>
              </w:rPr>
              <w:t>Vykonávanie nariadenia o prevádzkových intervaloch podstatne zlepšilo prideľovanie prevádzkových intervalov na preťažených európskych letiskách z hľadiska neutrality a transparentnosti postupu pri prideľovaní. Značne tak prispelo k vytvoreniu vnútorného trhu leteckej dopravy. Nariadenie o prevádzkových intervaloch sa zaviedlo v čase, keď bol európsky trh leteckej dopravy ešte ovládaný malým počtom tradičných národných spoločností. V súčasnosti je však hospodárska súťaž oveľa intenzívnejšia.</w:t>
            </w:r>
            <w:r>
              <w:rPr>
                <w:sz w:val="20"/>
              </w:rPr>
              <w:t xml:space="preserve"> </w:t>
            </w:r>
            <w:r w:rsidRPr="00C22BF7">
              <w:rPr>
                <w:sz w:val="20"/>
              </w:rPr>
              <w:t>Je teda nutné revidovať nariadenie o prevádzkových intervaloch a určiť, do akej miery je možné vylepšiť ho z hľadiska súladu kapacity s dopytom po leteckej preprave vo všetkých segmentoch (diaľkové lety, lety na regionálnych tratiach, letecká nákladná preprava atď.).</w:t>
            </w:r>
            <w:r>
              <w:rPr>
                <w:sz w:val="20"/>
              </w:rPr>
              <w:t xml:space="preserve">Návrh nariadenia bol predmetom rokovania naposledy v roku 2012. </w:t>
            </w:r>
          </w:p>
        </w:tc>
      </w:tr>
      <w:tr w:rsidR="003227AF" w:rsidTr="00687C5F">
        <w:trPr>
          <w:cantSplit/>
        </w:trPr>
        <w:tc>
          <w:tcPr>
            <w:tcW w:w="652" w:type="dxa"/>
            <w:tcBorders>
              <w:right w:val="nil"/>
            </w:tcBorders>
            <w:shd w:val="clear" w:color="auto" w:fill="auto"/>
            <w:tcMar>
              <w:top w:w="85" w:type="dxa"/>
              <w:left w:w="85" w:type="dxa"/>
              <w:bottom w:w="85" w:type="dxa"/>
            </w:tcMar>
          </w:tcPr>
          <w:p w:rsidR="003227AF" w:rsidRDefault="003227AF" w:rsidP="003227AF">
            <w:pPr>
              <w:pStyle w:val="Odsekzoznamu"/>
              <w:numPr>
                <w:ilvl w:val="0"/>
                <w:numId w:val="20"/>
              </w:numPr>
              <w:spacing w:after="0"/>
              <w:ind w:left="426"/>
              <w:rPr>
                <w:b/>
                <w:noProof/>
                <w:sz w:val="20"/>
              </w:rPr>
            </w:pPr>
          </w:p>
        </w:tc>
        <w:tc>
          <w:tcPr>
            <w:tcW w:w="4588" w:type="dxa"/>
            <w:shd w:val="clear" w:color="auto" w:fill="auto"/>
            <w:tcMar>
              <w:top w:w="85" w:type="dxa"/>
              <w:left w:w="85" w:type="dxa"/>
              <w:bottom w:w="85" w:type="dxa"/>
            </w:tcMar>
          </w:tcPr>
          <w:p w:rsidR="003227AF" w:rsidRDefault="003227AF" w:rsidP="003227AF">
            <w:pPr>
              <w:spacing w:after="0"/>
              <w:rPr>
                <w:noProof/>
                <w:sz w:val="20"/>
              </w:rPr>
            </w:pPr>
            <w:r>
              <w:rPr>
                <w:noProof/>
                <w:sz w:val="20"/>
              </w:rPr>
              <w:t>Návrh SMERNICA EURÓPSKEHO PARLAMENTU A RADY, ktorou sa mení smernica 2006/1/ES o používaní vozidiel prenajatých bez vodičov na cestnú prepravu tovaru</w:t>
            </w:r>
          </w:p>
        </w:tc>
        <w:tc>
          <w:tcPr>
            <w:tcW w:w="1985" w:type="dxa"/>
            <w:tcMar>
              <w:top w:w="85" w:type="dxa"/>
              <w:left w:w="85" w:type="dxa"/>
              <w:bottom w:w="85" w:type="dxa"/>
            </w:tcMar>
          </w:tcPr>
          <w:p w:rsidR="003227AF" w:rsidRDefault="003227AF" w:rsidP="003227AF">
            <w:pPr>
              <w:spacing w:after="0"/>
              <w:jc w:val="left"/>
              <w:rPr>
                <w:noProof/>
                <w:sz w:val="20"/>
              </w:rPr>
            </w:pPr>
            <w:r>
              <w:rPr>
                <w:noProof/>
                <w:sz w:val="20"/>
              </w:rPr>
              <w:t>COM(2017) 282 final.</w:t>
            </w:r>
            <w:r>
              <w:rPr>
                <w:noProof/>
                <w:sz w:val="20"/>
              </w:rPr>
              <w:br/>
              <w:t>2017/0113 (COD)</w:t>
            </w:r>
            <w:r>
              <w:rPr>
                <w:noProof/>
                <w:sz w:val="20"/>
              </w:rPr>
              <w:br/>
              <w:t>31. 5. 2017</w:t>
            </w:r>
          </w:p>
        </w:tc>
        <w:tc>
          <w:tcPr>
            <w:tcW w:w="1417" w:type="dxa"/>
          </w:tcPr>
          <w:p w:rsidR="003227AF" w:rsidRPr="00D76AD2" w:rsidRDefault="003227AF" w:rsidP="003227AF">
            <w:pPr>
              <w:spacing w:after="0"/>
              <w:jc w:val="center"/>
              <w:rPr>
                <w:b/>
                <w:sz w:val="20"/>
              </w:rPr>
            </w:pPr>
            <w:r w:rsidRPr="00D76AD2">
              <w:rPr>
                <w:b/>
                <w:sz w:val="20"/>
              </w:rPr>
              <w:t>MDV SR</w:t>
            </w:r>
          </w:p>
        </w:tc>
        <w:tc>
          <w:tcPr>
            <w:tcW w:w="6095" w:type="dxa"/>
          </w:tcPr>
          <w:p w:rsidR="003227AF" w:rsidRPr="00D76AD2" w:rsidRDefault="003227AF" w:rsidP="003227AF">
            <w:pPr>
              <w:spacing w:after="0"/>
              <w:jc w:val="left"/>
              <w:rPr>
                <w:b/>
                <w:sz w:val="20"/>
                <w:u w:val="single"/>
              </w:rPr>
            </w:pPr>
            <w:r w:rsidRPr="00D76AD2">
              <w:rPr>
                <w:b/>
                <w:sz w:val="20"/>
                <w:u w:val="single"/>
              </w:rPr>
              <w:t>Stredná priorita</w:t>
            </w:r>
            <w:r w:rsidRPr="00D76AD2">
              <w:rPr>
                <w:b/>
                <w:sz w:val="20"/>
              </w:rPr>
              <w:t xml:space="preserve"> - </w:t>
            </w:r>
            <w:r w:rsidRPr="00D76AD2">
              <w:rPr>
                <w:sz w:val="20"/>
              </w:rPr>
              <w:t>V</w:t>
            </w:r>
            <w:r w:rsidRPr="000F7FAA">
              <w:rPr>
                <w:sz w:val="20"/>
              </w:rPr>
              <w:t xml:space="preserve"> smernici 2006/1/ES o používaní vozidiel prenajatých bez vodičov na cestnú prepravu tovaru sa stanovuje minimálna úroveň otvorenia trhu na používanie prenajatých nákladných vozidiel v rámci jednotného trhu. Cieľom návrhu je dosiahnuť optimálne rozmiestnenie zdrojov obmedzením nehospodárneho využitia výrobných faktorov (napr. kapitál viazaný v nedostatočne využívaných vozidlách), a zvýšiť flexibilitu a produktivitu príslušných podnikov. Všetky ciele súvisia </w:t>
            </w:r>
            <w:r w:rsidRPr="000F7FAA">
              <w:rPr>
                <w:sz w:val="20"/>
              </w:rPr>
              <w:br/>
              <w:t>s používaním prenajatých vozidiel. SR podporuje iniciatívu. Návrh prinesie flexibilitu pre dopravcu, avšak berieme na vedomie, že preregistrácia stále nie je jednoduchý proces.</w:t>
            </w:r>
          </w:p>
        </w:tc>
      </w:tr>
      <w:tr w:rsidR="003227AF" w:rsidTr="00687C5F">
        <w:trPr>
          <w:cantSplit/>
          <w:trHeight w:val="4744"/>
        </w:trPr>
        <w:tc>
          <w:tcPr>
            <w:tcW w:w="652" w:type="dxa"/>
            <w:tcBorders>
              <w:right w:val="nil"/>
            </w:tcBorders>
            <w:shd w:val="clear" w:color="auto" w:fill="auto"/>
            <w:tcMar>
              <w:top w:w="85" w:type="dxa"/>
              <w:left w:w="85" w:type="dxa"/>
              <w:bottom w:w="85" w:type="dxa"/>
            </w:tcMar>
          </w:tcPr>
          <w:p w:rsidR="003227AF" w:rsidRDefault="003227AF" w:rsidP="003227AF">
            <w:pPr>
              <w:pStyle w:val="Odsekzoznamu"/>
              <w:numPr>
                <w:ilvl w:val="0"/>
                <w:numId w:val="20"/>
              </w:numPr>
              <w:spacing w:after="0"/>
              <w:ind w:left="426"/>
              <w:rPr>
                <w:b/>
                <w:noProof/>
                <w:sz w:val="20"/>
              </w:rPr>
            </w:pPr>
          </w:p>
        </w:tc>
        <w:tc>
          <w:tcPr>
            <w:tcW w:w="4588" w:type="dxa"/>
            <w:shd w:val="clear" w:color="auto" w:fill="auto"/>
            <w:tcMar>
              <w:top w:w="85" w:type="dxa"/>
              <w:left w:w="85" w:type="dxa"/>
              <w:bottom w:w="85" w:type="dxa"/>
            </w:tcMar>
          </w:tcPr>
          <w:p w:rsidR="003227AF" w:rsidRDefault="003227AF" w:rsidP="003227AF">
            <w:pPr>
              <w:spacing w:after="0"/>
              <w:rPr>
                <w:noProof/>
                <w:sz w:val="20"/>
              </w:rPr>
            </w:pPr>
            <w:r>
              <w:rPr>
                <w:noProof/>
                <w:sz w:val="20"/>
              </w:rPr>
              <w:t>Návrh NARIADENIE EURÓPSKEHO PARLAMENTU A RADY, ktorým sa mení nariadenie (ES) č. 1073/2009 o spoločných pravidlách prístupu na medzinárodný trh autokarovej a autobusovej dopravy</w:t>
            </w:r>
          </w:p>
        </w:tc>
        <w:tc>
          <w:tcPr>
            <w:tcW w:w="1985" w:type="dxa"/>
            <w:tcMar>
              <w:top w:w="85" w:type="dxa"/>
              <w:left w:w="85" w:type="dxa"/>
              <w:bottom w:w="85" w:type="dxa"/>
            </w:tcMar>
          </w:tcPr>
          <w:p w:rsidR="003227AF" w:rsidRDefault="003227AF" w:rsidP="003227AF">
            <w:pPr>
              <w:spacing w:after="0"/>
              <w:jc w:val="left"/>
              <w:rPr>
                <w:noProof/>
                <w:sz w:val="20"/>
              </w:rPr>
            </w:pPr>
            <w:r>
              <w:rPr>
                <w:noProof/>
                <w:sz w:val="20"/>
              </w:rPr>
              <w:t>COM(2017) 647 final.</w:t>
            </w:r>
            <w:r>
              <w:rPr>
                <w:noProof/>
                <w:sz w:val="20"/>
              </w:rPr>
              <w:br/>
              <w:t>2017/0288 (COD)</w:t>
            </w:r>
            <w:r>
              <w:rPr>
                <w:noProof/>
                <w:sz w:val="20"/>
              </w:rPr>
              <w:br/>
              <w:t>8. 11. 2017</w:t>
            </w:r>
          </w:p>
        </w:tc>
        <w:tc>
          <w:tcPr>
            <w:tcW w:w="1417" w:type="dxa"/>
          </w:tcPr>
          <w:p w:rsidR="003227AF" w:rsidRPr="00D76AD2" w:rsidRDefault="003227AF" w:rsidP="003227AF">
            <w:pPr>
              <w:spacing w:after="0"/>
              <w:jc w:val="center"/>
              <w:rPr>
                <w:b/>
                <w:sz w:val="20"/>
              </w:rPr>
            </w:pPr>
            <w:r w:rsidRPr="00D76AD2">
              <w:rPr>
                <w:b/>
                <w:sz w:val="20"/>
              </w:rPr>
              <w:t>MDV SR</w:t>
            </w:r>
          </w:p>
        </w:tc>
        <w:tc>
          <w:tcPr>
            <w:tcW w:w="6095" w:type="dxa"/>
          </w:tcPr>
          <w:p w:rsidR="003227AF" w:rsidRPr="00D76AD2" w:rsidRDefault="003227AF" w:rsidP="003227AF">
            <w:pPr>
              <w:rPr>
                <w:sz w:val="20"/>
              </w:rPr>
            </w:pPr>
            <w:r w:rsidRPr="00D76AD2">
              <w:rPr>
                <w:b/>
                <w:sz w:val="20"/>
                <w:u w:val="single"/>
              </w:rPr>
              <w:t>Vysoká priorita</w:t>
            </w:r>
            <w:r w:rsidRPr="00B427DF">
              <w:rPr>
                <w:sz w:val="20"/>
              </w:rPr>
              <w:t xml:space="preserve"> </w:t>
            </w:r>
            <w:r>
              <w:rPr>
                <w:sz w:val="20"/>
              </w:rPr>
              <w:t xml:space="preserve">- </w:t>
            </w:r>
            <w:r w:rsidRPr="00B427DF">
              <w:rPr>
                <w:sz w:val="20"/>
              </w:rPr>
              <w:t>Toto nariadenie bolo prijaté v rámci legislatívneho balíka s nariadením č. 1071/2009 o prístupe k povolaniu prevádzkovateľa cestnej dopravy. V nariadení (ES) č. 1073/2009 sa vymedzujú ustanovenia, ktoré musia dodržiavať podniky, ktoré chcú pôsobiť na medzinárodnom trhu osobnej cestnej dopravy a na ďalších národných trhoch okrem trhu vlastného členského štátu usadenia (kabotáž). Ďalším otvorením národných trhov sa posilní rozvoj medzinárodného trhu s pravidelnou dopravou, nehovoriac o prínosoch pre cestujúcich uskutočňujúcich vnútroštátne cesty. Ako hlavné problémy boli určené prekážky na národných trhoch brzdiace rozvoj medzimestskej autokarovej a autobusovej dopravy a nízky podiel udržateľných druhov osobnej dopravy. Zámerom tohto návrhu je tieto nedostatky napraviť. Cieľom návrhu je zabezpečiť koherentné a konzistentné monitorovanie a presadzovanie existujúcich pravidiel v jednotlivých ČŠ, lepšie špecifikovať pravidlá a eliminovať odlišnosti prístupov jednotlivých ČŠ.</w:t>
            </w:r>
            <w:r>
              <w:rPr>
                <w:sz w:val="20"/>
              </w:rPr>
              <w:t xml:space="preserve"> S</w:t>
            </w:r>
            <w:r w:rsidRPr="00B427DF">
              <w:rPr>
                <w:sz w:val="20"/>
              </w:rPr>
              <w:t xml:space="preserve">R vo všeobecnosti podporuje jednotné uplatňovanie predpisov tak, aby všetky subjekty v rámci EÚ mali rovnaké podmienky na podnikanie. Problém môže nastať pri štrukturálnych zmenách, kt. môžu mať vplyv na kompetencie ako aj na kontrolnú činnosť. </w:t>
            </w:r>
            <w:r>
              <w:rPr>
                <w:sz w:val="20"/>
              </w:rPr>
              <w:t>O nariadení sa dosiaľ nerokovalo.</w:t>
            </w:r>
          </w:p>
        </w:tc>
      </w:tr>
      <w:tr w:rsidR="003227AF" w:rsidTr="00687C5F">
        <w:trPr>
          <w:cantSplit/>
        </w:trPr>
        <w:tc>
          <w:tcPr>
            <w:tcW w:w="652" w:type="dxa"/>
            <w:tcBorders>
              <w:right w:val="nil"/>
            </w:tcBorders>
            <w:shd w:val="clear" w:color="auto" w:fill="auto"/>
            <w:tcMar>
              <w:top w:w="85" w:type="dxa"/>
              <w:left w:w="85" w:type="dxa"/>
              <w:bottom w:w="85" w:type="dxa"/>
            </w:tcMar>
          </w:tcPr>
          <w:p w:rsidR="003227AF" w:rsidRDefault="003227AF" w:rsidP="003227AF">
            <w:pPr>
              <w:pStyle w:val="Odsekzoznamu"/>
              <w:numPr>
                <w:ilvl w:val="0"/>
                <w:numId w:val="20"/>
              </w:numPr>
              <w:spacing w:after="0"/>
              <w:ind w:left="426"/>
              <w:rPr>
                <w:b/>
                <w:noProof/>
                <w:sz w:val="20"/>
              </w:rPr>
            </w:pPr>
          </w:p>
        </w:tc>
        <w:tc>
          <w:tcPr>
            <w:tcW w:w="4588" w:type="dxa"/>
            <w:shd w:val="clear" w:color="auto" w:fill="auto"/>
            <w:tcMar>
              <w:top w:w="85" w:type="dxa"/>
              <w:left w:w="85" w:type="dxa"/>
              <w:bottom w:w="85" w:type="dxa"/>
            </w:tcMar>
          </w:tcPr>
          <w:p w:rsidR="003227AF" w:rsidRDefault="003227AF" w:rsidP="003227AF">
            <w:pPr>
              <w:spacing w:after="0"/>
              <w:rPr>
                <w:noProof/>
                <w:sz w:val="20"/>
              </w:rPr>
            </w:pPr>
            <w:r>
              <w:rPr>
                <w:noProof/>
                <w:sz w:val="20"/>
              </w:rPr>
              <w:t>Návrh SMERNICA EURÓPSKEHO PARLAMENTU A RADY, ktorou sa ukončujú sezónne zmeny času a zrušuje smernica 2000/84/ES</w:t>
            </w:r>
          </w:p>
        </w:tc>
        <w:tc>
          <w:tcPr>
            <w:tcW w:w="1985" w:type="dxa"/>
            <w:tcMar>
              <w:top w:w="85" w:type="dxa"/>
              <w:left w:w="85" w:type="dxa"/>
              <w:bottom w:w="85" w:type="dxa"/>
            </w:tcMar>
          </w:tcPr>
          <w:p w:rsidR="003227AF" w:rsidRDefault="003227AF" w:rsidP="003227AF">
            <w:pPr>
              <w:spacing w:after="0"/>
              <w:jc w:val="left"/>
              <w:rPr>
                <w:noProof/>
                <w:sz w:val="20"/>
              </w:rPr>
            </w:pPr>
            <w:r>
              <w:rPr>
                <w:noProof/>
                <w:sz w:val="20"/>
              </w:rPr>
              <w:t>COM(2018) 639 final.</w:t>
            </w:r>
            <w:r>
              <w:rPr>
                <w:noProof/>
                <w:sz w:val="20"/>
              </w:rPr>
              <w:br/>
              <w:t>2018/0332 (COD)</w:t>
            </w:r>
            <w:r>
              <w:rPr>
                <w:noProof/>
                <w:sz w:val="20"/>
              </w:rPr>
              <w:br/>
              <w:t>12. 9. 2018</w:t>
            </w:r>
          </w:p>
        </w:tc>
        <w:tc>
          <w:tcPr>
            <w:tcW w:w="1417" w:type="dxa"/>
          </w:tcPr>
          <w:p w:rsidR="003227AF" w:rsidRPr="00FE4DFD" w:rsidRDefault="003227AF" w:rsidP="003227AF">
            <w:pPr>
              <w:spacing w:after="0"/>
              <w:ind w:left="4" w:right="49"/>
              <w:jc w:val="center"/>
              <w:rPr>
                <w:b/>
                <w:sz w:val="20"/>
              </w:rPr>
            </w:pPr>
            <w:r w:rsidRPr="00FE4DFD">
              <w:rPr>
                <w:b/>
                <w:sz w:val="20"/>
              </w:rPr>
              <w:t>MPSaVR SR</w:t>
            </w:r>
          </w:p>
          <w:p w:rsidR="003227AF" w:rsidRPr="00FE4DFD" w:rsidRDefault="003227AF" w:rsidP="003227AF">
            <w:pPr>
              <w:spacing w:after="0"/>
              <w:ind w:left="4" w:right="49"/>
              <w:jc w:val="center"/>
              <w:rPr>
                <w:b/>
                <w:sz w:val="20"/>
              </w:rPr>
            </w:pPr>
            <w:r w:rsidRPr="00FE4DFD">
              <w:rPr>
                <w:b/>
                <w:sz w:val="20"/>
              </w:rPr>
              <w:t>MZVEZ SR</w:t>
            </w:r>
          </w:p>
          <w:p w:rsidR="003227AF" w:rsidRPr="00FE4DFD" w:rsidRDefault="003227AF" w:rsidP="003227AF">
            <w:pPr>
              <w:spacing w:after="0"/>
              <w:ind w:left="4" w:right="49"/>
              <w:jc w:val="center"/>
              <w:rPr>
                <w:b/>
                <w:sz w:val="20"/>
              </w:rPr>
            </w:pPr>
            <w:r w:rsidRPr="00FE4DFD">
              <w:rPr>
                <w:b/>
                <w:sz w:val="20"/>
              </w:rPr>
              <w:t>MZ SR</w:t>
            </w:r>
            <w:r w:rsidRPr="00FE4DFD">
              <w:rPr>
                <w:b/>
                <w:sz w:val="20"/>
              </w:rPr>
              <w:br/>
              <w:t>MH SR</w:t>
            </w:r>
          </w:p>
          <w:p w:rsidR="003227AF" w:rsidRPr="00B4505F" w:rsidRDefault="003227AF" w:rsidP="003227AF">
            <w:pPr>
              <w:spacing w:after="0"/>
              <w:ind w:left="4" w:right="49"/>
              <w:jc w:val="center"/>
              <w:rPr>
                <w:b/>
                <w:sz w:val="20"/>
              </w:rPr>
            </w:pPr>
            <w:r w:rsidRPr="00FE4DFD">
              <w:rPr>
                <w:b/>
                <w:sz w:val="20"/>
              </w:rPr>
              <w:t>MDaV SR</w:t>
            </w:r>
            <w:r w:rsidRPr="00FE4DFD">
              <w:rPr>
                <w:b/>
                <w:sz w:val="20"/>
              </w:rPr>
              <w:br/>
            </w:r>
          </w:p>
        </w:tc>
        <w:tc>
          <w:tcPr>
            <w:tcW w:w="6095" w:type="dxa"/>
          </w:tcPr>
          <w:p w:rsidR="003227AF" w:rsidRPr="00FE4DFD" w:rsidRDefault="003227AF" w:rsidP="003227AF">
            <w:pPr>
              <w:spacing w:after="0"/>
              <w:ind w:left="4" w:right="49"/>
              <w:rPr>
                <w:b/>
                <w:sz w:val="20"/>
                <w:u w:val="single"/>
              </w:rPr>
            </w:pPr>
            <w:r w:rsidRPr="00FE4DFD">
              <w:rPr>
                <w:b/>
                <w:sz w:val="20"/>
                <w:u w:val="single"/>
              </w:rPr>
              <w:t>Vysoká priorita</w:t>
            </w:r>
            <w:r w:rsidRPr="00FE4DFD">
              <w:rPr>
                <w:b/>
                <w:sz w:val="20"/>
              </w:rPr>
              <w:t xml:space="preserve"> -</w:t>
            </w:r>
            <w:r w:rsidRPr="00B4505F">
              <w:rPr>
                <w:noProof/>
                <w:sz w:val="20"/>
                <w:lang w:eastAsia="en-US"/>
              </w:rPr>
              <w:t xml:space="preserve">Rokovania k tejto téme budú prebiehať aj v roku 2020 a je nutné koordinovať postoj SR s pozíciou ostatných ČŠ (hlavne susednými). Obsahom smernice je konštatovanie, že v súvislosti so  zvýšenou mierou pochybností o súčasnej úprave letného času členskými štátmi EÚ, je nevyhnutnou  alternatívou, ktorá je k dispozícii na zabezpečenie harmonizovaného prístupu, koordinované zrušenie zmeny času dvakrát ročne, ako sa uvádza v návrhu smernice.  S cieľom zabezpečiť kontinuálny harmonizovaný prístup Komisia preto navrhuje zastaviť v Únii sezónne zmeny času dvakrát ročne, a zároveň každému členskému štátu ponechať možnosť rozhodnúť o svojom budúcom časovom režime. V tejto súvislosti rezort zdravotníctva zastáva súhlasnú pozíciu s tým, že podporuje zrušenie striedania </w:t>
            </w:r>
            <w:r>
              <w:rPr>
                <w:noProof/>
                <w:sz w:val="20"/>
                <w:lang w:eastAsia="en-US"/>
              </w:rPr>
              <w:t>zmien času 2x ročne.</w:t>
            </w:r>
            <w:r w:rsidRPr="00B4505F">
              <w:rPr>
                <w:noProof/>
                <w:sz w:val="20"/>
                <w:lang w:eastAsia="en-US"/>
              </w:rPr>
              <w:t xml:space="preserve"> Zo zdravotného pohľadu však nie je jednoznačná argumentácia v prospech zimného alebo letného času.</w:t>
            </w:r>
          </w:p>
        </w:tc>
      </w:tr>
      <w:tr w:rsidR="003227AF" w:rsidTr="00687C5F">
        <w:trPr>
          <w:cantSplit/>
        </w:trPr>
        <w:tc>
          <w:tcPr>
            <w:tcW w:w="652" w:type="dxa"/>
            <w:tcBorders>
              <w:right w:val="nil"/>
            </w:tcBorders>
            <w:shd w:val="clear" w:color="auto" w:fill="auto"/>
            <w:tcMar>
              <w:top w:w="85" w:type="dxa"/>
              <w:left w:w="85" w:type="dxa"/>
              <w:bottom w:w="85" w:type="dxa"/>
            </w:tcMar>
          </w:tcPr>
          <w:p w:rsidR="003227AF" w:rsidRDefault="003227AF" w:rsidP="003227AF">
            <w:pPr>
              <w:pStyle w:val="Odsekzoznamu"/>
              <w:numPr>
                <w:ilvl w:val="0"/>
                <w:numId w:val="20"/>
              </w:numPr>
              <w:spacing w:after="0"/>
              <w:ind w:left="426"/>
              <w:rPr>
                <w:b/>
                <w:noProof/>
                <w:sz w:val="20"/>
              </w:rPr>
            </w:pPr>
          </w:p>
        </w:tc>
        <w:tc>
          <w:tcPr>
            <w:tcW w:w="4588" w:type="dxa"/>
            <w:shd w:val="clear" w:color="auto" w:fill="auto"/>
            <w:tcMar>
              <w:top w:w="85" w:type="dxa"/>
              <w:left w:w="85" w:type="dxa"/>
              <w:bottom w:w="85" w:type="dxa"/>
            </w:tcMar>
          </w:tcPr>
          <w:p w:rsidR="003227AF" w:rsidRDefault="003227AF" w:rsidP="003227AF">
            <w:pPr>
              <w:spacing w:after="0"/>
              <w:rPr>
                <w:noProof/>
                <w:sz w:val="20"/>
              </w:rPr>
            </w:pPr>
            <w:r>
              <w:rPr>
                <w:noProof/>
                <w:sz w:val="20"/>
              </w:rPr>
              <w:t>Návrh NARIADENIE EURÓPSKEHO PARLAMENTU A RADY, ktorým sa mení nariadenie (ES) č. 715/2007 o typovom schvaľovaní motorových vozidiel so zreteľom na emisie ľahkých osobných a úžitkových vozidiel (Euro 5 a Euro 6) a o prístupe k informáciám o opravách a údržbe vozidiel</w:t>
            </w:r>
          </w:p>
        </w:tc>
        <w:tc>
          <w:tcPr>
            <w:tcW w:w="1985" w:type="dxa"/>
            <w:tcMar>
              <w:top w:w="85" w:type="dxa"/>
              <w:left w:w="85" w:type="dxa"/>
              <w:bottom w:w="85" w:type="dxa"/>
            </w:tcMar>
          </w:tcPr>
          <w:p w:rsidR="003227AF" w:rsidRDefault="003227AF" w:rsidP="003227AF">
            <w:pPr>
              <w:spacing w:after="0"/>
              <w:jc w:val="left"/>
              <w:rPr>
                <w:noProof/>
                <w:sz w:val="20"/>
              </w:rPr>
            </w:pPr>
            <w:r>
              <w:rPr>
                <w:noProof/>
                <w:sz w:val="20"/>
              </w:rPr>
              <w:t>COM(2019) 208 final.</w:t>
            </w:r>
            <w:r>
              <w:rPr>
                <w:noProof/>
                <w:sz w:val="20"/>
              </w:rPr>
              <w:br/>
              <w:t>2019/0101 (COD)</w:t>
            </w:r>
            <w:r>
              <w:rPr>
                <w:noProof/>
                <w:sz w:val="20"/>
              </w:rPr>
              <w:br/>
              <w:t>14. 6. 2019</w:t>
            </w:r>
          </w:p>
        </w:tc>
        <w:tc>
          <w:tcPr>
            <w:tcW w:w="1417" w:type="dxa"/>
          </w:tcPr>
          <w:p w:rsidR="003227AF" w:rsidRPr="00FE2A32" w:rsidRDefault="003227AF" w:rsidP="003227AF">
            <w:pPr>
              <w:spacing w:after="0"/>
              <w:jc w:val="center"/>
              <w:rPr>
                <w:b/>
                <w:sz w:val="20"/>
              </w:rPr>
            </w:pPr>
            <w:r w:rsidRPr="00FE2A32">
              <w:rPr>
                <w:b/>
                <w:sz w:val="20"/>
              </w:rPr>
              <w:t>MDV SR</w:t>
            </w:r>
          </w:p>
        </w:tc>
        <w:tc>
          <w:tcPr>
            <w:tcW w:w="6095" w:type="dxa"/>
          </w:tcPr>
          <w:p w:rsidR="003227AF" w:rsidRPr="00FE2A32" w:rsidRDefault="003227AF" w:rsidP="003227AF">
            <w:pPr>
              <w:spacing w:after="0"/>
              <w:rPr>
                <w:sz w:val="20"/>
              </w:rPr>
            </w:pPr>
            <w:r w:rsidRPr="00FE2A32">
              <w:rPr>
                <w:b/>
                <w:sz w:val="20"/>
                <w:u w:val="single"/>
              </w:rPr>
              <w:t>Vysoká priorita</w:t>
            </w:r>
            <w:r>
              <w:rPr>
                <w:sz w:val="20"/>
              </w:rPr>
              <w:t xml:space="preserve"> - </w:t>
            </w:r>
            <w:r w:rsidRPr="00A8753F">
              <w:rPr>
                <w:sz w:val="20"/>
              </w:rPr>
              <w:t>Všeobecný súd vydal 13. decembra 2018 rozsudok v priamych žalobách T-339/16 (Ville de Paris/Komisia), T-352/16 (Ville de Bruxelles/Ko</w:t>
            </w:r>
            <w:r>
              <w:rPr>
                <w:sz w:val="20"/>
              </w:rPr>
              <w:t xml:space="preserve">misia) a T-391/16 (Ayuntamiento </w:t>
            </w:r>
            <w:r w:rsidRPr="00A8753F">
              <w:rPr>
                <w:sz w:val="20"/>
              </w:rPr>
              <w:t>de Madrid/Komisia)</w:t>
            </w:r>
            <w:r>
              <w:rPr>
                <w:sz w:val="20"/>
              </w:rPr>
              <w:t xml:space="preserve"> </w:t>
            </w:r>
            <w:r w:rsidRPr="00A8753F">
              <w:rPr>
                <w:sz w:val="20"/>
              </w:rPr>
              <w:t>podaných proti nariadeniu Komisie (EÚ) 2016/646, ktorým sa mení nariadenie Komisie (ES) č. 692/2008, pokiaľ ide o emisie ľahkých osobných a úžitkových vozidiel (Euro 6). V nariadení (EÚ) 2016/646 sa stanovili faktory zhody, ktoré sa používajú na posúdenie súladu vozidla s emisnými limitmi pri vykonávaní skúšky emisií počas skutočnej jazdy (RDE). Sporné faktory zhody slúžili na postupné znižovanie rozdielu medzi emisiami nameranými počas skutočnej jazdy a tými, ktoré sa merajú v laboratóriu. Súdny dvor nerozhodoval o technickej potrebe uvedených faktorov zhody. Konštatuje však, že sa nariadením (EÚ) 2016/646 de facto mení limit 80 mg/km stanovený v nariadení (EÚ) 715/2007 tým, že sa pri skúškach emisií počas skutočnej jazdy umožňuje vyššia úroveň emisií než pri meraní emis</w:t>
            </w:r>
            <w:r>
              <w:rPr>
                <w:sz w:val="20"/>
              </w:rPr>
              <w:t>ií v laboratórnych podmienkach.</w:t>
            </w:r>
            <w:r w:rsidRPr="00A8753F">
              <w:rPr>
                <w:sz w:val="20"/>
              </w:rPr>
              <w:t xml:space="preserve"> Súdny dvor skonštatoval, že faktory zhody mohol zaviesť len samotný zákonodarca, pretože sa týkajú podstatného prvku legislatívneho aktu – nariadenie (ES) č. 715/2007. Súd preto zrušil časť nariadenia (EÚ) 2016/464, v ktorej sa stanovili faktory zhody.Zrušenie je čiastočné. Skúšobný program RDE, tak ako aj stanovený v nariadení Komisie (EÚ) 2016/427 a ďalej zmenený nariadeniami Komisie (EÚ) 2016/646, 2017/1154 a 2018/1832, preto zostáva v platnosti a stále sa musí pri typovom schvaľovaní vykonávať.SR je </w:t>
            </w:r>
            <w:r>
              <w:rPr>
                <w:sz w:val="20"/>
              </w:rPr>
              <w:t xml:space="preserve">za </w:t>
            </w:r>
            <w:r w:rsidRPr="00A8753F">
              <w:rPr>
                <w:sz w:val="20"/>
              </w:rPr>
              <w:t>schvál</w:t>
            </w:r>
            <w:r>
              <w:rPr>
                <w:sz w:val="20"/>
              </w:rPr>
              <w:t>enie návrhu</w:t>
            </w:r>
            <w:r w:rsidRPr="00A8753F">
              <w:rPr>
                <w:sz w:val="20"/>
              </w:rPr>
              <w:t xml:space="preserve"> v takom znení ako bolo schválené všeobecné smerovanie. Momentálne sa čaká na pozíciu parlamentu a následne sa uvidí v trialógoch. Návrh je </w:t>
            </w:r>
            <w:r>
              <w:rPr>
                <w:sz w:val="20"/>
              </w:rPr>
              <w:t xml:space="preserve">podľa SR </w:t>
            </w:r>
            <w:r w:rsidRPr="00A8753F">
              <w:rPr>
                <w:sz w:val="20"/>
              </w:rPr>
              <w:t>potrebné schváliť čím skôr.</w:t>
            </w:r>
          </w:p>
        </w:tc>
      </w:tr>
      <w:tr w:rsidR="003227AF" w:rsidTr="00687C5F">
        <w:trPr>
          <w:cantSplit/>
        </w:trPr>
        <w:tc>
          <w:tcPr>
            <w:tcW w:w="652" w:type="dxa"/>
            <w:tcBorders>
              <w:right w:val="nil"/>
            </w:tcBorders>
            <w:shd w:val="clear" w:color="auto" w:fill="auto"/>
            <w:tcMar>
              <w:top w:w="85" w:type="dxa"/>
              <w:left w:w="85" w:type="dxa"/>
              <w:bottom w:w="85" w:type="dxa"/>
            </w:tcMar>
          </w:tcPr>
          <w:p w:rsidR="003227AF" w:rsidRDefault="003227AF" w:rsidP="003227AF">
            <w:pPr>
              <w:pStyle w:val="Odsekzoznamu"/>
              <w:numPr>
                <w:ilvl w:val="0"/>
                <w:numId w:val="20"/>
              </w:numPr>
              <w:spacing w:after="0"/>
              <w:ind w:left="426"/>
              <w:rPr>
                <w:b/>
                <w:noProof/>
                <w:sz w:val="20"/>
              </w:rPr>
            </w:pPr>
          </w:p>
        </w:tc>
        <w:tc>
          <w:tcPr>
            <w:tcW w:w="4588" w:type="dxa"/>
            <w:shd w:val="clear" w:color="auto" w:fill="auto"/>
            <w:tcMar>
              <w:top w:w="85" w:type="dxa"/>
              <w:left w:w="85" w:type="dxa"/>
              <w:bottom w:w="85" w:type="dxa"/>
            </w:tcMar>
          </w:tcPr>
          <w:p w:rsidR="003227AF" w:rsidRDefault="003227AF" w:rsidP="003227AF">
            <w:pPr>
              <w:spacing w:after="0"/>
              <w:rPr>
                <w:noProof/>
                <w:sz w:val="20"/>
              </w:rPr>
            </w:pPr>
            <w:r>
              <w:rPr>
                <w:noProof/>
                <w:sz w:val="20"/>
              </w:rPr>
              <w:t>Návrh NARIADENIE EURÓPSKEHO PARLAMENTU A RADY o rešpektovaní súkromného života a ochrane osobných údajov v elektronických komunikáciách a o zrušení smernice 2002/58/ES (smernica o súkromí a elektronických komunikáciách)</w:t>
            </w:r>
          </w:p>
        </w:tc>
        <w:tc>
          <w:tcPr>
            <w:tcW w:w="1985" w:type="dxa"/>
            <w:tcMar>
              <w:top w:w="85" w:type="dxa"/>
              <w:left w:w="85" w:type="dxa"/>
              <w:bottom w:w="85" w:type="dxa"/>
            </w:tcMar>
          </w:tcPr>
          <w:p w:rsidR="003227AF" w:rsidRDefault="003227AF" w:rsidP="003227AF">
            <w:pPr>
              <w:spacing w:after="0"/>
              <w:jc w:val="left"/>
              <w:rPr>
                <w:noProof/>
                <w:sz w:val="20"/>
              </w:rPr>
            </w:pPr>
            <w:r>
              <w:rPr>
                <w:noProof/>
                <w:sz w:val="20"/>
              </w:rPr>
              <w:t>COM(2017) 10 final.</w:t>
            </w:r>
            <w:r>
              <w:rPr>
                <w:noProof/>
                <w:sz w:val="20"/>
              </w:rPr>
              <w:br/>
              <w:t>2017/0003 (COD)</w:t>
            </w:r>
            <w:r>
              <w:rPr>
                <w:noProof/>
                <w:sz w:val="20"/>
              </w:rPr>
              <w:br/>
              <w:t>10. 1. 2017</w:t>
            </w:r>
          </w:p>
        </w:tc>
        <w:tc>
          <w:tcPr>
            <w:tcW w:w="1417" w:type="dxa"/>
          </w:tcPr>
          <w:p w:rsidR="001240B4" w:rsidRDefault="001240B4" w:rsidP="001240B4">
            <w:pPr>
              <w:spacing w:after="0"/>
              <w:jc w:val="center"/>
              <w:rPr>
                <w:b/>
                <w:sz w:val="20"/>
              </w:rPr>
            </w:pPr>
            <w:r>
              <w:rPr>
                <w:b/>
                <w:sz w:val="20"/>
              </w:rPr>
              <w:t>MDV SR</w:t>
            </w:r>
          </w:p>
          <w:p w:rsidR="003227AF" w:rsidRDefault="003227AF" w:rsidP="003227AF">
            <w:pPr>
              <w:spacing w:after="0"/>
              <w:jc w:val="center"/>
              <w:rPr>
                <w:b/>
                <w:sz w:val="20"/>
              </w:rPr>
            </w:pPr>
            <w:r>
              <w:rPr>
                <w:b/>
                <w:sz w:val="20"/>
              </w:rPr>
              <w:t>ÚOOÚ SR</w:t>
            </w:r>
          </w:p>
          <w:p w:rsidR="003227AF" w:rsidRDefault="003227AF" w:rsidP="003227AF">
            <w:pPr>
              <w:spacing w:after="0"/>
              <w:jc w:val="center"/>
              <w:rPr>
                <w:b/>
                <w:sz w:val="20"/>
              </w:rPr>
            </w:pPr>
            <w:r>
              <w:rPr>
                <w:b/>
                <w:sz w:val="20"/>
              </w:rPr>
              <w:t>MS SR</w:t>
            </w:r>
          </w:p>
        </w:tc>
        <w:tc>
          <w:tcPr>
            <w:tcW w:w="6095" w:type="dxa"/>
          </w:tcPr>
          <w:p w:rsidR="003227AF" w:rsidRPr="00FE2A32" w:rsidRDefault="003227AF" w:rsidP="003227AF">
            <w:pPr>
              <w:spacing w:after="0"/>
              <w:rPr>
                <w:sz w:val="20"/>
              </w:rPr>
            </w:pPr>
            <w:r w:rsidRPr="00FE2A32">
              <w:rPr>
                <w:b/>
                <w:sz w:val="20"/>
                <w:u w:val="single"/>
              </w:rPr>
              <w:t>Vysoká priorita</w:t>
            </w:r>
            <w:r w:rsidRPr="007B79CC">
              <w:rPr>
                <w:sz w:val="20"/>
              </w:rPr>
              <w:t xml:space="preserve"> </w:t>
            </w:r>
            <w:r>
              <w:rPr>
                <w:sz w:val="20"/>
              </w:rPr>
              <w:t xml:space="preserve">- SR považuje za dôležité zabezpečiť vysokú úroveň ochrany súkromia v elektronických komunikáciách a rozšíriť pôsobnosť právneho aktu na nové služby elektronických komunikácií. SR zároveň oceňuje určitý pokrok, ktorý sa dosiahol za ostatné obdobie, kedy sa niektoré časti návrhu vyjasnili resp. vylepšilo sa ich znenie (M2M, IoT, cookies). Na druhej strane SR má stále výhrady k niektorým aspektom nariadenia (meteriálom šíriacim zneužívanie detí, terorizmu a iných trestných činov; k spolupráci medzi orgánmi dohľadu; a kompatibilnom spracovaní metaúdajov elektronických komunikácií). </w:t>
            </w:r>
          </w:p>
        </w:tc>
      </w:tr>
      <w:tr w:rsidR="00201706" w:rsidTr="00687C5F">
        <w:trPr>
          <w:cantSplit/>
        </w:trPr>
        <w:tc>
          <w:tcPr>
            <w:tcW w:w="652" w:type="dxa"/>
            <w:tcBorders>
              <w:right w:val="nil"/>
            </w:tcBorders>
            <w:shd w:val="clear" w:color="auto" w:fill="auto"/>
            <w:tcMar>
              <w:top w:w="85" w:type="dxa"/>
              <w:left w:w="85" w:type="dxa"/>
              <w:bottom w:w="85" w:type="dxa"/>
            </w:tcMar>
          </w:tcPr>
          <w:p w:rsidR="00201706" w:rsidRDefault="00201706" w:rsidP="00201706">
            <w:pPr>
              <w:pStyle w:val="Odsekzoznamu"/>
              <w:numPr>
                <w:ilvl w:val="0"/>
                <w:numId w:val="20"/>
              </w:numPr>
              <w:spacing w:after="0"/>
              <w:ind w:left="426"/>
              <w:rPr>
                <w:b/>
                <w:noProof/>
                <w:sz w:val="20"/>
              </w:rPr>
            </w:pPr>
          </w:p>
        </w:tc>
        <w:tc>
          <w:tcPr>
            <w:tcW w:w="4588" w:type="dxa"/>
            <w:shd w:val="clear" w:color="auto" w:fill="auto"/>
            <w:tcMar>
              <w:top w:w="85" w:type="dxa"/>
              <w:left w:w="85" w:type="dxa"/>
              <w:bottom w:w="85" w:type="dxa"/>
            </w:tcMar>
          </w:tcPr>
          <w:p w:rsidR="00201706" w:rsidRPr="003B1CF2" w:rsidRDefault="00201706" w:rsidP="00201706">
            <w:pPr>
              <w:spacing w:after="0"/>
              <w:rPr>
                <w:noProof/>
                <w:sz w:val="20"/>
              </w:rPr>
            </w:pPr>
            <w:r w:rsidRPr="003B1CF2">
              <w:rPr>
                <w:noProof/>
                <w:sz w:val="20"/>
              </w:rPr>
              <w:t>Návrh NARIADENIE EURÓPSKEHO PARLAMENTU A RADY, ktorým sa zriaďuje Európske centrum odvetvových, technologických a výskumných kompetencií v oblasti kybernetickej bezpečnosti a sieť národných koordinačných centier Príspevok Európskej komisie k zasadnutiu lídrov v Salzburgu v dňoch 19. – 20. septembra 2018</w:t>
            </w:r>
          </w:p>
        </w:tc>
        <w:tc>
          <w:tcPr>
            <w:tcW w:w="1985" w:type="dxa"/>
            <w:tcMar>
              <w:top w:w="85" w:type="dxa"/>
              <w:left w:w="85" w:type="dxa"/>
              <w:bottom w:w="85" w:type="dxa"/>
            </w:tcMar>
          </w:tcPr>
          <w:p w:rsidR="00201706" w:rsidRPr="003B1CF2" w:rsidRDefault="00201706" w:rsidP="00201706">
            <w:pPr>
              <w:spacing w:after="0"/>
              <w:jc w:val="left"/>
              <w:rPr>
                <w:noProof/>
                <w:sz w:val="20"/>
              </w:rPr>
            </w:pPr>
            <w:r w:rsidRPr="003B1CF2">
              <w:rPr>
                <w:noProof/>
                <w:sz w:val="20"/>
              </w:rPr>
              <w:t>COM(2018) 630 final.</w:t>
            </w:r>
            <w:r w:rsidRPr="003B1CF2">
              <w:rPr>
                <w:noProof/>
                <w:sz w:val="20"/>
              </w:rPr>
              <w:br/>
              <w:t>2018/0328 (COD)</w:t>
            </w:r>
            <w:r w:rsidRPr="003B1CF2">
              <w:rPr>
                <w:noProof/>
                <w:sz w:val="20"/>
              </w:rPr>
              <w:br/>
              <w:t>12. 9. 2019</w:t>
            </w:r>
          </w:p>
        </w:tc>
        <w:tc>
          <w:tcPr>
            <w:tcW w:w="1417" w:type="dxa"/>
          </w:tcPr>
          <w:p w:rsidR="00201706" w:rsidRPr="006458BF" w:rsidRDefault="009F414D" w:rsidP="005011CC">
            <w:pPr>
              <w:spacing w:after="0"/>
              <w:ind w:left="1"/>
              <w:jc w:val="center"/>
              <w:rPr>
                <w:b/>
              </w:rPr>
            </w:pPr>
            <w:r>
              <w:rPr>
                <w:b/>
                <w:sz w:val="20"/>
              </w:rPr>
              <w:t>NBÚ SR</w:t>
            </w:r>
            <w:r w:rsidR="00201706" w:rsidRPr="006458BF">
              <w:rPr>
                <w:b/>
                <w:sz w:val="20"/>
              </w:rPr>
              <w:br/>
            </w:r>
          </w:p>
        </w:tc>
        <w:tc>
          <w:tcPr>
            <w:tcW w:w="6095" w:type="dxa"/>
          </w:tcPr>
          <w:p w:rsidR="00201706" w:rsidRPr="005011CC" w:rsidRDefault="00201706" w:rsidP="005011CC">
            <w:pPr>
              <w:spacing w:after="0"/>
              <w:ind w:left="4" w:right="49"/>
              <w:rPr>
                <w:b/>
                <w:sz w:val="20"/>
                <w:u w:val="single"/>
              </w:rPr>
            </w:pPr>
            <w:r w:rsidRPr="00FE1BE2">
              <w:rPr>
                <w:b/>
                <w:sz w:val="20"/>
                <w:u w:val="single"/>
              </w:rPr>
              <w:t>Vysoká priorita</w:t>
            </w:r>
            <w:r w:rsidRPr="00201706">
              <w:rPr>
                <w:b/>
                <w:sz w:val="20"/>
              </w:rPr>
              <w:t xml:space="preserve"> -</w:t>
            </w:r>
            <w:r w:rsidRPr="00201706">
              <w:rPr>
                <w:sz w:val="20"/>
              </w:rPr>
              <w:t xml:space="preserve"> </w:t>
            </w:r>
            <w:r w:rsidRPr="001C1445">
              <w:rPr>
                <w:sz w:val="20"/>
              </w:rPr>
              <w:t xml:space="preserve">SR vníma vysoko pozitívne myšlienku vytvorenia európskeho kompetenčného centra v oblasti kybernetickej bezpečnosti ako aj vytvorenie siete národných koordinačných centier. Investície do vedy, výskumu a inovácií v tejto oblasti okrem iného prinesú priaznivý efekt na rozvoj digitálnej ekonomiky Slovenska, na budovanie odborných kapacít a schopností, ako aj na zvýšenie bezpečnosti produktov a služieb, či dôvery na jednotnom digitálnom trhu. </w:t>
            </w:r>
          </w:p>
        </w:tc>
      </w:tr>
      <w:tr w:rsidR="00201706" w:rsidTr="00687C5F">
        <w:trPr>
          <w:cantSplit/>
        </w:trPr>
        <w:tc>
          <w:tcPr>
            <w:tcW w:w="652" w:type="dxa"/>
            <w:tcBorders>
              <w:right w:val="nil"/>
            </w:tcBorders>
            <w:shd w:val="clear" w:color="auto" w:fill="auto"/>
            <w:tcMar>
              <w:top w:w="85" w:type="dxa"/>
              <w:left w:w="85" w:type="dxa"/>
              <w:bottom w:w="85" w:type="dxa"/>
            </w:tcMar>
          </w:tcPr>
          <w:p w:rsidR="00201706" w:rsidRDefault="00201706" w:rsidP="00201706">
            <w:pPr>
              <w:pStyle w:val="Odsekzoznamu"/>
              <w:numPr>
                <w:ilvl w:val="0"/>
                <w:numId w:val="20"/>
              </w:numPr>
              <w:spacing w:after="0"/>
              <w:ind w:left="426"/>
              <w:rPr>
                <w:b/>
                <w:noProof/>
                <w:sz w:val="20"/>
              </w:rPr>
            </w:pPr>
          </w:p>
        </w:tc>
        <w:tc>
          <w:tcPr>
            <w:tcW w:w="4588" w:type="dxa"/>
            <w:shd w:val="clear" w:color="auto" w:fill="auto"/>
            <w:tcMar>
              <w:top w:w="85" w:type="dxa"/>
              <w:left w:w="85" w:type="dxa"/>
              <w:bottom w:w="85" w:type="dxa"/>
            </w:tcMar>
          </w:tcPr>
          <w:p w:rsidR="00201706" w:rsidRDefault="00201706" w:rsidP="00201706">
            <w:pPr>
              <w:spacing w:after="0"/>
              <w:rPr>
                <w:noProof/>
                <w:sz w:val="20"/>
              </w:rPr>
            </w:pPr>
            <w:r>
              <w:rPr>
                <w:noProof/>
                <w:sz w:val="20"/>
              </w:rPr>
              <w:t>Návrh SMERNICE EURÓPSKEHO PARLAMENTU A RADY o právnom a operačnom rámci pre európsky elektronický preukaz služieb zavedený nariadením... [ESC Regulation]...</w:t>
            </w:r>
          </w:p>
        </w:tc>
        <w:tc>
          <w:tcPr>
            <w:tcW w:w="1985" w:type="dxa"/>
            <w:tcMar>
              <w:top w:w="85" w:type="dxa"/>
              <w:left w:w="85" w:type="dxa"/>
              <w:bottom w:w="85" w:type="dxa"/>
            </w:tcMar>
          </w:tcPr>
          <w:p w:rsidR="00201706" w:rsidRDefault="00201706" w:rsidP="00201706">
            <w:pPr>
              <w:spacing w:after="0"/>
              <w:jc w:val="left"/>
              <w:rPr>
                <w:noProof/>
                <w:sz w:val="20"/>
              </w:rPr>
            </w:pPr>
            <w:r>
              <w:rPr>
                <w:noProof/>
                <w:sz w:val="20"/>
              </w:rPr>
              <w:t>COM(2016) 823 final.</w:t>
            </w:r>
            <w:r>
              <w:rPr>
                <w:noProof/>
                <w:sz w:val="20"/>
              </w:rPr>
              <w:br/>
              <w:t>2016/0402 (COD)</w:t>
            </w:r>
            <w:r>
              <w:rPr>
                <w:noProof/>
                <w:sz w:val="20"/>
              </w:rPr>
              <w:br/>
              <w:t>10. 1. 2017</w:t>
            </w:r>
          </w:p>
        </w:tc>
        <w:tc>
          <w:tcPr>
            <w:tcW w:w="1417" w:type="dxa"/>
          </w:tcPr>
          <w:p w:rsidR="00201706" w:rsidRDefault="00201706" w:rsidP="00201706">
            <w:pPr>
              <w:spacing w:after="0"/>
              <w:jc w:val="center"/>
              <w:rPr>
                <w:b/>
                <w:sz w:val="20"/>
              </w:rPr>
            </w:pPr>
            <w:r w:rsidRPr="002E6BBF">
              <w:rPr>
                <w:b/>
                <w:sz w:val="20"/>
              </w:rPr>
              <w:t>MH SR</w:t>
            </w:r>
          </w:p>
          <w:p w:rsidR="00201706" w:rsidRPr="00FE4DFD" w:rsidRDefault="00201706" w:rsidP="00201706">
            <w:pPr>
              <w:spacing w:after="0"/>
              <w:ind w:left="4" w:right="49"/>
              <w:jc w:val="center"/>
              <w:rPr>
                <w:b/>
                <w:sz w:val="20"/>
              </w:rPr>
            </w:pPr>
            <w:r w:rsidRPr="00FE4DFD">
              <w:rPr>
                <w:b/>
                <w:sz w:val="20"/>
              </w:rPr>
              <w:t>MV SR</w:t>
            </w:r>
          </w:p>
          <w:p w:rsidR="00201706" w:rsidRPr="00FE4DFD" w:rsidRDefault="00201706" w:rsidP="00201706">
            <w:pPr>
              <w:spacing w:after="0"/>
              <w:ind w:left="4" w:right="49"/>
              <w:jc w:val="center"/>
              <w:rPr>
                <w:b/>
                <w:sz w:val="20"/>
              </w:rPr>
            </w:pPr>
            <w:r w:rsidRPr="00FE4DFD">
              <w:rPr>
                <w:b/>
                <w:sz w:val="20"/>
              </w:rPr>
              <w:t>MF SR</w:t>
            </w:r>
          </w:p>
          <w:p w:rsidR="00201706" w:rsidRPr="00FE4DFD" w:rsidRDefault="00201706" w:rsidP="00201706">
            <w:pPr>
              <w:spacing w:after="0"/>
              <w:ind w:left="4" w:right="49"/>
              <w:jc w:val="center"/>
              <w:rPr>
                <w:b/>
                <w:sz w:val="20"/>
              </w:rPr>
            </w:pPr>
            <w:r w:rsidRPr="00FE4DFD">
              <w:rPr>
                <w:b/>
                <w:sz w:val="20"/>
              </w:rPr>
              <w:t>MZ SR</w:t>
            </w:r>
          </w:p>
          <w:p w:rsidR="00201706" w:rsidRPr="00FE4DFD" w:rsidRDefault="00201706" w:rsidP="00201706">
            <w:pPr>
              <w:spacing w:after="0"/>
              <w:ind w:left="4" w:right="49"/>
              <w:jc w:val="center"/>
              <w:rPr>
                <w:b/>
                <w:sz w:val="20"/>
              </w:rPr>
            </w:pPr>
            <w:r w:rsidRPr="00FE4DFD">
              <w:rPr>
                <w:b/>
                <w:sz w:val="20"/>
              </w:rPr>
              <w:t>MPSVaR SR</w:t>
            </w:r>
          </w:p>
          <w:p w:rsidR="00201706" w:rsidRDefault="00201706" w:rsidP="00201706">
            <w:pPr>
              <w:spacing w:after="0"/>
              <w:jc w:val="center"/>
              <w:rPr>
                <w:noProof/>
                <w:sz w:val="20"/>
              </w:rPr>
            </w:pPr>
            <w:r w:rsidRPr="00FE4DFD">
              <w:rPr>
                <w:b/>
                <w:sz w:val="20"/>
              </w:rPr>
              <w:t>MDaV SR</w:t>
            </w:r>
          </w:p>
        </w:tc>
        <w:tc>
          <w:tcPr>
            <w:tcW w:w="6095" w:type="dxa"/>
          </w:tcPr>
          <w:p w:rsidR="00201706" w:rsidRPr="00F97FE3" w:rsidRDefault="00201706" w:rsidP="00201706">
            <w:pPr>
              <w:spacing w:after="0"/>
              <w:rPr>
                <w:sz w:val="20"/>
              </w:rPr>
            </w:pPr>
            <w:r w:rsidRPr="000F3FD5">
              <w:rPr>
                <w:b/>
                <w:sz w:val="20"/>
                <w:u w:val="single"/>
              </w:rPr>
              <w:t>Nízka priorita</w:t>
            </w:r>
            <w:r>
              <w:rPr>
                <w:sz w:val="20"/>
              </w:rPr>
              <w:t xml:space="preserve"> - </w:t>
            </w:r>
            <w:r w:rsidRPr="00F97FE3">
              <w:rPr>
                <w:sz w:val="20"/>
              </w:rPr>
              <w:t>Nízka priorita -– návrh smernice</w:t>
            </w:r>
            <w:r>
              <w:rPr>
                <w:sz w:val="20"/>
              </w:rPr>
              <w:t xml:space="preserve"> bol predložený spolu s návrhom </w:t>
            </w:r>
            <w:r w:rsidRPr="00F97FE3">
              <w:rPr>
                <w:sz w:val="20"/>
              </w:rPr>
              <w:t xml:space="preserve">nariadenia o zavední európskeho </w:t>
            </w:r>
            <w:r>
              <w:rPr>
                <w:sz w:val="20"/>
              </w:rPr>
              <w:t>elektronického preukazu služieb</w:t>
            </w:r>
            <w:r w:rsidRPr="00F97FE3">
              <w:rPr>
                <w:sz w:val="20"/>
              </w:rPr>
              <w:t>s cieľom uľahčiť poskytovateľom služieb určitých sektorov</w:t>
            </w:r>
          </w:p>
          <w:p w:rsidR="00201706" w:rsidRPr="00F97FE3" w:rsidRDefault="00201706" w:rsidP="00201706">
            <w:pPr>
              <w:spacing w:after="0"/>
              <w:rPr>
                <w:sz w:val="20"/>
              </w:rPr>
            </w:pPr>
            <w:r w:rsidRPr="00F97FE3">
              <w:rPr>
                <w:sz w:val="20"/>
              </w:rPr>
              <w:t>kompletizáciu administratívnych postupov spojených s  prístupom</w:t>
            </w:r>
          </w:p>
          <w:p w:rsidR="00201706" w:rsidRPr="00F97FE3" w:rsidRDefault="00201706" w:rsidP="00201706">
            <w:pPr>
              <w:spacing w:after="0"/>
              <w:rPr>
                <w:sz w:val="20"/>
              </w:rPr>
            </w:pPr>
            <w:r w:rsidRPr="00F97FE3">
              <w:rPr>
                <w:sz w:val="20"/>
              </w:rPr>
              <w:t>na trh iných ČŠ a stimulovať tak cezhraničné poskytovaniea služieb</w:t>
            </w:r>
          </w:p>
          <w:p w:rsidR="00201706" w:rsidRPr="00F97FE3" w:rsidRDefault="00201706" w:rsidP="00201706">
            <w:pPr>
              <w:spacing w:after="0"/>
              <w:rPr>
                <w:sz w:val="20"/>
              </w:rPr>
            </w:pPr>
            <w:r w:rsidRPr="00F97FE3">
              <w:rPr>
                <w:sz w:val="20"/>
              </w:rPr>
              <w:t>v týchto sektoroch. Vydávanie e-preukazu má byť založené na</w:t>
            </w:r>
          </w:p>
          <w:p w:rsidR="00201706" w:rsidRPr="00F97FE3" w:rsidRDefault="00201706" w:rsidP="00201706">
            <w:pPr>
              <w:spacing w:after="0"/>
              <w:rPr>
                <w:sz w:val="20"/>
              </w:rPr>
            </w:pPr>
            <w:r w:rsidRPr="00F97FE3">
              <w:rPr>
                <w:sz w:val="20"/>
              </w:rPr>
              <w:t>spolupráci administratívnych orgánov ČŠ. Vzhľadom na</w:t>
            </w:r>
          </w:p>
          <w:p w:rsidR="00201706" w:rsidRPr="00F97FE3" w:rsidRDefault="00201706" w:rsidP="00201706">
            <w:pPr>
              <w:spacing w:after="0"/>
              <w:rPr>
                <w:sz w:val="20"/>
              </w:rPr>
            </w:pPr>
            <w:r w:rsidRPr="00F97FE3">
              <w:rPr>
                <w:sz w:val="20"/>
              </w:rPr>
              <w:t>pretrvávajúce rozdielne názory ČŠ sú rokovania Rady o návrhu</w:t>
            </w:r>
          </w:p>
          <w:p w:rsidR="00201706" w:rsidRPr="00F97FE3" w:rsidRDefault="00201706" w:rsidP="00201706">
            <w:pPr>
              <w:spacing w:after="0"/>
              <w:rPr>
                <w:sz w:val="20"/>
              </w:rPr>
            </w:pPr>
            <w:r w:rsidRPr="00F97FE3">
              <w:rPr>
                <w:sz w:val="20"/>
              </w:rPr>
              <w:t>pozastavené, už dlhšiu dobu neprebiehajú. Rovanko EP</w:t>
            </w:r>
          </w:p>
          <w:p w:rsidR="00201706" w:rsidRPr="00F97FE3" w:rsidRDefault="00201706" w:rsidP="00201706">
            <w:pPr>
              <w:spacing w:after="0"/>
              <w:rPr>
                <w:sz w:val="20"/>
              </w:rPr>
            </w:pPr>
            <w:r w:rsidRPr="00F97FE3">
              <w:rPr>
                <w:sz w:val="20"/>
              </w:rPr>
              <w:t>(kompetentný výbor IMCO) hlasoval proti návrhu.smernice</w:t>
            </w:r>
          </w:p>
          <w:p w:rsidR="00201706" w:rsidRPr="00F97FE3" w:rsidRDefault="00201706" w:rsidP="00201706">
            <w:pPr>
              <w:spacing w:after="0"/>
              <w:rPr>
                <w:sz w:val="20"/>
              </w:rPr>
            </w:pPr>
            <w:r w:rsidRPr="00F97FE3">
              <w:rPr>
                <w:sz w:val="20"/>
              </w:rPr>
              <w:t>(21.3.2018) SR podporuje prijímanie opatrení, nástrojov na</w:t>
            </w:r>
          </w:p>
          <w:p w:rsidR="00201706" w:rsidRPr="00F97FE3" w:rsidRDefault="00201706" w:rsidP="00201706">
            <w:pPr>
              <w:spacing w:after="0"/>
              <w:rPr>
                <w:sz w:val="20"/>
              </w:rPr>
            </w:pPr>
            <w:r w:rsidRPr="00F97FE3">
              <w:rPr>
                <w:sz w:val="20"/>
              </w:rPr>
              <w:t>uľahčenie prístupu na trh EÚ so službami. K návrhu smernice však</w:t>
            </w:r>
          </w:p>
          <w:p w:rsidR="00201706" w:rsidRPr="00F97FE3" w:rsidRDefault="00201706" w:rsidP="00201706">
            <w:pPr>
              <w:spacing w:after="0"/>
              <w:rPr>
                <w:sz w:val="20"/>
              </w:rPr>
            </w:pPr>
            <w:r w:rsidRPr="00F97FE3">
              <w:rPr>
                <w:sz w:val="20"/>
              </w:rPr>
              <w:t>mala skeptické stanovisko vzhľadom na jeho nízku pridanú hodnotu</w:t>
            </w:r>
          </w:p>
          <w:p w:rsidR="00201706" w:rsidRPr="00F97FE3" w:rsidRDefault="00201706" w:rsidP="00201706">
            <w:pPr>
              <w:spacing w:after="0"/>
              <w:rPr>
                <w:sz w:val="20"/>
              </w:rPr>
            </w:pPr>
            <w:r w:rsidRPr="00F97FE3">
              <w:rPr>
                <w:sz w:val="20"/>
              </w:rPr>
              <w:t>k už existujúcim nástrojom pre prístup na trh, ako aj predpokladané</w:t>
            </w:r>
          </w:p>
          <w:p w:rsidR="00201706" w:rsidRDefault="00201706" w:rsidP="00201706">
            <w:pPr>
              <w:spacing w:after="0"/>
              <w:rPr>
                <w:b/>
                <w:sz w:val="20"/>
              </w:rPr>
            </w:pPr>
            <w:r w:rsidRPr="00F97FE3">
              <w:rPr>
                <w:sz w:val="20"/>
              </w:rPr>
              <w:t>nadmerné administratívne zaťaženie.</w:t>
            </w:r>
          </w:p>
        </w:tc>
      </w:tr>
      <w:tr w:rsidR="00201706" w:rsidTr="00687C5F">
        <w:trPr>
          <w:cantSplit/>
        </w:trPr>
        <w:tc>
          <w:tcPr>
            <w:tcW w:w="652" w:type="dxa"/>
            <w:tcBorders>
              <w:bottom w:val="single" w:sz="4" w:space="0" w:color="auto"/>
              <w:right w:val="nil"/>
            </w:tcBorders>
            <w:shd w:val="clear" w:color="auto" w:fill="auto"/>
            <w:tcMar>
              <w:top w:w="85" w:type="dxa"/>
              <w:left w:w="85" w:type="dxa"/>
              <w:bottom w:w="85" w:type="dxa"/>
            </w:tcMar>
          </w:tcPr>
          <w:p w:rsidR="00201706" w:rsidRDefault="00201706" w:rsidP="00201706">
            <w:pPr>
              <w:pStyle w:val="Odsekzoznamu"/>
              <w:numPr>
                <w:ilvl w:val="0"/>
                <w:numId w:val="20"/>
              </w:numPr>
              <w:spacing w:after="0"/>
              <w:ind w:left="426"/>
              <w:rPr>
                <w:b/>
                <w:noProof/>
                <w:sz w:val="20"/>
              </w:rPr>
            </w:pPr>
          </w:p>
        </w:tc>
        <w:tc>
          <w:tcPr>
            <w:tcW w:w="4588" w:type="dxa"/>
            <w:tcBorders>
              <w:bottom w:val="single" w:sz="4" w:space="0" w:color="auto"/>
            </w:tcBorders>
            <w:shd w:val="clear" w:color="auto" w:fill="auto"/>
            <w:tcMar>
              <w:top w:w="85" w:type="dxa"/>
              <w:left w:w="85" w:type="dxa"/>
              <w:bottom w:w="85" w:type="dxa"/>
            </w:tcMar>
          </w:tcPr>
          <w:p w:rsidR="00201706" w:rsidRDefault="00201706" w:rsidP="00201706">
            <w:pPr>
              <w:spacing w:after="0"/>
              <w:rPr>
                <w:noProof/>
                <w:sz w:val="20"/>
              </w:rPr>
            </w:pPr>
            <w:r>
              <w:rPr>
                <w:noProof/>
                <w:sz w:val="20"/>
              </w:rPr>
              <w:t>Návrh NARIADENIE EURÓPSKEHO PARLAMENTU A RADY o zavedení európskeho elektronického preukazu služieb a súvisiacich administratívnych prostriedkoch</w:t>
            </w:r>
          </w:p>
        </w:tc>
        <w:tc>
          <w:tcPr>
            <w:tcW w:w="1985" w:type="dxa"/>
            <w:tcBorders>
              <w:bottom w:val="single" w:sz="4" w:space="0" w:color="auto"/>
            </w:tcBorders>
            <w:tcMar>
              <w:top w:w="85" w:type="dxa"/>
              <w:left w:w="85" w:type="dxa"/>
              <w:bottom w:w="85" w:type="dxa"/>
            </w:tcMar>
          </w:tcPr>
          <w:p w:rsidR="00201706" w:rsidRDefault="00201706" w:rsidP="00201706">
            <w:pPr>
              <w:spacing w:after="0"/>
              <w:jc w:val="left"/>
              <w:rPr>
                <w:noProof/>
                <w:sz w:val="20"/>
              </w:rPr>
            </w:pPr>
            <w:r>
              <w:rPr>
                <w:noProof/>
                <w:sz w:val="20"/>
              </w:rPr>
              <w:t>COM(2016) 824 final.</w:t>
            </w:r>
            <w:r>
              <w:rPr>
                <w:noProof/>
                <w:sz w:val="20"/>
              </w:rPr>
              <w:br/>
              <w:t>2016/0403 (COD)</w:t>
            </w:r>
            <w:r>
              <w:rPr>
                <w:noProof/>
                <w:sz w:val="20"/>
              </w:rPr>
              <w:br/>
              <w:t>10. 1. 2017</w:t>
            </w:r>
          </w:p>
        </w:tc>
        <w:tc>
          <w:tcPr>
            <w:tcW w:w="1417" w:type="dxa"/>
            <w:tcBorders>
              <w:bottom w:val="single" w:sz="4" w:space="0" w:color="auto"/>
            </w:tcBorders>
          </w:tcPr>
          <w:p w:rsidR="00201706" w:rsidRDefault="00201706" w:rsidP="00201706">
            <w:pPr>
              <w:spacing w:after="0"/>
              <w:jc w:val="center"/>
              <w:rPr>
                <w:b/>
                <w:sz w:val="20"/>
              </w:rPr>
            </w:pPr>
            <w:r w:rsidRPr="002E6BBF">
              <w:rPr>
                <w:b/>
                <w:sz w:val="20"/>
              </w:rPr>
              <w:t>MH SR</w:t>
            </w:r>
          </w:p>
          <w:p w:rsidR="00201706" w:rsidRPr="00FE4DFD" w:rsidRDefault="00201706" w:rsidP="00201706">
            <w:pPr>
              <w:spacing w:after="0"/>
              <w:ind w:left="4" w:right="49"/>
              <w:jc w:val="center"/>
              <w:rPr>
                <w:b/>
                <w:sz w:val="20"/>
              </w:rPr>
            </w:pPr>
            <w:r w:rsidRPr="00FE4DFD">
              <w:rPr>
                <w:b/>
                <w:sz w:val="20"/>
              </w:rPr>
              <w:t>MV SR</w:t>
            </w:r>
          </w:p>
          <w:p w:rsidR="00201706" w:rsidRPr="00FE4DFD" w:rsidRDefault="00201706" w:rsidP="00201706">
            <w:pPr>
              <w:spacing w:after="0"/>
              <w:ind w:left="4" w:right="49"/>
              <w:jc w:val="center"/>
              <w:rPr>
                <w:b/>
                <w:sz w:val="20"/>
              </w:rPr>
            </w:pPr>
            <w:r w:rsidRPr="00FE4DFD">
              <w:rPr>
                <w:b/>
                <w:sz w:val="20"/>
              </w:rPr>
              <w:t>MF SR</w:t>
            </w:r>
          </w:p>
          <w:p w:rsidR="00201706" w:rsidRPr="00FE4DFD" w:rsidRDefault="00201706" w:rsidP="00201706">
            <w:pPr>
              <w:spacing w:after="0"/>
              <w:ind w:left="4" w:right="49"/>
              <w:jc w:val="center"/>
              <w:rPr>
                <w:b/>
                <w:sz w:val="20"/>
              </w:rPr>
            </w:pPr>
            <w:r w:rsidRPr="00FE4DFD">
              <w:rPr>
                <w:b/>
                <w:sz w:val="20"/>
              </w:rPr>
              <w:t>MZ SR</w:t>
            </w:r>
          </w:p>
          <w:p w:rsidR="00201706" w:rsidRPr="00FE4DFD" w:rsidRDefault="00201706" w:rsidP="00201706">
            <w:pPr>
              <w:spacing w:after="0"/>
              <w:ind w:left="4" w:right="49"/>
              <w:jc w:val="center"/>
              <w:rPr>
                <w:b/>
                <w:sz w:val="20"/>
              </w:rPr>
            </w:pPr>
            <w:r w:rsidRPr="00FE4DFD">
              <w:rPr>
                <w:b/>
                <w:sz w:val="20"/>
              </w:rPr>
              <w:t>MPSVaR SR</w:t>
            </w:r>
          </w:p>
          <w:p w:rsidR="00201706" w:rsidRDefault="00201706" w:rsidP="00201706">
            <w:pPr>
              <w:spacing w:after="0"/>
              <w:jc w:val="center"/>
              <w:rPr>
                <w:noProof/>
                <w:sz w:val="20"/>
              </w:rPr>
            </w:pPr>
            <w:r w:rsidRPr="00FE4DFD">
              <w:rPr>
                <w:b/>
                <w:sz w:val="20"/>
              </w:rPr>
              <w:t>MDaV SR</w:t>
            </w:r>
          </w:p>
        </w:tc>
        <w:tc>
          <w:tcPr>
            <w:tcW w:w="6095" w:type="dxa"/>
            <w:tcBorders>
              <w:bottom w:val="single" w:sz="4" w:space="0" w:color="auto"/>
            </w:tcBorders>
          </w:tcPr>
          <w:p w:rsidR="00201706" w:rsidRDefault="00201706" w:rsidP="00201706">
            <w:pPr>
              <w:spacing w:after="0"/>
              <w:rPr>
                <w:b/>
                <w:sz w:val="20"/>
              </w:rPr>
            </w:pPr>
            <w:r w:rsidRPr="000F3FD5">
              <w:rPr>
                <w:b/>
                <w:sz w:val="20"/>
                <w:u w:val="single"/>
              </w:rPr>
              <w:t>Nízka priorita</w:t>
            </w:r>
            <w:r>
              <w:rPr>
                <w:sz w:val="20"/>
              </w:rPr>
              <w:t xml:space="preserve"> - návrh nariadenia bol predložený spolu s návrhom smernice o právnom a operačnom  rámci pre európsky elektronický-preukaz služieb s cieľom uľahčiť poskytovateľom služieb určitých sektorov kompletizáciu administratívnych postupov spojených s  prístupom  na trh so službami iných ČŠ a stimulovať tak cezhčaničné poskytovanie služieb v týchto sektoroch. </w:t>
            </w:r>
            <w:r>
              <w:rPr>
                <w:b/>
                <w:sz w:val="20"/>
              </w:rPr>
              <w:t xml:space="preserve"> </w:t>
            </w:r>
            <w:r>
              <w:rPr>
                <w:sz w:val="20"/>
              </w:rPr>
              <w:t>Vzhľadom na pretrvávajúce rozdielne názory ČŠ sú r</w:t>
            </w:r>
            <w:r w:rsidRPr="00245FC6">
              <w:rPr>
                <w:sz w:val="20"/>
              </w:rPr>
              <w:t xml:space="preserve">okovania </w:t>
            </w:r>
            <w:r>
              <w:rPr>
                <w:sz w:val="20"/>
              </w:rPr>
              <w:t>Rady  o návrhu pozastavené, už dlhšiu dobu  neprebiehajú.  Rovanko  EP (kompetentný výbor IMCO) hlasoval proti návrhu.nariadenia (21.3.2018) SR podporuje prijímanie opatrení, nástrojov na uľahčenie prístupu na trh EÚ so službami. K návrhu nariadenia však mala skeptické stanovisko vzhľadom na jeho nízku pridanú hodnotu k už existujúcim nástrojom pre prístup na trh, ako aj predpokladané nadmerné administratívne zaťaženie.</w:t>
            </w:r>
          </w:p>
        </w:tc>
      </w:tr>
      <w:tr w:rsidR="00201706" w:rsidTr="00687C5F">
        <w:trPr>
          <w:cantSplit/>
        </w:trPr>
        <w:tc>
          <w:tcPr>
            <w:tcW w:w="652" w:type="dxa"/>
            <w:tcBorders>
              <w:bottom w:val="single" w:sz="4" w:space="0" w:color="auto"/>
              <w:right w:val="nil"/>
            </w:tcBorders>
            <w:shd w:val="clear" w:color="auto" w:fill="auto"/>
            <w:tcMar>
              <w:top w:w="85" w:type="dxa"/>
              <w:left w:w="85" w:type="dxa"/>
              <w:bottom w:w="85" w:type="dxa"/>
            </w:tcMar>
          </w:tcPr>
          <w:p w:rsidR="00201706" w:rsidRDefault="00201706" w:rsidP="00201706">
            <w:pPr>
              <w:pStyle w:val="Odsekzoznamu"/>
              <w:numPr>
                <w:ilvl w:val="0"/>
                <w:numId w:val="20"/>
              </w:numPr>
              <w:spacing w:after="0"/>
              <w:ind w:left="426"/>
              <w:rPr>
                <w:b/>
                <w:noProof/>
                <w:sz w:val="20"/>
              </w:rPr>
            </w:pPr>
          </w:p>
        </w:tc>
        <w:tc>
          <w:tcPr>
            <w:tcW w:w="4588" w:type="dxa"/>
            <w:tcBorders>
              <w:bottom w:val="single" w:sz="4" w:space="0" w:color="auto"/>
            </w:tcBorders>
            <w:shd w:val="clear" w:color="auto" w:fill="EEECE1" w:themeFill="background2"/>
            <w:tcMar>
              <w:top w:w="85" w:type="dxa"/>
              <w:left w:w="85" w:type="dxa"/>
              <w:bottom w:w="85" w:type="dxa"/>
            </w:tcMar>
          </w:tcPr>
          <w:p w:rsidR="00201706" w:rsidRDefault="00201706" w:rsidP="00201706">
            <w:pPr>
              <w:spacing w:after="0"/>
              <w:rPr>
                <w:noProof/>
                <w:sz w:val="20"/>
              </w:rPr>
            </w:pPr>
            <w:r>
              <w:rPr>
                <w:noProof/>
                <w:sz w:val="20"/>
              </w:rPr>
              <w:t>Návrh NARIADENIA EURÓPSKEHO PARLAMENTU A RADY, ktorým sa zriaďuje Nástroj na prepájanie Európy a zrušujú sa nariadenia (EÚ) č. 1316/2013 a (EÚ) č. 283/2014</w:t>
            </w:r>
          </w:p>
        </w:tc>
        <w:tc>
          <w:tcPr>
            <w:tcW w:w="1985" w:type="dxa"/>
            <w:tcBorders>
              <w:bottom w:val="single" w:sz="4" w:space="0" w:color="auto"/>
            </w:tcBorders>
            <w:tcMar>
              <w:top w:w="85" w:type="dxa"/>
              <w:left w:w="85" w:type="dxa"/>
              <w:bottom w:w="85" w:type="dxa"/>
            </w:tcMar>
          </w:tcPr>
          <w:p w:rsidR="00201706" w:rsidRDefault="00201706" w:rsidP="00201706">
            <w:pPr>
              <w:spacing w:after="0"/>
              <w:jc w:val="left"/>
              <w:rPr>
                <w:noProof/>
                <w:sz w:val="20"/>
              </w:rPr>
            </w:pPr>
            <w:r>
              <w:rPr>
                <w:noProof/>
                <w:sz w:val="20"/>
              </w:rPr>
              <w:t>COM(2018) 438 final.</w:t>
            </w:r>
            <w:r>
              <w:rPr>
                <w:noProof/>
                <w:sz w:val="20"/>
              </w:rPr>
              <w:br/>
              <w:t>2018/0228 (COD)</w:t>
            </w:r>
            <w:r>
              <w:rPr>
                <w:noProof/>
                <w:sz w:val="20"/>
              </w:rPr>
              <w:br/>
              <w:t>7. 6. 2018</w:t>
            </w:r>
          </w:p>
        </w:tc>
        <w:tc>
          <w:tcPr>
            <w:tcW w:w="1417" w:type="dxa"/>
            <w:tcBorders>
              <w:bottom w:val="single" w:sz="4" w:space="0" w:color="auto"/>
            </w:tcBorders>
          </w:tcPr>
          <w:p w:rsidR="00201706" w:rsidRDefault="00201706" w:rsidP="00201706">
            <w:pPr>
              <w:spacing w:after="0"/>
              <w:jc w:val="center"/>
              <w:rPr>
                <w:b/>
                <w:sz w:val="20"/>
              </w:rPr>
            </w:pPr>
            <w:r>
              <w:rPr>
                <w:b/>
                <w:sz w:val="20"/>
              </w:rPr>
              <w:t>MDV SR</w:t>
            </w:r>
          </w:p>
          <w:p w:rsidR="00201706" w:rsidRDefault="00201706" w:rsidP="00201706">
            <w:pPr>
              <w:spacing w:after="0"/>
              <w:jc w:val="center"/>
              <w:rPr>
                <w:b/>
                <w:sz w:val="20"/>
              </w:rPr>
            </w:pPr>
            <w:r w:rsidRPr="002E6BBF">
              <w:rPr>
                <w:b/>
                <w:sz w:val="20"/>
              </w:rPr>
              <w:t>MH SR</w:t>
            </w:r>
          </w:p>
          <w:p w:rsidR="00201706" w:rsidRPr="002E6BBF" w:rsidRDefault="00201706" w:rsidP="00201706">
            <w:pPr>
              <w:spacing w:after="0"/>
              <w:jc w:val="center"/>
              <w:rPr>
                <w:b/>
                <w:noProof/>
                <w:sz w:val="20"/>
              </w:rPr>
            </w:pPr>
            <w:r>
              <w:rPr>
                <w:b/>
                <w:sz w:val="20"/>
              </w:rPr>
              <w:t>ÚPVII</w:t>
            </w:r>
          </w:p>
        </w:tc>
        <w:tc>
          <w:tcPr>
            <w:tcW w:w="6095" w:type="dxa"/>
            <w:tcBorders>
              <w:bottom w:val="single" w:sz="4" w:space="0" w:color="auto"/>
            </w:tcBorders>
          </w:tcPr>
          <w:p w:rsidR="00201706" w:rsidRPr="00FE2A32" w:rsidRDefault="00201706" w:rsidP="00201706">
            <w:pPr>
              <w:spacing w:after="0"/>
              <w:rPr>
                <w:sz w:val="20"/>
              </w:rPr>
            </w:pPr>
            <w:r w:rsidRPr="00FE2A32">
              <w:rPr>
                <w:b/>
                <w:sz w:val="20"/>
                <w:u w:val="single"/>
              </w:rPr>
              <w:t>Vysoká priorita</w:t>
            </w:r>
            <w:r>
              <w:rPr>
                <w:sz w:val="20"/>
              </w:rPr>
              <w:t xml:space="preserve"> - </w:t>
            </w:r>
            <w:r w:rsidRPr="003623A7">
              <w:rPr>
                <w:sz w:val="20"/>
              </w:rPr>
              <w:t>CEF je jedným z finančných nástrojov EÚ, ktorý tvorí súčasť návrhu viacročného finančného rámca pre obdobie 2021 až 2027. Je kľúčovým pre podporu investícií do transeurópskych sietí (TEN) – dopravnej, energetickej a digitálnej. Cieľom tohto návrhu nariadenia je preň vytvoriť právny základ.</w:t>
            </w:r>
            <w:r>
              <w:rPr>
                <w:sz w:val="20"/>
              </w:rPr>
              <w:t xml:space="preserve"> Predbežná dohoda s EP bola dosiahnutá v apríli 2019. Prijatie nariadenia je závislé od horizontálnych rokovaniach o ďalšom VFR. Pre SR je najdôležitejšia kohézna časť CEFu, zachovanie súčasných mier spolufinancovania, pravidla n+3 či prihliadnutia na špecifické problémy regiónov, tematická koncentrácia a podiely financovania v doprave (hard vs. soft akcie).</w:t>
            </w:r>
          </w:p>
        </w:tc>
      </w:tr>
      <w:tr w:rsidR="00201706" w:rsidTr="00687C5F">
        <w:trPr>
          <w:cantSplit/>
        </w:trPr>
        <w:tc>
          <w:tcPr>
            <w:tcW w:w="652" w:type="dxa"/>
            <w:tcBorders>
              <w:bottom w:val="single" w:sz="4" w:space="0" w:color="auto"/>
              <w:right w:val="nil"/>
            </w:tcBorders>
            <w:shd w:val="clear" w:color="auto" w:fill="auto"/>
            <w:tcMar>
              <w:top w:w="85" w:type="dxa"/>
              <w:left w:w="85" w:type="dxa"/>
              <w:bottom w:w="85" w:type="dxa"/>
            </w:tcMar>
          </w:tcPr>
          <w:p w:rsidR="00201706" w:rsidRDefault="00201706" w:rsidP="00201706">
            <w:pPr>
              <w:pStyle w:val="Odsekzoznamu"/>
              <w:numPr>
                <w:ilvl w:val="0"/>
                <w:numId w:val="20"/>
              </w:numPr>
              <w:spacing w:after="0"/>
              <w:ind w:left="426"/>
              <w:rPr>
                <w:b/>
                <w:noProof/>
                <w:sz w:val="20"/>
              </w:rPr>
            </w:pPr>
          </w:p>
        </w:tc>
        <w:tc>
          <w:tcPr>
            <w:tcW w:w="4588" w:type="dxa"/>
            <w:tcBorders>
              <w:bottom w:val="single" w:sz="4" w:space="0" w:color="auto"/>
            </w:tcBorders>
            <w:shd w:val="clear" w:color="auto" w:fill="EEECE1" w:themeFill="background2"/>
            <w:tcMar>
              <w:top w:w="85" w:type="dxa"/>
              <w:left w:w="85" w:type="dxa"/>
              <w:bottom w:w="85" w:type="dxa"/>
            </w:tcMar>
          </w:tcPr>
          <w:p w:rsidR="00201706" w:rsidRDefault="00201706" w:rsidP="00201706">
            <w:pPr>
              <w:spacing w:after="0"/>
              <w:rPr>
                <w:noProof/>
                <w:sz w:val="20"/>
              </w:rPr>
            </w:pPr>
            <w:r>
              <w:rPr>
                <w:noProof/>
                <w:sz w:val="20"/>
              </w:rPr>
              <w:t>Návrh NARIADENIA EURÓPSKEHO PARLAMENTU A RADY, ktorým sa zriaďuje Program pre jednotný trh, konkurencieschopnosť podnikov vrátane malých a stredných podnikov a európsku štatistiku a ktorým sa zrušuje nariadenie (EÚ) č. 99/2013, nariadenie (EÚ) č. 1287/2013, nariadenie (EÚ) č. 254/2014, nariadenie (EÚ) č. 258/2014, nariadenie (EÚ) č. 652/2014 a nariadenie (EÚ) 2017/826</w:t>
            </w:r>
          </w:p>
        </w:tc>
        <w:tc>
          <w:tcPr>
            <w:tcW w:w="1985" w:type="dxa"/>
            <w:tcBorders>
              <w:bottom w:val="single" w:sz="4" w:space="0" w:color="auto"/>
            </w:tcBorders>
            <w:tcMar>
              <w:top w:w="85" w:type="dxa"/>
              <w:left w:w="85" w:type="dxa"/>
              <w:bottom w:w="85" w:type="dxa"/>
            </w:tcMar>
          </w:tcPr>
          <w:p w:rsidR="00201706" w:rsidRDefault="00201706" w:rsidP="00201706">
            <w:pPr>
              <w:spacing w:after="0"/>
              <w:jc w:val="left"/>
              <w:rPr>
                <w:noProof/>
                <w:sz w:val="20"/>
              </w:rPr>
            </w:pPr>
            <w:r>
              <w:rPr>
                <w:noProof/>
                <w:sz w:val="20"/>
              </w:rPr>
              <w:t>COM(2018) 441 final.</w:t>
            </w:r>
            <w:r>
              <w:rPr>
                <w:noProof/>
                <w:sz w:val="20"/>
              </w:rPr>
              <w:br/>
              <w:t>2018/0231 (COD)</w:t>
            </w:r>
            <w:r>
              <w:rPr>
                <w:noProof/>
                <w:sz w:val="20"/>
              </w:rPr>
              <w:br/>
              <w:t>7. 6. 2018</w:t>
            </w:r>
          </w:p>
        </w:tc>
        <w:tc>
          <w:tcPr>
            <w:tcW w:w="1417" w:type="dxa"/>
            <w:tcBorders>
              <w:bottom w:val="single" w:sz="4" w:space="0" w:color="auto"/>
            </w:tcBorders>
          </w:tcPr>
          <w:p w:rsidR="00D506D9" w:rsidRDefault="00D506D9" w:rsidP="00201706">
            <w:pPr>
              <w:spacing w:after="0"/>
              <w:jc w:val="center"/>
              <w:rPr>
                <w:b/>
                <w:sz w:val="20"/>
              </w:rPr>
            </w:pPr>
            <w:r>
              <w:rPr>
                <w:b/>
                <w:sz w:val="20"/>
              </w:rPr>
              <w:t>MH SR</w:t>
            </w:r>
          </w:p>
          <w:p w:rsidR="00201706" w:rsidRDefault="00201706" w:rsidP="00201706">
            <w:pPr>
              <w:spacing w:after="0"/>
              <w:jc w:val="center"/>
              <w:rPr>
                <w:noProof/>
                <w:sz w:val="20"/>
              </w:rPr>
            </w:pPr>
            <w:r w:rsidRPr="00DD1577">
              <w:rPr>
                <w:b/>
                <w:sz w:val="20"/>
              </w:rPr>
              <w:t>ŚÚ SR</w:t>
            </w:r>
          </w:p>
        </w:tc>
        <w:tc>
          <w:tcPr>
            <w:tcW w:w="6095" w:type="dxa"/>
            <w:tcBorders>
              <w:bottom w:val="single" w:sz="4" w:space="0" w:color="auto"/>
            </w:tcBorders>
          </w:tcPr>
          <w:p w:rsidR="00201706" w:rsidRPr="0092183A" w:rsidRDefault="00201706" w:rsidP="00201706">
            <w:pPr>
              <w:rPr>
                <w:b/>
                <w:sz w:val="20"/>
              </w:rPr>
            </w:pPr>
            <w:r w:rsidRPr="0092183A">
              <w:rPr>
                <w:sz w:val="20"/>
              </w:rPr>
              <w:t>Návrh nariadenia zriaďuje program v rámci nového viacročného finančného rámca na roky 2021 až 2027. Program zastrešuje široké spektrum cieľov, ktoré v predchádzajúcom programovom období boli financované samostatne.</w:t>
            </w:r>
            <w:r>
              <w:rPr>
                <w:sz w:val="20"/>
              </w:rPr>
              <w:t xml:space="preserve"> </w:t>
            </w:r>
            <w:r w:rsidRPr="0092183A">
              <w:rPr>
                <w:sz w:val="20"/>
              </w:rPr>
              <w:t xml:space="preserve">Program prináša aj nové iniciatívy a činnosti, ktoré sú zahrnuté vo všeobecnom cieli programu a bližšie určené v rámci špecifických cieľov programu. </w:t>
            </w:r>
            <w:r>
              <w:rPr>
                <w:sz w:val="20"/>
              </w:rPr>
              <w:t>V</w:t>
            </w:r>
            <w:r w:rsidRPr="0092183A">
              <w:rPr>
                <w:sz w:val="20"/>
              </w:rPr>
              <w:t>šeobecn</w:t>
            </w:r>
            <w:r>
              <w:rPr>
                <w:sz w:val="20"/>
              </w:rPr>
              <w:t>ý</w:t>
            </w:r>
            <w:r w:rsidRPr="0092183A">
              <w:rPr>
                <w:sz w:val="20"/>
              </w:rPr>
              <w:t xml:space="preserve"> </w:t>
            </w:r>
            <w:r>
              <w:rPr>
                <w:sz w:val="20"/>
              </w:rPr>
              <w:t>cieľ</w:t>
            </w:r>
            <w:r w:rsidRPr="0092183A">
              <w:rPr>
                <w:sz w:val="20"/>
              </w:rPr>
              <w:t xml:space="preserve"> programu </w:t>
            </w:r>
            <w:r>
              <w:rPr>
                <w:sz w:val="20"/>
              </w:rPr>
              <w:t>zahŕňa</w:t>
            </w:r>
            <w:r w:rsidRPr="0092183A">
              <w:rPr>
                <w:sz w:val="20"/>
              </w:rPr>
              <w:t xml:space="preserve"> aj kvalitn</w:t>
            </w:r>
            <w:r>
              <w:rPr>
                <w:sz w:val="20"/>
              </w:rPr>
              <w:t>ú</w:t>
            </w:r>
            <w:r w:rsidRPr="0092183A">
              <w:rPr>
                <w:sz w:val="20"/>
              </w:rPr>
              <w:t xml:space="preserve"> európsk</w:t>
            </w:r>
            <w:r>
              <w:rPr>
                <w:sz w:val="20"/>
              </w:rPr>
              <w:t>u</w:t>
            </w:r>
            <w:r w:rsidRPr="0092183A">
              <w:rPr>
                <w:sz w:val="20"/>
              </w:rPr>
              <w:t xml:space="preserve"> štatistik</w:t>
            </w:r>
            <w:r>
              <w:rPr>
                <w:sz w:val="20"/>
              </w:rPr>
              <w:t>u</w:t>
            </w:r>
            <w:r w:rsidRPr="0092183A">
              <w:rPr>
                <w:sz w:val="20"/>
              </w:rPr>
              <w:t xml:space="preserve">. </w:t>
            </w:r>
            <w:r>
              <w:rPr>
                <w:sz w:val="20"/>
              </w:rPr>
              <w:t>Medzi š</w:t>
            </w:r>
            <w:r w:rsidRPr="0092183A">
              <w:rPr>
                <w:sz w:val="20"/>
              </w:rPr>
              <w:t xml:space="preserve">pecifické ciele </w:t>
            </w:r>
            <w:r>
              <w:rPr>
                <w:sz w:val="20"/>
              </w:rPr>
              <w:t>patrí aj</w:t>
            </w:r>
            <w:r w:rsidR="00D506D9">
              <w:rPr>
                <w:sz w:val="20"/>
              </w:rPr>
              <w:t xml:space="preserve"> </w:t>
            </w:r>
            <w:r w:rsidRPr="0092183A">
              <w:rPr>
                <w:sz w:val="20"/>
              </w:rPr>
              <w:t>tvorb</w:t>
            </w:r>
            <w:r>
              <w:rPr>
                <w:sz w:val="20"/>
              </w:rPr>
              <w:t>a</w:t>
            </w:r>
            <w:r w:rsidRPr="0092183A">
              <w:rPr>
                <w:sz w:val="20"/>
              </w:rPr>
              <w:t xml:space="preserve"> a šírenie kvalitnej európskej štatistiky.</w:t>
            </w:r>
          </w:p>
          <w:p w:rsidR="00201706" w:rsidRDefault="00201706" w:rsidP="00201706">
            <w:pPr>
              <w:spacing w:after="0"/>
              <w:jc w:val="left"/>
              <w:rPr>
                <w:noProof/>
                <w:sz w:val="20"/>
              </w:rPr>
            </w:pPr>
          </w:p>
        </w:tc>
      </w:tr>
      <w:tr w:rsidR="00201706" w:rsidTr="00687C5F">
        <w:trPr>
          <w:cantSplit/>
        </w:trPr>
        <w:tc>
          <w:tcPr>
            <w:tcW w:w="652" w:type="dxa"/>
            <w:tcBorders>
              <w:bottom w:val="single" w:sz="4" w:space="0" w:color="auto"/>
              <w:right w:val="nil"/>
            </w:tcBorders>
            <w:shd w:val="clear" w:color="auto" w:fill="auto"/>
            <w:tcMar>
              <w:top w:w="85" w:type="dxa"/>
              <w:left w:w="85" w:type="dxa"/>
              <w:bottom w:w="85" w:type="dxa"/>
            </w:tcMar>
          </w:tcPr>
          <w:p w:rsidR="00201706" w:rsidRDefault="00201706" w:rsidP="00201706">
            <w:pPr>
              <w:pStyle w:val="Odsekzoznamu"/>
              <w:numPr>
                <w:ilvl w:val="0"/>
                <w:numId w:val="20"/>
              </w:numPr>
              <w:spacing w:after="0"/>
              <w:ind w:left="426"/>
              <w:rPr>
                <w:b/>
                <w:noProof/>
                <w:sz w:val="20"/>
              </w:rPr>
            </w:pPr>
          </w:p>
        </w:tc>
        <w:tc>
          <w:tcPr>
            <w:tcW w:w="4588" w:type="dxa"/>
            <w:tcBorders>
              <w:bottom w:val="single" w:sz="4" w:space="0" w:color="auto"/>
            </w:tcBorders>
            <w:shd w:val="clear" w:color="auto" w:fill="EEECE1" w:themeFill="background2"/>
            <w:tcMar>
              <w:top w:w="85" w:type="dxa"/>
              <w:left w:w="85" w:type="dxa"/>
              <w:bottom w:w="85" w:type="dxa"/>
            </w:tcMar>
          </w:tcPr>
          <w:p w:rsidR="00201706" w:rsidRDefault="00201706" w:rsidP="00201706">
            <w:pPr>
              <w:spacing w:after="0"/>
              <w:rPr>
                <w:noProof/>
                <w:sz w:val="20"/>
              </w:rPr>
            </w:pPr>
            <w:r>
              <w:rPr>
                <w:noProof/>
                <w:sz w:val="20"/>
              </w:rPr>
              <w:t>Návrh ROZHODNUTIA EURÓPSKEHO PARLAMENTU A RADY, ktorým sa stanovuje špecifický program na vykonávanie programu Európsky horizont – rámcový program pre výskum a inovácie</w:t>
            </w:r>
          </w:p>
        </w:tc>
        <w:tc>
          <w:tcPr>
            <w:tcW w:w="1985" w:type="dxa"/>
            <w:tcBorders>
              <w:bottom w:val="single" w:sz="4" w:space="0" w:color="auto"/>
            </w:tcBorders>
            <w:tcMar>
              <w:top w:w="85" w:type="dxa"/>
              <w:left w:w="85" w:type="dxa"/>
              <w:bottom w:w="85" w:type="dxa"/>
            </w:tcMar>
          </w:tcPr>
          <w:p w:rsidR="00201706" w:rsidRDefault="00201706" w:rsidP="00201706">
            <w:pPr>
              <w:spacing w:after="0"/>
              <w:jc w:val="left"/>
              <w:rPr>
                <w:noProof/>
                <w:sz w:val="20"/>
              </w:rPr>
            </w:pPr>
            <w:r>
              <w:rPr>
                <w:noProof/>
                <w:sz w:val="20"/>
              </w:rPr>
              <w:t>COM(2018) 436 final.</w:t>
            </w:r>
            <w:r>
              <w:rPr>
                <w:noProof/>
                <w:sz w:val="20"/>
              </w:rPr>
              <w:br/>
              <w:t>2018/0225 (COD)</w:t>
            </w:r>
            <w:r>
              <w:rPr>
                <w:noProof/>
                <w:sz w:val="20"/>
              </w:rPr>
              <w:br/>
              <w:t>7. 6. 2018</w:t>
            </w:r>
          </w:p>
        </w:tc>
        <w:tc>
          <w:tcPr>
            <w:tcW w:w="1417" w:type="dxa"/>
            <w:tcBorders>
              <w:bottom w:val="single" w:sz="4" w:space="0" w:color="auto"/>
            </w:tcBorders>
          </w:tcPr>
          <w:p w:rsidR="00201706" w:rsidRDefault="005A5D83" w:rsidP="00CF3A0F">
            <w:pPr>
              <w:spacing w:after="0"/>
              <w:jc w:val="center"/>
              <w:rPr>
                <w:noProof/>
                <w:sz w:val="20"/>
              </w:rPr>
            </w:pPr>
            <w:r>
              <w:rPr>
                <w:b/>
                <w:sz w:val="20"/>
              </w:rPr>
              <w:t xml:space="preserve">MŠVVaŠ </w:t>
            </w:r>
            <w:r w:rsidR="00201706" w:rsidRPr="002E6BBF">
              <w:rPr>
                <w:b/>
                <w:sz w:val="20"/>
              </w:rPr>
              <w:t xml:space="preserve"> SR</w:t>
            </w:r>
          </w:p>
        </w:tc>
        <w:tc>
          <w:tcPr>
            <w:tcW w:w="6095" w:type="dxa"/>
            <w:tcBorders>
              <w:bottom w:val="single" w:sz="4" w:space="0" w:color="auto"/>
            </w:tcBorders>
          </w:tcPr>
          <w:p w:rsidR="00201706" w:rsidRPr="00D15665" w:rsidRDefault="00201706" w:rsidP="00201706">
            <w:pPr>
              <w:rPr>
                <w:sz w:val="20"/>
              </w:rPr>
            </w:pPr>
            <w:r w:rsidRPr="00D15665">
              <w:rPr>
                <w:b/>
                <w:sz w:val="20"/>
                <w:u w:val="single"/>
              </w:rPr>
              <w:t>Vysoká priorita</w:t>
            </w:r>
            <w:r>
              <w:rPr>
                <w:sz w:val="20"/>
              </w:rPr>
              <w:t xml:space="preserve"> - </w:t>
            </w:r>
            <w:r w:rsidRPr="007B2F96">
              <w:rPr>
                <w:sz w:val="20"/>
              </w:rPr>
              <w:t>Aktuálny stav rokovaní:</w:t>
            </w:r>
            <w:r w:rsidRPr="007B2F96">
              <w:rPr>
                <w:color w:val="0D0D0D" w:themeColor="text1" w:themeTint="F2"/>
                <w:sz w:val="20"/>
              </w:rPr>
              <w:t xml:space="preserve"> K návrhu </w:t>
            </w:r>
            <w:r>
              <w:rPr>
                <w:color w:val="0D0D0D" w:themeColor="text1" w:themeTint="F2"/>
                <w:sz w:val="20"/>
              </w:rPr>
              <w:t xml:space="preserve">rozhodnutia </w:t>
            </w:r>
            <w:r w:rsidRPr="007B2F96">
              <w:rPr>
                <w:color w:val="0D0D0D" w:themeColor="text1" w:themeTint="F2"/>
                <w:sz w:val="20"/>
              </w:rPr>
              <w:t>bola dosiahnutá čiastočná dohoda o všeobecnom smerovaní (PGA</w:t>
            </w:r>
            <w:r>
              <w:rPr>
                <w:color w:val="0D0D0D" w:themeColor="text1" w:themeTint="F2"/>
                <w:sz w:val="20"/>
              </w:rPr>
              <w:t>)</w:t>
            </w:r>
            <w:r w:rsidRPr="007B2F96">
              <w:rPr>
                <w:color w:val="0D0D0D" w:themeColor="text1" w:themeTint="F2"/>
                <w:sz w:val="20"/>
              </w:rPr>
              <w:t xml:space="preserve"> dňa 15. apríla 2019.</w:t>
            </w:r>
            <w:r>
              <w:rPr>
                <w:color w:val="0D0D0D" w:themeColor="text1" w:themeTint="F2"/>
                <w:sz w:val="20"/>
              </w:rPr>
              <w:t xml:space="preserve"> </w:t>
            </w:r>
            <w:r w:rsidRPr="007B2F96">
              <w:rPr>
                <w:sz w:val="20"/>
              </w:rPr>
              <w:t xml:space="preserve">Návrh nariadenia </w:t>
            </w:r>
            <w:r>
              <w:rPr>
                <w:sz w:val="20"/>
              </w:rPr>
              <w:t>stále</w:t>
            </w:r>
            <w:r w:rsidRPr="007B2F96">
              <w:rPr>
                <w:sz w:val="20"/>
              </w:rPr>
              <w:t xml:space="preserve"> obsahuje časti textu, ktoré podliehajú ďalším </w:t>
            </w:r>
            <w:r w:rsidRPr="00CB42F5">
              <w:rPr>
                <w:sz w:val="20"/>
              </w:rPr>
              <w:t>rokovaniam. MŠVVaŠ SR sa bude aktívne zapájať aj do budúceho pripomienkovania materiálu.</w:t>
            </w:r>
          </w:p>
          <w:p w:rsidR="00201706" w:rsidRPr="0062592C" w:rsidRDefault="00201706" w:rsidP="00201706">
            <w:pPr>
              <w:spacing w:after="0"/>
              <w:jc w:val="left"/>
              <w:rPr>
                <w:b/>
                <w:sz w:val="20"/>
              </w:rPr>
            </w:pPr>
          </w:p>
        </w:tc>
      </w:tr>
      <w:tr w:rsidR="00201706" w:rsidTr="00687C5F">
        <w:trPr>
          <w:cantSplit/>
        </w:trPr>
        <w:tc>
          <w:tcPr>
            <w:tcW w:w="652" w:type="dxa"/>
            <w:tcBorders>
              <w:bottom w:val="single" w:sz="4" w:space="0" w:color="auto"/>
              <w:right w:val="nil"/>
            </w:tcBorders>
            <w:shd w:val="clear" w:color="auto" w:fill="auto"/>
            <w:tcMar>
              <w:top w:w="85" w:type="dxa"/>
              <w:left w:w="85" w:type="dxa"/>
              <w:bottom w:w="85" w:type="dxa"/>
            </w:tcMar>
          </w:tcPr>
          <w:p w:rsidR="00201706" w:rsidRDefault="00201706" w:rsidP="00201706">
            <w:pPr>
              <w:pStyle w:val="Odsekzoznamu"/>
              <w:numPr>
                <w:ilvl w:val="0"/>
                <w:numId w:val="20"/>
              </w:numPr>
              <w:spacing w:after="0"/>
              <w:ind w:left="426"/>
              <w:rPr>
                <w:b/>
                <w:noProof/>
                <w:sz w:val="20"/>
              </w:rPr>
            </w:pPr>
          </w:p>
        </w:tc>
        <w:tc>
          <w:tcPr>
            <w:tcW w:w="4588" w:type="dxa"/>
            <w:tcBorders>
              <w:bottom w:val="single" w:sz="4" w:space="0" w:color="auto"/>
            </w:tcBorders>
            <w:shd w:val="clear" w:color="auto" w:fill="EEECE1" w:themeFill="background2"/>
            <w:tcMar>
              <w:top w:w="85" w:type="dxa"/>
              <w:left w:w="85" w:type="dxa"/>
              <w:bottom w:w="85" w:type="dxa"/>
            </w:tcMar>
          </w:tcPr>
          <w:p w:rsidR="00201706" w:rsidRDefault="00201706" w:rsidP="00201706">
            <w:pPr>
              <w:spacing w:after="0"/>
              <w:rPr>
                <w:noProof/>
                <w:sz w:val="20"/>
              </w:rPr>
            </w:pPr>
            <w:r>
              <w:rPr>
                <w:noProof/>
                <w:sz w:val="20"/>
              </w:rPr>
              <w:t>Návrh NARIADENIA EURÓPSKEHO PARLAMENTU A RADY, ktorým sa stanovuje Európsky horizont – rámcový program pre výskum a inovácie a ktorým sa stanovujú jeho pravidlá účasti a šírenia</w:t>
            </w:r>
          </w:p>
        </w:tc>
        <w:tc>
          <w:tcPr>
            <w:tcW w:w="1985" w:type="dxa"/>
            <w:tcBorders>
              <w:bottom w:val="single" w:sz="4" w:space="0" w:color="auto"/>
            </w:tcBorders>
            <w:tcMar>
              <w:top w:w="85" w:type="dxa"/>
              <w:left w:w="85" w:type="dxa"/>
              <w:bottom w:w="85" w:type="dxa"/>
            </w:tcMar>
          </w:tcPr>
          <w:p w:rsidR="00201706" w:rsidRDefault="00201706" w:rsidP="00201706">
            <w:pPr>
              <w:spacing w:after="0"/>
              <w:jc w:val="left"/>
              <w:rPr>
                <w:noProof/>
                <w:sz w:val="20"/>
              </w:rPr>
            </w:pPr>
            <w:r>
              <w:rPr>
                <w:noProof/>
                <w:sz w:val="20"/>
              </w:rPr>
              <w:t>COM(2018) 435 final.</w:t>
            </w:r>
            <w:r>
              <w:rPr>
                <w:noProof/>
                <w:sz w:val="20"/>
              </w:rPr>
              <w:br/>
              <w:t>2018/0224 (COD)</w:t>
            </w:r>
            <w:r>
              <w:rPr>
                <w:noProof/>
                <w:sz w:val="20"/>
              </w:rPr>
              <w:br/>
              <w:t>7. 6. 2018</w:t>
            </w:r>
          </w:p>
        </w:tc>
        <w:tc>
          <w:tcPr>
            <w:tcW w:w="1417" w:type="dxa"/>
            <w:tcBorders>
              <w:bottom w:val="single" w:sz="4" w:space="0" w:color="auto"/>
            </w:tcBorders>
          </w:tcPr>
          <w:p w:rsidR="00201706" w:rsidRDefault="005A5D83" w:rsidP="00CF3A0F">
            <w:pPr>
              <w:spacing w:after="0"/>
              <w:jc w:val="center"/>
              <w:rPr>
                <w:noProof/>
                <w:sz w:val="20"/>
              </w:rPr>
            </w:pPr>
            <w:r>
              <w:rPr>
                <w:b/>
                <w:sz w:val="20"/>
              </w:rPr>
              <w:t xml:space="preserve">MŠVVaŠ </w:t>
            </w:r>
            <w:r w:rsidR="00201706" w:rsidRPr="002E6BBF">
              <w:rPr>
                <w:b/>
                <w:sz w:val="20"/>
              </w:rPr>
              <w:t xml:space="preserve"> SR</w:t>
            </w:r>
          </w:p>
        </w:tc>
        <w:tc>
          <w:tcPr>
            <w:tcW w:w="6095" w:type="dxa"/>
            <w:tcBorders>
              <w:bottom w:val="single" w:sz="4" w:space="0" w:color="auto"/>
            </w:tcBorders>
          </w:tcPr>
          <w:p w:rsidR="00201706" w:rsidRPr="00D15665" w:rsidRDefault="00201706" w:rsidP="00201706">
            <w:pPr>
              <w:rPr>
                <w:sz w:val="20"/>
              </w:rPr>
            </w:pPr>
            <w:r w:rsidRPr="00D15665">
              <w:rPr>
                <w:b/>
                <w:sz w:val="20"/>
                <w:u w:val="single"/>
              </w:rPr>
              <w:t>Vysoká priorita</w:t>
            </w:r>
            <w:r>
              <w:rPr>
                <w:sz w:val="20"/>
              </w:rPr>
              <w:t xml:space="preserve"> - </w:t>
            </w:r>
            <w:r w:rsidRPr="007B2F96">
              <w:rPr>
                <w:sz w:val="20"/>
              </w:rPr>
              <w:t>Aktuálny stav rokovaní:</w:t>
            </w:r>
            <w:r w:rsidRPr="007B2F96">
              <w:rPr>
                <w:color w:val="0D0D0D" w:themeColor="text1" w:themeTint="F2"/>
                <w:sz w:val="20"/>
              </w:rPr>
              <w:t xml:space="preserve"> K návrhu </w:t>
            </w:r>
            <w:r>
              <w:rPr>
                <w:color w:val="0D0D0D" w:themeColor="text1" w:themeTint="F2"/>
                <w:sz w:val="20"/>
              </w:rPr>
              <w:t xml:space="preserve">nariadenia </w:t>
            </w:r>
            <w:r w:rsidRPr="007B2F96">
              <w:rPr>
                <w:color w:val="0D0D0D" w:themeColor="text1" w:themeTint="F2"/>
                <w:sz w:val="20"/>
              </w:rPr>
              <w:t>bola dosiahnutá čiastočná dohoda o všeobecnom smerovaní (PGA), potvrdená Spoločným porozumením (CU) zo dňa 27.</w:t>
            </w:r>
            <w:r>
              <w:rPr>
                <w:color w:val="0D0D0D" w:themeColor="text1" w:themeTint="F2"/>
                <w:sz w:val="20"/>
              </w:rPr>
              <w:t>03.</w:t>
            </w:r>
            <w:r w:rsidRPr="007B2F96">
              <w:rPr>
                <w:color w:val="0D0D0D" w:themeColor="text1" w:themeTint="F2"/>
                <w:sz w:val="20"/>
              </w:rPr>
              <w:t xml:space="preserve">2019. </w:t>
            </w:r>
            <w:r>
              <w:rPr>
                <w:color w:val="0D0D0D" w:themeColor="text1" w:themeTint="F2"/>
                <w:sz w:val="20"/>
              </w:rPr>
              <w:t xml:space="preserve">Následne bola </w:t>
            </w:r>
            <w:r w:rsidRPr="007B2F96">
              <w:rPr>
                <w:bCs/>
                <w:color w:val="0D0D0D" w:themeColor="text1" w:themeTint="F2"/>
                <w:sz w:val="20"/>
              </w:rPr>
              <w:t>29.</w:t>
            </w:r>
            <w:r>
              <w:rPr>
                <w:bCs/>
                <w:color w:val="0D0D0D" w:themeColor="text1" w:themeTint="F2"/>
                <w:sz w:val="20"/>
              </w:rPr>
              <w:t>11.</w:t>
            </w:r>
            <w:r w:rsidRPr="007B2F96">
              <w:rPr>
                <w:bCs/>
                <w:color w:val="0D0D0D" w:themeColor="text1" w:themeTint="F2"/>
                <w:sz w:val="20"/>
              </w:rPr>
              <w:t>2019</w:t>
            </w:r>
            <w:r w:rsidRPr="007B2F96">
              <w:rPr>
                <w:color w:val="0D0D0D" w:themeColor="text1" w:themeTint="F2"/>
                <w:sz w:val="20"/>
              </w:rPr>
              <w:t xml:space="preserve"> dosiahnutá PGA k ďalšej časti textu nariadenia</w:t>
            </w:r>
            <w:r>
              <w:rPr>
                <w:color w:val="0D0D0D" w:themeColor="text1" w:themeTint="F2"/>
                <w:sz w:val="20"/>
              </w:rPr>
              <w:t xml:space="preserve">: </w:t>
            </w:r>
            <w:r w:rsidRPr="007B2F96">
              <w:rPr>
                <w:color w:val="0D0D0D" w:themeColor="text1" w:themeTint="F2"/>
                <w:sz w:val="20"/>
              </w:rPr>
              <w:t>k úvodným recitálom a k Prílohe IV. o synergiách.</w:t>
            </w:r>
            <w:r w:rsidRPr="007B2F96">
              <w:rPr>
                <w:sz w:val="20"/>
              </w:rPr>
              <w:t xml:space="preserve">Návrh nariadenia </w:t>
            </w:r>
            <w:r>
              <w:rPr>
                <w:sz w:val="20"/>
              </w:rPr>
              <w:t>stále</w:t>
            </w:r>
            <w:r w:rsidRPr="007B2F96">
              <w:rPr>
                <w:sz w:val="20"/>
              </w:rPr>
              <w:t xml:space="preserve"> </w:t>
            </w:r>
            <w:r w:rsidRPr="00CB42F5">
              <w:rPr>
                <w:sz w:val="20"/>
              </w:rPr>
              <w:t>obsahuje časti textu, ktoré podliehajú ďalším rokovaniam. MŠVVaŠ SR sa bude aktívne zapájať do budúceho pripomienkovania programu.</w:t>
            </w:r>
            <w:r>
              <w:rPr>
                <w:sz w:val="20"/>
              </w:rPr>
              <w:t xml:space="preserve"> Počas doterajších rokovaní SR presadzovala najmä </w:t>
            </w:r>
            <w:r w:rsidRPr="007E1CA2">
              <w:rPr>
                <w:color w:val="0D0D0D" w:themeColor="text1" w:themeTint="F2"/>
                <w:sz w:val="20"/>
              </w:rPr>
              <w:t>podporu synergií s ďalšími európskymi programami (najmä EŠIF), podporu rozširovania účasti (widening participation), geografickú rovnováhu ako kritérium pri hodnotení projektov a otázku odmeňovania výskumníkov (remuneration).</w:t>
            </w:r>
          </w:p>
          <w:p w:rsidR="00201706" w:rsidRPr="0062592C" w:rsidRDefault="00201706" w:rsidP="00201706">
            <w:pPr>
              <w:spacing w:after="0"/>
              <w:jc w:val="left"/>
              <w:rPr>
                <w:b/>
                <w:sz w:val="20"/>
              </w:rPr>
            </w:pPr>
          </w:p>
        </w:tc>
      </w:tr>
      <w:tr w:rsidR="00201706" w:rsidTr="00687C5F">
        <w:trPr>
          <w:cantSplit/>
        </w:trPr>
        <w:tc>
          <w:tcPr>
            <w:tcW w:w="652" w:type="dxa"/>
            <w:tcBorders>
              <w:bottom w:val="single" w:sz="4" w:space="0" w:color="auto"/>
              <w:right w:val="nil"/>
            </w:tcBorders>
            <w:shd w:val="clear" w:color="auto" w:fill="auto"/>
            <w:tcMar>
              <w:top w:w="85" w:type="dxa"/>
              <w:left w:w="85" w:type="dxa"/>
              <w:bottom w:w="85" w:type="dxa"/>
            </w:tcMar>
          </w:tcPr>
          <w:p w:rsidR="00201706" w:rsidRDefault="00201706" w:rsidP="00201706">
            <w:pPr>
              <w:pStyle w:val="Odsekzoznamu"/>
              <w:numPr>
                <w:ilvl w:val="0"/>
                <w:numId w:val="20"/>
              </w:numPr>
              <w:spacing w:after="0"/>
              <w:ind w:left="426"/>
              <w:rPr>
                <w:b/>
                <w:noProof/>
                <w:sz w:val="20"/>
              </w:rPr>
            </w:pPr>
          </w:p>
        </w:tc>
        <w:tc>
          <w:tcPr>
            <w:tcW w:w="4588" w:type="dxa"/>
            <w:tcBorders>
              <w:bottom w:val="single" w:sz="4" w:space="0" w:color="auto"/>
            </w:tcBorders>
            <w:shd w:val="clear" w:color="auto" w:fill="EEECE1" w:themeFill="background2"/>
            <w:tcMar>
              <w:top w:w="85" w:type="dxa"/>
              <w:left w:w="85" w:type="dxa"/>
              <w:bottom w:w="85" w:type="dxa"/>
            </w:tcMar>
          </w:tcPr>
          <w:p w:rsidR="00201706" w:rsidRDefault="00201706" w:rsidP="00201706">
            <w:pPr>
              <w:spacing w:after="0"/>
              <w:rPr>
                <w:noProof/>
                <w:sz w:val="20"/>
              </w:rPr>
            </w:pPr>
            <w:r>
              <w:rPr>
                <w:noProof/>
                <w:sz w:val="20"/>
              </w:rPr>
              <w:t>Návrh NARIADENIA RADY, ktorým sa stanovuje výskumný a vzdelávací program Európskeho spoločenstva pre atómovú energiu na obdobie 2021 – 2025, ktorým sa dopĺňa program Európsky horizont – rámcový program pre výskum a inovácie</w:t>
            </w:r>
          </w:p>
        </w:tc>
        <w:tc>
          <w:tcPr>
            <w:tcW w:w="1985" w:type="dxa"/>
            <w:tcBorders>
              <w:bottom w:val="single" w:sz="4" w:space="0" w:color="auto"/>
            </w:tcBorders>
            <w:tcMar>
              <w:top w:w="85" w:type="dxa"/>
              <w:left w:w="85" w:type="dxa"/>
              <w:bottom w:w="85" w:type="dxa"/>
            </w:tcMar>
          </w:tcPr>
          <w:p w:rsidR="00201706" w:rsidRDefault="00201706" w:rsidP="00201706">
            <w:pPr>
              <w:spacing w:after="0"/>
              <w:jc w:val="left"/>
              <w:rPr>
                <w:noProof/>
                <w:sz w:val="20"/>
              </w:rPr>
            </w:pPr>
            <w:r>
              <w:rPr>
                <w:noProof/>
                <w:sz w:val="20"/>
              </w:rPr>
              <w:t>COM(2018) 437 final.</w:t>
            </w:r>
            <w:r>
              <w:rPr>
                <w:noProof/>
                <w:sz w:val="20"/>
              </w:rPr>
              <w:br/>
              <w:t>2018/0226 (NLE)</w:t>
            </w:r>
            <w:r>
              <w:rPr>
                <w:noProof/>
                <w:sz w:val="20"/>
              </w:rPr>
              <w:br/>
              <w:t>7. 6. 2018</w:t>
            </w:r>
          </w:p>
        </w:tc>
        <w:tc>
          <w:tcPr>
            <w:tcW w:w="1417" w:type="dxa"/>
            <w:tcBorders>
              <w:bottom w:val="single" w:sz="4" w:space="0" w:color="auto"/>
            </w:tcBorders>
          </w:tcPr>
          <w:p w:rsidR="00201706" w:rsidRPr="002E6BBF" w:rsidRDefault="005A5D83" w:rsidP="00CF3A0F">
            <w:pPr>
              <w:spacing w:after="0"/>
              <w:jc w:val="center"/>
              <w:rPr>
                <w:b/>
                <w:noProof/>
                <w:sz w:val="20"/>
              </w:rPr>
            </w:pPr>
            <w:r>
              <w:rPr>
                <w:b/>
                <w:sz w:val="20"/>
              </w:rPr>
              <w:t xml:space="preserve">MŠVVaŠ </w:t>
            </w:r>
            <w:r w:rsidR="00201706" w:rsidRPr="002E6BBF">
              <w:rPr>
                <w:b/>
                <w:sz w:val="20"/>
              </w:rPr>
              <w:t xml:space="preserve"> SR</w:t>
            </w:r>
          </w:p>
        </w:tc>
        <w:tc>
          <w:tcPr>
            <w:tcW w:w="6095" w:type="dxa"/>
            <w:tcBorders>
              <w:bottom w:val="single" w:sz="4" w:space="0" w:color="auto"/>
            </w:tcBorders>
          </w:tcPr>
          <w:p w:rsidR="00201706" w:rsidRDefault="00201706" w:rsidP="00201706">
            <w:pPr>
              <w:rPr>
                <w:b/>
                <w:sz w:val="20"/>
              </w:rPr>
            </w:pPr>
            <w:r w:rsidRPr="00D15665">
              <w:rPr>
                <w:b/>
                <w:sz w:val="20"/>
              </w:rPr>
              <w:t>Vysoká priorita</w:t>
            </w:r>
            <w:r>
              <w:rPr>
                <w:b/>
                <w:sz w:val="20"/>
              </w:rPr>
              <w:t xml:space="preserve"> - </w:t>
            </w:r>
            <w:r w:rsidRPr="007B2F96">
              <w:rPr>
                <w:sz w:val="20"/>
              </w:rPr>
              <w:t>Aktuálny stav rokovaní</w:t>
            </w:r>
            <w:r w:rsidRPr="00E95317">
              <w:rPr>
                <w:sz w:val="20"/>
              </w:rPr>
              <w:t>:</w:t>
            </w:r>
            <w:r w:rsidRPr="00E95317">
              <w:rPr>
                <w:color w:val="0D0D0D" w:themeColor="text1" w:themeTint="F2"/>
                <w:sz w:val="20"/>
              </w:rPr>
              <w:t xml:space="preserve"> Na Rade ministrov 29.11.2019 bola snaha o dosiahnutie PGA, ktor</w:t>
            </w:r>
            <w:r>
              <w:rPr>
                <w:color w:val="0D0D0D" w:themeColor="text1" w:themeTint="F2"/>
                <w:sz w:val="20"/>
              </w:rPr>
              <w:t>ú</w:t>
            </w:r>
            <w:r w:rsidRPr="00E95317">
              <w:rPr>
                <w:color w:val="0D0D0D" w:themeColor="text1" w:themeTint="F2"/>
                <w:sz w:val="20"/>
              </w:rPr>
              <w:t xml:space="preserve"> podporili viaceré ČŠ</w:t>
            </w:r>
            <w:r>
              <w:rPr>
                <w:color w:val="0D0D0D" w:themeColor="text1" w:themeTint="F2"/>
                <w:sz w:val="20"/>
              </w:rPr>
              <w:t xml:space="preserve"> (vrátane SR)</w:t>
            </w:r>
            <w:r w:rsidRPr="00E95317">
              <w:rPr>
                <w:color w:val="0D0D0D" w:themeColor="text1" w:themeTint="F2"/>
                <w:sz w:val="20"/>
              </w:rPr>
              <w:t xml:space="preserve">. Dosiahnutie dohody sa však napokon nepodarilo nakoľko bolo zablokované AT a LU. </w:t>
            </w:r>
            <w:r w:rsidRPr="00E95317">
              <w:rPr>
                <w:sz w:val="20"/>
                <w:shd w:val="clear" w:color="auto" w:fill="FFFFFF"/>
              </w:rPr>
              <w:t>Pre prijatie návrhov v rámci Zmluvy o Euratome je potrebná jednomyseľnosť.</w:t>
            </w:r>
            <w:r>
              <w:rPr>
                <w:sz w:val="20"/>
              </w:rPr>
              <w:t xml:space="preserve">SR podporuje prijatie dokumentu a odmieta ďalšie oslabenie textu a obmedzenie programu. </w:t>
            </w:r>
          </w:p>
          <w:p w:rsidR="00201706" w:rsidRPr="00536C6E" w:rsidRDefault="00201706" w:rsidP="00201706">
            <w:pPr>
              <w:spacing w:after="0"/>
              <w:jc w:val="left"/>
              <w:rPr>
                <w:b/>
                <w:sz w:val="20"/>
              </w:rPr>
            </w:pPr>
          </w:p>
        </w:tc>
      </w:tr>
      <w:tr w:rsidR="00201706" w:rsidTr="00687C5F">
        <w:trPr>
          <w:cantSplit/>
        </w:trPr>
        <w:tc>
          <w:tcPr>
            <w:tcW w:w="652" w:type="dxa"/>
            <w:tcBorders>
              <w:bottom w:val="single" w:sz="4" w:space="0" w:color="auto"/>
              <w:right w:val="nil"/>
            </w:tcBorders>
            <w:shd w:val="clear" w:color="auto" w:fill="auto"/>
            <w:tcMar>
              <w:top w:w="85" w:type="dxa"/>
              <w:left w:w="85" w:type="dxa"/>
              <w:bottom w:w="85" w:type="dxa"/>
            </w:tcMar>
          </w:tcPr>
          <w:p w:rsidR="00201706" w:rsidRDefault="00201706" w:rsidP="00201706">
            <w:pPr>
              <w:pStyle w:val="Odsekzoznamu"/>
              <w:numPr>
                <w:ilvl w:val="0"/>
                <w:numId w:val="20"/>
              </w:numPr>
              <w:spacing w:after="0"/>
              <w:ind w:left="426"/>
              <w:rPr>
                <w:b/>
                <w:noProof/>
                <w:sz w:val="20"/>
              </w:rPr>
            </w:pPr>
          </w:p>
        </w:tc>
        <w:tc>
          <w:tcPr>
            <w:tcW w:w="4588" w:type="dxa"/>
            <w:tcBorders>
              <w:bottom w:val="single" w:sz="4" w:space="0" w:color="auto"/>
            </w:tcBorders>
            <w:shd w:val="clear" w:color="auto" w:fill="EEECE1" w:themeFill="background2"/>
            <w:tcMar>
              <w:top w:w="85" w:type="dxa"/>
              <w:left w:w="85" w:type="dxa"/>
              <w:bottom w:w="85" w:type="dxa"/>
            </w:tcMar>
          </w:tcPr>
          <w:p w:rsidR="00201706" w:rsidRPr="003B1CF2" w:rsidRDefault="00201706" w:rsidP="00201706">
            <w:pPr>
              <w:spacing w:after="0"/>
              <w:rPr>
                <w:noProof/>
                <w:sz w:val="20"/>
              </w:rPr>
            </w:pPr>
            <w:r w:rsidRPr="003B1CF2">
              <w:rPr>
                <w:noProof/>
                <w:sz w:val="20"/>
              </w:rPr>
              <w:t>Návrh NARIADENIA EURÓPSKEHO PARLAMENTU A RADY, ktorým sa stanovuje program Digitálna Európa na obdobie 2021 – 2027</w:t>
            </w:r>
          </w:p>
        </w:tc>
        <w:tc>
          <w:tcPr>
            <w:tcW w:w="1985" w:type="dxa"/>
            <w:tcBorders>
              <w:bottom w:val="single" w:sz="4" w:space="0" w:color="auto"/>
            </w:tcBorders>
            <w:tcMar>
              <w:top w:w="85" w:type="dxa"/>
              <w:left w:w="85" w:type="dxa"/>
              <w:bottom w:w="85" w:type="dxa"/>
            </w:tcMar>
          </w:tcPr>
          <w:p w:rsidR="00201706" w:rsidRPr="003B1CF2" w:rsidRDefault="00201706" w:rsidP="00201706">
            <w:pPr>
              <w:spacing w:after="0"/>
              <w:jc w:val="left"/>
              <w:rPr>
                <w:noProof/>
                <w:sz w:val="20"/>
              </w:rPr>
            </w:pPr>
            <w:r w:rsidRPr="003B1CF2">
              <w:rPr>
                <w:noProof/>
                <w:sz w:val="20"/>
              </w:rPr>
              <w:t>COM(2018) 434 final.</w:t>
            </w:r>
            <w:r w:rsidRPr="003B1CF2">
              <w:rPr>
                <w:noProof/>
                <w:sz w:val="20"/>
              </w:rPr>
              <w:br/>
              <w:t>2018/0227 (COD)</w:t>
            </w:r>
            <w:r w:rsidRPr="003B1CF2">
              <w:rPr>
                <w:noProof/>
                <w:sz w:val="20"/>
              </w:rPr>
              <w:br/>
              <w:t>8. 6. 2018</w:t>
            </w:r>
          </w:p>
        </w:tc>
        <w:tc>
          <w:tcPr>
            <w:tcW w:w="1417" w:type="dxa"/>
            <w:tcBorders>
              <w:bottom w:val="single" w:sz="4" w:space="0" w:color="auto"/>
            </w:tcBorders>
          </w:tcPr>
          <w:p w:rsidR="00201706" w:rsidRPr="001129C1" w:rsidRDefault="00201706" w:rsidP="00CF3A0F">
            <w:pPr>
              <w:spacing w:after="0"/>
              <w:ind w:left="4" w:right="49"/>
              <w:jc w:val="center"/>
              <w:rPr>
                <w:b/>
                <w:sz w:val="20"/>
              </w:rPr>
            </w:pPr>
            <w:r w:rsidRPr="001129C1">
              <w:rPr>
                <w:b/>
                <w:sz w:val="20"/>
              </w:rPr>
              <w:t>ÚPPVII</w:t>
            </w:r>
          </w:p>
          <w:p w:rsidR="00201706" w:rsidRPr="001129C1" w:rsidRDefault="00201706" w:rsidP="00CF3A0F">
            <w:pPr>
              <w:spacing w:after="0"/>
              <w:ind w:left="4" w:right="49"/>
              <w:jc w:val="center"/>
              <w:rPr>
                <w:b/>
                <w:sz w:val="20"/>
              </w:rPr>
            </w:pPr>
            <w:r w:rsidRPr="001129C1">
              <w:rPr>
                <w:b/>
                <w:sz w:val="20"/>
              </w:rPr>
              <w:t>MF SR</w:t>
            </w:r>
          </w:p>
          <w:p w:rsidR="00201706" w:rsidRPr="001129C1" w:rsidRDefault="00201706" w:rsidP="00CF3A0F">
            <w:pPr>
              <w:spacing w:after="0"/>
              <w:ind w:left="4" w:right="49"/>
              <w:jc w:val="center"/>
              <w:rPr>
                <w:b/>
                <w:sz w:val="20"/>
              </w:rPr>
            </w:pPr>
            <w:r w:rsidRPr="001129C1">
              <w:rPr>
                <w:b/>
                <w:sz w:val="20"/>
              </w:rPr>
              <w:t>MDaV SR</w:t>
            </w:r>
          </w:p>
          <w:p w:rsidR="00201706" w:rsidRPr="001129C1" w:rsidRDefault="00201706" w:rsidP="00CF3A0F">
            <w:pPr>
              <w:spacing w:after="0"/>
              <w:ind w:left="4" w:right="49"/>
              <w:jc w:val="center"/>
              <w:rPr>
                <w:b/>
                <w:sz w:val="20"/>
              </w:rPr>
            </w:pPr>
            <w:r w:rsidRPr="001129C1">
              <w:rPr>
                <w:b/>
                <w:sz w:val="20"/>
              </w:rPr>
              <w:t>MH SR</w:t>
            </w:r>
          </w:p>
        </w:tc>
        <w:tc>
          <w:tcPr>
            <w:tcW w:w="6095" w:type="dxa"/>
            <w:tcBorders>
              <w:bottom w:val="single" w:sz="4" w:space="0" w:color="auto"/>
            </w:tcBorders>
          </w:tcPr>
          <w:p w:rsidR="00201706" w:rsidRPr="00DF24B2" w:rsidRDefault="00201706" w:rsidP="00201706">
            <w:pPr>
              <w:spacing w:after="0"/>
              <w:ind w:left="4" w:right="49"/>
              <w:rPr>
                <w:b/>
                <w:sz w:val="20"/>
                <w:u w:val="single"/>
              </w:rPr>
            </w:pPr>
            <w:r w:rsidRPr="00DF24B2">
              <w:rPr>
                <w:b/>
                <w:sz w:val="20"/>
                <w:u w:val="single"/>
              </w:rPr>
              <w:t xml:space="preserve">Vysoká priorita </w:t>
            </w:r>
          </w:p>
          <w:p w:rsidR="00201706" w:rsidRDefault="00201706" w:rsidP="00201706">
            <w:pPr>
              <w:spacing w:after="0"/>
              <w:ind w:right="49"/>
              <w:rPr>
                <w:sz w:val="20"/>
              </w:rPr>
            </w:pPr>
            <w:r>
              <w:rPr>
                <w:sz w:val="20"/>
              </w:rPr>
              <w:t xml:space="preserve">nový priamo riadený program podporujúci priority v oblasti digitálnej agendy  </w:t>
            </w:r>
          </w:p>
        </w:tc>
      </w:tr>
      <w:tr w:rsidR="00201706" w:rsidTr="00687C5F">
        <w:trPr>
          <w:cantSplit/>
        </w:trPr>
        <w:tc>
          <w:tcPr>
            <w:tcW w:w="652" w:type="dxa"/>
            <w:tcBorders>
              <w:bottom w:val="single" w:sz="4" w:space="0" w:color="auto"/>
              <w:right w:val="nil"/>
            </w:tcBorders>
            <w:shd w:val="clear" w:color="auto" w:fill="auto"/>
            <w:tcMar>
              <w:top w:w="85" w:type="dxa"/>
              <w:left w:w="85" w:type="dxa"/>
              <w:bottom w:w="85" w:type="dxa"/>
            </w:tcMar>
          </w:tcPr>
          <w:p w:rsidR="00201706" w:rsidRDefault="00201706" w:rsidP="00201706">
            <w:pPr>
              <w:pStyle w:val="Odsekzoznamu"/>
              <w:numPr>
                <w:ilvl w:val="0"/>
                <w:numId w:val="20"/>
              </w:numPr>
              <w:spacing w:after="0"/>
              <w:ind w:left="426"/>
              <w:rPr>
                <w:b/>
                <w:noProof/>
                <w:sz w:val="20"/>
              </w:rPr>
            </w:pPr>
          </w:p>
        </w:tc>
        <w:tc>
          <w:tcPr>
            <w:tcW w:w="4588" w:type="dxa"/>
            <w:tcBorders>
              <w:bottom w:val="single" w:sz="4" w:space="0" w:color="auto"/>
            </w:tcBorders>
            <w:shd w:val="clear" w:color="auto" w:fill="EEECE1" w:themeFill="background2"/>
            <w:tcMar>
              <w:top w:w="85" w:type="dxa"/>
              <w:left w:w="85" w:type="dxa"/>
              <w:bottom w:w="85" w:type="dxa"/>
            </w:tcMar>
          </w:tcPr>
          <w:p w:rsidR="00201706" w:rsidRDefault="00201706" w:rsidP="00201706">
            <w:pPr>
              <w:spacing w:after="0"/>
              <w:rPr>
                <w:noProof/>
                <w:sz w:val="20"/>
              </w:rPr>
            </w:pPr>
            <w:r>
              <w:rPr>
                <w:noProof/>
                <w:sz w:val="20"/>
              </w:rPr>
              <w:t>Návrh NARIADENIA EURÓPSKEHO PARLAMENTU A RADY, ktorým sa zriaďuje Európsky obranný fond</w:t>
            </w:r>
          </w:p>
        </w:tc>
        <w:tc>
          <w:tcPr>
            <w:tcW w:w="1985" w:type="dxa"/>
            <w:tcBorders>
              <w:bottom w:val="single" w:sz="4" w:space="0" w:color="auto"/>
            </w:tcBorders>
            <w:tcMar>
              <w:top w:w="85" w:type="dxa"/>
              <w:left w:w="85" w:type="dxa"/>
              <w:bottom w:w="85" w:type="dxa"/>
            </w:tcMar>
          </w:tcPr>
          <w:p w:rsidR="00201706" w:rsidRDefault="00201706" w:rsidP="00201706">
            <w:pPr>
              <w:spacing w:after="0"/>
              <w:jc w:val="left"/>
              <w:rPr>
                <w:noProof/>
                <w:sz w:val="20"/>
              </w:rPr>
            </w:pPr>
            <w:r>
              <w:rPr>
                <w:noProof/>
                <w:sz w:val="20"/>
              </w:rPr>
              <w:t>COM(2018) 476 final.</w:t>
            </w:r>
            <w:r>
              <w:rPr>
                <w:noProof/>
                <w:sz w:val="20"/>
              </w:rPr>
              <w:br/>
              <w:t>2018/0254 (COD)</w:t>
            </w:r>
            <w:r>
              <w:rPr>
                <w:noProof/>
                <w:sz w:val="20"/>
              </w:rPr>
              <w:br/>
              <w:t>13. 6. 2018</w:t>
            </w:r>
          </w:p>
        </w:tc>
        <w:tc>
          <w:tcPr>
            <w:tcW w:w="1417" w:type="dxa"/>
            <w:tcBorders>
              <w:bottom w:val="single" w:sz="4" w:space="0" w:color="auto"/>
            </w:tcBorders>
          </w:tcPr>
          <w:p w:rsidR="00201706" w:rsidRPr="00912204" w:rsidRDefault="00201706" w:rsidP="00201706">
            <w:pPr>
              <w:spacing w:after="0"/>
              <w:jc w:val="center"/>
              <w:rPr>
                <w:b/>
                <w:noProof/>
                <w:sz w:val="20"/>
              </w:rPr>
            </w:pPr>
            <w:r w:rsidRPr="00912204">
              <w:rPr>
                <w:b/>
                <w:noProof/>
                <w:sz w:val="20"/>
              </w:rPr>
              <w:t>MO SR</w:t>
            </w:r>
          </w:p>
          <w:p w:rsidR="00201706" w:rsidRDefault="00201706" w:rsidP="00201706">
            <w:pPr>
              <w:spacing w:after="0"/>
              <w:jc w:val="center"/>
              <w:rPr>
                <w:noProof/>
                <w:sz w:val="20"/>
              </w:rPr>
            </w:pPr>
            <w:r w:rsidRPr="00912204">
              <w:rPr>
                <w:b/>
                <w:noProof/>
                <w:sz w:val="20"/>
              </w:rPr>
              <w:t>MH SR</w:t>
            </w:r>
          </w:p>
        </w:tc>
        <w:tc>
          <w:tcPr>
            <w:tcW w:w="6095" w:type="dxa"/>
            <w:tcBorders>
              <w:bottom w:val="single" w:sz="4" w:space="0" w:color="auto"/>
            </w:tcBorders>
          </w:tcPr>
          <w:p w:rsidR="00201706" w:rsidRPr="00912204" w:rsidRDefault="00201706" w:rsidP="00201706">
            <w:pPr>
              <w:spacing w:after="0"/>
              <w:rPr>
                <w:b/>
                <w:sz w:val="20"/>
              </w:rPr>
            </w:pPr>
            <w:r w:rsidRPr="00912204">
              <w:rPr>
                <w:b/>
                <w:sz w:val="20"/>
                <w:u w:val="single"/>
              </w:rPr>
              <w:t>Vysoká priorita</w:t>
            </w:r>
            <w:r>
              <w:rPr>
                <w:sz w:val="20"/>
              </w:rPr>
              <w:t xml:space="preserve"> - </w:t>
            </w:r>
            <w:r w:rsidRPr="002B42BC">
              <w:rPr>
                <w:sz w:val="20"/>
              </w:rPr>
              <w:t>SR podporuje zriadenie Európskeho obranného fondu (EDF). Cieľom EDF je finančne podporiť spoluprácu výskumných inštitúcií a priemyselných podnikov v oblasti obrany, a prispieť tak k doplneniu nedostatkových spôsobilostí, ktorých samostatný výskum a vývoj na úrovni jednotlivých ČŠ EÚ a ich podnikov by predstavoval obrovské finančné bremeno, ako aj možnú duplicitu vynaložených finančných prostriedkov. Význam EDF spočíva aj v tom, že vôbec po prvýkrát bude z rozpočtu EÚ v takomto rozsahu podporovaný obranný výskum a vývoj. Napriek tomu, že nejde o priame financovanie vyzbrojovania a pomoc je nasmerovaná výskumným a priemyselným subjektom, z EDF budú profitovať aj ozbrojené sily ČŠ EÚ, ktoré budú koncovým užívateľom nových alebo modernizovaných spôsobilostí finančne podporených z EDF.</w:t>
            </w:r>
          </w:p>
        </w:tc>
      </w:tr>
      <w:tr w:rsidR="00201706" w:rsidTr="00687C5F">
        <w:trPr>
          <w:cantSplit/>
        </w:trPr>
        <w:tc>
          <w:tcPr>
            <w:tcW w:w="652" w:type="dxa"/>
            <w:tcBorders>
              <w:bottom w:val="single" w:sz="4" w:space="0" w:color="auto"/>
              <w:right w:val="nil"/>
            </w:tcBorders>
            <w:shd w:val="clear" w:color="auto" w:fill="auto"/>
            <w:tcMar>
              <w:top w:w="85" w:type="dxa"/>
              <w:left w:w="85" w:type="dxa"/>
              <w:bottom w:w="85" w:type="dxa"/>
            </w:tcMar>
          </w:tcPr>
          <w:p w:rsidR="00201706" w:rsidRDefault="00201706" w:rsidP="00201706">
            <w:pPr>
              <w:pStyle w:val="Odsekzoznamu"/>
              <w:numPr>
                <w:ilvl w:val="0"/>
                <w:numId w:val="20"/>
              </w:numPr>
              <w:spacing w:after="0"/>
              <w:ind w:left="426"/>
              <w:rPr>
                <w:b/>
                <w:noProof/>
                <w:sz w:val="20"/>
              </w:rPr>
            </w:pPr>
          </w:p>
        </w:tc>
        <w:tc>
          <w:tcPr>
            <w:tcW w:w="4588" w:type="dxa"/>
            <w:tcBorders>
              <w:bottom w:val="single" w:sz="4" w:space="0" w:color="auto"/>
            </w:tcBorders>
            <w:shd w:val="clear" w:color="auto" w:fill="EEECE1" w:themeFill="background2"/>
            <w:tcMar>
              <w:top w:w="85" w:type="dxa"/>
              <w:left w:w="85" w:type="dxa"/>
              <w:bottom w:w="85" w:type="dxa"/>
            </w:tcMar>
          </w:tcPr>
          <w:p w:rsidR="00201706" w:rsidRDefault="00201706" w:rsidP="00201706">
            <w:pPr>
              <w:spacing w:after="0"/>
              <w:rPr>
                <w:noProof/>
                <w:sz w:val="20"/>
              </w:rPr>
            </w:pPr>
            <w:r>
              <w:rPr>
                <w:noProof/>
                <w:sz w:val="20"/>
              </w:rPr>
              <w:t>Návrh NARIADENIE EURÓPSKEHO PARLAMENTU A RADY, ktorým sa stanovuje Vesmírny program Únie a zriaďuje Agentúra Európskej únie pre vesmírny program a ktorým sa zrušujú nariadenia (EÚ) č. 912/2010, (EÚ) č. 1285/2013, (EÚ) č. 377/2014 a rozhodnutie č. 541/2014/EÚ</w:t>
            </w:r>
          </w:p>
        </w:tc>
        <w:tc>
          <w:tcPr>
            <w:tcW w:w="1985" w:type="dxa"/>
            <w:tcBorders>
              <w:bottom w:val="single" w:sz="4" w:space="0" w:color="auto"/>
            </w:tcBorders>
            <w:tcMar>
              <w:top w:w="85" w:type="dxa"/>
              <w:left w:w="85" w:type="dxa"/>
              <w:bottom w:w="85" w:type="dxa"/>
            </w:tcMar>
          </w:tcPr>
          <w:p w:rsidR="00201706" w:rsidRDefault="00201706" w:rsidP="00201706">
            <w:pPr>
              <w:spacing w:after="0"/>
              <w:jc w:val="left"/>
              <w:rPr>
                <w:noProof/>
                <w:sz w:val="20"/>
              </w:rPr>
            </w:pPr>
            <w:r>
              <w:rPr>
                <w:noProof/>
                <w:sz w:val="20"/>
              </w:rPr>
              <w:t>COM(2018) 447 final.</w:t>
            </w:r>
            <w:r>
              <w:rPr>
                <w:noProof/>
                <w:sz w:val="20"/>
              </w:rPr>
              <w:br/>
              <w:t>2018/0236 (COD)</w:t>
            </w:r>
            <w:r>
              <w:rPr>
                <w:noProof/>
                <w:sz w:val="20"/>
              </w:rPr>
              <w:br/>
              <w:t>8. 6. 2018</w:t>
            </w:r>
          </w:p>
        </w:tc>
        <w:tc>
          <w:tcPr>
            <w:tcW w:w="1417" w:type="dxa"/>
            <w:tcBorders>
              <w:bottom w:val="single" w:sz="4" w:space="0" w:color="auto"/>
            </w:tcBorders>
          </w:tcPr>
          <w:p w:rsidR="00201706" w:rsidRDefault="005A5D83" w:rsidP="00CF3A0F">
            <w:pPr>
              <w:spacing w:after="0"/>
              <w:jc w:val="center"/>
              <w:rPr>
                <w:noProof/>
                <w:sz w:val="20"/>
              </w:rPr>
            </w:pPr>
            <w:r>
              <w:rPr>
                <w:b/>
                <w:sz w:val="20"/>
              </w:rPr>
              <w:t xml:space="preserve">MŠVVaŠ </w:t>
            </w:r>
            <w:r w:rsidR="00201706" w:rsidRPr="002E6BBF">
              <w:rPr>
                <w:b/>
                <w:sz w:val="20"/>
              </w:rPr>
              <w:t xml:space="preserve"> SR</w:t>
            </w:r>
          </w:p>
        </w:tc>
        <w:tc>
          <w:tcPr>
            <w:tcW w:w="6095" w:type="dxa"/>
            <w:tcBorders>
              <w:bottom w:val="single" w:sz="4" w:space="0" w:color="auto"/>
            </w:tcBorders>
          </w:tcPr>
          <w:p w:rsidR="00201706" w:rsidRDefault="00201706" w:rsidP="00201706">
            <w:pPr>
              <w:rPr>
                <w:sz w:val="20"/>
              </w:rPr>
            </w:pPr>
            <w:r w:rsidRPr="00D15665">
              <w:rPr>
                <w:b/>
                <w:sz w:val="20"/>
                <w:u w:val="single"/>
              </w:rPr>
              <w:t>Vysoká priorita</w:t>
            </w:r>
            <w:r>
              <w:rPr>
                <w:sz w:val="20"/>
              </w:rPr>
              <w:t xml:space="preserve"> - </w:t>
            </w:r>
            <w:r w:rsidRPr="00E63768">
              <w:rPr>
                <w:sz w:val="20"/>
              </w:rPr>
              <w:t xml:space="preserve">SR so zdôvodnením: Slovenská republika nemá výhrady k </w:t>
            </w:r>
            <w:r w:rsidRPr="00E63768">
              <w:rPr>
                <w:noProof/>
                <w:sz w:val="20"/>
              </w:rPr>
              <w:t>návrhu nariadenia EP a Rady.</w:t>
            </w:r>
            <w:r>
              <w:rPr>
                <w:noProof/>
                <w:sz w:val="20"/>
              </w:rPr>
              <w:t xml:space="preserve"> </w:t>
            </w:r>
            <w:r w:rsidRPr="002C5EA3">
              <w:rPr>
                <w:noProof/>
                <w:spacing w:val="-4"/>
                <w:sz w:val="20"/>
              </w:rPr>
              <w:t xml:space="preserve">Návrh je súčasťou opatrení nadväzujúcich na EVS z roku 2016. Všetky činnosti EÚ v tejto vysoko strategickej oblasti sa zlúčia v plne integrovanom vesmírnom programe, ktorý zastrešuje systémy Copernicus, Galileo/EGNOS, SSA/SST,novú iniciatívu GovSatCom, nosiče a medzinárodnú spoluprácu s celkovým rozpočtom vyše 16 mld. eur. Tým sa zabezpečí súdržný rámec pre budúce investície ponúkajúci väčšiu viditeľnosť a flexibilitu. Zlepšenie efektivity v konečnom dôsledku pomôže pri zavádzaní nových služieb opierajúcich sa o vesmírne technológie, ktoré budú prínosom pre všetkých občanov EÚ. V rámci vesmírneho programu sa zakladá „Európska agentúra pre vesmírny program“ rozšírením právomocí bývalej </w:t>
            </w:r>
            <w:r>
              <w:rPr>
                <w:rStyle w:val="Zvraznenie"/>
                <w:sz w:val="20"/>
              </w:rPr>
              <w:t>agentúry</w:t>
            </w:r>
            <w:r w:rsidRPr="002C5EA3">
              <w:rPr>
                <w:rStyle w:val="st1"/>
                <w:sz w:val="20"/>
              </w:rPr>
              <w:t xml:space="preserve"> pre európsky globálny navigačný satelitný systém </w:t>
            </w:r>
            <w:r>
              <w:rPr>
                <w:noProof/>
                <w:spacing w:val="-4"/>
                <w:sz w:val="20"/>
              </w:rPr>
              <w:t>(</w:t>
            </w:r>
            <w:r w:rsidRPr="002C5EA3">
              <w:rPr>
                <w:noProof/>
                <w:spacing w:val="-4"/>
                <w:sz w:val="20"/>
              </w:rPr>
              <w:t>GSA</w:t>
            </w:r>
            <w:r>
              <w:rPr>
                <w:noProof/>
                <w:spacing w:val="-4"/>
                <w:sz w:val="20"/>
              </w:rPr>
              <w:t>)</w:t>
            </w:r>
            <w:r w:rsidRPr="002C5EA3">
              <w:rPr>
                <w:noProof/>
                <w:spacing w:val="-4"/>
                <w:sz w:val="20"/>
              </w:rPr>
              <w:t xml:space="preserve"> v Prahe.</w:t>
            </w:r>
          </w:p>
        </w:tc>
      </w:tr>
      <w:tr w:rsidR="00201706" w:rsidTr="00687C5F">
        <w:trPr>
          <w:cantSplit/>
        </w:trPr>
        <w:tc>
          <w:tcPr>
            <w:tcW w:w="7225" w:type="dxa"/>
            <w:gridSpan w:val="3"/>
            <w:shd w:val="clear" w:color="auto" w:fill="F68A42" w:themeFill="accent3"/>
            <w:tcMar>
              <w:top w:w="85" w:type="dxa"/>
              <w:left w:w="85" w:type="dxa"/>
              <w:bottom w:w="85" w:type="dxa"/>
              <w:right w:w="85" w:type="dxa"/>
            </w:tcMar>
          </w:tcPr>
          <w:p w:rsidR="00201706" w:rsidRDefault="00201706" w:rsidP="00201706">
            <w:pPr>
              <w:spacing w:before="60" w:after="60"/>
              <w:rPr>
                <w:noProof/>
                <w:sz w:val="20"/>
              </w:rPr>
            </w:pPr>
            <w:r>
              <w:rPr>
                <w:b/>
                <w:bCs/>
                <w:noProof/>
                <w:color w:val="FFFFFF" w:themeColor="background1"/>
                <w:sz w:val="20"/>
              </w:rPr>
              <w:t>Hospodárstvo, ktoré pracuje v prospech ľudí</w:t>
            </w:r>
          </w:p>
        </w:tc>
        <w:tc>
          <w:tcPr>
            <w:tcW w:w="1417" w:type="dxa"/>
            <w:shd w:val="clear" w:color="auto" w:fill="F68A42" w:themeFill="accent3"/>
          </w:tcPr>
          <w:p w:rsidR="00201706" w:rsidRDefault="00201706" w:rsidP="00201706">
            <w:pPr>
              <w:spacing w:before="60" w:after="60"/>
              <w:rPr>
                <w:b/>
                <w:bCs/>
                <w:noProof/>
                <w:color w:val="FFFFFF" w:themeColor="background1"/>
                <w:sz w:val="20"/>
              </w:rPr>
            </w:pPr>
          </w:p>
        </w:tc>
        <w:tc>
          <w:tcPr>
            <w:tcW w:w="6095" w:type="dxa"/>
            <w:shd w:val="clear" w:color="auto" w:fill="F68A42" w:themeFill="accent3"/>
          </w:tcPr>
          <w:p w:rsidR="00201706" w:rsidRDefault="00201706" w:rsidP="00201706">
            <w:pPr>
              <w:spacing w:before="60" w:after="60"/>
              <w:rPr>
                <w:b/>
                <w:bCs/>
                <w:noProof/>
                <w:color w:val="FFFFFF" w:themeColor="background1"/>
                <w:sz w:val="20"/>
              </w:rPr>
            </w:pPr>
          </w:p>
        </w:tc>
      </w:tr>
      <w:tr w:rsidR="00201706" w:rsidTr="00687C5F">
        <w:trPr>
          <w:cantSplit/>
        </w:trPr>
        <w:tc>
          <w:tcPr>
            <w:tcW w:w="652" w:type="dxa"/>
            <w:tcBorders>
              <w:right w:val="nil"/>
            </w:tcBorders>
            <w:shd w:val="clear" w:color="auto" w:fill="auto"/>
            <w:tcMar>
              <w:top w:w="85" w:type="dxa"/>
              <w:left w:w="85" w:type="dxa"/>
              <w:bottom w:w="85" w:type="dxa"/>
            </w:tcMar>
          </w:tcPr>
          <w:p w:rsidR="00201706" w:rsidRDefault="00201706" w:rsidP="00201706">
            <w:pPr>
              <w:pStyle w:val="Odsekzoznamu"/>
              <w:numPr>
                <w:ilvl w:val="0"/>
                <w:numId w:val="20"/>
              </w:numPr>
              <w:spacing w:after="0"/>
              <w:ind w:left="426"/>
              <w:rPr>
                <w:b/>
                <w:noProof/>
                <w:sz w:val="20"/>
              </w:rPr>
            </w:pPr>
          </w:p>
        </w:tc>
        <w:tc>
          <w:tcPr>
            <w:tcW w:w="4588" w:type="dxa"/>
            <w:shd w:val="clear" w:color="auto" w:fill="auto"/>
            <w:tcMar>
              <w:top w:w="85" w:type="dxa"/>
              <w:left w:w="85" w:type="dxa"/>
              <w:bottom w:w="85" w:type="dxa"/>
            </w:tcMar>
          </w:tcPr>
          <w:p w:rsidR="00201706" w:rsidRDefault="00201706" w:rsidP="00201706">
            <w:pPr>
              <w:spacing w:after="0"/>
              <w:rPr>
                <w:noProof/>
                <w:sz w:val="20"/>
              </w:rPr>
            </w:pPr>
            <w:r>
              <w:rPr>
                <w:noProof/>
                <w:sz w:val="20"/>
              </w:rPr>
              <w:t>Návrh SMERNICA RADY, ktorou sa prijímajú ustanovenia týkajúce sa posilnenia fiškálnej zodpovednosti a strednodobého rozpočtového smerovania v členských štátoch</w:t>
            </w:r>
            <w:r>
              <w:rPr>
                <w:b/>
                <w:bCs/>
                <w:noProof/>
                <w:sz w:val="20"/>
              </w:rPr>
              <w:t xml:space="preserve"> </w:t>
            </w:r>
          </w:p>
        </w:tc>
        <w:tc>
          <w:tcPr>
            <w:tcW w:w="1985" w:type="dxa"/>
            <w:tcMar>
              <w:top w:w="85" w:type="dxa"/>
              <w:left w:w="85" w:type="dxa"/>
              <w:bottom w:w="85" w:type="dxa"/>
            </w:tcMar>
          </w:tcPr>
          <w:p w:rsidR="00201706" w:rsidRDefault="00201706" w:rsidP="00201706">
            <w:pPr>
              <w:spacing w:after="0"/>
              <w:jc w:val="left"/>
              <w:rPr>
                <w:noProof/>
                <w:sz w:val="20"/>
              </w:rPr>
            </w:pPr>
            <w:r>
              <w:rPr>
                <w:noProof/>
                <w:sz w:val="20"/>
              </w:rPr>
              <w:t>COM(2017) 824 final.</w:t>
            </w:r>
            <w:r>
              <w:rPr>
                <w:noProof/>
                <w:sz w:val="20"/>
              </w:rPr>
              <w:br/>
              <w:t>2017/0335 (NLE)</w:t>
            </w:r>
            <w:r>
              <w:rPr>
                <w:noProof/>
                <w:sz w:val="20"/>
              </w:rPr>
              <w:br/>
              <w:t>6. 12. 2017</w:t>
            </w:r>
          </w:p>
        </w:tc>
        <w:tc>
          <w:tcPr>
            <w:tcW w:w="1417" w:type="dxa"/>
          </w:tcPr>
          <w:p w:rsidR="00201706" w:rsidRPr="00865FF8" w:rsidRDefault="00201706" w:rsidP="00201706">
            <w:pPr>
              <w:spacing w:after="0"/>
              <w:jc w:val="center"/>
              <w:rPr>
                <w:b/>
                <w:sz w:val="20"/>
              </w:rPr>
            </w:pPr>
            <w:r w:rsidRPr="00865FF8">
              <w:rPr>
                <w:b/>
                <w:sz w:val="20"/>
              </w:rPr>
              <w:t>MF SR</w:t>
            </w:r>
          </w:p>
        </w:tc>
        <w:tc>
          <w:tcPr>
            <w:tcW w:w="6095" w:type="dxa"/>
          </w:tcPr>
          <w:p w:rsidR="00201706" w:rsidRDefault="00201706" w:rsidP="00201706">
            <w:pPr>
              <w:spacing w:after="0"/>
              <w:rPr>
                <w:b/>
                <w:sz w:val="20"/>
              </w:rPr>
            </w:pPr>
            <w:r>
              <w:rPr>
                <w:b/>
                <w:sz w:val="20"/>
                <w:u w:val="single"/>
              </w:rPr>
              <w:t xml:space="preserve">Nízka </w:t>
            </w:r>
            <w:r w:rsidRPr="00FE4DFD">
              <w:rPr>
                <w:b/>
                <w:sz w:val="20"/>
                <w:u w:val="single"/>
              </w:rPr>
              <w:t>priorita</w:t>
            </w:r>
            <w:r>
              <w:rPr>
                <w:sz w:val="20"/>
              </w:rPr>
              <w:t xml:space="preserve"> - 6. decembra 2017 EK predložila legislatívny návrh smernice pre účely transpozície</w:t>
            </w:r>
            <w:r w:rsidRPr="00CF4459">
              <w:rPr>
                <w:sz w:val="20"/>
              </w:rPr>
              <w:t xml:space="preserve"> Zmluvy o stabilite, koordinácii a správe v hospodárskej a menovej únii (TSCG) do právneho rámca EÚ (Hlava III – Fiškálny kompakt).</w:t>
            </w:r>
            <w:r>
              <w:rPr>
                <w:sz w:val="20"/>
              </w:rPr>
              <w:t xml:space="preserve"> Väčšina členských štátov však návrh EK odmietla. </w:t>
            </w:r>
            <w:r w:rsidRPr="00A90D2B">
              <w:rPr>
                <w:sz w:val="20"/>
              </w:rPr>
              <w:t xml:space="preserve">SR </w:t>
            </w:r>
            <w:r>
              <w:rPr>
                <w:sz w:val="20"/>
              </w:rPr>
              <w:t xml:space="preserve">vo šveobecnosti </w:t>
            </w:r>
            <w:r w:rsidRPr="00A90D2B">
              <w:rPr>
                <w:sz w:val="20"/>
              </w:rPr>
              <w:t>podporuje snahy o začlenenie Zmluvy o stabilite, koordinácii a správe v hospodárskej a menovej únii (TSCG) do právneho rámca EÚ. Navrhovaná smernica sa však vo viacerých častiach odlišuje od jej pôvodného znenia. Smernica zároveň nepopisuje jasne, či a akým spôsobom by mala byť zmenená súčasná národná legislatíva, ktorou sa transponovalo pôvodné znenie TSCG (Zákon č. 523/2004 Z.z. o rozpočtových pravidlách verejnej správy  a o zmene a doplnení niektorých zákonov).</w:t>
            </w:r>
          </w:p>
        </w:tc>
      </w:tr>
      <w:tr w:rsidR="00201706" w:rsidTr="00687C5F">
        <w:trPr>
          <w:cantSplit/>
        </w:trPr>
        <w:tc>
          <w:tcPr>
            <w:tcW w:w="652" w:type="dxa"/>
            <w:tcBorders>
              <w:right w:val="nil"/>
            </w:tcBorders>
            <w:shd w:val="clear" w:color="auto" w:fill="auto"/>
            <w:tcMar>
              <w:top w:w="85" w:type="dxa"/>
              <w:left w:w="85" w:type="dxa"/>
              <w:bottom w:w="85" w:type="dxa"/>
            </w:tcMar>
          </w:tcPr>
          <w:p w:rsidR="00201706" w:rsidRDefault="00201706" w:rsidP="00201706">
            <w:pPr>
              <w:pStyle w:val="Odsekzoznamu"/>
              <w:numPr>
                <w:ilvl w:val="0"/>
                <w:numId w:val="20"/>
              </w:numPr>
              <w:spacing w:after="0"/>
              <w:ind w:left="426"/>
              <w:rPr>
                <w:b/>
                <w:noProof/>
                <w:sz w:val="20"/>
              </w:rPr>
            </w:pPr>
          </w:p>
        </w:tc>
        <w:tc>
          <w:tcPr>
            <w:tcW w:w="4588" w:type="dxa"/>
            <w:shd w:val="clear" w:color="auto" w:fill="auto"/>
            <w:tcMar>
              <w:top w:w="85" w:type="dxa"/>
              <w:left w:w="85" w:type="dxa"/>
              <w:bottom w:w="85" w:type="dxa"/>
            </w:tcMar>
          </w:tcPr>
          <w:p w:rsidR="00201706" w:rsidRDefault="00201706" w:rsidP="00201706">
            <w:pPr>
              <w:spacing w:after="0"/>
              <w:rPr>
                <w:noProof/>
                <w:sz w:val="20"/>
              </w:rPr>
            </w:pPr>
            <w:r>
              <w:rPr>
                <w:noProof/>
                <w:sz w:val="20"/>
              </w:rPr>
              <w:t>Návrh NARIADENIE EURÓPSKEHO PARLAMENTU A RADY, ktorým sa mení nariadenie (EÚ) č. 806/2014 s cieľom vytvoriť európsky systém ochrany vkladov</w:t>
            </w:r>
          </w:p>
        </w:tc>
        <w:tc>
          <w:tcPr>
            <w:tcW w:w="1985" w:type="dxa"/>
            <w:tcMar>
              <w:top w:w="85" w:type="dxa"/>
              <w:left w:w="85" w:type="dxa"/>
              <w:bottom w:w="85" w:type="dxa"/>
            </w:tcMar>
          </w:tcPr>
          <w:p w:rsidR="00201706" w:rsidRDefault="00201706" w:rsidP="00201706">
            <w:pPr>
              <w:spacing w:after="0"/>
              <w:jc w:val="left"/>
              <w:rPr>
                <w:noProof/>
                <w:sz w:val="20"/>
              </w:rPr>
            </w:pPr>
            <w:r>
              <w:rPr>
                <w:noProof/>
                <w:sz w:val="20"/>
              </w:rPr>
              <w:t>COM(2015) 586 final.</w:t>
            </w:r>
            <w:r>
              <w:rPr>
                <w:noProof/>
                <w:sz w:val="20"/>
              </w:rPr>
              <w:br/>
              <w:t>2015/0270 (COD)</w:t>
            </w:r>
            <w:r>
              <w:rPr>
                <w:noProof/>
                <w:sz w:val="20"/>
              </w:rPr>
              <w:br/>
              <w:t>24. 11. 2015</w:t>
            </w:r>
          </w:p>
        </w:tc>
        <w:tc>
          <w:tcPr>
            <w:tcW w:w="1417" w:type="dxa"/>
          </w:tcPr>
          <w:p w:rsidR="00201706" w:rsidRPr="00865FF8" w:rsidRDefault="00201706" w:rsidP="00201706">
            <w:pPr>
              <w:spacing w:after="0"/>
              <w:jc w:val="center"/>
              <w:rPr>
                <w:b/>
                <w:sz w:val="20"/>
              </w:rPr>
            </w:pPr>
            <w:r w:rsidRPr="00865FF8">
              <w:rPr>
                <w:b/>
                <w:sz w:val="20"/>
              </w:rPr>
              <w:t>MF SR</w:t>
            </w:r>
          </w:p>
        </w:tc>
        <w:tc>
          <w:tcPr>
            <w:tcW w:w="6095" w:type="dxa"/>
          </w:tcPr>
          <w:p w:rsidR="00201706" w:rsidRPr="00522CE7" w:rsidRDefault="00201706" w:rsidP="00201706">
            <w:pPr>
              <w:spacing w:after="0"/>
              <w:rPr>
                <w:sz w:val="20"/>
                <w:highlight w:val="yellow"/>
              </w:rPr>
            </w:pPr>
            <w:r>
              <w:rPr>
                <w:b/>
                <w:sz w:val="20"/>
                <w:u w:val="single"/>
              </w:rPr>
              <w:t xml:space="preserve">Stredná </w:t>
            </w:r>
            <w:r w:rsidRPr="00FE4DFD">
              <w:rPr>
                <w:b/>
                <w:sz w:val="20"/>
                <w:u w:val="single"/>
              </w:rPr>
              <w:t>priorita</w:t>
            </w:r>
            <w:r>
              <w:rPr>
                <w:sz w:val="20"/>
              </w:rPr>
              <w:t xml:space="preserve"> - </w:t>
            </w:r>
            <w:r w:rsidRPr="00522CE7">
              <w:rPr>
                <w:sz w:val="20"/>
              </w:rPr>
              <w:t>Slovenská republika už dlhodobo podporuje dobudovanie Bankovej únie pomocou tretieho piliera Bankovej únie. Podmienkou pre úspešný pokrok pri jej dobudovaní je zachovávanie a zlepšovanie finančnej stability. Banková únia vznikla ako odpoveď na finančnú krízu. Preto musí pri všetkých súčasných a budúcich zmenách zachovávať vysokú úroveň integrity finančného trhu. Z tohto dôvodu je potrebné neustále poukazovať na potrebu znižovať riziká v bankovom sektore a zabrániť tak vytváraniu systémových rizík v bankoom sektore  s možnými dopadmi na reálnu ekonomiku štátov EÚ.</w:t>
            </w:r>
          </w:p>
        </w:tc>
      </w:tr>
      <w:tr w:rsidR="00201706" w:rsidTr="00687C5F">
        <w:trPr>
          <w:cantSplit/>
        </w:trPr>
        <w:tc>
          <w:tcPr>
            <w:tcW w:w="652" w:type="dxa"/>
            <w:tcBorders>
              <w:right w:val="nil"/>
            </w:tcBorders>
            <w:shd w:val="clear" w:color="auto" w:fill="auto"/>
            <w:tcMar>
              <w:top w:w="85" w:type="dxa"/>
              <w:left w:w="85" w:type="dxa"/>
              <w:bottom w:w="85" w:type="dxa"/>
            </w:tcMar>
          </w:tcPr>
          <w:p w:rsidR="00201706" w:rsidRDefault="00201706" w:rsidP="00201706">
            <w:pPr>
              <w:pStyle w:val="Odsekzoznamu"/>
              <w:numPr>
                <w:ilvl w:val="0"/>
                <w:numId w:val="20"/>
              </w:numPr>
              <w:spacing w:after="0"/>
              <w:ind w:left="426"/>
              <w:rPr>
                <w:b/>
                <w:noProof/>
                <w:sz w:val="20"/>
              </w:rPr>
            </w:pPr>
          </w:p>
        </w:tc>
        <w:tc>
          <w:tcPr>
            <w:tcW w:w="4588" w:type="dxa"/>
            <w:shd w:val="clear" w:color="auto" w:fill="auto"/>
            <w:tcMar>
              <w:top w:w="85" w:type="dxa"/>
              <w:left w:w="85" w:type="dxa"/>
              <w:bottom w:w="85" w:type="dxa"/>
            </w:tcMar>
          </w:tcPr>
          <w:p w:rsidR="00201706" w:rsidRDefault="00201706" w:rsidP="00201706">
            <w:pPr>
              <w:spacing w:after="0"/>
              <w:rPr>
                <w:noProof/>
                <w:sz w:val="20"/>
              </w:rPr>
            </w:pPr>
            <w:r>
              <w:rPr>
                <w:noProof/>
                <w:sz w:val="20"/>
              </w:rPr>
              <w:t>Návrh NARIADENIE EURÓPSKEHO PARLAMENTU A RADY o cenných papieroch zabezpečených štátnymi dlhopismi</w:t>
            </w:r>
          </w:p>
        </w:tc>
        <w:tc>
          <w:tcPr>
            <w:tcW w:w="1985" w:type="dxa"/>
            <w:tcMar>
              <w:top w:w="85" w:type="dxa"/>
              <w:left w:w="85" w:type="dxa"/>
              <w:bottom w:w="85" w:type="dxa"/>
            </w:tcMar>
          </w:tcPr>
          <w:p w:rsidR="00201706" w:rsidRDefault="00201706" w:rsidP="00201706">
            <w:pPr>
              <w:spacing w:after="0"/>
              <w:jc w:val="left"/>
              <w:rPr>
                <w:noProof/>
                <w:sz w:val="20"/>
              </w:rPr>
            </w:pPr>
            <w:r>
              <w:rPr>
                <w:noProof/>
                <w:sz w:val="20"/>
              </w:rPr>
              <w:t>COM(2018) 339 final.</w:t>
            </w:r>
            <w:r>
              <w:rPr>
                <w:noProof/>
                <w:sz w:val="20"/>
              </w:rPr>
              <w:br/>
              <w:t>2018/0171 (COD)</w:t>
            </w:r>
            <w:r>
              <w:rPr>
                <w:noProof/>
                <w:sz w:val="20"/>
              </w:rPr>
              <w:br/>
              <w:t>24. 5. 2018</w:t>
            </w:r>
          </w:p>
        </w:tc>
        <w:tc>
          <w:tcPr>
            <w:tcW w:w="1417" w:type="dxa"/>
          </w:tcPr>
          <w:p w:rsidR="00201706" w:rsidRPr="00865FF8" w:rsidRDefault="00201706" w:rsidP="00201706">
            <w:pPr>
              <w:spacing w:after="0"/>
              <w:jc w:val="center"/>
              <w:rPr>
                <w:b/>
                <w:sz w:val="20"/>
              </w:rPr>
            </w:pPr>
            <w:r w:rsidRPr="00865FF8">
              <w:rPr>
                <w:b/>
                <w:sz w:val="20"/>
              </w:rPr>
              <w:t>MF SR</w:t>
            </w:r>
          </w:p>
        </w:tc>
        <w:tc>
          <w:tcPr>
            <w:tcW w:w="6095" w:type="dxa"/>
          </w:tcPr>
          <w:p w:rsidR="00201706" w:rsidRDefault="00201706" w:rsidP="00201706">
            <w:pPr>
              <w:spacing w:after="0"/>
              <w:rPr>
                <w:b/>
                <w:sz w:val="20"/>
              </w:rPr>
            </w:pPr>
            <w:r>
              <w:rPr>
                <w:b/>
                <w:sz w:val="20"/>
                <w:u w:val="single"/>
              </w:rPr>
              <w:t xml:space="preserve">Stredná </w:t>
            </w:r>
            <w:r w:rsidRPr="00FE4DFD">
              <w:rPr>
                <w:b/>
                <w:sz w:val="20"/>
                <w:u w:val="single"/>
              </w:rPr>
              <w:t>priorita</w:t>
            </w:r>
            <w:r>
              <w:rPr>
                <w:sz w:val="20"/>
              </w:rPr>
              <w:t xml:space="preserve"> - </w:t>
            </w:r>
            <w:r w:rsidRPr="00B65E0C">
              <w:rPr>
                <w:sz w:val="20"/>
              </w:rPr>
              <w:t>Slovenská republika podporuje opatrenia na zmierňovanie prepojenia bankového sektora a štátov s potrebou vytvorenia dostatočného objemu vysoko kvalitných aktív. Avšak návrh tohto nariadenia je z pohľadu Slovenskej republiky vnímaný veľmi citlivo – návrh má viaceré nedostatky, ktoré je potrebné vyriešiť pred ďalším pokrokom. V tomto smere Slovenská republika presadzuje také znenie legislatívneho textu, ktoré prispejú k jednoduchej aplikácii nariadenia, eliminácii súvisiacej administratívnej aj vykazovacej záťaži pri zachovaní adekvátnej ochrany investorov a v kontexte správneho fungovanania kapitálových trhov a pri zabezepečení dostatočnej úrovne finančnej stability.</w:t>
            </w:r>
          </w:p>
        </w:tc>
      </w:tr>
      <w:tr w:rsidR="00201706" w:rsidTr="00687C5F">
        <w:trPr>
          <w:cantSplit/>
        </w:trPr>
        <w:tc>
          <w:tcPr>
            <w:tcW w:w="652" w:type="dxa"/>
            <w:tcBorders>
              <w:right w:val="nil"/>
            </w:tcBorders>
            <w:shd w:val="clear" w:color="auto" w:fill="auto"/>
            <w:tcMar>
              <w:top w:w="85" w:type="dxa"/>
              <w:left w:w="85" w:type="dxa"/>
              <w:bottom w:w="85" w:type="dxa"/>
            </w:tcMar>
          </w:tcPr>
          <w:p w:rsidR="00201706" w:rsidRDefault="00201706" w:rsidP="00201706">
            <w:pPr>
              <w:pStyle w:val="Odsekzoznamu"/>
              <w:numPr>
                <w:ilvl w:val="0"/>
                <w:numId w:val="20"/>
              </w:numPr>
              <w:spacing w:after="0"/>
              <w:ind w:left="426"/>
              <w:rPr>
                <w:b/>
                <w:noProof/>
                <w:sz w:val="20"/>
              </w:rPr>
            </w:pPr>
          </w:p>
        </w:tc>
        <w:tc>
          <w:tcPr>
            <w:tcW w:w="4588" w:type="dxa"/>
            <w:shd w:val="clear" w:color="auto" w:fill="auto"/>
            <w:tcMar>
              <w:top w:w="85" w:type="dxa"/>
              <w:left w:w="85" w:type="dxa"/>
              <w:bottom w:w="85" w:type="dxa"/>
            </w:tcMar>
          </w:tcPr>
          <w:p w:rsidR="00201706" w:rsidRDefault="00201706" w:rsidP="00201706">
            <w:pPr>
              <w:spacing w:after="0"/>
              <w:rPr>
                <w:noProof/>
                <w:sz w:val="20"/>
              </w:rPr>
            </w:pPr>
            <w:r>
              <w:rPr>
                <w:noProof/>
                <w:sz w:val="20"/>
              </w:rPr>
              <w:t>Návrh SMERNICA EURÓPSKEHO PARLAMENTU A RADY o správcoch úverov, nákupcoch úverov a vymáhaní kolaterálu</w:t>
            </w:r>
          </w:p>
        </w:tc>
        <w:tc>
          <w:tcPr>
            <w:tcW w:w="1985" w:type="dxa"/>
            <w:tcMar>
              <w:top w:w="85" w:type="dxa"/>
              <w:left w:w="85" w:type="dxa"/>
              <w:bottom w:w="85" w:type="dxa"/>
            </w:tcMar>
          </w:tcPr>
          <w:p w:rsidR="00201706" w:rsidRDefault="00201706" w:rsidP="00201706">
            <w:pPr>
              <w:spacing w:after="0"/>
              <w:jc w:val="left"/>
              <w:rPr>
                <w:noProof/>
                <w:sz w:val="20"/>
              </w:rPr>
            </w:pPr>
            <w:r>
              <w:rPr>
                <w:noProof/>
                <w:sz w:val="20"/>
              </w:rPr>
              <w:t>COM(2018) 135 final.</w:t>
            </w:r>
            <w:r>
              <w:rPr>
                <w:noProof/>
                <w:sz w:val="20"/>
              </w:rPr>
              <w:br/>
              <w:t>2018/0063 (COD)</w:t>
            </w:r>
            <w:r>
              <w:rPr>
                <w:noProof/>
                <w:sz w:val="20"/>
              </w:rPr>
              <w:br/>
              <w:t>14. 3. 2018</w:t>
            </w:r>
          </w:p>
        </w:tc>
        <w:tc>
          <w:tcPr>
            <w:tcW w:w="1417" w:type="dxa"/>
          </w:tcPr>
          <w:p w:rsidR="00201706" w:rsidRDefault="00201706" w:rsidP="00201706">
            <w:pPr>
              <w:spacing w:after="0"/>
              <w:jc w:val="center"/>
              <w:rPr>
                <w:b/>
                <w:noProof/>
                <w:sz w:val="20"/>
              </w:rPr>
            </w:pPr>
            <w:r>
              <w:rPr>
                <w:b/>
                <w:noProof/>
                <w:sz w:val="20"/>
              </w:rPr>
              <w:t>MF SR</w:t>
            </w:r>
          </w:p>
          <w:p w:rsidR="00201706" w:rsidRPr="009D4C5D" w:rsidRDefault="00201706" w:rsidP="00201706">
            <w:pPr>
              <w:spacing w:after="0"/>
              <w:jc w:val="center"/>
              <w:rPr>
                <w:b/>
                <w:noProof/>
                <w:sz w:val="20"/>
              </w:rPr>
            </w:pPr>
            <w:r w:rsidRPr="009D4C5D">
              <w:rPr>
                <w:b/>
                <w:noProof/>
                <w:sz w:val="20"/>
              </w:rPr>
              <w:t>MS SR</w:t>
            </w:r>
          </w:p>
        </w:tc>
        <w:tc>
          <w:tcPr>
            <w:tcW w:w="6095" w:type="dxa"/>
          </w:tcPr>
          <w:p w:rsidR="00201706" w:rsidRPr="00B37A6A" w:rsidRDefault="00201706" w:rsidP="00201706">
            <w:pPr>
              <w:spacing w:after="0"/>
              <w:rPr>
                <w:b/>
                <w:sz w:val="20"/>
              </w:rPr>
            </w:pPr>
            <w:r>
              <w:rPr>
                <w:b/>
                <w:sz w:val="20"/>
                <w:u w:val="single"/>
              </w:rPr>
              <w:t xml:space="preserve">Stredná </w:t>
            </w:r>
            <w:r w:rsidRPr="00FE4DFD">
              <w:rPr>
                <w:b/>
                <w:sz w:val="20"/>
                <w:u w:val="single"/>
              </w:rPr>
              <w:t>priorita</w:t>
            </w:r>
            <w:r>
              <w:rPr>
                <w:sz w:val="20"/>
              </w:rPr>
              <w:t xml:space="preserve"> - </w:t>
            </w:r>
            <w:r w:rsidRPr="00B37A6A">
              <w:rPr>
                <w:sz w:val="20"/>
              </w:rPr>
              <w:t>SR podporuje návrh tejto smernice a jej ciele, ktorými sa upravujú pravidlá vymáhania kolaterálu a spôsoby fungovania správcov úverov ako i nákupcov úverov čo v konečnom dôsledku napomôže znižovať úroveň nesplácaných úverov v celej EÚ. Legislatívny návrh je v štádiu trialógov a predpokladá sa jeho uzavretie v priebehu roka.</w:t>
            </w:r>
          </w:p>
        </w:tc>
      </w:tr>
      <w:tr w:rsidR="00201706" w:rsidTr="00687C5F">
        <w:trPr>
          <w:cantSplit/>
        </w:trPr>
        <w:tc>
          <w:tcPr>
            <w:tcW w:w="652" w:type="dxa"/>
            <w:tcBorders>
              <w:right w:val="nil"/>
            </w:tcBorders>
            <w:shd w:val="clear" w:color="auto" w:fill="auto"/>
            <w:tcMar>
              <w:top w:w="85" w:type="dxa"/>
              <w:left w:w="85" w:type="dxa"/>
              <w:bottom w:w="85" w:type="dxa"/>
            </w:tcMar>
          </w:tcPr>
          <w:p w:rsidR="00201706" w:rsidRDefault="00201706" w:rsidP="00201706">
            <w:pPr>
              <w:pStyle w:val="Odsekzoznamu"/>
              <w:numPr>
                <w:ilvl w:val="0"/>
                <w:numId w:val="20"/>
              </w:numPr>
              <w:spacing w:after="0"/>
              <w:ind w:left="426"/>
              <w:rPr>
                <w:b/>
                <w:noProof/>
                <w:sz w:val="20"/>
              </w:rPr>
            </w:pPr>
          </w:p>
        </w:tc>
        <w:tc>
          <w:tcPr>
            <w:tcW w:w="4588" w:type="dxa"/>
            <w:shd w:val="clear" w:color="auto" w:fill="auto"/>
            <w:tcMar>
              <w:top w:w="85" w:type="dxa"/>
              <w:left w:w="85" w:type="dxa"/>
              <w:bottom w:w="85" w:type="dxa"/>
            </w:tcMar>
          </w:tcPr>
          <w:p w:rsidR="00201706" w:rsidRDefault="00201706" w:rsidP="00201706">
            <w:pPr>
              <w:spacing w:after="0"/>
              <w:rPr>
                <w:noProof/>
                <w:sz w:val="20"/>
              </w:rPr>
            </w:pPr>
            <w:r>
              <w:rPr>
                <w:noProof/>
                <w:sz w:val="20"/>
              </w:rPr>
              <w:t>Návrh SMERNICA EURÓPSKEHO PARLAMENTU A RADY, ktorou sa mení smernica 2013/34/EÚ, pokiaľ ide o zverejňovanie informácií o dani z príjmu určitými podnikmi a pobočkami</w:t>
            </w:r>
          </w:p>
        </w:tc>
        <w:tc>
          <w:tcPr>
            <w:tcW w:w="1985" w:type="dxa"/>
            <w:tcMar>
              <w:top w:w="85" w:type="dxa"/>
              <w:left w:w="85" w:type="dxa"/>
              <w:bottom w:w="85" w:type="dxa"/>
            </w:tcMar>
          </w:tcPr>
          <w:p w:rsidR="00201706" w:rsidRDefault="00201706" w:rsidP="00201706">
            <w:pPr>
              <w:spacing w:after="0"/>
              <w:jc w:val="left"/>
              <w:rPr>
                <w:noProof/>
                <w:sz w:val="20"/>
              </w:rPr>
            </w:pPr>
            <w:r>
              <w:rPr>
                <w:noProof/>
                <w:sz w:val="20"/>
              </w:rPr>
              <w:t>COM(2016) 198 final.</w:t>
            </w:r>
            <w:r>
              <w:rPr>
                <w:noProof/>
                <w:sz w:val="20"/>
              </w:rPr>
              <w:br/>
              <w:t>2016/0107 (COD)</w:t>
            </w:r>
            <w:r>
              <w:rPr>
                <w:noProof/>
                <w:sz w:val="20"/>
              </w:rPr>
              <w:br/>
              <w:t>13. 4. 2016</w:t>
            </w:r>
          </w:p>
        </w:tc>
        <w:tc>
          <w:tcPr>
            <w:tcW w:w="1417" w:type="dxa"/>
          </w:tcPr>
          <w:p w:rsidR="00201706" w:rsidRDefault="00201706" w:rsidP="00201706">
            <w:pPr>
              <w:spacing w:after="0"/>
              <w:jc w:val="center"/>
              <w:rPr>
                <w:b/>
                <w:noProof/>
                <w:sz w:val="20"/>
              </w:rPr>
            </w:pPr>
            <w:r>
              <w:rPr>
                <w:b/>
                <w:noProof/>
                <w:sz w:val="20"/>
              </w:rPr>
              <w:t>MF SR</w:t>
            </w:r>
          </w:p>
          <w:p w:rsidR="00201706" w:rsidRDefault="00201706" w:rsidP="00201706">
            <w:pPr>
              <w:spacing w:after="0"/>
              <w:jc w:val="center"/>
              <w:rPr>
                <w:noProof/>
                <w:sz w:val="20"/>
              </w:rPr>
            </w:pPr>
          </w:p>
        </w:tc>
        <w:tc>
          <w:tcPr>
            <w:tcW w:w="6095" w:type="dxa"/>
          </w:tcPr>
          <w:p w:rsidR="00201706" w:rsidRPr="00F4187C" w:rsidRDefault="00201706" w:rsidP="00201706">
            <w:pPr>
              <w:spacing w:after="0"/>
              <w:rPr>
                <w:sz w:val="20"/>
              </w:rPr>
            </w:pPr>
            <w:r>
              <w:rPr>
                <w:b/>
                <w:sz w:val="20"/>
                <w:u w:val="single"/>
              </w:rPr>
              <w:t xml:space="preserve">Nízka </w:t>
            </w:r>
            <w:r w:rsidRPr="00FE4DFD">
              <w:rPr>
                <w:b/>
                <w:sz w:val="20"/>
                <w:u w:val="single"/>
              </w:rPr>
              <w:t>priorita</w:t>
            </w:r>
            <w:r>
              <w:rPr>
                <w:sz w:val="20"/>
              </w:rPr>
              <w:t xml:space="preserve"> - </w:t>
            </w:r>
            <w:r w:rsidRPr="001F0B35">
              <w:rPr>
                <w:sz w:val="20"/>
              </w:rPr>
              <w:t>Cieľom návrhu smernice je zvýšiť transparentnosť nadnárodných spoločností zavedením ich povinnosti verejne zverejňovať vybrané informácie týkajúce sa dane z príjmov podľa krajín (EÚ aj mimo EÚ). Keďže smernica sa má vzťahovať na podniky, ktoré majú konsolidovaný čistý obrat viac ako 750 mil. eur a na stredné podniky, ktorých konečná materská spoločnosť so sídlom mimo EÚ má uvedený obrat, nepredpokladá sa významný vplyv na podniky so sídlom v SR. Vo všeobecnosti SR podporuje iniciatívu zameranú na zvyšovanie transparentnosti. Otvorenou otázkou naďalej ostáva správnosť právneho základu.</w:t>
            </w:r>
          </w:p>
        </w:tc>
      </w:tr>
      <w:tr w:rsidR="00201706" w:rsidTr="00687C5F">
        <w:trPr>
          <w:cantSplit/>
        </w:trPr>
        <w:tc>
          <w:tcPr>
            <w:tcW w:w="652" w:type="dxa"/>
            <w:tcBorders>
              <w:right w:val="nil"/>
            </w:tcBorders>
            <w:shd w:val="clear" w:color="auto" w:fill="auto"/>
            <w:tcMar>
              <w:top w:w="85" w:type="dxa"/>
              <w:left w:w="85" w:type="dxa"/>
              <w:bottom w:w="85" w:type="dxa"/>
            </w:tcMar>
          </w:tcPr>
          <w:p w:rsidR="00201706" w:rsidRDefault="00201706" w:rsidP="00201706">
            <w:pPr>
              <w:pStyle w:val="Odsekzoznamu"/>
              <w:numPr>
                <w:ilvl w:val="0"/>
                <w:numId w:val="20"/>
              </w:numPr>
              <w:spacing w:after="0"/>
              <w:ind w:left="426"/>
              <w:rPr>
                <w:b/>
                <w:noProof/>
                <w:sz w:val="20"/>
              </w:rPr>
            </w:pPr>
          </w:p>
        </w:tc>
        <w:tc>
          <w:tcPr>
            <w:tcW w:w="4588" w:type="dxa"/>
            <w:shd w:val="clear" w:color="auto" w:fill="auto"/>
            <w:tcMar>
              <w:top w:w="85" w:type="dxa"/>
              <w:left w:w="85" w:type="dxa"/>
              <w:bottom w:w="85" w:type="dxa"/>
            </w:tcMar>
          </w:tcPr>
          <w:p w:rsidR="00201706" w:rsidRDefault="00201706" w:rsidP="00201706">
            <w:pPr>
              <w:spacing w:after="0"/>
              <w:rPr>
                <w:noProof/>
                <w:sz w:val="20"/>
              </w:rPr>
            </w:pPr>
            <w:r>
              <w:rPr>
                <w:noProof/>
                <w:sz w:val="20"/>
              </w:rPr>
              <w:t>Návrh NARIADENIE EURÓPSKEHO PARLAMENTU A RADY o rámci na ozdravenie a riešenie krízových situácií centrálnych protistrán a o zmene nariadení (EÚ) č. 1095/2010, (EÚ) č. 648/2012 a (EÚ) 2015/2365</w:t>
            </w:r>
          </w:p>
        </w:tc>
        <w:tc>
          <w:tcPr>
            <w:tcW w:w="1985" w:type="dxa"/>
            <w:tcMar>
              <w:top w:w="85" w:type="dxa"/>
              <w:left w:w="85" w:type="dxa"/>
              <w:bottom w:w="85" w:type="dxa"/>
            </w:tcMar>
          </w:tcPr>
          <w:p w:rsidR="00201706" w:rsidRDefault="00201706" w:rsidP="00201706">
            <w:pPr>
              <w:spacing w:after="0"/>
              <w:jc w:val="left"/>
              <w:rPr>
                <w:noProof/>
                <w:sz w:val="20"/>
              </w:rPr>
            </w:pPr>
            <w:r>
              <w:rPr>
                <w:noProof/>
                <w:sz w:val="20"/>
              </w:rPr>
              <w:t>COM(2016) 856 final.</w:t>
            </w:r>
            <w:r>
              <w:rPr>
                <w:noProof/>
                <w:sz w:val="20"/>
              </w:rPr>
              <w:br/>
              <w:t>2016/0365 (COD)</w:t>
            </w:r>
            <w:r>
              <w:rPr>
                <w:noProof/>
                <w:sz w:val="20"/>
              </w:rPr>
              <w:br/>
              <w:t>28. 11. 2016</w:t>
            </w:r>
          </w:p>
        </w:tc>
        <w:tc>
          <w:tcPr>
            <w:tcW w:w="1417" w:type="dxa"/>
          </w:tcPr>
          <w:p w:rsidR="00201706" w:rsidRPr="00865FF8" w:rsidRDefault="00201706" w:rsidP="00201706">
            <w:pPr>
              <w:spacing w:after="0"/>
              <w:jc w:val="center"/>
              <w:rPr>
                <w:b/>
                <w:sz w:val="20"/>
              </w:rPr>
            </w:pPr>
            <w:r w:rsidRPr="00865FF8">
              <w:rPr>
                <w:b/>
                <w:sz w:val="20"/>
              </w:rPr>
              <w:t>MF SR</w:t>
            </w:r>
          </w:p>
        </w:tc>
        <w:tc>
          <w:tcPr>
            <w:tcW w:w="6095" w:type="dxa"/>
          </w:tcPr>
          <w:p w:rsidR="00201706" w:rsidRDefault="00201706" w:rsidP="00201706">
            <w:pPr>
              <w:spacing w:after="0"/>
              <w:rPr>
                <w:b/>
                <w:sz w:val="20"/>
              </w:rPr>
            </w:pPr>
            <w:r>
              <w:rPr>
                <w:b/>
                <w:sz w:val="20"/>
                <w:u w:val="single"/>
              </w:rPr>
              <w:t xml:space="preserve">Nízka </w:t>
            </w:r>
            <w:r w:rsidRPr="00FE4DFD">
              <w:rPr>
                <w:b/>
                <w:sz w:val="20"/>
                <w:u w:val="single"/>
              </w:rPr>
              <w:t>priorita</w:t>
            </w:r>
            <w:r>
              <w:rPr>
                <w:sz w:val="20"/>
              </w:rPr>
              <w:t xml:space="preserve"> - </w:t>
            </w:r>
            <w:r w:rsidRPr="00F4187C">
              <w:rPr>
                <w:sz w:val="20"/>
              </w:rPr>
              <w:t>Slovenská republika vo všeobecnosti podporuje návrh Komisie, pričom jej záujmom je dosiahnutie zhody na podstatných aspektoch riešenia krízových situácií na strane centrálnych protistrán tak, aby nedošlo k masívnemu poškodeniu ostatných účastníkov trhu nejakým spôsobom napojených na centrálnu protistranu, či už ako účastníci určitej transakcie s finančnými nástrojmi alebo ako jej členovia.</w:t>
            </w:r>
          </w:p>
        </w:tc>
      </w:tr>
      <w:tr w:rsidR="00201706" w:rsidTr="00687C5F">
        <w:trPr>
          <w:cantSplit/>
        </w:trPr>
        <w:tc>
          <w:tcPr>
            <w:tcW w:w="652" w:type="dxa"/>
            <w:tcBorders>
              <w:right w:val="nil"/>
            </w:tcBorders>
            <w:shd w:val="clear" w:color="auto" w:fill="auto"/>
            <w:tcMar>
              <w:top w:w="85" w:type="dxa"/>
              <w:left w:w="85" w:type="dxa"/>
              <w:bottom w:w="85" w:type="dxa"/>
            </w:tcMar>
          </w:tcPr>
          <w:p w:rsidR="00201706" w:rsidRDefault="00201706" w:rsidP="00201706">
            <w:pPr>
              <w:pStyle w:val="Odsekzoznamu"/>
              <w:numPr>
                <w:ilvl w:val="0"/>
                <w:numId w:val="20"/>
              </w:numPr>
              <w:spacing w:after="0"/>
              <w:ind w:left="426"/>
              <w:rPr>
                <w:b/>
                <w:noProof/>
                <w:sz w:val="20"/>
              </w:rPr>
            </w:pPr>
          </w:p>
        </w:tc>
        <w:tc>
          <w:tcPr>
            <w:tcW w:w="4588" w:type="dxa"/>
            <w:shd w:val="clear" w:color="auto" w:fill="auto"/>
            <w:tcMar>
              <w:top w:w="85" w:type="dxa"/>
              <w:left w:w="85" w:type="dxa"/>
              <w:bottom w:w="85" w:type="dxa"/>
            </w:tcMar>
          </w:tcPr>
          <w:p w:rsidR="00201706" w:rsidRDefault="00201706" w:rsidP="00201706">
            <w:pPr>
              <w:spacing w:after="0"/>
              <w:rPr>
                <w:noProof/>
                <w:sz w:val="20"/>
              </w:rPr>
            </w:pPr>
            <w:r>
              <w:rPr>
                <w:noProof/>
                <w:sz w:val="20"/>
              </w:rPr>
              <w:t>Návrh ROZHODNUTIE RADY, ktorým sa stanovujú opatrenia na postupné vytvorenie jednotného zastúpenia eurozóny v rámci Medzinárodného menového fondu</w:t>
            </w:r>
          </w:p>
        </w:tc>
        <w:tc>
          <w:tcPr>
            <w:tcW w:w="1985" w:type="dxa"/>
            <w:tcMar>
              <w:top w:w="85" w:type="dxa"/>
              <w:left w:w="85" w:type="dxa"/>
              <w:bottom w:w="85" w:type="dxa"/>
            </w:tcMar>
          </w:tcPr>
          <w:p w:rsidR="00201706" w:rsidRDefault="00201706" w:rsidP="00201706">
            <w:pPr>
              <w:spacing w:after="0"/>
              <w:jc w:val="left"/>
              <w:rPr>
                <w:noProof/>
                <w:sz w:val="20"/>
              </w:rPr>
            </w:pPr>
            <w:r>
              <w:rPr>
                <w:noProof/>
                <w:sz w:val="20"/>
              </w:rPr>
              <w:t>COM(2015) 603 final.</w:t>
            </w:r>
            <w:r>
              <w:rPr>
                <w:noProof/>
                <w:sz w:val="20"/>
              </w:rPr>
              <w:br/>
              <w:t>2015/0250 (NLE)</w:t>
            </w:r>
            <w:r>
              <w:rPr>
                <w:noProof/>
                <w:sz w:val="20"/>
              </w:rPr>
              <w:br/>
              <w:t>21. 10. 2015</w:t>
            </w:r>
          </w:p>
        </w:tc>
        <w:tc>
          <w:tcPr>
            <w:tcW w:w="1417" w:type="dxa"/>
          </w:tcPr>
          <w:p w:rsidR="00201706" w:rsidRPr="00865FF8" w:rsidRDefault="00201706" w:rsidP="00201706">
            <w:pPr>
              <w:spacing w:after="0"/>
              <w:jc w:val="center"/>
              <w:rPr>
                <w:b/>
                <w:sz w:val="20"/>
              </w:rPr>
            </w:pPr>
            <w:r w:rsidRPr="00865FF8">
              <w:rPr>
                <w:b/>
                <w:sz w:val="20"/>
              </w:rPr>
              <w:t>MF SR</w:t>
            </w:r>
          </w:p>
          <w:p w:rsidR="00201706" w:rsidRPr="00865FF8" w:rsidRDefault="00201706" w:rsidP="00201706">
            <w:pPr>
              <w:spacing w:after="0"/>
              <w:jc w:val="center"/>
              <w:rPr>
                <w:b/>
                <w:sz w:val="20"/>
              </w:rPr>
            </w:pPr>
            <w:r w:rsidRPr="00865FF8">
              <w:rPr>
                <w:b/>
                <w:sz w:val="20"/>
              </w:rPr>
              <w:t>NBS</w:t>
            </w:r>
          </w:p>
        </w:tc>
        <w:tc>
          <w:tcPr>
            <w:tcW w:w="6095" w:type="dxa"/>
          </w:tcPr>
          <w:p w:rsidR="00201706" w:rsidRPr="00137289" w:rsidRDefault="00201706" w:rsidP="00201706">
            <w:pPr>
              <w:spacing w:after="0"/>
              <w:rPr>
                <w:b/>
                <w:sz w:val="20"/>
              </w:rPr>
            </w:pPr>
            <w:r>
              <w:rPr>
                <w:b/>
                <w:sz w:val="20"/>
                <w:u w:val="single"/>
              </w:rPr>
              <w:t xml:space="preserve">Nízka </w:t>
            </w:r>
            <w:r w:rsidRPr="00FE4DFD">
              <w:rPr>
                <w:b/>
                <w:sz w:val="20"/>
                <w:u w:val="single"/>
              </w:rPr>
              <w:t>priorita</w:t>
            </w:r>
            <w:r>
              <w:rPr>
                <w:sz w:val="20"/>
              </w:rPr>
              <w:t xml:space="preserve"> - </w:t>
            </w:r>
            <w:r w:rsidRPr="00137289">
              <w:rPr>
                <w:sz w:val="20"/>
              </w:rPr>
              <w:t>Z pohľadu SR nejde o prioritu, ale o dlhodobú a politicky citlivú záležitosť. Postoj SR je skôr zdržanlivý, pretože aktuálne platí Konštituenčná dohoda do roku 2022, podľa ktorej má SR permanentné zastúpenie na pozícii senior poradcu.</w:t>
            </w:r>
          </w:p>
        </w:tc>
      </w:tr>
      <w:tr w:rsidR="00201706" w:rsidTr="00687C5F">
        <w:trPr>
          <w:cantSplit/>
        </w:trPr>
        <w:tc>
          <w:tcPr>
            <w:tcW w:w="652" w:type="dxa"/>
            <w:tcBorders>
              <w:right w:val="nil"/>
            </w:tcBorders>
            <w:shd w:val="clear" w:color="auto" w:fill="auto"/>
            <w:tcMar>
              <w:top w:w="85" w:type="dxa"/>
              <w:left w:w="85" w:type="dxa"/>
              <w:bottom w:w="85" w:type="dxa"/>
            </w:tcMar>
          </w:tcPr>
          <w:p w:rsidR="00201706" w:rsidRDefault="00201706" w:rsidP="00201706">
            <w:pPr>
              <w:pStyle w:val="Odsekzoznamu"/>
              <w:numPr>
                <w:ilvl w:val="0"/>
                <w:numId w:val="20"/>
              </w:numPr>
              <w:spacing w:after="0"/>
              <w:ind w:left="426"/>
              <w:rPr>
                <w:b/>
                <w:noProof/>
                <w:sz w:val="20"/>
              </w:rPr>
            </w:pPr>
          </w:p>
        </w:tc>
        <w:tc>
          <w:tcPr>
            <w:tcW w:w="4588" w:type="dxa"/>
            <w:shd w:val="clear" w:color="auto" w:fill="auto"/>
            <w:tcMar>
              <w:top w:w="85" w:type="dxa"/>
              <w:left w:w="85" w:type="dxa"/>
              <w:bottom w:w="85" w:type="dxa"/>
            </w:tcMar>
          </w:tcPr>
          <w:p w:rsidR="00201706" w:rsidRDefault="00201706" w:rsidP="00201706">
            <w:pPr>
              <w:spacing w:after="0"/>
              <w:rPr>
                <w:noProof/>
                <w:sz w:val="20"/>
              </w:rPr>
            </w:pPr>
            <w:r>
              <w:rPr>
                <w:noProof/>
                <w:sz w:val="20"/>
              </w:rPr>
              <w:t>Návrh NARIADENIE EURÓPSKEHO PARLAMENTU A RADY o rámci riadenia rozpočtového nástroja pre konvergenciu a konkurencieschopnosť eurozóny</w:t>
            </w:r>
          </w:p>
        </w:tc>
        <w:tc>
          <w:tcPr>
            <w:tcW w:w="1985" w:type="dxa"/>
            <w:tcMar>
              <w:top w:w="85" w:type="dxa"/>
              <w:left w:w="85" w:type="dxa"/>
              <w:bottom w:w="85" w:type="dxa"/>
            </w:tcMar>
          </w:tcPr>
          <w:p w:rsidR="00201706" w:rsidRDefault="00201706" w:rsidP="00201706">
            <w:pPr>
              <w:spacing w:after="0"/>
              <w:jc w:val="left"/>
              <w:rPr>
                <w:noProof/>
                <w:sz w:val="20"/>
              </w:rPr>
            </w:pPr>
            <w:r>
              <w:rPr>
                <w:noProof/>
                <w:sz w:val="20"/>
              </w:rPr>
              <w:t>COM(2019) 354 final.</w:t>
            </w:r>
            <w:r>
              <w:rPr>
                <w:noProof/>
                <w:sz w:val="20"/>
              </w:rPr>
              <w:br/>
              <w:t>2019/0161 (COD)</w:t>
            </w:r>
            <w:r>
              <w:rPr>
                <w:noProof/>
                <w:sz w:val="20"/>
              </w:rPr>
              <w:br/>
              <w:t>24. 7. 2019</w:t>
            </w:r>
          </w:p>
        </w:tc>
        <w:tc>
          <w:tcPr>
            <w:tcW w:w="1417" w:type="dxa"/>
          </w:tcPr>
          <w:p w:rsidR="00201706" w:rsidRPr="00865FF8" w:rsidRDefault="00201706" w:rsidP="00201706">
            <w:pPr>
              <w:spacing w:after="0"/>
              <w:jc w:val="center"/>
              <w:rPr>
                <w:b/>
                <w:sz w:val="20"/>
              </w:rPr>
            </w:pPr>
            <w:r w:rsidRPr="00865FF8">
              <w:rPr>
                <w:b/>
                <w:sz w:val="20"/>
              </w:rPr>
              <w:t>MF SR</w:t>
            </w:r>
          </w:p>
        </w:tc>
        <w:tc>
          <w:tcPr>
            <w:tcW w:w="6095" w:type="dxa"/>
          </w:tcPr>
          <w:p w:rsidR="00201706" w:rsidRDefault="00201706" w:rsidP="00201706">
            <w:pPr>
              <w:spacing w:after="0"/>
              <w:rPr>
                <w:b/>
                <w:sz w:val="20"/>
              </w:rPr>
            </w:pPr>
            <w:r w:rsidRPr="00FE4DFD">
              <w:rPr>
                <w:b/>
                <w:sz w:val="20"/>
                <w:u w:val="single"/>
              </w:rPr>
              <w:t>Vysoká priorita</w:t>
            </w:r>
            <w:r>
              <w:rPr>
                <w:sz w:val="20"/>
              </w:rPr>
              <w:t xml:space="preserve"> - </w:t>
            </w:r>
            <w:r w:rsidRPr="00A90D2B">
              <w:rPr>
                <w:sz w:val="20"/>
              </w:rPr>
              <w:t xml:space="preserve">Európska komisia na základe článku 136 Zmluvy o fungovaní Európskej únie (ZFEÚ) predkladá návrh nariadenia, ktorý bude začlenený do Programu na podporu reforiem. Navrhované nariadenie má za cieľ zadefinovať formu riadenia rozpočtového nástroja </w:t>
            </w:r>
            <w:r>
              <w:rPr>
                <w:sz w:val="20"/>
              </w:rPr>
              <w:t xml:space="preserve">pre konvergenciua  konkurencieschopnosť (BICC) </w:t>
            </w:r>
            <w:r w:rsidRPr="00A90D2B">
              <w:rPr>
                <w:sz w:val="20"/>
              </w:rPr>
              <w:t>a musí sa vykladať v spojení s Programom na podporu reforiem.</w:t>
            </w:r>
            <w:r>
              <w:rPr>
                <w:sz w:val="20"/>
              </w:rPr>
              <w:t xml:space="preserve"> </w:t>
            </w:r>
            <w:r w:rsidRPr="00A90D2B">
              <w:rPr>
                <w:sz w:val="20"/>
              </w:rPr>
              <w:t>Slovenská republika víta návrh nariadenia o rámci riadenia rozpočtového nástroja pre konvergenciu a konkurencieschopnosť eurozóny v súlade s rozhodnutím vedúcich predstaviteľov EÚ z decembra 2018.</w:t>
            </w:r>
            <w:r>
              <w:rPr>
                <w:sz w:val="20"/>
              </w:rPr>
              <w:t xml:space="preserve"> Nariadenia sa začne uplatňovať súbežne s rozpočtovým nástrojom pre konvergenciu a  konkurencieschopnosť, ktorý je aktuálne v štádiu legislatívnych vyjednávaní na úrovni Rady EÚ.</w:t>
            </w:r>
          </w:p>
        </w:tc>
      </w:tr>
      <w:tr w:rsidR="00201706" w:rsidTr="00687C5F">
        <w:trPr>
          <w:cantSplit/>
        </w:trPr>
        <w:tc>
          <w:tcPr>
            <w:tcW w:w="652" w:type="dxa"/>
            <w:tcBorders>
              <w:right w:val="nil"/>
            </w:tcBorders>
            <w:shd w:val="clear" w:color="auto" w:fill="auto"/>
            <w:tcMar>
              <w:top w:w="85" w:type="dxa"/>
              <w:left w:w="85" w:type="dxa"/>
              <w:bottom w:w="85" w:type="dxa"/>
            </w:tcMar>
          </w:tcPr>
          <w:p w:rsidR="00201706" w:rsidRDefault="00201706" w:rsidP="00201706">
            <w:pPr>
              <w:pStyle w:val="Odsekzoznamu"/>
              <w:numPr>
                <w:ilvl w:val="0"/>
                <w:numId w:val="20"/>
              </w:numPr>
              <w:spacing w:after="0"/>
              <w:ind w:left="426"/>
              <w:rPr>
                <w:b/>
                <w:noProof/>
                <w:sz w:val="20"/>
              </w:rPr>
            </w:pPr>
          </w:p>
        </w:tc>
        <w:tc>
          <w:tcPr>
            <w:tcW w:w="4588" w:type="dxa"/>
            <w:shd w:val="clear" w:color="auto" w:fill="auto"/>
            <w:tcMar>
              <w:top w:w="85" w:type="dxa"/>
              <w:left w:w="85" w:type="dxa"/>
              <w:bottom w:w="85" w:type="dxa"/>
            </w:tcMar>
          </w:tcPr>
          <w:p w:rsidR="00201706" w:rsidRDefault="00201706" w:rsidP="00201706">
            <w:pPr>
              <w:spacing w:after="0"/>
              <w:rPr>
                <w:noProof/>
                <w:sz w:val="20"/>
              </w:rPr>
            </w:pPr>
            <w:r>
              <w:rPr>
                <w:noProof/>
                <w:sz w:val="20"/>
              </w:rPr>
              <w:t>Návrh NARIADENIE EURÓPSKEHO PARLAMENTU A RADY, ktorým sa mení nariadenie (ES) č. 883/2004 o koordinácii systémov sociálneho zabezpečenia a nariadenie (ES) č. 987/2009, ktorým sa stanovuje postup vykonávania nariadenia (ES) č. 883/2004 (Text s významom pre EHP a Švajčiarsko)</w:t>
            </w:r>
          </w:p>
        </w:tc>
        <w:tc>
          <w:tcPr>
            <w:tcW w:w="1985" w:type="dxa"/>
            <w:tcMar>
              <w:top w:w="85" w:type="dxa"/>
              <w:left w:w="85" w:type="dxa"/>
              <w:bottom w:w="85" w:type="dxa"/>
            </w:tcMar>
          </w:tcPr>
          <w:p w:rsidR="00201706" w:rsidRDefault="00201706" w:rsidP="00201706">
            <w:pPr>
              <w:spacing w:after="0"/>
              <w:jc w:val="left"/>
              <w:rPr>
                <w:noProof/>
                <w:sz w:val="20"/>
              </w:rPr>
            </w:pPr>
            <w:r>
              <w:rPr>
                <w:noProof/>
                <w:sz w:val="20"/>
              </w:rPr>
              <w:t>COM(2016) 815 final.</w:t>
            </w:r>
            <w:r>
              <w:rPr>
                <w:noProof/>
                <w:sz w:val="20"/>
              </w:rPr>
              <w:br/>
              <w:t>2016/0397 (COD)</w:t>
            </w:r>
            <w:r>
              <w:rPr>
                <w:noProof/>
                <w:sz w:val="20"/>
              </w:rPr>
              <w:br/>
              <w:t>14. 12. 2016</w:t>
            </w:r>
          </w:p>
        </w:tc>
        <w:tc>
          <w:tcPr>
            <w:tcW w:w="1417" w:type="dxa"/>
          </w:tcPr>
          <w:p w:rsidR="00201706" w:rsidRPr="00FE4DFD" w:rsidRDefault="00201706" w:rsidP="00201706">
            <w:pPr>
              <w:spacing w:after="0"/>
              <w:jc w:val="center"/>
              <w:rPr>
                <w:b/>
                <w:sz w:val="20"/>
              </w:rPr>
            </w:pPr>
            <w:r w:rsidRPr="00FE4DFD">
              <w:rPr>
                <w:b/>
                <w:sz w:val="20"/>
              </w:rPr>
              <w:t>MPSVR SR</w:t>
            </w:r>
          </w:p>
          <w:p w:rsidR="00201706" w:rsidRPr="00D36433" w:rsidRDefault="00201706" w:rsidP="00201706">
            <w:pPr>
              <w:spacing w:after="0"/>
              <w:jc w:val="center"/>
              <w:rPr>
                <w:b/>
                <w:sz w:val="20"/>
              </w:rPr>
            </w:pPr>
            <w:r w:rsidRPr="00FE4DFD">
              <w:rPr>
                <w:b/>
                <w:sz w:val="20"/>
              </w:rPr>
              <w:t>MZ SR</w:t>
            </w:r>
          </w:p>
        </w:tc>
        <w:tc>
          <w:tcPr>
            <w:tcW w:w="6095" w:type="dxa"/>
          </w:tcPr>
          <w:p w:rsidR="00201706" w:rsidRPr="0016155F" w:rsidRDefault="00201706" w:rsidP="00201706">
            <w:pPr>
              <w:spacing w:after="0"/>
              <w:rPr>
                <w:b/>
                <w:sz w:val="20"/>
              </w:rPr>
            </w:pPr>
            <w:r w:rsidRPr="00FE4DFD">
              <w:rPr>
                <w:b/>
                <w:sz w:val="20"/>
                <w:u w:val="single"/>
              </w:rPr>
              <w:t>Vysoká priorita</w:t>
            </w:r>
            <w:r>
              <w:rPr>
                <w:sz w:val="20"/>
              </w:rPr>
              <w:t xml:space="preserve"> - </w:t>
            </w:r>
            <w:r w:rsidRPr="0016155F">
              <w:rPr>
                <w:sz w:val="20"/>
              </w:rPr>
              <w:t>Navrhovaná úprava bude mať priamy dopad na občanov EÚ, teda aj na občanov SR.</w:t>
            </w:r>
          </w:p>
          <w:p w:rsidR="00201706" w:rsidRPr="0016155F" w:rsidRDefault="00201706" w:rsidP="00201706">
            <w:pPr>
              <w:spacing w:after="0"/>
              <w:rPr>
                <w:rFonts w:eastAsia="Calibri"/>
                <w:b/>
                <w:sz w:val="20"/>
              </w:rPr>
            </w:pPr>
            <w:r w:rsidRPr="0016155F">
              <w:rPr>
                <w:rFonts w:eastAsia="Calibri"/>
                <w:sz w:val="20"/>
              </w:rPr>
              <w:t xml:space="preserve">K spisu doposiaľ prebehlo dvanásť trialógov s EP. Počas trialógov si EP aj Rada naďalej držia svoje pozície v troch kľúčových politických otázkach: </w:t>
            </w:r>
          </w:p>
          <w:p w:rsidR="00201706" w:rsidRPr="0016155F" w:rsidRDefault="00201706" w:rsidP="00201706">
            <w:pPr>
              <w:numPr>
                <w:ilvl w:val="0"/>
                <w:numId w:val="26"/>
              </w:numPr>
              <w:spacing w:after="0"/>
              <w:ind w:left="284" w:hanging="284"/>
              <w:rPr>
                <w:rFonts w:eastAsia="Calibri"/>
                <w:b/>
                <w:sz w:val="20"/>
              </w:rPr>
            </w:pPr>
            <w:r w:rsidRPr="0016155F">
              <w:rPr>
                <w:rFonts w:eastAsia="Calibri"/>
                <w:sz w:val="20"/>
              </w:rPr>
              <w:t xml:space="preserve">Predbežná notifikácia vyslania a výnimka z nej </w:t>
            </w:r>
          </w:p>
          <w:p w:rsidR="00201706" w:rsidRPr="0016155F" w:rsidRDefault="00201706" w:rsidP="00201706">
            <w:pPr>
              <w:numPr>
                <w:ilvl w:val="0"/>
                <w:numId w:val="26"/>
              </w:numPr>
              <w:spacing w:after="0"/>
              <w:ind w:left="284" w:hanging="284"/>
              <w:rPr>
                <w:rFonts w:eastAsia="Calibri"/>
                <w:b/>
                <w:sz w:val="20"/>
              </w:rPr>
            </w:pPr>
            <w:r w:rsidRPr="0016155F">
              <w:rPr>
                <w:rFonts w:eastAsia="Calibri"/>
                <w:sz w:val="20"/>
              </w:rPr>
              <w:t>Určovanie sídla zamestnávateľa v prípade výkonu činností vo viacerých ČŠ</w:t>
            </w:r>
          </w:p>
          <w:p w:rsidR="00201706" w:rsidRPr="0016155F" w:rsidRDefault="00201706" w:rsidP="00201706">
            <w:pPr>
              <w:numPr>
                <w:ilvl w:val="0"/>
                <w:numId w:val="26"/>
              </w:numPr>
              <w:spacing w:after="0"/>
              <w:ind w:left="284" w:hanging="284"/>
              <w:rPr>
                <w:rFonts w:eastAsia="Calibri"/>
                <w:b/>
                <w:sz w:val="20"/>
              </w:rPr>
            </w:pPr>
            <w:r w:rsidRPr="0016155F">
              <w:rPr>
                <w:rFonts w:eastAsia="Calibri"/>
                <w:sz w:val="20"/>
              </w:rPr>
              <w:t>Dávky nezamestnanosti pre cezhraničných pracovníkov</w:t>
            </w:r>
          </w:p>
          <w:p w:rsidR="00201706" w:rsidRPr="0016155F" w:rsidRDefault="00201706" w:rsidP="00201706">
            <w:pPr>
              <w:numPr>
                <w:ilvl w:val="0"/>
                <w:numId w:val="27"/>
              </w:numPr>
              <w:spacing w:after="0"/>
              <w:ind w:left="284" w:hanging="284"/>
              <w:rPr>
                <w:rFonts w:eastAsia="Calibri"/>
                <w:b/>
                <w:sz w:val="20"/>
              </w:rPr>
            </w:pPr>
            <w:r w:rsidRPr="0016155F">
              <w:rPr>
                <w:rFonts w:eastAsia="Calibri"/>
                <w:sz w:val="20"/>
              </w:rPr>
              <w:t xml:space="preserve">Lehoty pre prechod kompetencie z ČŠ zamestnania na ČŠ bydliska </w:t>
            </w:r>
          </w:p>
          <w:p w:rsidR="00201706" w:rsidRPr="0016155F" w:rsidRDefault="00201706" w:rsidP="00201706">
            <w:pPr>
              <w:numPr>
                <w:ilvl w:val="0"/>
                <w:numId w:val="27"/>
              </w:numPr>
              <w:spacing w:after="0"/>
              <w:ind w:left="284" w:hanging="284"/>
              <w:rPr>
                <w:rFonts w:eastAsia="Calibri"/>
                <w:b/>
                <w:sz w:val="20"/>
              </w:rPr>
            </w:pPr>
            <w:r w:rsidRPr="0016155F">
              <w:rPr>
                <w:rFonts w:eastAsia="Calibri"/>
                <w:sz w:val="20"/>
              </w:rPr>
              <w:t>Jednotná dĺžka exportu dávky v nezamestnanosti</w:t>
            </w:r>
          </w:p>
          <w:p w:rsidR="00201706" w:rsidRPr="00FE4DFD" w:rsidRDefault="00201706" w:rsidP="00201706">
            <w:pPr>
              <w:numPr>
                <w:ilvl w:val="0"/>
                <w:numId w:val="27"/>
              </w:numPr>
              <w:spacing w:after="0"/>
              <w:ind w:left="284" w:hanging="284"/>
              <w:rPr>
                <w:rFonts w:eastAsia="Calibri"/>
                <w:b/>
                <w:sz w:val="20"/>
              </w:rPr>
            </w:pPr>
            <w:r w:rsidRPr="0016155F">
              <w:rPr>
                <w:rFonts w:eastAsia="Calibri"/>
                <w:sz w:val="20"/>
              </w:rPr>
              <w:t>Rovnaké povinnosti pre nezamestnaných.</w:t>
            </w:r>
          </w:p>
          <w:p w:rsidR="00201706" w:rsidRDefault="00201706" w:rsidP="00201706">
            <w:pPr>
              <w:spacing w:after="0"/>
              <w:rPr>
                <w:b/>
                <w:iCs/>
                <w:sz w:val="20"/>
              </w:rPr>
            </w:pPr>
            <w:r w:rsidRPr="0016155F">
              <w:rPr>
                <w:rFonts w:eastAsia="Calibri"/>
                <w:sz w:val="20"/>
              </w:rPr>
              <w:t>File bol naposledy</w:t>
            </w:r>
            <w:r>
              <w:rPr>
                <w:rFonts w:eastAsia="Calibri"/>
                <w:sz w:val="20"/>
              </w:rPr>
              <w:t xml:space="preserve"> diskutovaný na Rade EPSCO dňa 10</w:t>
            </w:r>
            <w:r w:rsidRPr="0016155F">
              <w:rPr>
                <w:rFonts w:eastAsia="Calibri"/>
                <w:sz w:val="20"/>
              </w:rPr>
              <w:t xml:space="preserve">.12.2019 ako informácia PRES </w:t>
            </w:r>
            <w:r w:rsidRPr="0016155F">
              <w:rPr>
                <w:iCs/>
                <w:sz w:val="20"/>
              </w:rPr>
              <w:t>o súčasnom stave .</w:t>
            </w:r>
          </w:p>
          <w:p w:rsidR="00201706" w:rsidRPr="00B26564" w:rsidRDefault="00201706" w:rsidP="00201706">
            <w:pPr>
              <w:rPr>
                <w:b/>
                <w:sz w:val="20"/>
              </w:rPr>
            </w:pPr>
            <w:r w:rsidRPr="00B26564">
              <w:rPr>
                <w:sz w:val="20"/>
              </w:rPr>
              <w:t xml:space="preserve">Na poslednom stretnutí tzv. </w:t>
            </w:r>
            <w:r w:rsidRPr="00B26564">
              <w:rPr>
                <w:bCs/>
                <w:i/>
                <w:iCs/>
                <w:sz w:val="20"/>
              </w:rPr>
              <w:t xml:space="preserve">like-minded </w:t>
            </w:r>
            <w:r w:rsidRPr="00B26564">
              <w:rPr>
                <w:bCs/>
                <w:sz w:val="20"/>
              </w:rPr>
              <w:t>skupiny ČŠ k revízií nariadení dňa 14.01.2020 boli ČŠ informované,</w:t>
            </w:r>
            <w:r w:rsidRPr="00B26564">
              <w:rPr>
                <w:sz w:val="20"/>
              </w:rPr>
              <w:t xml:space="preserve"> že ak sa </w:t>
            </w:r>
            <w:r w:rsidRPr="00B26564">
              <w:rPr>
                <w:bCs/>
                <w:sz w:val="20"/>
              </w:rPr>
              <w:t>dohoda nepodarí dosiahnuť do konca roka 2020, tak EK bude považovať spis za „mŕtvy“, aj keď ho formálne nestiahne.</w:t>
            </w:r>
          </w:p>
        </w:tc>
      </w:tr>
      <w:tr w:rsidR="00201706" w:rsidTr="00687C5F">
        <w:trPr>
          <w:cantSplit/>
        </w:trPr>
        <w:tc>
          <w:tcPr>
            <w:tcW w:w="652" w:type="dxa"/>
            <w:tcBorders>
              <w:right w:val="nil"/>
            </w:tcBorders>
            <w:shd w:val="clear" w:color="auto" w:fill="auto"/>
            <w:tcMar>
              <w:top w:w="85" w:type="dxa"/>
              <w:left w:w="85" w:type="dxa"/>
              <w:bottom w:w="85" w:type="dxa"/>
            </w:tcMar>
          </w:tcPr>
          <w:p w:rsidR="00201706" w:rsidRDefault="00201706" w:rsidP="00201706">
            <w:pPr>
              <w:pStyle w:val="Odsekzoznamu"/>
              <w:numPr>
                <w:ilvl w:val="0"/>
                <w:numId w:val="20"/>
              </w:numPr>
              <w:spacing w:after="0"/>
              <w:ind w:left="426"/>
              <w:rPr>
                <w:b/>
                <w:noProof/>
                <w:sz w:val="20"/>
              </w:rPr>
            </w:pPr>
          </w:p>
        </w:tc>
        <w:tc>
          <w:tcPr>
            <w:tcW w:w="4588" w:type="dxa"/>
            <w:shd w:val="clear" w:color="auto" w:fill="auto"/>
            <w:tcMar>
              <w:top w:w="85" w:type="dxa"/>
              <w:left w:w="85" w:type="dxa"/>
              <w:bottom w:w="85" w:type="dxa"/>
            </w:tcMar>
          </w:tcPr>
          <w:p w:rsidR="00201706" w:rsidRDefault="00201706" w:rsidP="00201706">
            <w:pPr>
              <w:spacing w:after="0"/>
              <w:rPr>
                <w:noProof/>
                <w:sz w:val="20"/>
              </w:rPr>
            </w:pPr>
            <w:r>
              <w:rPr>
                <w:noProof/>
                <w:sz w:val="20"/>
              </w:rPr>
              <w:t>Návrh ROZHODNUTIE EURÓPSKEHO PARLAMENTU A RADY, ktorým sa mení rozhodnutie č. 573/2014/EÚ o posilnenej spolupráci medzi verejnými službami zamestnanosti (VSZ)</w:t>
            </w:r>
          </w:p>
        </w:tc>
        <w:tc>
          <w:tcPr>
            <w:tcW w:w="1985" w:type="dxa"/>
            <w:tcMar>
              <w:top w:w="85" w:type="dxa"/>
              <w:left w:w="85" w:type="dxa"/>
              <w:bottom w:w="85" w:type="dxa"/>
            </w:tcMar>
          </w:tcPr>
          <w:p w:rsidR="00201706" w:rsidRDefault="00201706" w:rsidP="00201706">
            <w:pPr>
              <w:spacing w:after="0"/>
              <w:jc w:val="left"/>
              <w:rPr>
                <w:noProof/>
                <w:sz w:val="20"/>
              </w:rPr>
            </w:pPr>
            <w:r>
              <w:rPr>
                <w:noProof/>
                <w:sz w:val="20"/>
              </w:rPr>
              <w:t>COM(2019) 620 final.</w:t>
            </w:r>
            <w:r>
              <w:rPr>
                <w:noProof/>
                <w:sz w:val="20"/>
              </w:rPr>
              <w:br/>
              <w:t>2019/0188 (COD)</w:t>
            </w:r>
            <w:r>
              <w:rPr>
                <w:noProof/>
                <w:sz w:val="20"/>
              </w:rPr>
              <w:br/>
              <w:t>11. 9. 2019</w:t>
            </w:r>
          </w:p>
        </w:tc>
        <w:tc>
          <w:tcPr>
            <w:tcW w:w="1417" w:type="dxa"/>
          </w:tcPr>
          <w:p w:rsidR="00201706" w:rsidRPr="00FE4DFD" w:rsidRDefault="00201706" w:rsidP="00201706">
            <w:pPr>
              <w:spacing w:after="0"/>
              <w:jc w:val="left"/>
              <w:rPr>
                <w:b/>
                <w:sz w:val="20"/>
              </w:rPr>
            </w:pPr>
            <w:r w:rsidRPr="00FE4DFD">
              <w:rPr>
                <w:b/>
                <w:sz w:val="20"/>
              </w:rPr>
              <w:t>MPSVR SR</w:t>
            </w:r>
          </w:p>
        </w:tc>
        <w:tc>
          <w:tcPr>
            <w:tcW w:w="6095" w:type="dxa"/>
          </w:tcPr>
          <w:p w:rsidR="00201706" w:rsidRPr="00FE4DFD" w:rsidRDefault="00201706" w:rsidP="00201706">
            <w:pPr>
              <w:spacing w:after="0"/>
              <w:rPr>
                <w:b/>
                <w:sz w:val="20"/>
              </w:rPr>
            </w:pPr>
            <w:r w:rsidRPr="00FE4DFD">
              <w:rPr>
                <w:b/>
                <w:sz w:val="20"/>
                <w:u w:val="single"/>
              </w:rPr>
              <w:t>Vysoká priorita</w:t>
            </w:r>
            <w:r>
              <w:rPr>
                <w:sz w:val="20"/>
              </w:rPr>
              <w:t xml:space="preserve"> - </w:t>
            </w:r>
            <w:r w:rsidRPr="0016155F">
              <w:rPr>
                <w:sz w:val="20"/>
              </w:rPr>
              <w:t>Cieľom návrhu je naďalej posilňovať kapacitu, účinnosť a efektívnosť verejných služieb zamestnanosti (ďalej len „VSZ“) prostredníctvom platformy na porovnávanie ich výkonnosti na európskej úrovni, identifikáciu osvedčených postupov a rozvíjanie systému vzájomného učenia. Na základe návrhu by mali mať VSZ viac príležitostí rozvíjať inovatívne politiky založené na dôkazoch.</w:t>
            </w:r>
          </w:p>
          <w:p w:rsidR="00201706" w:rsidRPr="00FE4DFD" w:rsidRDefault="00201706" w:rsidP="00201706">
            <w:pPr>
              <w:pStyle w:val="Normlnywebov"/>
              <w:jc w:val="both"/>
              <w:rPr>
                <w:sz w:val="20"/>
                <w:szCs w:val="20"/>
              </w:rPr>
            </w:pPr>
            <w:r w:rsidRPr="0016155F">
              <w:rPr>
                <w:sz w:val="20"/>
                <w:szCs w:val="20"/>
              </w:rPr>
              <w:t>Týmto rozhodnutím sa mení rozhodnutie č. 573/2014/EÚ s cieľom nadviazať na pozitívne výsledky siete a pokračovať v tejto spolupráci aj po roku 2020. Jeho účelom je preto predĺžiť obdobie, na ktoré bola sieť zriadená, do 31. decembra 2027.</w:t>
            </w:r>
            <w:r w:rsidRPr="0016155F">
              <w:rPr>
                <w:rFonts w:eastAsia="Calibri"/>
                <w:sz w:val="20"/>
                <w:szCs w:val="20"/>
              </w:rPr>
              <w:t>File bol naposledy</w:t>
            </w:r>
            <w:r>
              <w:rPr>
                <w:rFonts w:eastAsia="Calibri"/>
                <w:sz w:val="20"/>
                <w:szCs w:val="20"/>
              </w:rPr>
              <w:t xml:space="preserve"> diskutovaný na Rade EPSCO dňa 10</w:t>
            </w:r>
            <w:r w:rsidRPr="0016155F">
              <w:rPr>
                <w:rFonts w:eastAsia="Calibri"/>
                <w:sz w:val="20"/>
                <w:szCs w:val="20"/>
              </w:rPr>
              <w:t xml:space="preserve">.12.2019 ako informácia PRES </w:t>
            </w:r>
            <w:r>
              <w:rPr>
                <w:iCs/>
                <w:sz w:val="20"/>
                <w:szCs w:val="20"/>
              </w:rPr>
              <w:t>o súčasnom stave</w:t>
            </w:r>
            <w:r w:rsidRPr="0016155F">
              <w:rPr>
                <w:iCs/>
                <w:sz w:val="20"/>
                <w:szCs w:val="20"/>
              </w:rPr>
              <w:t>.</w:t>
            </w:r>
            <w:r w:rsidRPr="0016155F">
              <w:rPr>
                <w:sz w:val="20"/>
                <w:szCs w:val="20"/>
              </w:rPr>
              <w:t xml:space="preserve">Vzhľadom na nekontroverznosť tejto iniciatívy ČŠ podporili kompromisný text a súhlasili so začatím trialógov s EP. </w:t>
            </w:r>
          </w:p>
        </w:tc>
      </w:tr>
      <w:tr w:rsidR="00201706" w:rsidTr="00687C5F">
        <w:trPr>
          <w:cantSplit/>
        </w:trPr>
        <w:tc>
          <w:tcPr>
            <w:tcW w:w="652" w:type="dxa"/>
            <w:tcBorders>
              <w:right w:val="nil"/>
            </w:tcBorders>
            <w:shd w:val="clear" w:color="auto" w:fill="auto"/>
            <w:tcMar>
              <w:top w:w="85" w:type="dxa"/>
              <w:left w:w="85" w:type="dxa"/>
              <w:bottom w:w="85" w:type="dxa"/>
            </w:tcMar>
          </w:tcPr>
          <w:p w:rsidR="00201706" w:rsidRDefault="00201706" w:rsidP="00201706">
            <w:pPr>
              <w:pStyle w:val="Odsekzoznamu"/>
              <w:numPr>
                <w:ilvl w:val="0"/>
                <w:numId w:val="20"/>
              </w:numPr>
              <w:spacing w:after="0"/>
              <w:ind w:left="426"/>
              <w:rPr>
                <w:b/>
                <w:noProof/>
                <w:sz w:val="20"/>
              </w:rPr>
            </w:pPr>
          </w:p>
        </w:tc>
        <w:tc>
          <w:tcPr>
            <w:tcW w:w="4588" w:type="dxa"/>
            <w:shd w:val="clear" w:color="auto" w:fill="auto"/>
            <w:tcMar>
              <w:top w:w="85" w:type="dxa"/>
              <w:left w:w="85" w:type="dxa"/>
              <w:bottom w:w="85" w:type="dxa"/>
            </w:tcMar>
          </w:tcPr>
          <w:p w:rsidR="00201706" w:rsidRDefault="00201706" w:rsidP="00201706">
            <w:pPr>
              <w:spacing w:after="0"/>
              <w:rPr>
                <w:noProof/>
                <w:sz w:val="20"/>
              </w:rPr>
            </w:pPr>
            <w:r>
              <w:rPr>
                <w:noProof/>
                <w:sz w:val="20"/>
              </w:rPr>
              <w:t>Návrh NARIADENIE RADY o zriadení Európskeho menového fondu</w:t>
            </w:r>
          </w:p>
        </w:tc>
        <w:tc>
          <w:tcPr>
            <w:tcW w:w="1985" w:type="dxa"/>
            <w:tcMar>
              <w:top w:w="85" w:type="dxa"/>
              <w:left w:w="85" w:type="dxa"/>
              <w:bottom w:w="85" w:type="dxa"/>
            </w:tcMar>
          </w:tcPr>
          <w:p w:rsidR="00201706" w:rsidRDefault="00201706" w:rsidP="00201706">
            <w:pPr>
              <w:spacing w:after="0"/>
              <w:jc w:val="left"/>
              <w:rPr>
                <w:noProof/>
                <w:sz w:val="20"/>
              </w:rPr>
            </w:pPr>
            <w:r>
              <w:rPr>
                <w:noProof/>
                <w:sz w:val="20"/>
              </w:rPr>
              <w:t>COM(2017) 827 final.</w:t>
            </w:r>
            <w:r>
              <w:rPr>
                <w:noProof/>
                <w:sz w:val="20"/>
              </w:rPr>
              <w:br/>
              <w:t>2017/0333 (APP)</w:t>
            </w:r>
            <w:r>
              <w:rPr>
                <w:noProof/>
                <w:sz w:val="20"/>
              </w:rPr>
              <w:br/>
              <w:t>7. 12. 2017</w:t>
            </w:r>
          </w:p>
        </w:tc>
        <w:tc>
          <w:tcPr>
            <w:tcW w:w="1417" w:type="dxa"/>
          </w:tcPr>
          <w:p w:rsidR="00201706" w:rsidRPr="006F318C" w:rsidRDefault="00201706" w:rsidP="00201706">
            <w:pPr>
              <w:spacing w:after="0"/>
              <w:jc w:val="center"/>
              <w:rPr>
                <w:b/>
                <w:sz w:val="20"/>
              </w:rPr>
            </w:pPr>
            <w:r w:rsidRPr="006F318C">
              <w:rPr>
                <w:b/>
                <w:sz w:val="20"/>
              </w:rPr>
              <w:t>MF SR</w:t>
            </w:r>
          </w:p>
        </w:tc>
        <w:tc>
          <w:tcPr>
            <w:tcW w:w="6095" w:type="dxa"/>
          </w:tcPr>
          <w:p w:rsidR="00201706" w:rsidRPr="00D3349E" w:rsidRDefault="00201706" w:rsidP="00201706">
            <w:pPr>
              <w:spacing w:after="0"/>
              <w:jc w:val="left"/>
              <w:rPr>
                <w:b/>
                <w:sz w:val="20"/>
              </w:rPr>
            </w:pPr>
            <w:r>
              <w:rPr>
                <w:b/>
                <w:sz w:val="20"/>
                <w:u w:val="single"/>
              </w:rPr>
              <w:t xml:space="preserve">Nízka </w:t>
            </w:r>
            <w:r w:rsidRPr="00FE4DFD">
              <w:rPr>
                <w:b/>
                <w:sz w:val="20"/>
                <w:u w:val="single"/>
              </w:rPr>
              <w:t>priorita</w:t>
            </w:r>
            <w:r>
              <w:rPr>
                <w:sz w:val="20"/>
              </w:rPr>
              <w:t xml:space="preserve"> </w:t>
            </w:r>
            <w:r w:rsidRPr="00D3349E">
              <w:rPr>
                <w:bCs/>
                <w:sz w:val="20"/>
              </w:rPr>
              <w:t>Návrh nariadenia nebude ďalej prerokovávaný kvôli výhradám členských štátov. V súčasnosti však prebiehajú rokovania o reforme Európskeho mechanizmu pre stabilitu (ESM) v medzivládnom formáte.</w:t>
            </w:r>
          </w:p>
        </w:tc>
      </w:tr>
      <w:tr w:rsidR="00201706" w:rsidTr="00687C5F">
        <w:trPr>
          <w:cantSplit/>
        </w:trPr>
        <w:tc>
          <w:tcPr>
            <w:tcW w:w="652" w:type="dxa"/>
            <w:tcBorders>
              <w:right w:val="nil"/>
            </w:tcBorders>
            <w:shd w:val="clear" w:color="auto" w:fill="auto"/>
            <w:tcMar>
              <w:top w:w="85" w:type="dxa"/>
              <w:left w:w="85" w:type="dxa"/>
              <w:bottom w:w="85" w:type="dxa"/>
            </w:tcMar>
          </w:tcPr>
          <w:p w:rsidR="00201706" w:rsidRDefault="00201706" w:rsidP="00201706">
            <w:pPr>
              <w:pStyle w:val="Odsekzoznamu"/>
              <w:numPr>
                <w:ilvl w:val="0"/>
                <w:numId w:val="20"/>
              </w:numPr>
              <w:spacing w:after="0"/>
              <w:ind w:left="426"/>
              <w:rPr>
                <w:b/>
                <w:noProof/>
                <w:sz w:val="20"/>
              </w:rPr>
            </w:pPr>
          </w:p>
        </w:tc>
        <w:tc>
          <w:tcPr>
            <w:tcW w:w="4588" w:type="dxa"/>
            <w:shd w:val="clear" w:color="auto" w:fill="auto"/>
            <w:tcMar>
              <w:top w:w="85" w:type="dxa"/>
              <w:left w:w="85" w:type="dxa"/>
              <w:bottom w:w="85" w:type="dxa"/>
            </w:tcMar>
          </w:tcPr>
          <w:p w:rsidR="00201706" w:rsidRDefault="00201706" w:rsidP="00201706">
            <w:pPr>
              <w:spacing w:after="0"/>
              <w:rPr>
                <w:noProof/>
                <w:sz w:val="20"/>
              </w:rPr>
            </w:pPr>
            <w:r>
              <w:rPr>
                <w:noProof/>
                <w:sz w:val="20"/>
              </w:rPr>
              <w:t>Návrh NARIADENIE RADY, ktorým sa zavádza systém finančnej pomoci členským štátom, ktorých menou nie je euro</w:t>
            </w:r>
          </w:p>
        </w:tc>
        <w:tc>
          <w:tcPr>
            <w:tcW w:w="1985" w:type="dxa"/>
            <w:tcMar>
              <w:top w:w="85" w:type="dxa"/>
              <w:left w:w="85" w:type="dxa"/>
              <w:bottom w:w="85" w:type="dxa"/>
            </w:tcMar>
          </w:tcPr>
          <w:p w:rsidR="00201706" w:rsidRDefault="00201706" w:rsidP="00201706">
            <w:pPr>
              <w:spacing w:after="0"/>
              <w:jc w:val="left"/>
              <w:rPr>
                <w:noProof/>
                <w:sz w:val="20"/>
              </w:rPr>
            </w:pPr>
            <w:r>
              <w:rPr>
                <w:noProof/>
                <w:sz w:val="20"/>
              </w:rPr>
              <w:t>COM(2012) 336 final.</w:t>
            </w:r>
            <w:r>
              <w:rPr>
                <w:noProof/>
                <w:sz w:val="20"/>
              </w:rPr>
              <w:br/>
              <w:t>2012/0164 (APP)</w:t>
            </w:r>
            <w:r>
              <w:rPr>
                <w:noProof/>
                <w:sz w:val="20"/>
              </w:rPr>
              <w:br/>
              <w:t>22. 6. 2012</w:t>
            </w:r>
          </w:p>
        </w:tc>
        <w:tc>
          <w:tcPr>
            <w:tcW w:w="1417" w:type="dxa"/>
          </w:tcPr>
          <w:p w:rsidR="00201706" w:rsidRPr="006F318C" w:rsidRDefault="00201706" w:rsidP="00201706">
            <w:pPr>
              <w:spacing w:after="0"/>
              <w:jc w:val="center"/>
              <w:rPr>
                <w:b/>
                <w:sz w:val="20"/>
              </w:rPr>
            </w:pPr>
            <w:r w:rsidRPr="006F318C">
              <w:rPr>
                <w:b/>
                <w:sz w:val="20"/>
              </w:rPr>
              <w:t>MF SR</w:t>
            </w:r>
          </w:p>
        </w:tc>
        <w:tc>
          <w:tcPr>
            <w:tcW w:w="6095" w:type="dxa"/>
          </w:tcPr>
          <w:p w:rsidR="00201706" w:rsidRDefault="00201706" w:rsidP="00201706">
            <w:pPr>
              <w:spacing w:after="0"/>
              <w:rPr>
                <w:b/>
                <w:sz w:val="20"/>
              </w:rPr>
            </w:pPr>
            <w:r>
              <w:rPr>
                <w:b/>
                <w:sz w:val="20"/>
                <w:u w:val="single"/>
              </w:rPr>
              <w:t xml:space="preserve">Stredná </w:t>
            </w:r>
            <w:r w:rsidRPr="00FE4DFD">
              <w:rPr>
                <w:b/>
                <w:sz w:val="20"/>
                <w:u w:val="single"/>
              </w:rPr>
              <w:t>priorita</w:t>
            </w:r>
            <w:r>
              <w:rPr>
                <w:sz w:val="20"/>
              </w:rPr>
              <w:t xml:space="preserve"> - Predmetný návrh nie je ďalej diskutovaný.  Cieľom nariadenia je </w:t>
            </w:r>
            <w:r w:rsidRPr="00FE6435">
              <w:rPr>
                <w:sz w:val="20"/>
              </w:rPr>
              <w:t>zavedenie systému finančnej pomoci Únie na zmiernenie obmedzenia vonkajšieho financovania mimoeurozónových ČŠ, ktoré majú ťažkosti s platobnou bilanciou alebo ktoré sú nimi vážne ohrozené.</w:t>
            </w:r>
            <w:r>
              <w:rPr>
                <w:sz w:val="20"/>
              </w:rPr>
              <w:t xml:space="preserve"> SR</w:t>
            </w:r>
            <w:r w:rsidRPr="00FE6435">
              <w:rPr>
                <w:sz w:val="20"/>
              </w:rPr>
              <w:t xml:space="preserve"> </w:t>
            </w:r>
            <w:r>
              <w:rPr>
                <w:sz w:val="20"/>
              </w:rPr>
              <w:t xml:space="preserve">vo </w:t>
            </w:r>
            <w:r w:rsidRPr="00FE6435">
              <w:rPr>
                <w:sz w:val="20"/>
              </w:rPr>
              <w:t xml:space="preserve">všeobecne podporuje názor, že všetky ČŠ EU by mali mať rovnaké možnosti v rámci programov finančnej pomoci v EÚ bez ohľadu na to, či do eurozóny patria alebo nepatria.  </w:t>
            </w:r>
          </w:p>
          <w:p w:rsidR="00201706" w:rsidRDefault="00201706" w:rsidP="00201706">
            <w:pPr>
              <w:spacing w:after="0"/>
              <w:rPr>
                <w:b/>
                <w:sz w:val="20"/>
              </w:rPr>
            </w:pPr>
          </w:p>
        </w:tc>
      </w:tr>
      <w:tr w:rsidR="00201706" w:rsidTr="00687C5F">
        <w:trPr>
          <w:cantSplit/>
        </w:trPr>
        <w:tc>
          <w:tcPr>
            <w:tcW w:w="652" w:type="dxa"/>
            <w:tcBorders>
              <w:right w:val="nil"/>
            </w:tcBorders>
            <w:shd w:val="clear" w:color="auto" w:fill="auto"/>
            <w:tcMar>
              <w:top w:w="85" w:type="dxa"/>
              <w:left w:w="85" w:type="dxa"/>
              <w:bottom w:w="85" w:type="dxa"/>
            </w:tcMar>
          </w:tcPr>
          <w:p w:rsidR="00201706" w:rsidRDefault="00201706" w:rsidP="00201706">
            <w:pPr>
              <w:pStyle w:val="Odsekzoznamu"/>
              <w:numPr>
                <w:ilvl w:val="0"/>
                <w:numId w:val="20"/>
              </w:numPr>
              <w:spacing w:after="0"/>
              <w:ind w:left="426"/>
              <w:rPr>
                <w:b/>
                <w:noProof/>
                <w:sz w:val="20"/>
              </w:rPr>
            </w:pPr>
          </w:p>
        </w:tc>
        <w:tc>
          <w:tcPr>
            <w:tcW w:w="4588" w:type="dxa"/>
            <w:shd w:val="clear" w:color="auto" w:fill="auto"/>
            <w:tcMar>
              <w:top w:w="85" w:type="dxa"/>
              <w:left w:w="85" w:type="dxa"/>
              <w:bottom w:w="85" w:type="dxa"/>
            </w:tcMar>
          </w:tcPr>
          <w:p w:rsidR="00201706" w:rsidRDefault="00201706" w:rsidP="00201706">
            <w:pPr>
              <w:spacing w:after="0"/>
              <w:rPr>
                <w:noProof/>
                <w:sz w:val="20"/>
              </w:rPr>
            </w:pPr>
            <w:r>
              <w:rPr>
                <w:noProof/>
                <w:sz w:val="20"/>
              </w:rPr>
              <w:t>Návrh SMERNICE RADY o spoločnom konsolidovanom základe dane z príjmov právnických osôb (CCCTB)</w:t>
            </w:r>
          </w:p>
        </w:tc>
        <w:tc>
          <w:tcPr>
            <w:tcW w:w="1985" w:type="dxa"/>
            <w:tcMar>
              <w:top w:w="85" w:type="dxa"/>
              <w:left w:w="85" w:type="dxa"/>
              <w:bottom w:w="85" w:type="dxa"/>
            </w:tcMar>
          </w:tcPr>
          <w:p w:rsidR="00201706" w:rsidRDefault="00201706" w:rsidP="00201706">
            <w:pPr>
              <w:spacing w:after="0"/>
              <w:jc w:val="left"/>
              <w:rPr>
                <w:noProof/>
                <w:sz w:val="20"/>
              </w:rPr>
            </w:pPr>
            <w:r>
              <w:rPr>
                <w:noProof/>
                <w:sz w:val="20"/>
              </w:rPr>
              <w:t>COM(2016) 683 final.</w:t>
            </w:r>
            <w:r>
              <w:rPr>
                <w:noProof/>
                <w:sz w:val="20"/>
              </w:rPr>
              <w:br/>
              <w:t>2016/0336 (NLE)</w:t>
            </w:r>
            <w:r>
              <w:rPr>
                <w:noProof/>
                <w:sz w:val="20"/>
              </w:rPr>
              <w:br/>
              <w:t>26. 10. 2016</w:t>
            </w:r>
          </w:p>
        </w:tc>
        <w:tc>
          <w:tcPr>
            <w:tcW w:w="1417" w:type="dxa"/>
          </w:tcPr>
          <w:p w:rsidR="00201706" w:rsidRPr="006F318C" w:rsidRDefault="00201706" w:rsidP="00201706">
            <w:pPr>
              <w:spacing w:after="0"/>
              <w:jc w:val="center"/>
              <w:rPr>
                <w:b/>
                <w:sz w:val="20"/>
              </w:rPr>
            </w:pPr>
            <w:r w:rsidRPr="006F318C">
              <w:rPr>
                <w:b/>
                <w:sz w:val="20"/>
              </w:rPr>
              <w:t>MF SR</w:t>
            </w:r>
          </w:p>
        </w:tc>
        <w:tc>
          <w:tcPr>
            <w:tcW w:w="6095" w:type="dxa"/>
          </w:tcPr>
          <w:p w:rsidR="00201706" w:rsidRDefault="00201706" w:rsidP="00201706">
            <w:pPr>
              <w:spacing w:after="0"/>
              <w:rPr>
                <w:b/>
                <w:sz w:val="20"/>
              </w:rPr>
            </w:pPr>
            <w:r>
              <w:rPr>
                <w:b/>
                <w:sz w:val="20"/>
                <w:u w:val="single"/>
              </w:rPr>
              <w:t xml:space="preserve">Stredná </w:t>
            </w:r>
            <w:r w:rsidRPr="00FE4DFD">
              <w:rPr>
                <w:b/>
                <w:sz w:val="20"/>
                <w:u w:val="single"/>
              </w:rPr>
              <w:t>priorita</w:t>
            </w:r>
            <w:r>
              <w:rPr>
                <w:sz w:val="20"/>
              </w:rPr>
              <w:t xml:space="preserve"> - </w:t>
            </w:r>
            <w:r w:rsidRPr="00932735">
              <w:rPr>
                <w:sz w:val="20"/>
              </w:rPr>
              <w:t>SR podporuje skúmanie návrhu smernice Rady  o spoločnom konsolidovanom základe dane z príjmov právnických osôb (CCCTB) po ukončení prác na návrhu smernice Rady o spoločnom základe dane z príjmov právnických osôb.</w:t>
            </w:r>
          </w:p>
        </w:tc>
      </w:tr>
      <w:tr w:rsidR="00201706" w:rsidTr="00687C5F">
        <w:trPr>
          <w:cantSplit/>
        </w:trPr>
        <w:tc>
          <w:tcPr>
            <w:tcW w:w="652" w:type="dxa"/>
            <w:tcBorders>
              <w:right w:val="nil"/>
            </w:tcBorders>
            <w:shd w:val="clear" w:color="auto" w:fill="auto"/>
            <w:tcMar>
              <w:top w:w="85" w:type="dxa"/>
              <w:left w:w="85" w:type="dxa"/>
              <w:bottom w:w="85" w:type="dxa"/>
            </w:tcMar>
          </w:tcPr>
          <w:p w:rsidR="00201706" w:rsidRDefault="00201706" w:rsidP="00201706">
            <w:pPr>
              <w:pStyle w:val="Odsekzoznamu"/>
              <w:numPr>
                <w:ilvl w:val="0"/>
                <w:numId w:val="20"/>
              </w:numPr>
              <w:spacing w:after="0"/>
              <w:ind w:left="426"/>
              <w:rPr>
                <w:b/>
                <w:noProof/>
                <w:sz w:val="20"/>
              </w:rPr>
            </w:pPr>
          </w:p>
        </w:tc>
        <w:tc>
          <w:tcPr>
            <w:tcW w:w="4588" w:type="dxa"/>
            <w:shd w:val="clear" w:color="auto" w:fill="auto"/>
            <w:tcMar>
              <w:top w:w="85" w:type="dxa"/>
              <w:left w:w="85" w:type="dxa"/>
              <w:bottom w:w="85" w:type="dxa"/>
            </w:tcMar>
          </w:tcPr>
          <w:p w:rsidR="00201706" w:rsidRDefault="00201706" w:rsidP="00201706">
            <w:pPr>
              <w:spacing w:after="0"/>
              <w:rPr>
                <w:noProof/>
                <w:sz w:val="20"/>
              </w:rPr>
            </w:pPr>
            <w:r>
              <w:rPr>
                <w:noProof/>
                <w:sz w:val="20"/>
              </w:rPr>
              <w:t>Návrh SMERNICA RADY o spoločnom základe dane z príjmov právnických osôb</w:t>
            </w:r>
          </w:p>
        </w:tc>
        <w:tc>
          <w:tcPr>
            <w:tcW w:w="1985" w:type="dxa"/>
            <w:tcMar>
              <w:top w:w="85" w:type="dxa"/>
              <w:left w:w="85" w:type="dxa"/>
              <w:bottom w:w="85" w:type="dxa"/>
            </w:tcMar>
          </w:tcPr>
          <w:p w:rsidR="00201706" w:rsidRDefault="00201706" w:rsidP="00201706">
            <w:pPr>
              <w:spacing w:after="0"/>
              <w:jc w:val="left"/>
              <w:rPr>
                <w:noProof/>
                <w:sz w:val="20"/>
              </w:rPr>
            </w:pPr>
            <w:r>
              <w:rPr>
                <w:noProof/>
                <w:sz w:val="20"/>
              </w:rPr>
              <w:t>COM(2016) 685 final.2016/0337 (NLE)</w:t>
            </w:r>
            <w:r>
              <w:rPr>
                <w:noProof/>
                <w:sz w:val="20"/>
              </w:rPr>
              <w:br/>
              <w:t>26. 10. 2016</w:t>
            </w:r>
          </w:p>
        </w:tc>
        <w:tc>
          <w:tcPr>
            <w:tcW w:w="1417" w:type="dxa"/>
          </w:tcPr>
          <w:p w:rsidR="00201706" w:rsidRPr="006F318C" w:rsidRDefault="00201706" w:rsidP="00201706">
            <w:pPr>
              <w:spacing w:after="0"/>
              <w:jc w:val="center"/>
              <w:rPr>
                <w:b/>
                <w:sz w:val="20"/>
              </w:rPr>
            </w:pPr>
            <w:r w:rsidRPr="006F318C">
              <w:rPr>
                <w:b/>
                <w:sz w:val="20"/>
              </w:rPr>
              <w:t>MF SR</w:t>
            </w:r>
          </w:p>
        </w:tc>
        <w:tc>
          <w:tcPr>
            <w:tcW w:w="6095" w:type="dxa"/>
          </w:tcPr>
          <w:p w:rsidR="00201706" w:rsidRDefault="00201706" w:rsidP="00201706">
            <w:pPr>
              <w:spacing w:after="0"/>
              <w:rPr>
                <w:b/>
                <w:sz w:val="20"/>
              </w:rPr>
            </w:pPr>
            <w:r>
              <w:rPr>
                <w:b/>
                <w:sz w:val="20"/>
                <w:u w:val="single"/>
              </w:rPr>
              <w:t xml:space="preserve">Stredná </w:t>
            </w:r>
            <w:r w:rsidRPr="00FE4DFD">
              <w:rPr>
                <w:b/>
                <w:sz w:val="20"/>
                <w:u w:val="single"/>
              </w:rPr>
              <w:t>priorita</w:t>
            </w:r>
            <w:r>
              <w:rPr>
                <w:sz w:val="20"/>
              </w:rPr>
              <w:t xml:space="preserve"> - </w:t>
            </w:r>
            <w:r w:rsidRPr="00932735">
              <w:rPr>
                <w:sz w:val="20"/>
              </w:rPr>
              <w:t>SR podporuje pokračovanie v skúmaní návrhu smernice Rady  o spoločnom základe dane z príjmov právnických osôb.</w:t>
            </w:r>
          </w:p>
        </w:tc>
      </w:tr>
      <w:tr w:rsidR="00201706" w:rsidTr="00687C5F">
        <w:trPr>
          <w:cantSplit/>
        </w:trPr>
        <w:tc>
          <w:tcPr>
            <w:tcW w:w="652" w:type="dxa"/>
            <w:tcBorders>
              <w:right w:val="nil"/>
            </w:tcBorders>
            <w:shd w:val="clear" w:color="auto" w:fill="auto"/>
            <w:tcMar>
              <w:top w:w="85" w:type="dxa"/>
              <w:left w:w="85" w:type="dxa"/>
              <w:bottom w:w="85" w:type="dxa"/>
            </w:tcMar>
          </w:tcPr>
          <w:p w:rsidR="00201706" w:rsidRDefault="00201706" w:rsidP="00201706">
            <w:pPr>
              <w:pStyle w:val="Odsekzoznamu"/>
              <w:numPr>
                <w:ilvl w:val="0"/>
                <w:numId w:val="20"/>
              </w:numPr>
              <w:spacing w:after="0"/>
              <w:ind w:left="426"/>
              <w:rPr>
                <w:b/>
                <w:noProof/>
                <w:sz w:val="20"/>
              </w:rPr>
            </w:pPr>
          </w:p>
        </w:tc>
        <w:tc>
          <w:tcPr>
            <w:tcW w:w="4588" w:type="dxa"/>
            <w:shd w:val="clear" w:color="auto" w:fill="auto"/>
            <w:tcMar>
              <w:top w:w="85" w:type="dxa"/>
              <w:left w:w="85" w:type="dxa"/>
              <w:bottom w:w="85" w:type="dxa"/>
            </w:tcMar>
          </w:tcPr>
          <w:p w:rsidR="00201706" w:rsidRDefault="00201706" w:rsidP="00201706">
            <w:pPr>
              <w:spacing w:after="0"/>
              <w:rPr>
                <w:noProof/>
                <w:sz w:val="20"/>
              </w:rPr>
            </w:pPr>
            <w:r>
              <w:rPr>
                <w:noProof/>
                <w:sz w:val="20"/>
              </w:rPr>
              <w:t>Návrh SMERNICA RADY, ktorou sa vykonáva posilnená spolupráca v oblasti dane z finančných transakcií</w:t>
            </w:r>
          </w:p>
        </w:tc>
        <w:tc>
          <w:tcPr>
            <w:tcW w:w="1985" w:type="dxa"/>
            <w:tcMar>
              <w:top w:w="85" w:type="dxa"/>
              <w:left w:w="85" w:type="dxa"/>
              <w:bottom w:w="85" w:type="dxa"/>
            </w:tcMar>
          </w:tcPr>
          <w:p w:rsidR="00201706" w:rsidRDefault="00201706" w:rsidP="00201706">
            <w:pPr>
              <w:spacing w:after="0"/>
              <w:jc w:val="left"/>
              <w:rPr>
                <w:noProof/>
                <w:sz w:val="20"/>
              </w:rPr>
            </w:pPr>
            <w:r>
              <w:rPr>
                <w:noProof/>
                <w:sz w:val="20"/>
              </w:rPr>
              <w:t>COM(2013) 71 final.</w:t>
            </w:r>
            <w:r>
              <w:rPr>
                <w:noProof/>
                <w:sz w:val="20"/>
              </w:rPr>
              <w:br/>
              <w:t>2013/0045 (NLE)</w:t>
            </w:r>
            <w:r>
              <w:rPr>
                <w:noProof/>
                <w:sz w:val="20"/>
              </w:rPr>
              <w:br/>
              <w:t>14. 2. 2013</w:t>
            </w:r>
          </w:p>
        </w:tc>
        <w:tc>
          <w:tcPr>
            <w:tcW w:w="1417" w:type="dxa"/>
          </w:tcPr>
          <w:p w:rsidR="00201706" w:rsidRPr="006F318C" w:rsidRDefault="00201706" w:rsidP="00201706">
            <w:pPr>
              <w:spacing w:after="0"/>
              <w:jc w:val="center"/>
              <w:rPr>
                <w:b/>
                <w:sz w:val="20"/>
              </w:rPr>
            </w:pPr>
            <w:r w:rsidRPr="006F318C">
              <w:rPr>
                <w:b/>
                <w:sz w:val="20"/>
              </w:rPr>
              <w:t>MF SR</w:t>
            </w:r>
          </w:p>
        </w:tc>
        <w:tc>
          <w:tcPr>
            <w:tcW w:w="6095" w:type="dxa"/>
          </w:tcPr>
          <w:p w:rsidR="00201706" w:rsidRPr="009012D7" w:rsidRDefault="00201706" w:rsidP="00201706">
            <w:pPr>
              <w:spacing w:after="0"/>
              <w:rPr>
                <w:b/>
                <w:sz w:val="20"/>
              </w:rPr>
            </w:pPr>
            <w:r>
              <w:rPr>
                <w:b/>
                <w:sz w:val="20"/>
                <w:u w:val="single"/>
              </w:rPr>
              <w:t xml:space="preserve">Stredná </w:t>
            </w:r>
            <w:r w:rsidRPr="00FE4DFD">
              <w:rPr>
                <w:b/>
                <w:sz w:val="20"/>
                <w:u w:val="single"/>
              </w:rPr>
              <w:t>priorita</w:t>
            </w:r>
            <w:r>
              <w:rPr>
                <w:sz w:val="20"/>
              </w:rPr>
              <w:t xml:space="preserve"> </w:t>
            </w:r>
            <w:r w:rsidRPr="00FE4DFD">
              <w:rPr>
                <w:sz w:val="20"/>
              </w:rPr>
              <w:t>-</w:t>
            </w:r>
            <w:r w:rsidRPr="009012D7">
              <w:rPr>
                <w:sz w:val="20"/>
              </w:rPr>
              <w:t>Slovenská republika vo všeobecnosti podporuje návrh smernice avšak s pôvodnými cieľmi smernice a nie bezvýhradne, čo SR prezentovala prostredníctvom národných zásadných pozícií k prvkom návrhu, pri zdanení ktorých by došlo k deformácii a negatívnym dopadom na slovenský finančný trh.</w:t>
            </w:r>
          </w:p>
        </w:tc>
      </w:tr>
      <w:tr w:rsidR="00201706" w:rsidTr="00687C5F">
        <w:trPr>
          <w:cantSplit/>
        </w:trPr>
        <w:tc>
          <w:tcPr>
            <w:tcW w:w="652" w:type="dxa"/>
            <w:tcBorders>
              <w:right w:val="nil"/>
            </w:tcBorders>
            <w:shd w:val="clear" w:color="auto" w:fill="auto"/>
            <w:tcMar>
              <w:top w:w="85" w:type="dxa"/>
              <w:left w:w="85" w:type="dxa"/>
              <w:bottom w:w="85" w:type="dxa"/>
            </w:tcMar>
          </w:tcPr>
          <w:p w:rsidR="00201706" w:rsidRDefault="00201706" w:rsidP="00201706">
            <w:pPr>
              <w:pStyle w:val="Odsekzoznamu"/>
              <w:numPr>
                <w:ilvl w:val="0"/>
                <w:numId w:val="20"/>
              </w:numPr>
              <w:spacing w:after="0"/>
              <w:ind w:left="426"/>
              <w:rPr>
                <w:b/>
                <w:noProof/>
                <w:sz w:val="20"/>
              </w:rPr>
            </w:pPr>
          </w:p>
        </w:tc>
        <w:tc>
          <w:tcPr>
            <w:tcW w:w="4588" w:type="dxa"/>
            <w:shd w:val="clear" w:color="auto" w:fill="auto"/>
            <w:tcMar>
              <w:top w:w="85" w:type="dxa"/>
              <w:left w:w="85" w:type="dxa"/>
              <w:bottom w:w="85" w:type="dxa"/>
            </w:tcMar>
          </w:tcPr>
          <w:p w:rsidR="00201706" w:rsidRDefault="00201706" w:rsidP="00201706">
            <w:pPr>
              <w:spacing w:after="0"/>
              <w:rPr>
                <w:noProof/>
                <w:sz w:val="20"/>
              </w:rPr>
            </w:pPr>
            <w:r>
              <w:rPr>
                <w:noProof/>
                <w:sz w:val="20"/>
              </w:rPr>
              <w:t>Návrh SMERNICA RADY, ktorou sa mení smernica 92/83/EHS o zosúladení štruktúr spotrebných daní pre etanol a alkoholické nápoje</w:t>
            </w:r>
          </w:p>
        </w:tc>
        <w:tc>
          <w:tcPr>
            <w:tcW w:w="1985" w:type="dxa"/>
            <w:tcMar>
              <w:top w:w="85" w:type="dxa"/>
              <w:left w:w="85" w:type="dxa"/>
              <w:bottom w:w="85" w:type="dxa"/>
            </w:tcMar>
          </w:tcPr>
          <w:p w:rsidR="00201706" w:rsidRDefault="00201706" w:rsidP="00201706">
            <w:pPr>
              <w:spacing w:after="0"/>
              <w:jc w:val="left"/>
              <w:rPr>
                <w:noProof/>
                <w:sz w:val="20"/>
              </w:rPr>
            </w:pPr>
            <w:r>
              <w:rPr>
                <w:noProof/>
                <w:sz w:val="20"/>
              </w:rPr>
              <w:t>COM(2018) 334 final.</w:t>
            </w:r>
            <w:r>
              <w:rPr>
                <w:noProof/>
                <w:sz w:val="20"/>
              </w:rPr>
              <w:br/>
              <w:t>2018/0173 (NLE)</w:t>
            </w:r>
            <w:r>
              <w:rPr>
                <w:noProof/>
                <w:sz w:val="20"/>
              </w:rPr>
              <w:br/>
              <w:t>25. 5. 2018</w:t>
            </w:r>
          </w:p>
        </w:tc>
        <w:tc>
          <w:tcPr>
            <w:tcW w:w="1417" w:type="dxa"/>
          </w:tcPr>
          <w:p w:rsidR="00201706" w:rsidRPr="006F318C" w:rsidRDefault="00201706" w:rsidP="00201706">
            <w:pPr>
              <w:spacing w:after="0"/>
              <w:jc w:val="center"/>
              <w:rPr>
                <w:b/>
                <w:sz w:val="20"/>
              </w:rPr>
            </w:pPr>
            <w:r w:rsidRPr="006F318C">
              <w:rPr>
                <w:b/>
                <w:sz w:val="20"/>
              </w:rPr>
              <w:t>MF SR</w:t>
            </w:r>
          </w:p>
        </w:tc>
        <w:tc>
          <w:tcPr>
            <w:tcW w:w="6095" w:type="dxa"/>
          </w:tcPr>
          <w:p w:rsidR="00201706" w:rsidRDefault="00201706" w:rsidP="00201706">
            <w:pPr>
              <w:spacing w:after="0"/>
              <w:rPr>
                <w:b/>
                <w:sz w:val="20"/>
              </w:rPr>
            </w:pPr>
            <w:r w:rsidRPr="00FE4DFD">
              <w:rPr>
                <w:b/>
                <w:sz w:val="20"/>
                <w:u w:val="single"/>
              </w:rPr>
              <w:t>Vysoká priorita</w:t>
            </w:r>
            <w:r>
              <w:rPr>
                <w:sz w:val="20"/>
              </w:rPr>
              <w:t xml:space="preserve"> </w:t>
            </w:r>
            <w:r w:rsidRPr="00FE4DFD">
              <w:rPr>
                <w:sz w:val="20"/>
              </w:rPr>
              <w:t>-</w:t>
            </w:r>
            <w:r>
              <w:rPr>
                <w:sz w:val="20"/>
              </w:rPr>
              <w:t xml:space="preserve"> Ná</w:t>
            </w:r>
            <w:r w:rsidRPr="00825143">
              <w:rPr>
                <w:sz w:val="20"/>
              </w:rPr>
              <w:t>vrh smernice o štruktúrach spotrebných daní pre alkohol a alkoholické nápoje, ktorý vychádzal z prijatých Záverov Rady zo dňa 6</w:t>
            </w:r>
            <w:r>
              <w:rPr>
                <w:sz w:val="20"/>
              </w:rPr>
              <w:t xml:space="preserve">. decembra 2016 (počas SK PRES) sa zameriava na vytvorenie porovnateľných podmienok </w:t>
            </w:r>
            <w:r w:rsidRPr="00825143">
              <w:rPr>
                <w:sz w:val="20"/>
              </w:rPr>
              <w:t xml:space="preserve">pre malé </w:t>
            </w:r>
            <w:r>
              <w:rPr>
                <w:sz w:val="20"/>
              </w:rPr>
              <w:t xml:space="preserve">a </w:t>
            </w:r>
            <w:r w:rsidRPr="00825143">
              <w:rPr>
                <w:sz w:val="20"/>
              </w:rPr>
              <w:t>stredné podniky</w:t>
            </w:r>
            <w:r>
              <w:rPr>
                <w:sz w:val="20"/>
              </w:rPr>
              <w:t xml:space="preserve"> obchodujúce s alkoholom a alkoholickými nápojmi v EÚ v porovnaní s veľkými operátormi a elimináciu faktorov motivujúcich k daňovým únikom. </w:t>
            </w:r>
            <w:r w:rsidRPr="008B3D44">
              <w:rPr>
                <w:sz w:val="20"/>
              </w:rPr>
              <w:t>Pre SR predstavuje uvedený spis vysokú prioritu</w:t>
            </w:r>
            <w:r>
              <w:rPr>
                <w:sz w:val="20"/>
              </w:rPr>
              <w:t xml:space="preserve">, nakoľko po rokovaniach na Rade Slovenská republika dosiahla </w:t>
            </w:r>
            <w:r w:rsidRPr="008B3D44">
              <w:rPr>
                <w:sz w:val="20"/>
              </w:rPr>
              <w:t>zahrnutie fakultatívneho ustanovenia umožňujúceho členským štátom oslobodenie v členským štátom EÚ oslobodiť od spotrebnej dane výživové doplnky s obsahom liehu. Tieto výrobky nie sú určené na spotrebu ako lieh</w:t>
            </w:r>
            <w:r>
              <w:rPr>
                <w:sz w:val="20"/>
              </w:rPr>
              <w:t>.</w:t>
            </w:r>
            <w:r w:rsidRPr="008B3D44">
              <w:rPr>
                <w:sz w:val="20"/>
              </w:rPr>
              <w:t xml:space="preserve"> Z nášho pohľadu ide o odstránenie nerovnakého zaobchádzania s malými a ve</w:t>
            </w:r>
            <w:r>
              <w:rPr>
                <w:sz w:val="20"/>
              </w:rPr>
              <w:t xml:space="preserve">ľkými výrobcami týchto výrobkov a zároveň o </w:t>
            </w:r>
            <w:r w:rsidRPr="008B3D44">
              <w:rPr>
                <w:sz w:val="20"/>
              </w:rPr>
              <w:t>odstránenie nerovnakého zaobchádzania s výživovými doplnkami ako s podobnými výrobkami, napr. s arómami, ktoré sú oslobodené od dane</w:t>
            </w:r>
            <w:r>
              <w:rPr>
                <w:sz w:val="20"/>
              </w:rPr>
              <w:t xml:space="preserve">. Spis obsahuje </w:t>
            </w:r>
            <w:r w:rsidRPr="00FA6D6E">
              <w:rPr>
                <w:sz w:val="20"/>
              </w:rPr>
              <w:t>návrh oslobodenie alebo zníženú sadzbu na súkromnú výrobu alkoholických nápojov (čl. 22 (8))</w:t>
            </w:r>
            <w:r>
              <w:rPr>
                <w:sz w:val="20"/>
              </w:rPr>
              <w:t xml:space="preserve"> s objemovými </w:t>
            </w:r>
            <w:r w:rsidRPr="00FA6D6E">
              <w:rPr>
                <w:sz w:val="20"/>
              </w:rPr>
              <w:t>limit</w:t>
            </w:r>
            <w:r>
              <w:rPr>
                <w:sz w:val="20"/>
              </w:rPr>
              <w:t>mi</w:t>
            </w:r>
            <w:r w:rsidRPr="00FA6D6E">
              <w:rPr>
                <w:sz w:val="20"/>
              </w:rPr>
              <w:t xml:space="preserve"> pre </w:t>
            </w:r>
            <w:r>
              <w:rPr>
                <w:sz w:val="20"/>
              </w:rPr>
              <w:t xml:space="preserve">toto </w:t>
            </w:r>
            <w:r w:rsidRPr="00FA6D6E">
              <w:rPr>
                <w:sz w:val="20"/>
              </w:rPr>
              <w:t xml:space="preserve">oslobodenie </w:t>
            </w:r>
            <w:r>
              <w:rPr>
                <w:sz w:val="20"/>
              </w:rPr>
              <w:t>(</w:t>
            </w:r>
            <w:r w:rsidRPr="00FA6D6E">
              <w:rPr>
                <w:sz w:val="20"/>
              </w:rPr>
              <w:t>50 l</w:t>
            </w:r>
            <w:r>
              <w:rPr>
                <w:sz w:val="20"/>
              </w:rPr>
              <w:t>)</w:t>
            </w:r>
            <w:r w:rsidRPr="00FA6D6E">
              <w:rPr>
                <w:sz w:val="20"/>
              </w:rPr>
              <w:t>.</w:t>
            </w:r>
            <w:r>
              <w:rPr>
                <w:sz w:val="20"/>
              </w:rPr>
              <w:t xml:space="preserve"> Uvedená otázka bola pri prerokovávaní tohto spisu kľúčová, pričom členské štáty v tejto veci nedospeli  k dohode.  </w:t>
            </w:r>
          </w:p>
        </w:tc>
      </w:tr>
      <w:tr w:rsidR="00201706" w:rsidTr="00687C5F">
        <w:trPr>
          <w:cantSplit/>
        </w:trPr>
        <w:tc>
          <w:tcPr>
            <w:tcW w:w="652" w:type="dxa"/>
            <w:tcBorders>
              <w:right w:val="nil"/>
            </w:tcBorders>
            <w:shd w:val="clear" w:color="auto" w:fill="auto"/>
            <w:tcMar>
              <w:top w:w="85" w:type="dxa"/>
              <w:left w:w="85" w:type="dxa"/>
              <w:bottom w:w="85" w:type="dxa"/>
            </w:tcMar>
          </w:tcPr>
          <w:p w:rsidR="00201706" w:rsidRDefault="00201706" w:rsidP="00201706">
            <w:pPr>
              <w:pStyle w:val="Odsekzoznamu"/>
              <w:numPr>
                <w:ilvl w:val="0"/>
                <w:numId w:val="20"/>
              </w:numPr>
              <w:spacing w:after="0"/>
              <w:ind w:left="426"/>
              <w:rPr>
                <w:b/>
                <w:noProof/>
                <w:sz w:val="20"/>
              </w:rPr>
            </w:pPr>
          </w:p>
        </w:tc>
        <w:tc>
          <w:tcPr>
            <w:tcW w:w="4588" w:type="dxa"/>
            <w:shd w:val="clear" w:color="auto" w:fill="auto"/>
            <w:tcMar>
              <w:top w:w="85" w:type="dxa"/>
              <w:left w:w="85" w:type="dxa"/>
              <w:bottom w:w="85" w:type="dxa"/>
            </w:tcMar>
          </w:tcPr>
          <w:p w:rsidR="00201706" w:rsidRDefault="00201706" w:rsidP="00201706">
            <w:pPr>
              <w:spacing w:after="0"/>
              <w:rPr>
                <w:noProof/>
                <w:sz w:val="20"/>
              </w:rPr>
            </w:pPr>
            <w:r>
              <w:rPr>
                <w:noProof/>
                <w:sz w:val="20"/>
              </w:rPr>
              <w:t>Návrh SMERNICA RADY, ktorou sa mení smernica 2006/112/ES, pokiaľ ide o zavedenie podrobných technických opatrení na fungovanie konečného systému DPH pre zdaňovanie obchodu medzi členskými štátmi</w:t>
            </w:r>
          </w:p>
        </w:tc>
        <w:tc>
          <w:tcPr>
            <w:tcW w:w="1985" w:type="dxa"/>
            <w:tcMar>
              <w:top w:w="85" w:type="dxa"/>
              <w:left w:w="85" w:type="dxa"/>
              <w:bottom w:w="85" w:type="dxa"/>
            </w:tcMar>
          </w:tcPr>
          <w:p w:rsidR="00201706" w:rsidRDefault="00201706" w:rsidP="00201706">
            <w:pPr>
              <w:spacing w:after="0"/>
              <w:jc w:val="left"/>
              <w:rPr>
                <w:noProof/>
                <w:sz w:val="20"/>
              </w:rPr>
            </w:pPr>
            <w:r>
              <w:rPr>
                <w:noProof/>
                <w:sz w:val="20"/>
              </w:rPr>
              <w:t>COM(2018) 329 final.</w:t>
            </w:r>
            <w:r>
              <w:rPr>
                <w:noProof/>
                <w:sz w:val="20"/>
              </w:rPr>
              <w:br/>
              <w:t>2018/0164 (NLE)</w:t>
            </w:r>
            <w:r>
              <w:rPr>
                <w:noProof/>
                <w:sz w:val="20"/>
              </w:rPr>
              <w:br/>
              <w:t>25. 5. 2018</w:t>
            </w:r>
          </w:p>
        </w:tc>
        <w:tc>
          <w:tcPr>
            <w:tcW w:w="1417" w:type="dxa"/>
          </w:tcPr>
          <w:p w:rsidR="00201706" w:rsidRPr="006F318C" w:rsidRDefault="00201706" w:rsidP="00A026B9">
            <w:pPr>
              <w:spacing w:after="0"/>
              <w:jc w:val="center"/>
              <w:rPr>
                <w:b/>
                <w:sz w:val="20"/>
              </w:rPr>
            </w:pPr>
            <w:r w:rsidRPr="006F318C">
              <w:rPr>
                <w:b/>
                <w:sz w:val="20"/>
              </w:rPr>
              <w:t>MF SR</w:t>
            </w:r>
          </w:p>
        </w:tc>
        <w:tc>
          <w:tcPr>
            <w:tcW w:w="6095" w:type="dxa"/>
          </w:tcPr>
          <w:p w:rsidR="00201706" w:rsidRPr="00687C5F" w:rsidRDefault="00201706" w:rsidP="00201706">
            <w:pPr>
              <w:spacing w:after="0"/>
              <w:rPr>
                <w:rFonts w:eastAsia="Calibri"/>
                <w:b/>
                <w:sz w:val="20"/>
                <w:lang w:eastAsia="en-US"/>
              </w:rPr>
            </w:pPr>
            <w:r>
              <w:rPr>
                <w:b/>
                <w:sz w:val="20"/>
                <w:u w:val="single"/>
              </w:rPr>
              <w:t xml:space="preserve">Stredná </w:t>
            </w:r>
            <w:r w:rsidRPr="00FE4DFD">
              <w:rPr>
                <w:b/>
                <w:sz w:val="20"/>
                <w:u w:val="single"/>
              </w:rPr>
              <w:t>priorita</w:t>
            </w:r>
            <w:r>
              <w:rPr>
                <w:sz w:val="20"/>
              </w:rPr>
              <w:t xml:space="preserve"> </w:t>
            </w:r>
            <w:r w:rsidRPr="00FE4DFD">
              <w:rPr>
                <w:sz w:val="20"/>
              </w:rPr>
              <w:t>-</w:t>
            </w:r>
            <w:r>
              <w:rPr>
                <w:sz w:val="20"/>
              </w:rPr>
              <w:t xml:space="preserve"> </w:t>
            </w:r>
            <w:r>
              <w:rPr>
                <w:rFonts w:eastAsia="Calibri"/>
                <w:sz w:val="20"/>
                <w:lang w:eastAsia="en-US"/>
              </w:rPr>
              <w:t>Návrh smernice sa týka detailných technických opatrení pre fungovanie definitívneho režimu. Komisia postavila návrh definitívneho systému na zdanení cezhraničných transakcií tovaru medzi zdaniteľnými osobami. Do systému zdanenia cezhraničných transakcií zaviedla aj koncept certifikovaných zdaniteľných osôb, kedy by sa uplatňoval systém prenesenia daňovej povinnosti na kupujúceho v inom členskom štáte.</w:t>
            </w:r>
            <w:r w:rsidRPr="00697935">
              <w:rPr>
                <w:rFonts w:eastAsia="Calibri"/>
                <w:sz w:val="20"/>
                <w:lang w:eastAsia="en-US"/>
              </w:rPr>
              <w:t>Pre SR predstavuje uvedený spis vysokú prioritu</w:t>
            </w:r>
            <w:r>
              <w:rPr>
                <w:rFonts w:eastAsia="Calibri"/>
                <w:sz w:val="20"/>
                <w:lang w:eastAsia="en-US"/>
              </w:rPr>
              <w:t xml:space="preserve">, pretože zastáva názor, že definitívny režim by mal byť taký, aby </w:t>
            </w:r>
            <w:r w:rsidRPr="00697935">
              <w:rPr>
                <w:rFonts w:eastAsia="Calibri"/>
                <w:sz w:val="20"/>
                <w:lang w:eastAsia="en-US"/>
              </w:rPr>
              <w:t>neoslaboval existujúci systém novými typmi podvodov</w:t>
            </w:r>
            <w:r>
              <w:rPr>
                <w:rFonts w:eastAsia="Calibri"/>
                <w:sz w:val="20"/>
                <w:lang w:eastAsia="en-US"/>
              </w:rPr>
              <w:t xml:space="preserve">, </w:t>
            </w:r>
            <w:r w:rsidRPr="00697935">
              <w:rPr>
                <w:rFonts w:eastAsia="Calibri"/>
                <w:sz w:val="20"/>
                <w:lang w:eastAsia="en-US"/>
              </w:rPr>
              <w:t>nezvyšoval administratívnu záťaž podnikov</w:t>
            </w:r>
            <w:r>
              <w:rPr>
                <w:rFonts w:eastAsia="Calibri"/>
                <w:sz w:val="20"/>
                <w:lang w:eastAsia="en-US"/>
              </w:rPr>
              <w:t xml:space="preserve"> a daňových správ. Súčasný návrh však tieto podmienky nespĺňa, </w:t>
            </w:r>
            <w:r w:rsidRPr="00697935">
              <w:rPr>
                <w:rFonts w:eastAsia="Calibri"/>
                <w:sz w:val="20"/>
                <w:lang w:eastAsia="en-US"/>
              </w:rPr>
              <w:t>a tak SR nepodporuje definitívny režim založený na tom, že pri výbere DPH bude závislá od iných členských štátov.</w:t>
            </w:r>
            <w:r>
              <w:rPr>
                <w:rFonts w:eastAsia="Calibri"/>
                <w:sz w:val="20"/>
                <w:lang w:eastAsia="en-US"/>
              </w:rPr>
              <w:t>Je potrebné zamerať diskusiu o definitívnom režime na taký systém, ktorý by najmä eliminoval daňové podvody.</w:t>
            </w:r>
          </w:p>
        </w:tc>
      </w:tr>
      <w:tr w:rsidR="00201706" w:rsidTr="00687C5F">
        <w:trPr>
          <w:cantSplit/>
        </w:trPr>
        <w:tc>
          <w:tcPr>
            <w:tcW w:w="652" w:type="dxa"/>
            <w:tcBorders>
              <w:right w:val="nil"/>
            </w:tcBorders>
            <w:shd w:val="clear" w:color="auto" w:fill="auto"/>
            <w:tcMar>
              <w:top w:w="85" w:type="dxa"/>
              <w:left w:w="85" w:type="dxa"/>
              <w:bottom w:w="85" w:type="dxa"/>
            </w:tcMar>
          </w:tcPr>
          <w:p w:rsidR="00201706" w:rsidRDefault="00201706" w:rsidP="00201706">
            <w:pPr>
              <w:pStyle w:val="Odsekzoznamu"/>
              <w:numPr>
                <w:ilvl w:val="0"/>
                <w:numId w:val="20"/>
              </w:numPr>
              <w:spacing w:after="0"/>
              <w:ind w:left="426"/>
              <w:rPr>
                <w:b/>
                <w:noProof/>
                <w:sz w:val="20"/>
              </w:rPr>
            </w:pPr>
          </w:p>
        </w:tc>
        <w:tc>
          <w:tcPr>
            <w:tcW w:w="4588" w:type="dxa"/>
            <w:shd w:val="clear" w:color="auto" w:fill="auto"/>
            <w:tcMar>
              <w:top w:w="85" w:type="dxa"/>
              <w:left w:w="85" w:type="dxa"/>
              <w:bottom w:w="85" w:type="dxa"/>
            </w:tcMar>
          </w:tcPr>
          <w:p w:rsidR="00201706" w:rsidRDefault="00201706" w:rsidP="00201706">
            <w:pPr>
              <w:spacing w:after="0"/>
              <w:rPr>
                <w:noProof/>
                <w:sz w:val="20"/>
              </w:rPr>
            </w:pPr>
            <w:r>
              <w:rPr>
                <w:noProof/>
                <w:sz w:val="20"/>
              </w:rPr>
              <w:t>Návrh SMERNICA RADY, ktorou sa mení smernica 2006/112/ES, pokiaľ ide o sadzby dane z pridanej hodnoty</w:t>
            </w:r>
          </w:p>
        </w:tc>
        <w:tc>
          <w:tcPr>
            <w:tcW w:w="1985" w:type="dxa"/>
            <w:tcMar>
              <w:top w:w="85" w:type="dxa"/>
              <w:left w:w="85" w:type="dxa"/>
              <w:bottom w:w="85" w:type="dxa"/>
            </w:tcMar>
          </w:tcPr>
          <w:p w:rsidR="00201706" w:rsidRDefault="00201706" w:rsidP="00201706">
            <w:pPr>
              <w:spacing w:after="0"/>
              <w:jc w:val="left"/>
              <w:rPr>
                <w:noProof/>
                <w:sz w:val="20"/>
              </w:rPr>
            </w:pPr>
            <w:r>
              <w:rPr>
                <w:noProof/>
                <w:sz w:val="20"/>
              </w:rPr>
              <w:t>COM(2018) 20 final.</w:t>
            </w:r>
            <w:r>
              <w:rPr>
                <w:noProof/>
                <w:sz w:val="20"/>
              </w:rPr>
              <w:br/>
              <w:t>2018/0005 (NLE)</w:t>
            </w:r>
            <w:r>
              <w:rPr>
                <w:noProof/>
                <w:sz w:val="20"/>
              </w:rPr>
              <w:br/>
              <w:t>18. 1. 2018</w:t>
            </w:r>
          </w:p>
        </w:tc>
        <w:tc>
          <w:tcPr>
            <w:tcW w:w="1417" w:type="dxa"/>
          </w:tcPr>
          <w:p w:rsidR="00201706" w:rsidRPr="006F318C" w:rsidRDefault="00201706" w:rsidP="00A026B9">
            <w:pPr>
              <w:spacing w:after="0"/>
              <w:jc w:val="center"/>
              <w:rPr>
                <w:b/>
                <w:sz w:val="20"/>
              </w:rPr>
            </w:pPr>
            <w:r w:rsidRPr="006F318C">
              <w:rPr>
                <w:b/>
                <w:sz w:val="20"/>
              </w:rPr>
              <w:t>MF SR</w:t>
            </w:r>
          </w:p>
          <w:p w:rsidR="00201706" w:rsidRPr="006F318C" w:rsidRDefault="00201706" w:rsidP="00201706">
            <w:pPr>
              <w:rPr>
                <w:b/>
                <w:sz w:val="20"/>
              </w:rPr>
            </w:pPr>
          </w:p>
        </w:tc>
        <w:tc>
          <w:tcPr>
            <w:tcW w:w="6095" w:type="dxa"/>
          </w:tcPr>
          <w:p w:rsidR="00201706" w:rsidRPr="00AC08A2" w:rsidRDefault="00201706" w:rsidP="00201706">
            <w:pPr>
              <w:spacing w:after="0"/>
              <w:rPr>
                <w:b/>
                <w:sz w:val="20"/>
              </w:rPr>
            </w:pPr>
            <w:r>
              <w:rPr>
                <w:b/>
                <w:sz w:val="20"/>
                <w:u w:val="single"/>
              </w:rPr>
              <w:t xml:space="preserve">Stredná </w:t>
            </w:r>
            <w:r w:rsidRPr="00FE4DFD">
              <w:rPr>
                <w:b/>
                <w:sz w:val="20"/>
                <w:u w:val="single"/>
              </w:rPr>
              <w:t xml:space="preserve"> priorita</w:t>
            </w:r>
            <w:r>
              <w:rPr>
                <w:sz w:val="20"/>
              </w:rPr>
              <w:t xml:space="preserve"> </w:t>
            </w:r>
            <w:r w:rsidRPr="00FE4DFD">
              <w:rPr>
                <w:sz w:val="20"/>
              </w:rPr>
              <w:t>-</w:t>
            </w:r>
            <w:r>
              <w:rPr>
                <w:sz w:val="20"/>
              </w:rPr>
              <w:t xml:space="preserve"> Návrh smernice obsahuje reformu v oblasti sadzieb DPH. Obsahuje návrh na odstránenie obmedzení v oblasti znížených sadzieb a navrhuje povinné uplatňovanie základnej sadzby cez tzv. „negatívny zoznam tovarov a služieb podliehajúcich základnej sadzbe DPH“.</w:t>
            </w:r>
            <w:r w:rsidRPr="00697935">
              <w:rPr>
                <w:sz w:val="20"/>
              </w:rPr>
              <w:t>Pre SR predstavuje uvedený spis strednú prioritu</w:t>
            </w:r>
            <w:r>
              <w:rPr>
                <w:sz w:val="20"/>
              </w:rPr>
              <w:t xml:space="preserve">. Vzhľadom na skutočnosť, že uvedený návrh sa odkláňa od istého stupňa harmonizácie, ktorá v súčasnosti v oblasti znížených sadzieb existuje, SR nepodporuje cestu tzv. „negatívneho zoznamu“. </w:t>
            </w:r>
            <w:r w:rsidRPr="00697935">
              <w:rPr>
                <w:sz w:val="20"/>
              </w:rPr>
              <w:t>SR preferuje zachovanie súčasného stavu s umožnením využívania existujúcich výnimiek, ktoré sú upl</w:t>
            </w:r>
            <w:r>
              <w:rPr>
                <w:sz w:val="20"/>
              </w:rPr>
              <w:t>atňované inými členskými štátmi.</w:t>
            </w:r>
          </w:p>
        </w:tc>
      </w:tr>
      <w:tr w:rsidR="00201706" w:rsidTr="00687C5F">
        <w:trPr>
          <w:cantSplit/>
        </w:trPr>
        <w:tc>
          <w:tcPr>
            <w:tcW w:w="652" w:type="dxa"/>
            <w:tcBorders>
              <w:right w:val="nil"/>
            </w:tcBorders>
            <w:shd w:val="clear" w:color="auto" w:fill="auto"/>
            <w:tcMar>
              <w:top w:w="85" w:type="dxa"/>
              <w:left w:w="85" w:type="dxa"/>
              <w:bottom w:w="85" w:type="dxa"/>
            </w:tcMar>
          </w:tcPr>
          <w:p w:rsidR="00201706" w:rsidRDefault="00201706" w:rsidP="00201706">
            <w:pPr>
              <w:pStyle w:val="Odsekzoznamu"/>
              <w:numPr>
                <w:ilvl w:val="0"/>
                <w:numId w:val="20"/>
              </w:numPr>
              <w:spacing w:after="0"/>
              <w:ind w:left="426"/>
              <w:rPr>
                <w:b/>
                <w:noProof/>
                <w:sz w:val="20"/>
              </w:rPr>
            </w:pPr>
          </w:p>
        </w:tc>
        <w:tc>
          <w:tcPr>
            <w:tcW w:w="4588" w:type="dxa"/>
            <w:shd w:val="clear" w:color="auto" w:fill="auto"/>
            <w:tcMar>
              <w:top w:w="85" w:type="dxa"/>
              <w:left w:w="85" w:type="dxa"/>
              <w:bottom w:w="85" w:type="dxa"/>
            </w:tcMar>
          </w:tcPr>
          <w:p w:rsidR="00201706" w:rsidRDefault="00201706" w:rsidP="00201706">
            <w:pPr>
              <w:spacing w:after="0"/>
              <w:rPr>
                <w:noProof/>
                <w:sz w:val="20"/>
              </w:rPr>
            </w:pPr>
            <w:r>
              <w:rPr>
                <w:noProof/>
                <w:sz w:val="20"/>
              </w:rPr>
              <w:t>Návrh SMERNICA RADY, ktorou sa mení smernica 1999/62/ES o poplatkoch za používanie určitej dopravnej infraštruktúry ťažkými nákladnými vozidlami, pokiaľ ide o niektoré ustanovenia týkajúce sa zdaňovania vozidiel</w:t>
            </w:r>
          </w:p>
        </w:tc>
        <w:tc>
          <w:tcPr>
            <w:tcW w:w="1985" w:type="dxa"/>
            <w:tcMar>
              <w:top w:w="85" w:type="dxa"/>
              <w:left w:w="85" w:type="dxa"/>
              <w:bottom w:w="85" w:type="dxa"/>
            </w:tcMar>
          </w:tcPr>
          <w:p w:rsidR="00201706" w:rsidRDefault="00201706" w:rsidP="00201706">
            <w:pPr>
              <w:spacing w:after="0"/>
              <w:jc w:val="left"/>
              <w:rPr>
                <w:noProof/>
                <w:sz w:val="20"/>
              </w:rPr>
            </w:pPr>
            <w:r>
              <w:rPr>
                <w:noProof/>
                <w:sz w:val="20"/>
              </w:rPr>
              <w:t>COM(2017) 276 final.</w:t>
            </w:r>
            <w:r>
              <w:rPr>
                <w:noProof/>
                <w:sz w:val="20"/>
              </w:rPr>
              <w:br/>
              <w:t>2017/0115 (NLE)</w:t>
            </w:r>
            <w:r>
              <w:rPr>
                <w:noProof/>
                <w:sz w:val="20"/>
              </w:rPr>
              <w:br/>
              <w:t>31. 5. 2017</w:t>
            </w:r>
          </w:p>
        </w:tc>
        <w:tc>
          <w:tcPr>
            <w:tcW w:w="1417" w:type="dxa"/>
          </w:tcPr>
          <w:p w:rsidR="00201706" w:rsidRPr="00FE2A32" w:rsidRDefault="00201706" w:rsidP="00201706">
            <w:pPr>
              <w:spacing w:after="0"/>
              <w:jc w:val="center"/>
              <w:rPr>
                <w:b/>
                <w:sz w:val="20"/>
              </w:rPr>
            </w:pPr>
            <w:r w:rsidRPr="00FE2A32">
              <w:rPr>
                <w:b/>
                <w:sz w:val="20"/>
              </w:rPr>
              <w:t>MDV SR</w:t>
            </w:r>
          </w:p>
        </w:tc>
        <w:tc>
          <w:tcPr>
            <w:tcW w:w="6095" w:type="dxa"/>
          </w:tcPr>
          <w:p w:rsidR="00201706" w:rsidRPr="00FE2A32" w:rsidRDefault="00201706" w:rsidP="00201706">
            <w:pPr>
              <w:spacing w:after="0"/>
              <w:rPr>
                <w:sz w:val="20"/>
              </w:rPr>
            </w:pPr>
            <w:r w:rsidRPr="00FE2A32">
              <w:rPr>
                <w:b/>
                <w:sz w:val="20"/>
                <w:u w:val="single"/>
              </w:rPr>
              <w:t>Vysoká priorita</w:t>
            </w:r>
            <w:r>
              <w:rPr>
                <w:sz w:val="20"/>
              </w:rPr>
              <w:t xml:space="preserve"> - Zámerom Komisie je poskytnutie motivácie na posun k spoplatňovaniu ciest na základe vzdialenosti, t. j. uplatňovaniu mýta za precestovanú vzdialenosť. Z toho dôvodu Komisia navrhuje postupné znižovanie minimálnych sadzieb na nulu v 5 krokoch vykonaných počas piatich po sebe nasledujúcich rokov, pričom každý rok by došlo k zníženiu o 20% zo súčasných minimálnych sadzieb. SR prostredníctvom dane z motorových vozidiel uplatňuje zdaňovanie hnuteľného majetku používaného na podnikanie. Sadzby dane sú v súčasnosti jednotné pre celé územie SR a sú podstatne vyššie ako minimálne sadzby určené aktuálne platnou prílohou I smernice. Predmetom zdanenia sú len vozidlá zapísané do evidencie vozidiel v SR, a preto vozidlá zahraničných dopravcov môžu pri zohľadnení postupného znižovania minimálnych sadzieb v právnych predpisoch iných členských štátov získať podstatnú konkurenčnú výhodu oproti slovenským autodopravcom. SR nesúhlasí s návrhom v predloženom znení. Návrh zatiaľ nebol predmetom rokovaní.</w:t>
            </w:r>
          </w:p>
        </w:tc>
      </w:tr>
      <w:tr w:rsidR="00201706" w:rsidTr="00687C5F">
        <w:trPr>
          <w:cantSplit/>
        </w:trPr>
        <w:tc>
          <w:tcPr>
            <w:tcW w:w="652" w:type="dxa"/>
            <w:tcBorders>
              <w:right w:val="nil"/>
            </w:tcBorders>
            <w:shd w:val="clear" w:color="auto" w:fill="auto"/>
            <w:tcMar>
              <w:top w:w="85" w:type="dxa"/>
              <w:left w:w="85" w:type="dxa"/>
              <w:bottom w:w="85" w:type="dxa"/>
            </w:tcMar>
          </w:tcPr>
          <w:p w:rsidR="00201706" w:rsidRDefault="00201706" w:rsidP="00201706">
            <w:pPr>
              <w:pStyle w:val="Odsekzoznamu"/>
              <w:numPr>
                <w:ilvl w:val="0"/>
                <w:numId w:val="20"/>
              </w:numPr>
              <w:spacing w:after="0"/>
              <w:ind w:left="426"/>
              <w:rPr>
                <w:b/>
                <w:noProof/>
                <w:sz w:val="20"/>
              </w:rPr>
            </w:pPr>
          </w:p>
        </w:tc>
        <w:tc>
          <w:tcPr>
            <w:tcW w:w="4588" w:type="dxa"/>
            <w:shd w:val="clear" w:color="auto" w:fill="EEECE1" w:themeFill="background2"/>
            <w:tcMar>
              <w:top w:w="85" w:type="dxa"/>
              <w:left w:w="85" w:type="dxa"/>
              <w:bottom w:w="85" w:type="dxa"/>
            </w:tcMar>
          </w:tcPr>
          <w:p w:rsidR="00201706" w:rsidRDefault="00201706" w:rsidP="00201706">
            <w:pPr>
              <w:spacing w:after="0"/>
              <w:rPr>
                <w:noProof/>
                <w:sz w:val="20"/>
              </w:rPr>
            </w:pPr>
            <w:r>
              <w:rPr>
                <w:noProof/>
                <w:sz w:val="20"/>
              </w:rPr>
              <w:t>Návrh NARIADENIE EURÓPSKEHO PARLAMENTU A RADY o zriadení Programu na podporu reforiem</w:t>
            </w:r>
          </w:p>
        </w:tc>
        <w:tc>
          <w:tcPr>
            <w:tcW w:w="1985" w:type="dxa"/>
            <w:tcMar>
              <w:top w:w="85" w:type="dxa"/>
              <w:left w:w="85" w:type="dxa"/>
              <w:bottom w:w="85" w:type="dxa"/>
            </w:tcMar>
          </w:tcPr>
          <w:p w:rsidR="00201706" w:rsidRDefault="00201706" w:rsidP="00201706">
            <w:pPr>
              <w:spacing w:after="0"/>
              <w:jc w:val="left"/>
              <w:rPr>
                <w:noProof/>
                <w:sz w:val="20"/>
              </w:rPr>
            </w:pPr>
            <w:r>
              <w:rPr>
                <w:noProof/>
                <w:sz w:val="20"/>
              </w:rPr>
              <w:t>COM(2018) 391 final.</w:t>
            </w:r>
            <w:r>
              <w:rPr>
                <w:noProof/>
                <w:sz w:val="20"/>
              </w:rPr>
              <w:br/>
              <w:t>2018/0213 (COD)</w:t>
            </w:r>
            <w:r>
              <w:rPr>
                <w:noProof/>
                <w:sz w:val="20"/>
              </w:rPr>
              <w:br/>
              <w:t>31. 5. 2018</w:t>
            </w:r>
          </w:p>
        </w:tc>
        <w:tc>
          <w:tcPr>
            <w:tcW w:w="1417" w:type="dxa"/>
          </w:tcPr>
          <w:p w:rsidR="00201706" w:rsidRPr="006F318C" w:rsidRDefault="00201706" w:rsidP="00201706">
            <w:pPr>
              <w:spacing w:after="0"/>
              <w:jc w:val="center"/>
              <w:rPr>
                <w:b/>
                <w:sz w:val="20"/>
              </w:rPr>
            </w:pPr>
            <w:r w:rsidRPr="006F318C">
              <w:rPr>
                <w:b/>
                <w:sz w:val="20"/>
              </w:rPr>
              <w:t>MF SR</w:t>
            </w:r>
          </w:p>
        </w:tc>
        <w:tc>
          <w:tcPr>
            <w:tcW w:w="6095" w:type="dxa"/>
          </w:tcPr>
          <w:p w:rsidR="00201706" w:rsidRPr="006F318C" w:rsidRDefault="00201706" w:rsidP="00201706">
            <w:pPr>
              <w:spacing w:after="0"/>
              <w:jc w:val="left"/>
              <w:rPr>
                <w:sz w:val="20"/>
              </w:rPr>
            </w:pPr>
            <w:r w:rsidRPr="00FE4DFD">
              <w:rPr>
                <w:b/>
                <w:sz w:val="20"/>
                <w:u w:val="single"/>
              </w:rPr>
              <w:t>Vysoká priorita</w:t>
            </w:r>
            <w:r>
              <w:rPr>
                <w:sz w:val="20"/>
              </w:rPr>
              <w:t xml:space="preserve"> </w:t>
            </w:r>
            <w:r w:rsidRPr="00FE4DFD">
              <w:rPr>
                <w:sz w:val="20"/>
              </w:rPr>
              <w:t>-</w:t>
            </w:r>
            <w:r>
              <w:rPr>
                <w:sz w:val="20"/>
              </w:rPr>
              <w:t xml:space="preserve"> </w:t>
            </w:r>
            <w:r w:rsidRPr="00C67A43">
              <w:rPr>
                <w:sz w:val="20"/>
              </w:rPr>
              <w:t>Slovenská republika vo všeobecnosti víta návrh Komisie (EK) o zriadení Programu na podporu reforiem, k</w:t>
            </w:r>
            <w:r>
              <w:rPr>
                <w:sz w:val="20"/>
              </w:rPr>
              <w:t>torý by mal pozostávať z troch</w:t>
            </w:r>
            <w:r w:rsidRPr="00C67A43">
              <w:rPr>
                <w:sz w:val="20"/>
              </w:rPr>
              <w:t xml:space="preserve"> vzájomne sa dopĺňajúcich nástrojov. Realizácia štrukturálnych reforiem je nevyhnutnou súčasťou efektívneho fungovania hospodárskej a menovej únie. </w:t>
            </w:r>
            <w:r>
              <w:rPr>
                <w:sz w:val="20"/>
              </w:rPr>
              <w:t xml:space="preserve">Po rozhodnutí o potrebe vytvorenia </w:t>
            </w:r>
            <w:r w:rsidRPr="006C03EC">
              <w:rPr>
                <w:sz w:val="20"/>
              </w:rPr>
              <w:t xml:space="preserve">Rozpočtového nástroja pre konvergienciu a konrvergenciu pre eurozónu (BICC) </w:t>
            </w:r>
            <w:r>
              <w:rPr>
                <w:sz w:val="20"/>
              </w:rPr>
              <w:t xml:space="preserve">bolo dohodnuté, že jeho právnym základom bude práve COM(2018)391 final. Legislatívny návrh EK preto aktuálne podstupuje významné úpravy na úrovni rokovaní Rady. </w:t>
            </w:r>
          </w:p>
          <w:p w:rsidR="00201706" w:rsidRPr="006F318C" w:rsidRDefault="00201706" w:rsidP="00201706">
            <w:pPr>
              <w:spacing w:after="0"/>
            </w:pPr>
            <w:r>
              <w:rPr>
                <w:sz w:val="20"/>
              </w:rPr>
              <w:t xml:space="preserve">1. V rámci </w:t>
            </w:r>
            <w:r w:rsidRPr="006C03EC">
              <w:rPr>
                <w:sz w:val="20"/>
              </w:rPr>
              <w:t>Nástroja na realizáciu reforiem</w:t>
            </w:r>
            <w:r w:rsidRPr="00C67A43">
              <w:rPr>
                <w:sz w:val="20"/>
              </w:rPr>
              <w:t xml:space="preserve"> </w:t>
            </w:r>
            <w:r>
              <w:rPr>
                <w:sz w:val="20"/>
              </w:rPr>
              <w:t xml:space="preserve">by </w:t>
            </w:r>
            <w:r w:rsidRPr="006C03EC">
              <w:rPr>
                <w:sz w:val="20"/>
              </w:rPr>
              <w:t>ČŠ sami navrhovali a implementovali komplexné súbory reforiem</w:t>
            </w:r>
            <w:r>
              <w:rPr>
                <w:sz w:val="20"/>
              </w:rPr>
              <w:t>, za čo um budú poskystné finančné zdroje. Navrhovaný N</w:t>
            </w:r>
            <w:r w:rsidRPr="00C67A43">
              <w:rPr>
                <w:sz w:val="20"/>
              </w:rPr>
              <w:t xml:space="preserve">ástroj na realizáciu reforiem môže napomôcť väčšej miere implementácie potrebných reforiem v súlade s prioritami identifikovanými v rámci Európskeho semestra. </w:t>
            </w:r>
            <w:r>
              <w:rPr>
                <w:sz w:val="20"/>
              </w:rPr>
              <w:t xml:space="preserve">Na SR ako ČŠ eurzóny sa však nebude vzťahovať (úlohu bude plniť BIIC). </w:t>
            </w:r>
          </w:p>
          <w:p w:rsidR="00201706" w:rsidRDefault="00201706" w:rsidP="00201706">
            <w:pPr>
              <w:spacing w:after="0"/>
              <w:rPr>
                <w:b/>
                <w:sz w:val="20"/>
              </w:rPr>
            </w:pPr>
            <w:r>
              <w:rPr>
                <w:sz w:val="20"/>
              </w:rPr>
              <w:t xml:space="preserve">2. </w:t>
            </w:r>
            <w:r w:rsidRPr="00C67A43">
              <w:rPr>
                <w:sz w:val="20"/>
              </w:rPr>
              <w:t>Slove</w:t>
            </w:r>
            <w:r>
              <w:rPr>
                <w:sz w:val="20"/>
              </w:rPr>
              <w:t xml:space="preserve">nská republika podporuje vznik </w:t>
            </w:r>
            <w:r w:rsidRPr="006C03EC">
              <w:rPr>
                <w:sz w:val="20"/>
              </w:rPr>
              <w:t>Nástroja technickej podpory</w:t>
            </w:r>
            <w:r w:rsidRPr="00C67A43">
              <w:rPr>
                <w:sz w:val="20"/>
              </w:rPr>
              <w:t>, ktorý bude založený na už existujúcom programe na podporu štrukturálnych reforiem (SRSP). Slovensko má s programom SRSP pozitívne skúsenosti, aktívne spolupracuje s EK a oceňuje flexibilitu a nízku administratívnu záťaž. SR sa v rámci SRSP aktívne zapája a viacero projektov financovaných z predmetného programu je už realizovaných. Nástroj technickej podpory môže aktívne dopĺňať nástroj na realizáciu reforiem, a to z technického a administratívneho hľadiska. Reflektuje tiež na jednu z najvýraznejších prekážok v implementácii, a to chýbajúce inštitucionálne a administratívne kapacity.</w:t>
            </w:r>
            <w:r>
              <w:rPr>
                <w:sz w:val="20"/>
              </w:rPr>
              <w:t xml:space="preserve">3. </w:t>
            </w:r>
            <w:r w:rsidRPr="00C67A43">
              <w:rPr>
                <w:sz w:val="20"/>
              </w:rPr>
              <w:t xml:space="preserve">Slovenská </w:t>
            </w:r>
            <w:r>
              <w:rPr>
                <w:sz w:val="20"/>
              </w:rPr>
              <w:t xml:space="preserve">republika sa k návrhu na vznik </w:t>
            </w:r>
            <w:r w:rsidRPr="006C03EC">
              <w:rPr>
                <w:sz w:val="20"/>
              </w:rPr>
              <w:t>Nástroja konvergencie</w:t>
            </w:r>
            <w:r w:rsidRPr="00C67A43">
              <w:rPr>
                <w:sz w:val="20"/>
              </w:rPr>
              <w:t xml:space="preserve"> stavia skôr skepticky, keďže samotné výhody plynúce zo vstupu do eurozóny by mali byť dostatočnou motiváciou na vstup. Keďže konvergenčný nástroj neprináša dodatočnú pridanú hodnotu okrem dodatočných finančných zdrojov, hrozí riziko duplicity s</w:t>
            </w:r>
            <w:r>
              <w:rPr>
                <w:sz w:val="20"/>
              </w:rPr>
              <w:t> inými nástrojmi.</w:t>
            </w:r>
          </w:p>
        </w:tc>
      </w:tr>
      <w:tr w:rsidR="00201706" w:rsidTr="00687C5F">
        <w:trPr>
          <w:cantSplit/>
        </w:trPr>
        <w:tc>
          <w:tcPr>
            <w:tcW w:w="652" w:type="dxa"/>
            <w:tcBorders>
              <w:right w:val="nil"/>
            </w:tcBorders>
            <w:shd w:val="clear" w:color="auto" w:fill="auto"/>
            <w:tcMar>
              <w:top w:w="85" w:type="dxa"/>
              <w:left w:w="85" w:type="dxa"/>
              <w:bottom w:w="85" w:type="dxa"/>
            </w:tcMar>
          </w:tcPr>
          <w:p w:rsidR="00201706" w:rsidRDefault="00201706" w:rsidP="00201706">
            <w:pPr>
              <w:pStyle w:val="Odsekzoznamu"/>
              <w:numPr>
                <w:ilvl w:val="0"/>
                <w:numId w:val="20"/>
              </w:numPr>
              <w:spacing w:after="0"/>
              <w:ind w:left="426"/>
              <w:rPr>
                <w:b/>
                <w:noProof/>
                <w:sz w:val="20"/>
              </w:rPr>
            </w:pPr>
          </w:p>
        </w:tc>
        <w:tc>
          <w:tcPr>
            <w:tcW w:w="4588" w:type="dxa"/>
            <w:shd w:val="clear" w:color="auto" w:fill="EEECE1" w:themeFill="background2"/>
            <w:tcMar>
              <w:top w:w="85" w:type="dxa"/>
              <w:left w:w="85" w:type="dxa"/>
              <w:bottom w:w="85" w:type="dxa"/>
            </w:tcMar>
          </w:tcPr>
          <w:p w:rsidR="00201706" w:rsidRDefault="00201706" w:rsidP="00201706">
            <w:pPr>
              <w:spacing w:after="0"/>
              <w:rPr>
                <w:noProof/>
                <w:sz w:val="20"/>
              </w:rPr>
            </w:pPr>
            <w:r>
              <w:rPr>
                <w:noProof/>
                <w:sz w:val="20"/>
              </w:rPr>
              <w:t>Návrh NARIADENIE EURÓPSKEHO PARLAMENTU A RADY o zriadení európskeho nástroja stabilizácie investícií</w:t>
            </w:r>
          </w:p>
        </w:tc>
        <w:tc>
          <w:tcPr>
            <w:tcW w:w="1985" w:type="dxa"/>
            <w:tcMar>
              <w:top w:w="85" w:type="dxa"/>
              <w:left w:w="85" w:type="dxa"/>
              <w:bottom w:w="85" w:type="dxa"/>
            </w:tcMar>
          </w:tcPr>
          <w:p w:rsidR="00201706" w:rsidRDefault="00201706" w:rsidP="00201706">
            <w:pPr>
              <w:spacing w:after="0"/>
              <w:jc w:val="left"/>
              <w:rPr>
                <w:noProof/>
                <w:sz w:val="20"/>
              </w:rPr>
            </w:pPr>
            <w:r>
              <w:rPr>
                <w:noProof/>
                <w:sz w:val="20"/>
              </w:rPr>
              <w:t>COM(2018) 387 final.</w:t>
            </w:r>
            <w:r>
              <w:rPr>
                <w:noProof/>
                <w:sz w:val="20"/>
              </w:rPr>
              <w:br/>
              <w:t>2018/0212 (COD)</w:t>
            </w:r>
            <w:r>
              <w:rPr>
                <w:noProof/>
                <w:sz w:val="20"/>
              </w:rPr>
              <w:br/>
              <w:t>31. 5. 2018</w:t>
            </w:r>
          </w:p>
        </w:tc>
        <w:tc>
          <w:tcPr>
            <w:tcW w:w="1417" w:type="dxa"/>
          </w:tcPr>
          <w:p w:rsidR="00201706" w:rsidRPr="006F318C" w:rsidRDefault="00201706" w:rsidP="00201706">
            <w:pPr>
              <w:spacing w:after="0"/>
              <w:jc w:val="center"/>
              <w:rPr>
                <w:b/>
                <w:sz w:val="20"/>
              </w:rPr>
            </w:pPr>
            <w:r w:rsidRPr="006F318C">
              <w:rPr>
                <w:b/>
                <w:sz w:val="20"/>
              </w:rPr>
              <w:t>MF SR</w:t>
            </w:r>
          </w:p>
        </w:tc>
        <w:tc>
          <w:tcPr>
            <w:tcW w:w="6095" w:type="dxa"/>
          </w:tcPr>
          <w:p w:rsidR="00201706" w:rsidRDefault="00201706" w:rsidP="00201706">
            <w:pPr>
              <w:spacing w:after="0"/>
              <w:rPr>
                <w:b/>
                <w:sz w:val="20"/>
              </w:rPr>
            </w:pPr>
            <w:r w:rsidRPr="00FE4DFD">
              <w:rPr>
                <w:b/>
                <w:sz w:val="20"/>
                <w:u w:val="single"/>
              </w:rPr>
              <w:t>Vysoká priorita</w:t>
            </w:r>
            <w:r>
              <w:rPr>
                <w:sz w:val="20"/>
              </w:rPr>
              <w:t xml:space="preserve"> </w:t>
            </w:r>
            <w:r w:rsidRPr="00FE4DFD">
              <w:rPr>
                <w:sz w:val="20"/>
              </w:rPr>
              <w:t>-</w:t>
            </w:r>
            <w:r>
              <w:rPr>
                <w:sz w:val="20"/>
              </w:rPr>
              <w:t xml:space="preserve"> </w:t>
            </w:r>
            <w:r w:rsidRPr="006C03EC">
              <w:rPr>
                <w:sz w:val="20"/>
              </w:rPr>
              <w:t xml:space="preserve">Predmetný návrh nie je ďalej diskutovaný. </w:t>
            </w:r>
            <w:r>
              <w:rPr>
                <w:sz w:val="20"/>
              </w:rPr>
              <w:t xml:space="preserve"> </w:t>
            </w:r>
            <w:r w:rsidRPr="006C03EC">
              <w:rPr>
                <w:sz w:val="20"/>
              </w:rPr>
              <w:t>Slovenská republika vo všeobecnosti podporuje Návrh nariadenia o zriadení európskeho nástroja stabilizácie investícií. Vzhľadom na štruktúru HMÚ členské štáty eurozóny nie sú dostatočne schopné samostatne tlmiť veľké asymetrické otrasy. Slovenská republika dlhodobo podporuje vytvorenie nástroja makroekonomickej stabilizácie pre eurozónu, ktorý považujeme za významný krok k zvýšeniu stability a odolnosti HMÚ.</w:t>
            </w:r>
          </w:p>
        </w:tc>
      </w:tr>
      <w:tr w:rsidR="00201706" w:rsidTr="00687C5F">
        <w:trPr>
          <w:cantSplit/>
        </w:trPr>
        <w:tc>
          <w:tcPr>
            <w:tcW w:w="652" w:type="dxa"/>
            <w:tcBorders>
              <w:right w:val="nil"/>
            </w:tcBorders>
            <w:shd w:val="clear" w:color="auto" w:fill="auto"/>
            <w:tcMar>
              <w:top w:w="85" w:type="dxa"/>
              <w:left w:w="85" w:type="dxa"/>
              <w:bottom w:w="85" w:type="dxa"/>
            </w:tcMar>
          </w:tcPr>
          <w:p w:rsidR="00201706" w:rsidRDefault="00201706" w:rsidP="00201706">
            <w:pPr>
              <w:pStyle w:val="Odsekzoznamu"/>
              <w:numPr>
                <w:ilvl w:val="0"/>
                <w:numId w:val="20"/>
              </w:numPr>
              <w:spacing w:after="0"/>
              <w:ind w:left="426"/>
              <w:rPr>
                <w:b/>
                <w:noProof/>
                <w:sz w:val="20"/>
              </w:rPr>
            </w:pPr>
          </w:p>
        </w:tc>
        <w:tc>
          <w:tcPr>
            <w:tcW w:w="4588" w:type="dxa"/>
            <w:shd w:val="clear" w:color="auto" w:fill="EEECE1" w:themeFill="background2"/>
            <w:tcMar>
              <w:top w:w="85" w:type="dxa"/>
              <w:left w:w="85" w:type="dxa"/>
              <w:bottom w:w="85" w:type="dxa"/>
            </w:tcMar>
          </w:tcPr>
          <w:p w:rsidR="00201706" w:rsidRDefault="00201706" w:rsidP="00201706">
            <w:pPr>
              <w:spacing w:after="0"/>
              <w:rPr>
                <w:noProof/>
                <w:sz w:val="20"/>
              </w:rPr>
            </w:pPr>
            <w:r>
              <w:rPr>
                <w:noProof/>
                <w:sz w:val="20"/>
              </w:rPr>
              <w:t>Návrh SMERNICA EURÓPSKEHO PARLAMENTU A RADY, ktorou sa mení smernica Európskeho parlamentu a Rady 2009/103/ES zo 16. septembra 2009 o poistení zodpovednosti za škodu spôsobenú prevádzkou motorových vozidiel a o kontrole plnenia povinnosti poistenia tejto zodpovednosti</w:t>
            </w:r>
          </w:p>
        </w:tc>
        <w:tc>
          <w:tcPr>
            <w:tcW w:w="1985" w:type="dxa"/>
            <w:tcMar>
              <w:top w:w="85" w:type="dxa"/>
              <w:left w:w="85" w:type="dxa"/>
              <w:bottom w:w="85" w:type="dxa"/>
            </w:tcMar>
          </w:tcPr>
          <w:p w:rsidR="00201706" w:rsidRDefault="00201706" w:rsidP="00201706">
            <w:pPr>
              <w:spacing w:after="0"/>
              <w:jc w:val="left"/>
              <w:rPr>
                <w:noProof/>
                <w:sz w:val="20"/>
              </w:rPr>
            </w:pPr>
            <w:r>
              <w:rPr>
                <w:noProof/>
                <w:sz w:val="22"/>
                <w:szCs w:val="22"/>
              </w:rPr>
              <w:t>COM(2018) 336 final 2018/0168 (COD) 24. 5. 2018</w:t>
            </w:r>
          </w:p>
        </w:tc>
        <w:tc>
          <w:tcPr>
            <w:tcW w:w="1417" w:type="dxa"/>
          </w:tcPr>
          <w:p w:rsidR="00201706" w:rsidRPr="006F318C" w:rsidRDefault="00201706" w:rsidP="00201706">
            <w:pPr>
              <w:spacing w:after="0"/>
              <w:jc w:val="center"/>
              <w:rPr>
                <w:b/>
                <w:sz w:val="20"/>
              </w:rPr>
            </w:pPr>
            <w:r w:rsidRPr="006F318C">
              <w:rPr>
                <w:b/>
                <w:sz w:val="20"/>
              </w:rPr>
              <w:t>MF SR</w:t>
            </w:r>
          </w:p>
        </w:tc>
        <w:tc>
          <w:tcPr>
            <w:tcW w:w="6095" w:type="dxa"/>
          </w:tcPr>
          <w:p w:rsidR="00201706" w:rsidRDefault="00201706" w:rsidP="00201706">
            <w:pPr>
              <w:spacing w:after="0"/>
              <w:rPr>
                <w:b/>
                <w:sz w:val="22"/>
              </w:rPr>
            </w:pPr>
            <w:r>
              <w:rPr>
                <w:b/>
                <w:sz w:val="20"/>
                <w:u w:val="single"/>
              </w:rPr>
              <w:t xml:space="preserve">Stredná </w:t>
            </w:r>
            <w:r w:rsidRPr="00FE4DFD">
              <w:rPr>
                <w:b/>
                <w:sz w:val="20"/>
                <w:u w:val="single"/>
              </w:rPr>
              <w:t>priorita</w:t>
            </w:r>
            <w:r>
              <w:rPr>
                <w:sz w:val="20"/>
              </w:rPr>
              <w:t xml:space="preserve"> </w:t>
            </w:r>
            <w:r w:rsidRPr="00FE4DFD">
              <w:rPr>
                <w:sz w:val="20"/>
              </w:rPr>
              <w:t>-</w:t>
            </w:r>
            <w:r w:rsidRPr="00681A34">
              <w:rPr>
                <w:sz w:val="20"/>
              </w:rPr>
              <w:t>Slovenská republika vo všeobecnosti podporuje návrh smernice, ktorej cieľom je najmä zaviesť systém poistných garančných schém v sektore povinného zmluvného poistenia a upraviť rozsah pôsobnosti smernice.</w:t>
            </w:r>
          </w:p>
        </w:tc>
      </w:tr>
      <w:tr w:rsidR="00201706" w:rsidTr="00687C5F">
        <w:trPr>
          <w:cantSplit/>
        </w:trPr>
        <w:tc>
          <w:tcPr>
            <w:tcW w:w="652" w:type="dxa"/>
            <w:tcBorders>
              <w:right w:val="nil"/>
            </w:tcBorders>
            <w:shd w:val="clear" w:color="auto" w:fill="auto"/>
            <w:tcMar>
              <w:top w:w="85" w:type="dxa"/>
              <w:left w:w="85" w:type="dxa"/>
              <w:bottom w:w="85" w:type="dxa"/>
            </w:tcMar>
          </w:tcPr>
          <w:p w:rsidR="00201706" w:rsidRDefault="00201706" w:rsidP="00201706">
            <w:pPr>
              <w:pStyle w:val="Odsekzoznamu"/>
              <w:numPr>
                <w:ilvl w:val="0"/>
                <w:numId w:val="20"/>
              </w:numPr>
              <w:spacing w:after="0"/>
              <w:ind w:left="426"/>
              <w:rPr>
                <w:b/>
                <w:noProof/>
                <w:sz w:val="20"/>
              </w:rPr>
            </w:pPr>
          </w:p>
        </w:tc>
        <w:tc>
          <w:tcPr>
            <w:tcW w:w="4588" w:type="dxa"/>
            <w:shd w:val="clear" w:color="auto" w:fill="EEECE1" w:themeFill="background2"/>
            <w:tcMar>
              <w:top w:w="85" w:type="dxa"/>
              <w:left w:w="85" w:type="dxa"/>
              <w:bottom w:w="85" w:type="dxa"/>
            </w:tcMar>
          </w:tcPr>
          <w:p w:rsidR="00201706" w:rsidRPr="003B1CF2" w:rsidRDefault="00201706" w:rsidP="00201706">
            <w:pPr>
              <w:spacing w:after="0"/>
              <w:rPr>
                <w:noProof/>
                <w:sz w:val="20"/>
              </w:rPr>
            </w:pPr>
            <w:r w:rsidRPr="003B1CF2">
              <w:rPr>
                <w:noProof/>
                <w:sz w:val="20"/>
              </w:rPr>
              <w:t>Návrh NARIADENIE RADY, ktorým sa stanovuje viacročný finančný rámec na roky 2021 až 2027</w:t>
            </w:r>
          </w:p>
        </w:tc>
        <w:tc>
          <w:tcPr>
            <w:tcW w:w="1985" w:type="dxa"/>
            <w:tcMar>
              <w:top w:w="85" w:type="dxa"/>
              <w:left w:w="85" w:type="dxa"/>
              <w:bottom w:w="85" w:type="dxa"/>
            </w:tcMar>
          </w:tcPr>
          <w:p w:rsidR="00201706" w:rsidRPr="003B1CF2" w:rsidRDefault="00201706" w:rsidP="00201706">
            <w:pPr>
              <w:spacing w:after="0"/>
              <w:jc w:val="left"/>
              <w:rPr>
                <w:noProof/>
                <w:sz w:val="20"/>
              </w:rPr>
            </w:pPr>
            <w:r w:rsidRPr="003B1CF2">
              <w:rPr>
                <w:noProof/>
                <w:sz w:val="20"/>
              </w:rPr>
              <w:t>COM(2018) 322 final.</w:t>
            </w:r>
            <w:r w:rsidRPr="003B1CF2">
              <w:rPr>
                <w:noProof/>
                <w:sz w:val="20"/>
              </w:rPr>
              <w:br/>
              <w:t>2018/0132 (APP)</w:t>
            </w:r>
            <w:r w:rsidRPr="003B1CF2">
              <w:rPr>
                <w:noProof/>
                <w:sz w:val="20"/>
              </w:rPr>
              <w:br/>
              <w:t>2. 5. 2018</w:t>
            </w:r>
          </w:p>
        </w:tc>
        <w:tc>
          <w:tcPr>
            <w:tcW w:w="1417" w:type="dxa"/>
          </w:tcPr>
          <w:p w:rsidR="00201706" w:rsidRPr="001129C1" w:rsidRDefault="00201706" w:rsidP="00201706">
            <w:pPr>
              <w:spacing w:after="0"/>
              <w:ind w:left="4" w:right="49"/>
              <w:jc w:val="center"/>
              <w:rPr>
                <w:b/>
                <w:sz w:val="20"/>
              </w:rPr>
            </w:pPr>
            <w:r w:rsidRPr="001129C1">
              <w:rPr>
                <w:b/>
                <w:sz w:val="20"/>
              </w:rPr>
              <w:t>MZVEZ SR</w:t>
            </w:r>
          </w:p>
          <w:p w:rsidR="00201706" w:rsidRPr="001129C1" w:rsidRDefault="00201706" w:rsidP="00201706">
            <w:pPr>
              <w:spacing w:after="0"/>
              <w:ind w:left="4" w:right="49"/>
              <w:jc w:val="center"/>
              <w:rPr>
                <w:b/>
                <w:sz w:val="20"/>
              </w:rPr>
            </w:pPr>
            <w:r w:rsidRPr="001129C1">
              <w:rPr>
                <w:b/>
                <w:sz w:val="20"/>
              </w:rPr>
              <w:t>MF SR</w:t>
            </w:r>
          </w:p>
        </w:tc>
        <w:tc>
          <w:tcPr>
            <w:tcW w:w="6095" w:type="dxa"/>
          </w:tcPr>
          <w:p w:rsidR="00201706" w:rsidRPr="005E6108" w:rsidRDefault="00201706" w:rsidP="00201706">
            <w:pPr>
              <w:spacing w:after="0"/>
              <w:ind w:left="4" w:right="49"/>
              <w:rPr>
                <w:b/>
                <w:bCs/>
                <w:sz w:val="20"/>
                <w:u w:val="single"/>
              </w:rPr>
            </w:pPr>
            <w:r>
              <w:rPr>
                <w:b/>
                <w:bCs/>
                <w:sz w:val="20"/>
                <w:u w:val="single"/>
              </w:rPr>
              <w:t>Vysoká priorita</w:t>
            </w:r>
            <w:r w:rsidRPr="005E6108">
              <w:rPr>
                <w:b/>
                <w:bCs/>
                <w:sz w:val="20"/>
              </w:rPr>
              <w:t xml:space="preserve"> -</w:t>
            </w:r>
            <w:r w:rsidRPr="005E6108">
              <w:rPr>
                <w:sz w:val="20"/>
              </w:rPr>
              <w:t xml:space="preserve"> </w:t>
            </w:r>
            <w:r>
              <w:rPr>
                <w:sz w:val="20"/>
              </w:rPr>
              <w:t>Viacročný finančný rámec (VFR) na roky 2021 – 2027 bude prvým rozpočtovým rámcom pre 27 krajín EÚ po odchode Spojeného kráľovstva Veľkej Británie a Severného Írska z EÚ. Európska komisia (EK) navrhla viacročný rozpočet EÚ na obdobie rokov 2021 – 2027 (záväzky) v objeme  1 279 mld. eur v bežných cenách, čo v stálych cenách roku 2018 znamená 1 134,6 mld. eur. Podľa návrhu EK bude mať rozpočet EÚ k dispozícii 1,114 % HND EÚ27. Záväzky by sa podľa EK mali odraziť vo výške (skutočných) platieb 1 246 mld. eur v bežných cenách, čo je 1,08 % HND EÚ27.</w:t>
            </w:r>
          </w:p>
          <w:p w:rsidR="00201706" w:rsidRPr="00BD72C0" w:rsidRDefault="00201706" w:rsidP="00201706">
            <w:pPr>
              <w:spacing w:after="0"/>
              <w:ind w:left="4" w:right="49"/>
              <w:rPr>
                <w:sz w:val="20"/>
              </w:rPr>
            </w:pPr>
            <w:r>
              <w:rPr>
                <w:sz w:val="20"/>
              </w:rPr>
              <w:t>Návrh EK možno hodnotiť ako selektívne ambiciózny v európskom meradle a z pohľadu SR ako mierne nepriaznivý, keďže čistá pozícia SR by sa mala zhoršiť. SR však aj v rámci budúceho 7-ročného obdobia zostane čistým príjemcom prostriedkov z rozpočtu EÚ. SR podporuje ambiciózny rozpočet EÚ, ktorý zabezpečí dostatok zdrojov tak na tradičné politiky, najmä politiku súdržnosti a spoločnú poľnohospodársku politiku, ako aj na nové výzvy, medzi ktoré patrí bezpečnosť, obrana, migrácia či zmena klímy.</w:t>
            </w:r>
          </w:p>
        </w:tc>
      </w:tr>
      <w:tr w:rsidR="00201706" w:rsidTr="00687C5F">
        <w:trPr>
          <w:cantSplit/>
        </w:trPr>
        <w:tc>
          <w:tcPr>
            <w:tcW w:w="652" w:type="dxa"/>
            <w:tcBorders>
              <w:right w:val="nil"/>
            </w:tcBorders>
            <w:shd w:val="clear" w:color="auto" w:fill="auto"/>
            <w:tcMar>
              <w:top w:w="85" w:type="dxa"/>
              <w:left w:w="85" w:type="dxa"/>
              <w:bottom w:w="85" w:type="dxa"/>
            </w:tcMar>
          </w:tcPr>
          <w:p w:rsidR="00201706" w:rsidRDefault="00201706" w:rsidP="00201706">
            <w:pPr>
              <w:pStyle w:val="Odsekzoznamu"/>
              <w:numPr>
                <w:ilvl w:val="0"/>
                <w:numId w:val="20"/>
              </w:numPr>
              <w:spacing w:after="0"/>
              <w:ind w:left="426"/>
              <w:rPr>
                <w:b/>
                <w:noProof/>
                <w:sz w:val="20"/>
              </w:rPr>
            </w:pPr>
          </w:p>
        </w:tc>
        <w:tc>
          <w:tcPr>
            <w:tcW w:w="4588" w:type="dxa"/>
            <w:shd w:val="clear" w:color="auto" w:fill="EEECE1" w:themeFill="background2"/>
            <w:tcMar>
              <w:top w:w="85" w:type="dxa"/>
              <w:left w:w="85" w:type="dxa"/>
              <w:bottom w:w="85" w:type="dxa"/>
            </w:tcMar>
          </w:tcPr>
          <w:p w:rsidR="00201706" w:rsidRPr="003B1CF2" w:rsidRDefault="00201706" w:rsidP="00201706">
            <w:pPr>
              <w:spacing w:after="0"/>
              <w:rPr>
                <w:noProof/>
                <w:sz w:val="20"/>
              </w:rPr>
            </w:pPr>
            <w:r w:rsidRPr="003B1CF2">
              <w:rPr>
                <w:noProof/>
                <w:sz w:val="20"/>
              </w:rPr>
              <w:t>Návrh NARIADENIE RADY, ktorým sa stanovujú vykonávacie opatrenia týkajúce sa systému vlastných zdrojov Európskej únie</w:t>
            </w:r>
          </w:p>
        </w:tc>
        <w:tc>
          <w:tcPr>
            <w:tcW w:w="1985" w:type="dxa"/>
            <w:tcMar>
              <w:top w:w="85" w:type="dxa"/>
              <w:left w:w="85" w:type="dxa"/>
              <w:bottom w:w="85" w:type="dxa"/>
            </w:tcMar>
          </w:tcPr>
          <w:p w:rsidR="00201706" w:rsidRPr="003B1CF2" w:rsidRDefault="00201706" w:rsidP="00201706">
            <w:pPr>
              <w:spacing w:after="0"/>
              <w:jc w:val="left"/>
              <w:rPr>
                <w:noProof/>
                <w:sz w:val="20"/>
              </w:rPr>
            </w:pPr>
            <w:r w:rsidRPr="003B1CF2">
              <w:rPr>
                <w:noProof/>
                <w:sz w:val="20"/>
              </w:rPr>
              <w:t>COM(2018) 327 final.</w:t>
            </w:r>
            <w:r w:rsidRPr="003B1CF2">
              <w:rPr>
                <w:noProof/>
                <w:sz w:val="20"/>
              </w:rPr>
              <w:br/>
              <w:t>2018/0132 (APP)</w:t>
            </w:r>
            <w:r w:rsidRPr="003B1CF2">
              <w:rPr>
                <w:noProof/>
                <w:sz w:val="20"/>
              </w:rPr>
              <w:br/>
              <w:t>2. 5. 2018</w:t>
            </w:r>
          </w:p>
        </w:tc>
        <w:tc>
          <w:tcPr>
            <w:tcW w:w="1417" w:type="dxa"/>
          </w:tcPr>
          <w:p w:rsidR="00201706" w:rsidRPr="006F318C" w:rsidRDefault="00201706" w:rsidP="00201706">
            <w:pPr>
              <w:spacing w:after="0"/>
              <w:jc w:val="center"/>
              <w:rPr>
                <w:b/>
                <w:sz w:val="20"/>
              </w:rPr>
            </w:pPr>
            <w:r w:rsidRPr="006F318C">
              <w:rPr>
                <w:b/>
                <w:sz w:val="20"/>
              </w:rPr>
              <w:t>MF SR</w:t>
            </w:r>
          </w:p>
        </w:tc>
        <w:tc>
          <w:tcPr>
            <w:tcW w:w="6095" w:type="dxa"/>
          </w:tcPr>
          <w:p w:rsidR="00201706" w:rsidRDefault="00201706" w:rsidP="00201706">
            <w:pPr>
              <w:spacing w:after="0"/>
              <w:rPr>
                <w:b/>
                <w:sz w:val="20"/>
              </w:rPr>
            </w:pPr>
            <w:r w:rsidRPr="00FE4DFD">
              <w:rPr>
                <w:b/>
                <w:sz w:val="20"/>
                <w:u w:val="single"/>
              </w:rPr>
              <w:t>Vysoká priorita</w:t>
            </w:r>
            <w:r>
              <w:rPr>
                <w:sz w:val="20"/>
              </w:rPr>
              <w:t xml:space="preserve"> </w:t>
            </w:r>
            <w:r w:rsidRPr="00FE4DFD">
              <w:rPr>
                <w:sz w:val="20"/>
              </w:rPr>
              <w:t>-</w:t>
            </w:r>
            <w:r>
              <w:rPr>
                <w:sz w:val="20"/>
              </w:rPr>
              <w:t xml:space="preserve"> </w:t>
            </w:r>
            <w:r w:rsidRPr="008C773C">
              <w:rPr>
                <w:sz w:val="20"/>
              </w:rPr>
              <w:t xml:space="preserve">Uvedený návrh sa prerokováva v kontexte negociácií k viacročnému finančnému rámcu 2021- 2027 (VFR 21-27). Po dohode na elementoch negociačného boxu na úrovni Európskej Rady bude možné riešenie technicky zapracovať do návrhu. </w:t>
            </w:r>
            <w:r w:rsidRPr="004A42E7">
              <w:rPr>
                <w:sz w:val="20"/>
              </w:rPr>
              <w:t>SR upozorňuje na fakt, že v rámci rozhodnutia o vlastných zdrojoch, ktoré podlieha jednomyseľnosti a ratifikácii národnými parlamentmi, navrhuje EK stanoviť iba maximálne sadzby vlastných zdrojov a ich reálne miery navrhuje stanoviť v  návrhu implementačného nariadenia, ktorého schválenie podlieha iba kvalifikovanej väčšine. Do budúcnosti by tak mohlo byť jednoduchšie zvýšiť / znížiť jednotlivé sadzby vlastných zdrojov EÚ , čo by mohlo mať negatívny (ale aj pozitívny) efekt na verejné financie SR.</w:t>
            </w:r>
          </w:p>
        </w:tc>
      </w:tr>
      <w:tr w:rsidR="00201706" w:rsidTr="00687C5F">
        <w:trPr>
          <w:cantSplit/>
        </w:trPr>
        <w:tc>
          <w:tcPr>
            <w:tcW w:w="652" w:type="dxa"/>
            <w:tcBorders>
              <w:right w:val="nil"/>
            </w:tcBorders>
            <w:shd w:val="clear" w:color="auto" w:fill="auto"/>
            <w:tcMar>
              <w:top w:w="85" w:type="dxa"/>
              <w:left w:w="85" w:type="dxa"/>
              <w:bottom w:w="85" w:type="dxa"/>
            </w:tcMar>
          </w:tcPr>
          <w:p w:rsidR="00201706" w:rsidRDefault="00201706" w:rsidP="00201706">
            <w:pPr>
              <w:pStyle w:val="Odsekzoznamu"/>
              <w:numPr>
                <w:ilvl w:val="0"/>
                <w:numId w:val="20"/>
              </w:numPr>
              <w:spacing w:after="0"/>
              <w:ind w:left="426"/>
              <w:rPr>
                <w:b/>
                <w:noProof/>
                <w:sz w:val="20"/>
              </w:rPr>
            </w:pPr>
          </w:p>
        </w:tc>
        <w:tc>
          <w:tcPr>
            <w:tcW w:w="4588" w:type="dxa"/>
            <w:shd w:val="clear" w:color="auto" w:fill="EEECE1" w:themeFill="background2"/>
            <w:tcMar>
              <w:top w:w="85" w:type="dxa"/>
              <w:left w:w="85" w:type="dxa"/>
              <w:bottom w:w="85" w:type="dxa"/>
            </w:tcMar>
          </w:tcPr>
          <w:p w:rsidR="00201706" w:rsidRDefault="00201706" w:rsidP="00201706">
            <w:pPr>
              <w:spacing w:after="0"/>
              <w:rPr>
                <w:noProof/>
                <w:sz w:val="20"/>
              </w:rPr>
            </w:pPr>
            <w:r>
              <w:rPr>
                <w:noProof/>
                <w:sz w:val="20"/>
              </w:rPr>
              <w:t>Návrh NARIADENIE RADY, ktorým sa mení nariadenie (EHS, Euratom) č. 1553/89 o konečných jednotných dohodách o vyberaní vlastných zdrojov pochádzajúcich z dane z pridanej hodnoty</w:t>
            </w:r>
          </w:p>
        </w:tc>
        <w:tc>
          <w:tcPr>
            <w:tcW w:w="1985" w:type="dxa"/>
            <w:tcMar>
              <w:top w:w="85" w:type="dxa"/>
              <w:left w:w="85" w:type="dxa"/>
              <w:bottom w:w="85" w:type="dxa"/>
            </w:tcMar>
          </w:tcPr>
          <w:p w:rsidR="00201706" w:rsidRDefault="00201706" w:rsidP="00201706">
            <w:pPr>
              <w:spacing w:after="0"/>
              <w:jc w:val="left"/>
              <w:rPr>
                <w:noProof/>
                <w:sz w:val="20"/>
              </w:rPr>
            </w:pPr>
            <w:r>
              <w:rPr>
                <w:noProof/>
                <w:sz w:val="20"/>
              </w:rPr>
              <w:t>COM(2018) 328 final.</w:t>
            </w:r>
            <w:r>
              <w:rPr>
                <w:noProof/>
                <w:sz w:val="20"/>
              </w:rPr>
              <w:br/>
              <w:t>2018/0133 (NLE)</w:t>
            </w:r>
            <w:r>
              <w:rPr>
                <w:noProof/>
                <w:sz w:val="20"/>
              </w:rPr>
              <w:br/>
              <w:t>3. 5. 2018</w:t>
            </w:r>
          </w:p>
        </w:tc>
        <w:tc>
          <w:tcPr>
            <w:tcW w:w="1417" w:type="dxa"/>
          </w:tcPr>
          <w:p w:rsidR="00201706" w:rsidRPr="002C7490" w:rsidRDefault="00201706" w:rsidP="00201706">
            <w:pPr>
              <w:spacing w:after="0"/>
              <w:jc w:val="center"/>
              <w:rPr>
                <w:b/>
                <w:sz w:val="20"/>
              </w:rPr>
            </w:pPr>
            <w:r w:rsidRPr="002C7490">
              <w:rPr>
                <w:b/>
                <w:sz w:val="20"/>
              </w:rPr>
              <w:t>MF SR</w:t>
            </w:r>
          </w:p>
        </w:tc>
        <w:tc>
          <w:tcPr>
            <w:tcW w:w="6095" w:type="dxa"/>
          </w:tcPr>
          <w:p w:rsidR="00201706" w:rsidRPr="002C7490" w:rsidRDefault="00201706" w:rsidP="00201706">
            <w:pPr>
              <w:spacing w:after="0"/>
              <w:rPr>
                <w:sz w:val="20"/>
              </w:rPr>
            </w:pPr>
            <w:r w:rsidRPr="002C7490">
              <w:rPr>
                <w:b/>
                <w:sz w:val="20"/>
                <w:u w:val="single"/>
              </w:rPr>
              <w:t>Vysoká priorita</w:t>
            </w:r>
            <w:r>
              <w:rPr>
                <w:sz w:val="20"/>
              </w:rPr>
              <w:t xml:space="preserve"> - </w:t>
            </w:r>
            <w:r w:rsidRPr="00D36D69">
              <w:rPr>
                <w:sz w:val="20"/>
              </w:rPr>
              <w:t xml:space="preserve">Uvedený návrh sa prerokováva v kontexte negociácií k  </w:t>
            </w:r>
            <w:r>
              <w:rPr>
                <w:sz w:val="20"/>
              </w:rPr>
              <w:t>VFR 21-27</w:t>
            </w:r>
            <w:r w:rsidRPr="00D36D69">
              <w:rPr>
                <w:sz w:val="20"/>
              </w:rPr>
              <w:t>. Po dohode na elementoch negociačného boxu na úrovni Európskej Rady bude možné riešenie technicky zapracovať do návrhu. Návrh EK výrazne znižuje administratívnu náročnosť spojenú s výpočtom príspevkov ČŠ zo zdroja založenom na DPH. Na druhej strane prechodom k uplatňovaniu jednotnej sadby výberu (1%) i</w:t>
            </w:r>
            <w:r>
              <w:rPr>
                <w:sz w:val="20"/>
              </w:rPr>
              <w:t xml:space="preserve">ba na základ dane prislúchajúci </w:t>
            </w:r>
            <w:r w:rsidRPr="00D36D69">
              <w:rPr>
                <w:sz w:val="20"/>
              </w:rPr>
              <w:t>dodaniam, na ktoré sa uplatňuje štandardná sadzba je podľa MF SR porušený princíp férovosti. Návrh EK umelo zvýhodňuje tie ČŠ, ktoré intenzívne uplatňujú možnosť zníženej, resp. nulovej sadzby DPH, pričo</w:t>
            </w:r>
            <w:r>
              <w:rPr>
                <w:sz w:val="20"/>
              </w:rPr>
              <w:t>m SR medzi tieto štáty nepatrí.</w:t>
            </w:r>
            <w:r w:rsidRPr="00D36D69">
              <w:rPr>
                <w:sz w:val="20"/>
              </w:rPr>
              <w:t>Táto hypotéza bola potvrdená aj výpočtami MF SR, pri aplikácii nového princípu by SR patrila medzi tie ČŠ, ktoré by sa na zdroji založenom na DPH podieľali viac ako v minulosti (pri tých istých dátach ohľadom čistých príjmov z DPH).</w:t>
            </w:r>
            <w:r>
              <w:rPr>
                <w:sz w:val="20"/>
              </w:rPr>
              <w:t xml:space="preserve"> </w:t>
            </w:r>
            <w:r w:rsidRPr="00D36D69">
              <w:rPr>
                <w:sz w:val="20"/>
              </w:rPr>
              <w:t>Na základe vyššie uvedeného MF SR nepodporuje návrh EK a navrhuje buď pokračovanie platnosti zdroja založenom na DPH pri súčasných podmienkach, alebo jeho úplné zrušenie a nahr</w:t>
            </w:r>
            <w:r>
              <w:rPr>
                <w:sz w:val="20"/>
              </w:rPr>
              <w:t xml:space="preserve">adenie zdrojom založenom na HND. </w:t>
            </w:r>
          </w:p>
        </w:tc>
      </w:tr>
      <w:tr w:rsidR="00201706" w:rsidTr="00687C5F">
        <w:trPr>
          <w:cantSplit/>
        </w:trPr>
        <w:tc>
          <w:tcPr>
            <w:tcW w:w="652" w:type="dxa"/>
            <w:tcBorders>
              <w:right w:val="nil"/>
            </w:tcBorders>
            <w:shd w:val="clear" w:color="auto" w:fill="auto"/>
            <w:tcMar>
              <w:top w:w="85" w:type="dxa"/>
              <w:left w:w="85" w:type="dxa"/>
              <w:bottom w:w="85" w:type="dxa"/>
            </w:tcMar>
          </w:tcPr>
          <w:p w:rsidR="00201706" w:rsidRDefault="00201706" w:rsidP="00201706">
            <w:pPr>
              <w:pStyle w:val="Odsekzoznamu"/>
              <w:numPr>
                <w:ilvl w:val="0"/>
                <w:numId w:val="20"/>
              </w:numPr>
              <w:spacing w:after="0"/>
              <w:ind w:left="426"/>
              <w:rPr>
                <w:b/>
                <w:noProof/>
                <w:sz w:val="20"/>
              </w:rPr>
            </w:pPr>
          </w:p>
        </w:tc>
        <w:tc>
          <w:tcPr>
            <w:tcW w:w="4588" w:type="dxa"/>
            <w:shd w:val="clear" w:color="auto" w:fill="EEECE1" w:themeFill="background2"/>
            <w:tcMar>
              <w:top w:w="85" w:type="dxa"/>
              <w:left w:w="85" w:type="dxa"/>
              <w:bottom w:w="85" w:type="dxa"/>
            </w:tcMar>
          </w:tcPr>
          <w:p w:rsidR="00201706" w:rsidRDefault="00201706" w:rsidP="00201706">
            <w:pPr>
              <w:spacing w:after="0"/>
              <w:rPr>
                <w:noProof/>
                <w:sz w:val="20"/>
              </w:rPr>
            </w:pPr>
            <w:r>
              <w:rPr>
                <w:noProof/>
                <w:sz w:val="20"/>
              </w:rPr>
              <w:t>Návrh NARIADENIE RADY o metódach a postupe sprístupňovania vlastných zdrojov založených na spoločnom konsolidovanom základe dane z príjmov právnických osôb, na systéme Európskej únie na obchodovanie s emisiami a na nerecyklovanom odpade z plastových obalov a o opatreniach na zabezpečenie požiadaviek na pokladničnú hotovosť</w:t>
            </w:r>
          </w:p>
        </w:tc>
        <w:tc>
          <w:tcPr>
            <w:tcW w:w="1985" w:type="dxa"/>
            <w:tcMar>
              <w:top w:w="85" w:type="dxa"/>
              <w:left w:w="85" w:type="dxa"/>
              <w:bottom w:w="85" w:type="dxa"/>
            </w:tcMar>
          </w:tcPr>
          <w:p w:rsidR="00201706" w:rsidRDefault="00201706" w:rsidP="00201706">
            <w:pPr>
              <w:spacing w:after="0"/>
              <w:jc w:val="left"/>
              <w:rPr>
                <w:noProof/>
                <w:sz w:val="20"/>
              </w:rPr>
            </w:pPr>
            <w:r>
              <w:rPr>
                <w:noProof/>
                <w:sz w:val="20"/>
              </w:rPr>
              <w:t>COM(2018) 326 final.</w:t>
            </w:r>
            <w:r>
              <w:rPr>
                <w:noProof/>
                <w:sz w:val="20"/>
              </w:rPr>
              <w:br/>
              <w:t>2018/0131 (NLE)</w:t>
            </w:r>
            <w:r>
              <w:rPr>
                <w:noProof/>
                <w:sz w:val="20"/>
              </w:rPr>
              <w:br/>
              <w:t>3. 5. 2018</w:t>
            </w:r>
          </w:p>
        </w:tc>
        <w:tc>
          <w:tcPr>
            <w:tcW w:w="1417" w:type="dxa"/>
          </w:tcPr>
          <w:p w:rsidR="00201706" w:rsidRPr="002C7490" w:rsidRDefault="00201706" w:rsidP="00201706">
            <w:pPr>
              <w:spacing w:after="0"/>
              <w:jc w:val="center"/>
              <w:rPr>
                <w:b/>
                <w:sz w:val="20"/>
              </w:rPr>
            </w:pPr>
            <w:r w:rsidRPr="002C7490">
              <w:rPr>
                <w:b/>
                <w:sz w:val="20"/>
              </w:rPr>
              <w:t>MF SR</w:t>
            </w:r>
          </w:p>
        </w:tc>
        <w:tc>
          <w:tcPr>
            <w:tcW w:w="6095" w:type="dxa"/>
          </w:tcPr>
          <w:p w:rsidR="00201706" w:rsidRPr="002C7490" w:rsidRDefault="00201706" w:rsidP="00201706">
            <w:pPr>
              <w:spacing w:after="0"/>
              <w:rPr>
                <w:sz w:val="20"/>
              </w:rPr>
            </w:pPr>
            <w:r w:rsidRPr="002C7490">
              <w:rPr>
                <w:b/>
                <w:sz w:val="20"/>
                <w:u w:val="single"/>
              </w:rPr>
              <w:t>Vysoká priorita</w:t>
            </w:r>
            <w:r>
              <w:rPr>
                <w:sz w:val="20"/>
              </w:rPr>
              <w:t xml:space="preserve"> -  </w:t>
            </w:r>
            <w:r w:rsidRPr="00B74D06">
              <w:rPr>
                <w:sz w:val="20"/>
              </w:rPr>
              <w:t xml:space="preserve">Uvedený návrh sa prerokováva v kontexte negociácií k  VFR 21-27. Po dohode na elementoch negociačného boxu na úrovni Európskej Rady bude možné riešenie technicky zapracovať do návrhu. Spomedzi legislatívneho balíka k vlastným zdrojom je tento návrh najmenej kontroverzný, keďže poväčšine iba preberá ustanovenia z platného nariadenia č. 609/2014. </w:t>
            </w:r>
            <w:r>
              <w:rPr>
                <w:sz w:val="20"/>
              </w:rPr>
              <w:t xml:space="preserve">V rámci rokovaní bola vznesená požiadavka na otvorenie existujúceho nariadenia v súvislosti s viacerými nezrovnalosťami vyplývajúcimi z praxe ako napr. definícia podmienených platieb. </w:t>
            </w:r>
          </w:p>
          <w:p w:rsidR="00201706" w:rsidRDefault="00201706" w:rsidP="00201706">
            <w:pPr>
              <w:spacing w:after="0"/>
              <w:rPr>
                <w:b/>
                <w:sz w:val="20"/>
              </w:rPr>
            </w:pPr>
            <w:r w:rsidRPr="00B74D06">
              <w:rPr>
                <w:sz w:val="20"/>
              </w:rPr>
              <w:t>Otázne je, či by nebolo lepšie aktualizovať</w:t>
            </w:r>
            <w:r>
              <w:rPr>
                <w:sz w:val="20"/>
              </w:rPr>
              <w:t xml:space="preserve"> existujúce</w:t>
            </w:r>
            <w:r w:rsidRPr="00B74D06">
              <w:rPr>
                <w:sz w:val="20"/>
              </w:rPr>
              <w:t xml:space="preserve"> ako navrhnúť nové, ktoré sa taktiež zaoberá metódami a sprístupňovaním vlastných zdrojov. Definitívna pozícia SR bude závisieť aj od vývoja rokovaní v ostatných častiach balíka o vlastných zdrojoch resp. VFR 2021 – 2027</w:t>
            </w:r>
          </w:p>
        </w:tc>
      </w:tr>
      <w:tr w:rsidR="00201706" w:rsidTr="00687C5F">
        <w:trPr>
          <w:cantSplit/>
        </w:trPr>
        <w:tc>
          <w:tcPr>
            <w:tcW w:w="652" w:type="dxa"/>
            <w:tcBorders>
              <w:right w:val="nil"/>
            </w:tcBorders>
            <w:shd w:val="clear" w:color="auto" w:fill="auto"/>
            <w:tcMar>
              <w:top w:w="85" w:type="dxa"/>
              <w:left w:w="85" w:type="dxa"/>
              <w:bottom w:w="85" w:type="dxa"/>
            </w:tcMar>
          </w:tcPr>
          <w:p w:rsidR="00201706" w:rsidRDefault="00201706" w:rsidP="00201706">
            <w:pPr>
              <w:pStyle w:val="Odsekzoznamu"/>
              <w:numPr>
                <w:ilvl w:val="0"/>
                <w:numId w:val="20"/>
              </w:numPr>
              <w:spacing w:after="0"/>
              <w:ind w:left="426"/>
              <w:rPr>
                <w:b/>
                <w:noProof/>
                <w:sz w:val="20"/>
              </w:rPr>
            </w:pPr>
          </w:p>
        </w:tc>
        <w:tc>
          <w:tcPr>
            <w:tcW w:w="4588" w:type="dxa"/>
            <w:shd w:val="clear" w:color="auto" w:fill="EEECE1" w:themeFill="background2"/>
            <w:tcMar>
              <w:top w:w="85" w:type="dxa"/>
              <w:left w:w="85" w:type="dxa"/>
              <w:bottom w:w="85" w:type="dxa"/>
            </w:tcMar>
          </w:tcPr>
          <w:p w:rsidR="00201706" w:rsidRDefault="00201706" w:rsidP="00201706">
            <w:pPr>
              <w:spacing w:after="0"/>
              <w:rPr>
                <w:noProof/>
                <w:sz w:val="20"/>
              </w:rPr>
            </w:pPr>
            <w:r>
              <w:rPr>
                <w:noProof/>
                <w:sz w:val="20"/>
              </w:rPr>
              <w:t>Návrh ROZHODNUTIE RADY o systéme vlastných zdrojov Európskej únie</w:t>
            </w:r>
          </w:p>
        </w:tc>
        <w:tc>
          <w:tcPr>
            <w:tcW w:w="1985" w:type="dxa"/>
            <w:tcMar>
              <w:top w:w="85" w:type="dxa"/>
              <w:left w:w="85" w:type="dxa"/>
              <w:bottom w:w="85" w:type="dxa"/>
            </w:tcMar>
          </w:tcPr>
          <w:p w:rsidR="00201706" w:rsidRDefault="00201706" w:rsidP="00201706">
            <w:pPr>
              <w:spacing w:after="0"/>
              <w:jc w:val="left"/>
              <w:rPr>
                <w:noProof/>
                <w:sz w:val="20"/>
              </w:rPr>
            </w:pPr>
            <w:r>
              <w:rPr>
                <w:noProof/>
                <w:sz w:val="20"/>
              </w:rPr>
              <w:t>COM(2018) 325 final.</w:t>
            </w:r>
            <w:r>
              <w:rPr>
                <w:noProof/>
                <w:sz w:val="20"/>
              </w:rPr>
              <w:br/>
              <w:t>2018/0135 (NLE)</w:t>
            </w:r>
            <w:r>
              <w:rPr>
                <w:noProof/>
                <w:sz w:val="20"/>
              </w:rPr>
              <w:br/>
              <w:t>3. 5. 2018</w:t>
            </w:r>
          </w:p>
        </w:tc>
        <w:tc>
          <w:tcPr>
            <w:tcW w:w="1417" w:type="dxa"/>
          </w:tcPr>
          <w:p w:rsidR="00201706" w:rsidRPr="006F318C" w:rsidRDefault="00201706" w:rsidP="00201706">
            <w:pPr>
              <w:spacing w:after="0"/>
              <w:rPr>
                <w:b/>
                <w:sz w:val="20"/>
              </w:rPr>
            </w:pPr>
            <w:r w:rsidRPr="006F318C">
              <w:rPr>
                <w:b/>
                <w:sz w:val="20"/>
              </w:rPr>
              <w:t>MF SR</w:t>
            </w:r>
          </w:p>
        </w:tc>
        <w:tc>
          <w:tcPr>
            <w:tcW w:w="6095" w:type="dxa"/>
          </w:tcPr>
          <w:p w:rsidR="00201706" w:rsidRPr="00560511" w:rsidRDefault="00201706" w:rsidP="00201706">
            <w:pPr>
              <w:spacing w:after="0"/>
              <w:rPr>
                <w:b/>
                <w:sz w:val="20"/>
              </w:rPr>
            </w:pPr>
            <w:r w:rsidRPr="00FE4DFD">
              <w:rPr>
                <w:b/>
                <w:sz w:val="20"/>
                <w:u w:val="single"/>
              </w:rPr>
              <w:t>Vysoká priorita</w:t>
            </w:r>
            <w:r>
              <w:rPr>
                <w:sz w:val="20"/>
              </w:rPr>
              <w:t xml:space="preserve"> </w:t>
            </w:r>
            <w:r w:rsidRPr="00FE4DFD">
              <w:rPr>
                <w:sz w:val="20"/>
              </w:rPr>
              <w:t>-</w:t>
            </w:r>
            <w:r>
              <w:rPr>
                <w:sz w:val="20"/>
              </w:rPr>
              <w:t xml:space="preserve"> </w:t>
            </w:r>
            <w:r w:rsidRPr="004A42E7">
              <w:rPr>
                <w:sz w:val="20"/>
              </w:rPr>
              <w:t xml:space="preserve">Uvedený návrh sa prerokováva v kontexte negociácií k  </w:t>
            </w:r>
            <w:r>
              <w:rPr>
                <w:sz w:val="20"/>
              </w:rPr>
              <w:t>VFR 21-27</w:t>
            </w:r>
            <w:r w:rsidRPr="004A42E7">
              <w:rPr>
                <w:sz w:val="20"/>
              </w:rPr>
              <w:t>. Po dohode na elementoch negociačného boxu na úrovni Európskej Rady bude možné riešenie technicky zapracovať do návrhu. MF SR odporúča sústrediť sa na zrušenie rabatov, alebo ich zachovanie maximálne na úrovni navrhnutej EK. V celkovom kontexte rokovaní o VFR 21-27 by SR za istých okolností (napr. zachovanie čo najvyššieho objemu prostriedkov a vyrokovanie výhodných podmienok čerpania pre politiku súdržnosti a spoločnú poľnohospodársku politiku oproti VFR 2014-20, resp. zrušenie rabatov) vedela podporiť zavedenie nových vlastných zdrojov rozpočtu EÚ.Spomedzi „environmentálnych daní“ SR vie podporiť príspevok ČŠ na základe množstva odpadu z nerecyklovaných plastových obalov. SR by ale preferovala, keby toto bremeno bolo prenesené na výrobcov obalov. Taktiež je potrebné zabezpečiť riadne vykazovanie podkladových dát. SR vie za istých okolností podporiť aj presmerovanie časti výnosov z ETS do rozpočtu EÚ.Vzhľadom na stav rokovaní k CCCTB je nereálne očakávať projenie na EÚ rozpočet.</w:t>
            </w:r>
            <w:r>
              <w:rPr>
                <w:sz w:val="20"/>
              </w:rPr>
              <w:t xml:space="preserve"> </w:t>
            </w:r>
            <w:r w:rsidRPr="004A42E7">
              <w:rPr>
                <w:sz w:val="20"/>
              </w:rPr>
              <w:t xml:space="preserve">SR dlhodobo zastáva pozíciu, že jadrom vlastných zdrojov rozpočtu EÚ by mali byť príspevky ČŠ založené na výbere cla a HND, pričom SR podporuje zníženie nákladov na výber cla (resp. ich návrat na pôvodnú úroveň 10%).Vo vzťahu k zdroju založenom na DPH navrhujeme pokračovanie tohto zdroja v súčasnej podobe alebo jeho úplné zrušenie a nahradenie zdrojom založeným na HDP, čím by sa prispelo k zníženiu </w:t>
            </w:r>
            <w:r>
              <w:rPr>
                <w:sz w:val="20"/>
              </w:rPr>
              <w:t>administratívnej záťaže spojenej</w:t>
            </w:r>
            <w:r w:rsidRPr="004A42E7">
              <w:rPr>
                <w:sz w:val="20"/>
              </w:rPr>
              <w:t xml:space="preserve"> s výpo</w:t>
            </w:r>
            <w:r>
              <w:rPr>
                <w:sz w:val="20"/>
              </w:rPr>
              <w:t xml:space="preserve">čtami a následnými kontrolami. </w:t>
            </w:r>
          </w:p>
        </w:tc>
      </w:tr>
      <w:tr w:rsidR="00201706" w:rsidTr="00687C5F">
        <w:trPr>
          <w:cantSplit/>
        </w:trPr>
        <w:tc>
          <w:tcPr>
            <w:tcW w:w="652" w:type="dxa"/>
            <w:tcBorders>
              <w:right w:val="nil"/>
            </w:tcBorders>
            <w:shd w:val="clear" w:color="auto" w:fill="auto"/>
            <w:tcMar>
              <w:top w:w="85" w:type="dxa"/>
              <w:left w:w="85" w:type="dxa"/>
              <w:bottom w:w="85" w:type="dxa"/>
            </w:tcMar>
          </w:tcPr>
          <w:p w:rsidR="00201706" w:rsidRDefault="00201706" w:rsidP="00201706">
            <w:pPr>
              <w:pStyle w:val="Odsekzoznamu"/>
              <w:numPr>
                <w:ilvl w:val="0"/>
                <w:numId w:val="20"/>
              </w:numPr>
              <w:spacing w:after="0"/>
              <w:ind w:left="426"/>
              <w:rPr>
                <w:b/>
                <w:noProof/>
                <w:sz w:val="20"/>
              </w:rPr>
            </w:pPr>
          </w:p>
        </w:tc>
        <w:tc>
          <w:tcPr>
            <w:tcW w:w="4588" w:type="dxa"/>
            <w:shd w:val="clear" w:color="auto" w:fill="EEECE1" w:themeFill="background2"/>
            <w:tcMar>
              <w:top w:w="85" w:type="dxa"/>
              <w:left w:w="85" w:type="dxa"/>
              <w:bottom w:w="85" w:type="dxa"/>
            </w:tcMar>
          </w:tcPr>
          <w:p w:rsidR="00201706" w:rsidRPr="003B1CF2" w:rsidRDefault="00201706" w:rsidP="00201706">
            <w:pPr>
              <w:spacing w:after="0"/>
              <w:rPr>
                <w:noProof/>
                <w:sz w:val="20"/>
              </w:rPr>
            </w:pPr>
            <w:r w:rsidRPr="003B1CF2">
              <w:rPr>
                <w:noProof/>
                <w:sz w:val="20"/>
              </w:rPr>
              <w:t>Návrh NARIADENIE EURÓPSKEHO PARLAMENTU A RADY, ktorým sa stanovuje výmenný, pomocný a školiaci program na ochranu eura proti falšovaniu na obdobie rokov 2021 – 2027 („program Pericles IV“)</w:t>
            </w:r>
          </w:p>
        </w:tc>
        <w:tc>
          <w:tcPr>
            <w:tcW w:w="1985" w:type="dxa"/>
            <w:tcMar>
              <w:top w:w="85" w:type="dxa"/>
              <w:left w:w="85" w:type="dxa"/>
              <w:bottom w:w="85" w:type="dxa"/>
            </w:tcMar>
          </w:tcPr>
          <w:p w:rsidR="00201706" w:rsidRPr="003B1CF2" w:rsidRDefault="00201706" w:rsidP="00201706">
            <w:pPr>
              <w:spacing w:after="0"/>
              <w:jc w:val="left"/>
              <w:rPr>
                <w:noProof/>
                <w:sz w:val="20"/>
              </w:rPr>
            </w:pPr>
            <w:r w:rsidRPr="003B1CF2">
              <w:rPr>
                <w:noProof/>
                <w:sz w:val="20"/>
              </w:rPr>
              <w:t>COM(2018) 369 final.</w:t>
            </w:r>
            <w:r w:rsidRPr="003B1CF2">
              <w:rPr>
                <w:noProof/>
                <w:sz w:val="20"/>
              </w:rPr>
              <w:br/>
              <w:t>2018/0194 (COD)</w:t>
            </w:r>
            <w:r w:rsidRPr="003B1CF2">
              <w:rPr>
                <w:noProof/>
                <w:sz w:val="20"/>
              </w:rPr>
              <w:br/>
              <w:t>31. 5. 2018</w:t>
            </w:r>
          </w:p>
        </w:tc>
        <w:tc>
          <w:tcPr>
            <w:tcW w:w="1417" w:type="dxa"/>
          </w:tcPr>
          <w:p w:rsidR="00201706" w:rsidRPr="001129C1" w:rsidRDefault="00201706" w:rsidP="00A026B9">
            <w:pPr>
              <w:spacing w:after="0"/>
              <w:ind w:left="4" w:right="49"/>
              <w:jc w:val="center"/>
              <w:rPr>
                <w:b/>
                <w:sz w:val="20"/>
              </w:rPr>
            </w:pPr>
            <w:r w:rsidRPr="001129C1">
              <w:rPr>
                <w:b/>
                <w:sz w:val="20"/>
              </w:rPr>
              <w:t>MF SR</w:t>
            </w:r>
          </w:p>
          <w:p w:rsidR="00201706" w:rsidRPr="001129C1" w:rsidRDefault="00201706" w:rsidP="00A026B9">
            <w:pPr>
              <w:spacing w:after="0"/>
              <w:ind w:left="4" w:right="49"/>
              <w:jc w:val="center"/>
              <w:rPr>
                <w:b/>
                <w:sz w:val="20"/>
              </w:rPr>
            </w:pPr>
            <w:r w:rsidRPr="001129C1">
              <w:rPr>
                <w:b/>
                <w:sz w:val="20"/>
              </w:rPr>
              <w:t>NBS</w:t>
            </w:r>
          </w:p>
        </w:tc>
        <w:tc>
          <w:tcPr>
            <w:tcW w:w="6095" w:type="dxa"/>
          </w:tcPr>
          <w:p w:rsidR="00201706" w:rsidRPr="00AE41C4" w:rsidRDefault="00201706" w:rsidP="00201706">
            <w:pPr>
              <w:spacing w:after="0"/>
              <w:ind w:left="4" w:right="49"/>
              <w:rPr>
                <w:b/>
                <w:kern w:val="2"/>
                <w:sz w:val="20"/>
                <w:u w:val="single"/>
              </w:rPr>
            </w:pPr>
            <w:r>
              <w:rPr>
                <w:b/>
                <w:kern w:val="2"/>
                <w:sz w:val="20"/>
                <w:u w:val="single"/>
              </w:rPr>
              <w:t xml:space="preserve">Stredná </w:t>
            </w:r>
            <w:r w:rsidRPr="00AE41C4">
              <w:rPr>
                <w:b/>
                <w:kern w:val="2"/>
                <w:sz w:val="20"/>
                <w:u w:val="single"/>
              </w:rPr>
              <w:t>priorita</w:t>
            </w:r>
          </w:p>
          <w:p w:rsidR="00201706" w:rsidRDefault="00201706" w:rsidP="00201706">
            <w:pPr>
              <w:spacing w:after="0"/>
              <w:ind w:left="4" w:right="49"/>
              <w:rPr>
                <w:sz w:val="20"/>
              </w:rPr>
            </w:pPr>
            <w:r w:rsidRPr="00510879">
              <w:rPr>
                <w:sz w:val="20"/>
              </w:rPr>
              <w:t>Program Pericles je určený pre jednotlivé národné zložky polície, ktoré bojujú proti falšovaniu eura na národnej úrovní a súčasne pre medzinárodné policajné zložky, pôsobiace na území EÚ – EUROPOL, OLAF a ostatné národné a medzinárodné zložky participujúce na boji proti falšovaniu eura – ECB, EK, ETSC, národné zložky NAC a CNAC, prokuratúry a súdy.</w:t>
            </w:r>
          </w:p>
        </w:tc>
      </w:tr>
      <w:tr w:rsidR="00201706" w:rsidTr="00687C5F">
        <w:trPr>
          <w:cantSplit/>
        </w:trPr>
        <w:tc>
          <w:tcPr>
            <w:tcW w:w="652" w:type="dxa"/>
            <w:tcBorders>
              <w:right w:val="nil"/>
            </w:tcBorders>
            <w:shd w:val="clear" w:color="auto" w:fill="auto"/>
            <w:tcMar>
              <w:top w:w="85" w:type="dxa"/>
              <w:left w:w="85" w:type="dxa"/>
              <w:bottom w:w="85" w:type="dxa"/>
            </w:tcMar>
          </w:tcPr>
          <w:p w:rsidR="00201706" w:rsidRDefault="00201706" w:rsidP="00201706">
            <w:pPr>
              <w:pStyle w:val="Odsekzoznamu"/>
              <w:numPr>
                <w:ilvl w:val="0"/>
                <w:numId w:val="20"/>
              </w:numPr>
              <w:spacing w:after="0"/>
              <w:ind w:left="426"/>
              <w:rPr>
                <w:b/>
                <w:noProof/>
                <w:sz w:val="20"/>
              </w:rPr>
            </w:pPr>
          </w:p>
        </w:tc>
        <w:tc>
          <w:tcPr>
            <w:tcW w:w="4588" w:type="dxa"/>
            <w:shd w:val="clear" w:color="auto" w:fill="EEECE1" w:themeFill="background2"/>
            <w:tcMar>
              <w:top w:w="85" w:type="dxa"/>
              <w:left w:w="85" w:type="dxa"/>
              <w:bottom w:w="85" w:type="dxa"/>
            </w:tcMar>
          </w:tcPr>
          <w:p w:rsidR="00201706" w:rsidRPr="003B1CF2" w:rsidRDefault="00201706" w:rsidP="00201706">
            <w:pPr>
              <w:spacing w:after="0"/>
              <w:rPr>
                <w:noProof/>
                <w:sz w:val="20"/>
              </w:rPr>
            </w:pPr>
            <w:r w:rsidRPr="003B1CF2">
              <w:rPr>
                <w:noProof/>
                <w:sz w:val="20"/>
              </w:rPr>
              <w:t>Návrh NARIADENIA RADY o rozšírení uplatňovania nariadenia (EÚ) č. .../2018, ktorým sa stanovuje výmenný, pomocný a školiaci program na ochranu eura proti falšovaniu na obdobie rokov 2021 – 2027 (program „Pericles IV“), na nezúčastnené členské štáty</w:t>
            </w:r>
          </w:p>
        </w:tc>
        <w:tc>
          <w:tcPr>
            <w:tcW w:w="1985" w:type="dxa"/>
            <w:tcMar>
              <w:top w:w="85" w:type="dxa"/>
              <w:left w:w="85" w:type="dxa"/>
              <w:bottom w:w="85" w:type="dxa"/>
            </w:tcMar>
          </w:tcPr>
          <w:p w:rsidR="00201706" w:rsidRPr="003B1CF2" w:rsidRDefault="00201706" w:rsidP="00201706">
            <w:pPr>
              <w:spacing w:after="0"/>
              <w:jc w:val="left"/>
              <w:rPr>
                <w:noProof/>
                <w:sz w:val="20"/>
              </w:rPr>
            </w:pPr>
            <w:r w:rsidRPr="003B1CF2">
              <w:rPr>
                <w:noProof/>
                <w:sz w:val="20"/>
              </w:rPr>
              <w:t>COM(2018) 371 final.</w:t>
            </w:r>
            <w:r w:rsidRPr="003B1CF2">
              <w:rPr>
                <w:noProof/>
                <w:sz w:val="20"/>
              </w:rPr>
              <w:br/>
              <w:t>2018/0219 (APP)</w:t>
            </w:r>
            <w:r w:rsidRPr="003B1CF2">
              <w:rPr>
                <w:noProof/>
                <w:sz w:val="20"/>
              </w:rPr>
              <w:br/>
              <w:t>31. 5. 2018</w:t>
            </w:r>
          </w:p>
        </w:tc>
        <w:tc>
          <w:tcPr>
            <w:tcW w:w="1417" w:type="dxa"/>
          </w:tcPr>
          <w:p w:rsidR="00201706" w:rsidRPr="001129C1" w:rsidRDefault="00201706" w:rsidP="00A026B9">
            <w:pPr>
              <w:spacing w:after="0"/>
              <w:ind w:left="4" w:right="49"/>
              <w:jc w:val="center"/>
              <w:rPr>
                <w:b/>
                <w:sz w:val="20"/>
              </w:rPr>
            </w:pPr>
            <w:r w:rsidRPr="001129C1">
              <w:rPr>
                <w:b/>
                <w:sz w:val="20"/>
              </w:rPr>
              <w:t>MF SR</w:t>
            </w:r>
          </w:p>
          <w:p w:rsidR="00201706" w:rsidRPr="001129C1" w:rsidRDefault="00201706" w:rsidP="00A026B9">
            <w:pPr>
              <w:spacing w:after="0"/>
              <w:ind w:left="4" w:right="49"/>
              <w:jc w:val="center"/>
              <w:rPr>
                <w:b/>
                <w:sz w:val="20"/>
              </w:rPr>
            </w:pPr>
            <w:r w:rsidRPr="001129C1">
              <w:rPr>
                <w:b/>
                <w:sz w:val="20"/>
              </w:rPr>
              <w:t>NBS</w:t>
            </w:r>
          </w:p>
        </w:tc>
        <w:tc>
          <w:tcPr>
            <w:tcW w:w="6095" w:type="dxa"/>
          </w:tcPr>
          <w:p w:rsidR="00201706" w:rsidRPr="00AE41C4" w:rsidRDefault="00201706" w:rsidP="00201706">
            <w:pPr>
              <w:spacing w:after="0"/>
              <w:ind w:left="4" w:right="49"/>
              <w:rPr>
                <w:b/>
                <w:kern w:val="2"/>
                <w:sz w:val="20"/>
                <w:u w:val="single"/>
              </w:rPr>
            </w:pPr>
            <w:r>
              <w:rPr>
                <w:b/>
                <w:kern w:val="2"/>
                <w:sz w:val="20"/>
                <w:u w:val="single"/>
              </w:rPr>
              <w:t xml:space="preserve">Stredná </w:t>
            </w:r>
            <w:r w:rsidRPr="00AE41C4">
              <w:rPr>
                <w:b/>
                <w:kern w:val="2"/>
                <w:sz w:val="20"/>
                <w:u w:val="single"/>
              </w:rPr>
              <w:t>priorita</w:t>
            </w:r>
          </w:p>
          <w:p w:rsidR="00201706" w:rsidRDefault="00201706" w:rsidP="00201706">
            <w:pPr>
              <w:spacing w:after="0"/>
              <w:ind w:left="4" w:right="49"/>
              <w:rPr>
                <w:sz w:val="20"/>
              </w:rPr>
            </w:pPr>
            <w:r w:rsidRPr="00510879">
              <w:rPr>
                <w:sz w:val="20"/>
              </w:rPr>
              <w:t>Program Pericles je určený pre jednotlivé národné zložky polície, ktoré bojujú proti falšovaniu eura na národnej úrovní a súčasne pre medzinárodné policajné zložky, pôsobiace na území EÚ – EUROPOL, OLAF a ostatné národné a medzinárodné zložky participujúce na boji proti falšovaniu eura – ECB, EK, ETSC, národné zložky NAC a CNAC, prokuratúry a súdy.</w:t>
            </w:r>
          </w:p>
        </w:tc>
      </w:tr>
      <w:tr w:rsidR="00201706" w:rsidTr="00687C5F">
        <w:trPr>
          <w:cantSplit/>
        </w:trPr>
        <w:tc>
          <w:tcPr>
            <w:tcW w:w="652" w:type="dxa"/>
            <w:tcBorders>
              <w:right w:val="nil"/>
            </w:tcBorders>
            <w:shd w:val="clear" w:color="auto" w:fill="auto"/>
            <w:tcMar>
              <w:top w:w="85" w:type="dxa"/>
              <w:left w:w="85" w:type="dxa"/>
              <w:bottom w:w="85" w:type="dxa"/>
            </w:tcMar>
          </w:tcPr>
          <w:p w:rsidR="00201706" w:rsidRDefault="00201706" w:rsidP="00201706">
            <w:pPr>
              <w:pStyle w:val="Odsekzoznamu"/>
              <w:numPr>
                <w:ilvl w:val="0"/>
                <w:numId w:val="20"/>
              </w:numPr>
              <w:spacing w:after="0"/>
              <w:ind w:left="426"/>
              <w:rPr>
                <w:b/>
                <w:noProof/>
                <w:sz w:val="20"/>
              </w:rPr>
            </w:pPr>
          </w:p>
        </w:tc>
        <w:tc>
          <w:tcPr>
            <w:tcW w:w="4588" w:type="dxa"/>
            <w:shd w:val="clear" w:color="auto" w:fill="EEECE1" w:themeFill="background2"/>
            <w:tcMar>
              <w:top w:w="85" w:type="dxa"/>
              <w:left w:w="85" w:type="dxa"/>
              <w:bottom w:w="85" w:type="dxa"/>
            </w:tcMar>
          </w:tcPr>
          <w:p w:rsidR="00201706" w:rsidRDefault="00201706" w:rsidP="00201706">
            <w:pPr>
              <w:spacing w:after="0"/>
              <w:rPr>
                <w:noProof/>
                <w:sz w:val="20"/>
              </w:rPr>
            </w:pPr>
            <w:r>
              <w:rPr>
                <w:noProof/>
                <w:sz w:val="20"/>
              </w:rPr>
              <w:t>Návrh NARIADENIE EURÓPSKEHO PARLAMENTU A RADY o Európskom sociálnom fonde plus (ESF+)</w:t>
            </w:r>
          </w:p>
        </w:tc>
        <w:tc>
          <w:tcPr>
            <w:tcW w:w="1985" w:type="dxa"/>
            <w:tcMar>
              <w:top w:w="85" w:type="dxa"/>
              <w:left w:w="85" w:type="dxa"/>
              <w:bottom w:w="85" w:type="dxa"/>
            </w:tcMar>
          </w:tcPr>
          <w:p w:rsidR="00201706" w:rsidRDefault="00201706" w:rsidP="00201706">
            <w:pPr>
              <w:spacing w:after="0"/>
              <w:jc w:val="left"/>
              <w:rPr>
                <w:noProof/>
                <w:sz w:val="20"/>
              </w:rPr>
            </w:pPr>
            <w:r>
              <w:rPr>
                <w:noProof/>
                <w:sz w:val="20"/>
              </w:rPr>
              <w:t>COM(2018) 382 final.</w:t>
            </w:r>
            <w:r>
              <w:rPr>
                <w:noProof/>
                <w:sz w:val="20"/>
              </w:rPr>
              <w:br/>
              <w:t>2018/0206 (COD)</w:t>
            </w:r>
            <w:r>
              <w:rPr>
                <w:noProof/>
                <w:sz w:val="20"/>
              </w:rPr>
              <w:br/>
              <w:t>30. 5. 2018</w:t>
            </w:r>
          </w:p>
        </w:tc>
        <w:tc>
          <w:tcPr>
            <w:tcW w:w="1417" w:type="dxa"/>
          </w:tcPr>
          <w:p w:rsidR="00201706" w:rsidRDefault="00201706" w:rsidP="00201706">
            <w:pPr>
              <w:spacing w:after="0"/>
              <w:jc w:val="center"/>
              <w:rPr>
                <w:b/>
                <w:sz w:val="20"/>
              </w:rPr>
            </w:pPr>
            <w:r w:rsidRPr="00FF586F">
              <w:rPr>
                <w:b/>
                <w:sz w:val="20"/>
              </w:rPr>
              <w:t>ÚPVII</w:t>
            </w:r>
          </w:p>
          <w:p w:rsidR="00E24799" w:rsidRPr="00FF586F" w:rsidRDefault="005A5D83" w:rsidP="00201706">
            <w:pPr>
              <w:spacing w:after="0"/>
              <w:jc w:val="center"/>
              <w:rPr>
                <w:b/>
                <w:sz w:val="20"/>
              </w:rPr>
            </w:pPr>
            <w:r>
              <w:rPr>
                <w:b/>
                <w:sz w:val="20"/>
              </w:rPr>
              <w:t xml:space="preserve">MŠVVaŠ </w:t>
            </w:r>
            <w:r w:rsidR="00E24799">
              <w:rPr>
                <w:b/>
                <w:sz w:val="20"/>
              </w:rPr>
              <w:t>SR</w:t>
            </w:r>
          </w:p>
          <w:p w:rsidR="00201706" w:rsidRDefault="00201706" w:rsidP="00201706">
            <w:pPr>
              <w:spacing w:after="0"/>
              <w:jc w:val="center"/>
              <w:rPr>
                <w:b/>
                <w:sz w:val="20"/>
              </w:rPr>
            </w:pPr>
            <w:r>
              <w:rPr>
                <w:b/>
                <w:sz w:val="20"/>
              </w:rPr>
              <w:t>MF SR</w:t>
            </w:r>
          </w:p>
          <w:p w:rsidR="00201706" w:rsidRPr="00FF586F" w:rsidRDefault="00201706" w:rsidP="00201706">
            <w:pPr>
              <w:spacing w:after="0"/>
              <w:jc w:val="center"/>
              <w:rPr>
                <w:b/>
                <w:sz w:val="20"/>
              </w:rPr>
            </w:pPr>
            <w:r w:rsidRPr="00FF586F">
              <w:rPr>
                <w:b/>
                <w:sz w:val="20"/>
              </w:rPr>
              <w:t>MPSVR SR</w:t>
            </w:r>
          </w:p>
          <w:p w:rsidR="00201706" w:rsidRDefault="00201706" w:rsidP="00201706">
            <w:pPr>
              <w:spacing w:after="0"/>
              <w:jc w:val="center"/>
              <w:rPr>
                <w:b/>
                <w:sz w:val="20"/>
              </w:rPr>
            </w:pPr>
            <w:r w:rsidRPr="00FF586F">
              <w:rPr>
                <w:b/>
                <w:sz w:val="20"/>
              </w:rPr>
              <w:t>MV SR</w:t>
            </w:r>
          </w:p>
          <w:p w:rsidR="00201706" w:rsidRPr="00FE4DFD" w:rsidRDefault="00201706" w:rsidP="00201706">
            <w:pPr>
              <w:spacing w:after="0"/>
              <w:jc w:val="center"/>
              <w:rPr>
                <w:b/>
                <w:noProof/>
                <w:sz w:val="20"/>
              </w:rPr>
            </w:pPr>
            <w:r w:rsidRPr="00FE4DFD">
              <w:rPr>
                <w:b/>
                <w:noProof/>
                <w:sz w:val="20"/>
              </w:rPr>
              <w:t>MZ SR</w:t>
            </w:r>
          </w:p>
        </w:tc>
        <w:tc>
          <w:tcPr>
            <w:tcW w:w="6095" w:type="dxa"/>
          </w:tcPr>
          <w:p w:rsidR="00201706" w:rsidRDefault="00201706" w:rsidP="00201706">
            <w:pPr>
              <w:spacing w:after="0"/>
              <w:rPr>
                <w:sz w:val="20"/>
              </w:rPr>
            </w:pPr>
            <w:r w:rsidRPr="00FF586F">
              <w:rPr>
                <w:b/>
                <w:sz w:val="20"/>
                <w:u w:val="single"/>
              </w:rPr>
              <w:t>Vysoká priorita</w:t>
            </w:r>
            <w:r>
              <w:rPr>
                <w:sz w:val="20"/>
              </w:rPr>
              <w:t xml:space="preserve"> - </w:t>
            </w:r>
            <w:r w:rsidRPr="00FF586F">
              <w:rPr>
                <w:sz w:val="20"/>
              </w:rPr>
              <w:t>SR uvítalo zverejnenie návrhu nariadenia Európskeho parlamentu a Rady o Európskom sociálnom fonde plus (ESF+). S cieľom posilniť synergie medzi fondmi a programami, SR víta zlúčenie IZM, FEAD-u, Programu v oblasti zamestnanosti a sociálnej inovácie (EaSI) a Akčného programu Únie v oblasti zdravia pod ESF+, ako hlavného nástroja EÚ na investovanie do ľudí a vykonávanie európskeho piliera sociálnych práv. V súčasnosti prebieha k tomuto návrhu nariadenia EÚ diskusia na úrovni Pracovnej skupiny Rady pre štrukturálne opatrenia (SMWP), ako aj trialóg s Európskym parlamentom. ÚPVII k návrhu nariadenia EÚ o ESF+ vypracovalo riadne predbežné stanovisko SR.</w:t>
            </w:r>
          </w:p>
        </w:tc>
      </w:tr>
      <w:tr w:rsidR="00201706" w:rsidTr="00687C5F">
        <w:trPr>
          <w:cantSplit/>
        </w:trPr>
        <w:tc>
          <w:tcPr>
            <w:tcW w:w="652" w:type="dxa"/>
            <w:tcBorders>
              <w:right w:val="nil"/>
            </w:tcBorders>
            <w:shd w:val="clear" w:color="auto" w:fill="auto"/>
            <w:tcMar>
              <w:top w:w="85" w:type="dxa"/>
              <w:left w:w="85" w:type="dxa"/>
              <w:bottom w:w="85" w:type="dxa"/>
            </w:tcMar>
          </w:tcPr>
          <w:p w:rsidR="00201706" w:rsidRDefault="00201706" w:rsidP="00201706">
            <w:pPr>
              <w:pStyle w:val="Odsekzoznamu"/>
              <w:numPr>
                <w:ilvl w:val="0"/>
                <w:numId w:val="20"/>
              </w:numPr>
              <w:spacing w:after="0"/>
              <w:ind w:left="426"/>
              <w:rPr>
                <w:b/>
                <w:noProof/>
                <w:sz w:val="20"/>
              </w:rPr>
            </w:pPr>
          </w:p>
        </w:tc>
        <w:tc>
          <w:tcPr>
            <w:tcW w:w="4588" w:type="dxa"/>
            <w:shd w:val="clear" w:color="auto" w:fill="EEECE1" w:themeFill="background2"/>
            <w:tcMar>
              <w:top w:w="85" w:type="dxa"/>
              <w:left w:w="85" w:type="dxa"/>
              <w:bottom w:w="85" w:type="dxa"/>
            </w:tcMar>
          </w:tcPr>
          <w:p w:rsidR="00201706" w:rsidRDefault="00201706" w:rsidP="00201706">
            <w:pPr>
              <w:spacing w:after="0"/>
              <w:rPr>
                <w:noProof/>
                <w:sz w:val="20"/>
              </w:rPr>
            </w:pPr>
            <w:r>
              <w:rPr>
                <w:noProof/>
                <w:sz w:val="20"/>
              </w:rPr>
              <w:t>Návrh NARIADENIE EURÓPSKEHO PARLAMENTU A RADY o Európskom fonde na prispôsobenie sa globalizácii (EGF)</w:t>
            </w:r>
          </w:p>
        </w:tc>
        <w:tc>
          <w:tcPr>
            <w:tcW w:w="1985" w:type="dxa"/>
            <w:tcMar>
              <w:top w:w="85" w:type="dxa"/>
              <w:left w:w="85" w:type="dxa"/>
              <w:bottom w:w="85" w:type="dxa"/>
            </w:tcMar>
          </w:tcPr>
          <w:p w:rsidR="00201706" w:rsidRDefault="00201706" w:rsidP="00201706">
            <w:pPr>
              <w:spacing w:after="0"/>
              <w:jc w:val="left"/>
              <w:rPr>
                <w:noProof/>
                <w:sz w:val="20"/>
              </w:rPr>
            </w:pPr>
            <w:r>
              <w:rPr>
                <w:noProof/>
                <w:sz w:val="20"/>
              </w:rPr>
              <w:t>COM(2018) 380 final.</w:t>
            </w:r>
            <w:r>
              <w:rPr>
                <w:noProof/>
                <w:sz w:val="20"/>
              </w:rPr>
              <w:br/>
              <w:t>2018/0202 (COD)</w:t>
            </w:r>
            <w:r>
              <w:rPr>
                <w:noProof/>
                <w:sz w:val="20"/>
              </w:rPr>
              <w:br/>
              <w:t>30. 5. 2018</w:t>
            </w:r>
          </w:p>
        </w:tc>
        <w:tc>
          <w:tcPr>
            <w:tcW w:w="1417" w:type="dxa"/>
          </w:tcPr>
          <w:p w:rsidR="00201706" w:rsidRPr="006F318C" w:rsidRDefault="00201706" w:rsidP="00201706">
            <w:pPr>
              <w:spacing w:after="0"/>
              <w:ind w:left="4" w:right="49"/>
              <w:jc w:val="center"/>
              <w:rPr>
                <w:b/>
                <w:sz w:val="20"/>
              </w:rPr>
            </w:pPr>
            <w:r w:rsidRPr="006F318C">
              <w:rPr>
                <w:b/>
                <w:sz w:val="20"/>
              </w:rPr>
              <w:t>MPSVR SR</w:t>
            </w:r>
          </w:p>
          <w:p w:rsidR="00201706" w:rsidRPr="006F318C" w:rsidRDefault="00201706" w:rsidP="00201706">
            <w:pPr>
              <w:spacing w:after="0"/>
              <w:ind w:left="4" w:right="49"/>
              <w:jc w:val="center"/>
              <w:rPr>
                <w:b/>
                <w:sz w:val="20"/>
              </w:rPr>
            </w:pPr>
            <w:r w:rsidRPr="006F318C">
              <w:rPr>
                <w:b/>
                <w:sz w:val="20"/>
              </w:rPr>
              <w:t>MF SR</w:t>
            </w:r>
          </w:p>
          <w:p w:rsidR="00201706" w:rsidRPr="006F318C" w:rsidRDefault="00201706" w:rsidP="00201706">
            <w:pPr>
              <w:spacing w:after="0"/>
              <w:ind w:left="4" w:right="49"/>
              <w:jc w:val="center"/>
              <w:rPr>
                <w:b/>
                <w:sz w:val="20"/>
              </w:rPr>
            </w:pPr>
          </w:p>
        </w:tc>
        <w:tc>
          <w:tcPr>
            <w:tcW w:w="6095" w:type="dxa"/>
          </w:tcPr>
          <w:p w:rsidR="00201706" w:rsidRPr="00FE4DFD" w:rsidRDefault="00201706" w:rsidP="00201706">
            <w:pPr>
              <w:spacing w:after="0"/>
              <w:ind w:left="4" w:right="48"/>
              <w:rPr>
                <w:b/>
                <w:sz w:val="20"/>
                <w:u w:val="single"/>
              </w:rPr>
            </w:pPr>
            <w:r w:rsidRPr="00FE4DFD">
              <w:rPr>
                <w:b/>
                <w:sz w:val="20"/>
                <w:u w:val="single"/>
              </w:rPr>
              <w:t>Vysoká priorita</w:t>
            </w:r>
            <w:r>
              <w:rPr>
                <w:sz w:val="20"/>
              </w:rPr>
              <w:t xml:space="preserve"> </w:t>
            </w:r>
            <w:r w:rsidRPr="00FE4DFD">
              <w:rPr>
                <w:sz w:val="20"/>
              </w:rPr>
              <w:t>-</w:t>
            </w:r>
            <w:r w:rsidRPr="00676360">
              <w:rPr>
                <w:sz w:val="20"/>
              </w:rPr>
              <w:t>Návrh nariadenia o Európskom fonde na prispôsobenie sa globalizácii (EGF)</w:t>
            </w:r>
            <w:r w:rsidRPr="00676360">
              <w:rPr>
                <w:bCs/>
                <w:sz w:val="20"/>
              </w:rPr>
              <w:t xml:space="preserve"> </w:t>
            </w:r>
            <w:r w:rsidRPr="00676360">
              <w:rPr>
                <w:sz w:val="20"/>
              </w:rPr>
              <w:t xml:space="preserve">bol predložený </w:t>
            </w:r>
            <w:r w:rsidRPr="00676360">
              <w:rPr>
                <w:color w:val="222222"/>
                <w:sz w:val="20"/>
              </w:rPr>
              <w:t xml:space="preserve">ako jeden z návrhov nariadení k EÚ fondom zameraným na investície do ľudí dňa 30. mája 2018. Cieľom návrhu nariadenia je </w:t>
            </w:r>
            <w:r w:rsidRPr="00676360">
              <w:rPr>
                <w:sz w:val="20"/>
              </w:rPr>
              <w:t>zabezpečiť pokračovanie fungovania EGF po 31. decembri 2020. Ide o osobitný nástroj, ktorý odpovedá na nepredvídané okolnosti vyjadrením solidarity a podpory pracovníkom, ktorí boli prepustení v dôsledku významných štrukturálnych zmien v usporiadaní svetového obchodu, ktoré boli spôsobené globalizáciou, a ktorých prepustenie má závažné nepriaznivé vplyvy na regionálne alebo miestne hospodárstvo. Rokovania, ktoré sa k návrhu nariadenia začali v Rade v júli 2018, boli ukončené prijatím čiastočného všeobecného smerovania Radou EPSCO dňa 15. marca 2019. EP prijal svoju pozíciu k návrhu nariadenia na plenárnom zasadnutí, ktoré sa konalo dňa 16.01.2019.</w:t>
            </w:r>
          </w:p>
          <w:p w:rsidR="00201706" w:rsidRPr="00FE4DFD" w:rsidRDefault="00201706" w:rsidP="00201706">
            <w:pPr>
              <w:spacing w:after="0"/>
              <w:ind w:left="4" w:right="49"/>
              <w:rPr>
                <w:sz w:val="20"/>
              </w:rPr>
            </w:pPr>
            <w:r w:rsidRPr="00676360">
              <w:rPr>
                <w:sz w:val="20"/>
              </w:rPr>
              <w:t>Prvý trialóg sa konal dňa 4.02.2020. SR vo všeobecnosti k návrhu nariadenia nepodporuje tie pozmeňovacie návrhy, ktoré by mohli viesť k zvýšenej administratívnej záťaži alebo k právnej neistote (napr. doplnenie týkajúce sa ukazovateľov, prieskumov u prijímateľa a pod.). Problematickými sú pre SR najmä: zmena názvu, pretože by mohlo dôjsť k zámene s Just Transition Fond-om a podpora opatrení pre NEETs. Na druhej strane SR môže podporiť zníženie prahovej hodnoty na 200 prepustených pracovníkov.</w:t>
            </w:r>
          </w:p>
        </w:tc>
      </w:tr>
      <w:tr w:rsidR="00201706" w:rsidTr="00687C5F">
        <w:trPr>
          <w:cantSplit/>
        </w:trPr>
        <w:tc>
          <w:tcPr>
            <w:tcW w:w="652" w:type="dxa"/>
            <w:tcBorders>
              <w:right w:val="nil"/>
            </w:tcBorders>
            <w:shd w:val="clear" w:color="auto" w:fill="auto"/>
            <w:tcMar>
              <w:top w:w="85" w:type="dxa"/>
              <w:left w:w="85" w:type="dxa"/>
              <w:bottom w:w="85" w:type="dxa"/>
            </w:tcMar>
          </w:tcPr>
          <w:p w:rsidR="00201706" w:rsidRDefault="00201706" w:rsidP="00201706">
            <w:pPr>
              <w:pStyle w:val="Odsekzoznamu"/>
              <w:numPr>
                <w:ilvl w:val="0"/>
                <w:numId w:val="20"/>
              </w:numPr>
              <w:spacing w:after="0"/>
              <w:ind w:left="426"/>
              <w:rPr>
                <w:b/>
                <w:noProof/>
                <w:sz w:val="20"/>
              </w:rPr>
            </w:pPr>
          </w:p>
        </w:tc>
        <w:tc>
          <w:tcPr>
            <w:tcW w:w="4588" w:type="dxa"/>
            <w:shd w:val="clear" w:color="auto" w:fill="EEECE1" w:themeFill="background2"/>
            <w:tcMar>
              <w:top w:w="85" w:type="dxa"/>
              <w:left w:w="85" w:type="dxa"/>
              <w:bottom w:w="85" w:type="dxa"/>
            </w:tcMar>
          </w:tcPr>
          <w:p w:rsidR="00201706" w:rsidRDefault="00201706" w:rsidP="00201706">
            <w:pPr>
              <w:spacing w:after="0"/>
              <w:rPr>
                <w:noProof/>
                <w:sz w:val="20"/>
              </w:rPr>
            </w:pPr>
            <w:r>
              <w:rPr>
                <w:noProof/>
                <w:sz w:val="20"/>
              </w:rPr>
              <w:t>Návrh NARIADENIE EURÓPSKEHO PARLAMENTU A RADY, ktorým sa stanovuje program spolupráce v colnej oblasti „Colníctvo“</w:t>
            </w:r>
          </w:p>
        </w:tc>
        <w:tc>
          <w:tcPr>
            <w:tcW w:w="1985" w:type="dxa"/>
            <w:tcMar>
              <w:top w:w="85" w:type="dxa"/>
              <w:left w:w="85" w:type="dxa"/>
              <w:bottom w:w="85" w:type="dxa"/>
            </w:tcMar>
          </w:tcPr>
          <w:p w:rsidR="00201706" w:rsidRDefault="00201706" w:rsidP="00201706">
            <w:pPr>
              <w:spacing w:after="0"/>
              <w:jc w:val="left"/>
              <w:rPr>
                <w:noProof/>
                <w:sz w:val="20"/>
              </w:rPr>
            </w:pPr>
            <w:r>
              <w:rPr>
                <w:noProof/>
                <w:sz w:val="20"/>
              </w:rPr>
              <w:t>COM(2018) 442 final.</w:t>
            </w:r>
            <w:r>
              <w:rPr>
                <w:noProof/>
                <w:sz w:val="20"/>
              </w:rPr>
              <w:br/>
              <w:t>2018/0232 (COD)</w:t>
            </w:r>
            <w:r>
              <w:rPr>
                <w:noProof/>
                <w:sz w:val="20"/>
              </w:rPr>
              <w:br/>
              <w:t>8. 6. 2018</w:t>
            </w:r>
          </w:p>
        </w:tc>
        <w:tc>
          <w:tcPr>
            <w:tcW w:w="1417" w:type="dxa"/>
          </w:tcPr>
          <w:p w:rsidR="00201706" w:rsidRPr="006F318C" w:rsidRDefault="00201706" w:rsidP="00201706">
            <w:pPr>
              <w:spacing w:after="0"/>
              <w:jc w:val="center"/>
              <w:rPr>
                <w:b/>
                <w:sz w:val="20"/>
              </w:rPr>
            </w:pPr>
            <w:r w:rsidRPr="006F318C">
              <w:rPr>
                <w:b/>
                <w:sz w:val="20"/>
              </w:rPr>
              <w:t>MF SR</w:t>
            </w:r>
          </w:p>
        </w:tc>
        <w:tc>
          <w:tcPr>
            <w:tcW w:w="6095" w:type="dxa"/>
          </w:tcPr>
          <w:p w:rsidR="00201706" w:rsidRDefault="00201706" w:rsidP="00201706">
            <w:pPr>
              <w:spacing w:after="0"/>
              <w:jc w:val="left"/>
              <w:rPr>
                <w:b/>
                <w:sz w:val="20"/>
              </w:rPr>
            </w:pPr>
            <w:r w:rsidRPr="00FE4DFD">
              <w:rPr>
                <w:b/>
                <w:sz w:val="20"/>
                <w:u w:val="single"/>
              </w:rPr>
              <w:t>Vysoká priorita</w:t>
            </w:r>
            <w:r>
              <w:rPr>
                <w:sz w:val="20"/>
              </w:rPr>
              <w:t xml:space="preserve"> </w:t>
            </w:r>
            <w:r w:rsidRPr="00FE4DFD">
              <w:rPr>
                <w:sz w:val="20"/>
              </w:rPr>
              <w:t>-</w:t>
            </w:r>
            <w:r>
              <w:rPr>
                <w:sz w:val="20"/>
              </w:rPr>
              <w:t xml:space="preserve"> </w:t>
            </w:r>
            <w:r w:rsidRPr="00110CCF">
              <w:rPr>
                <w:sz w:val="20"/>
              </w:rPr>
              <w:t>SR podporuje návrh nariadenia.</w:t>
            </w:r>
            <w:r>
              <w:rPr>
                <w:sz w:val="20"/>
              </w:rPr>
              <w:t xml:space="preserve"> </w:t>
            </w:r>
            <w:r w:rsidRPr="006B4579">
              <w:rPr>
                <w:sz w:val="20"/>
              </w:rPr>
              <w:t>Program „Customs“ prispieva k zlepšeniu činnosti colných orgánov, k zlepšeniu ich vzájomnej spolupráce a nezastupiteľnú úlohu má pri financovaní IT systémov, ktorých zavedenie si vyžaduje implementácia Colného kódexu Únie</w:t>
            </w:r>
          </w:p>
        </w:tc>
      </w:tr>
      <w:tr w:rsidR="00201706" w:rsidTr="00687C5F">
        <w:trPr>
          <w:cantSplit/>
        </w:trPr>
        <w:tc>
          <w:tcPr>
            <w:tcW w:w="652" w:type="dxa"/>
            <w:tcBorders>
              <w:right w:val="nil"/>
            </w:tcBorders>
            <w:shd w:val="clear" w:color="auto" w:fill="auto"/>
            <w:tcMar>
              <w:top w:w="85" w:type="dxa"/>
              <w:left w:w="85" w:type="dxa"/>
              <w:bottom w:w="85" w:type="dxa"/>
            </w:tcMar>
          </w:tcPr>
          <w:p w:rsidR="00201706" w:rsidRDefault="00201706" w:rsidP="00201706">
            <w:pPr>
              <w:pStyle w:val="Odsekzoznamu"/>
              <w:numPr>
                <w:ilvl w:val="0"/>
                <w:numId w:val="20"/>
              </w:numPr>
              <w:spacing w:after="0"/>
              <w:ind w:left="426"/>
              <w:rPr>
                <w:b/>
                <w:noProof/>
                <w:sz w:val="20"/>
              </w:rPr>
            </w:pPr>
          </w:p>
        </w:tc>
        <w:tc>
          <w:tcPr>
            <w:tcW w:w="4588" w:type="dxa"/>
            <w:shd w:val="clear" w:color="auto" w:fill="EEECE1" w:themeFill="background2"/>
            <w:tcMar>
              <w:top w:w="85" w:type="dxa"/>
              <w:left w:w="85" w:type="dxa"/>
              <w:bottom w:w="85" w:type="dxa"/>
            </w:tcMar>
          </w:tcPr>
          <w:p w:rsidR="00201706" w:rsidRDefault="00201706" w:rsidP="00201706">
            <w:pPr>
              <w:spacing w:after="0"/>
              <w:rPr>
                <w:noProof/>
                <w:sz w:val="20"/>
              </w:rPr>
            </w:pPr>
            <w:r>
              <w:rPr>
                <w:noProof/>
                <w:sz w:val="20"/>
              </w:rPr>
              <w:t>Návrh NARIADENIE EURÓPSKEHO PARLAMENTU A RADY, ktorým sa stanovuje program spolupráce v daňovej oblasti „Fiscalis“</w:t>
            </w:r>
          </w:p>
        </w:tc>
        <w:tc>
          <w:tcPr>
            <w:tcW w:w="1985" w:type="dxa"/>
            <w:tcMar>
              <w:top w:w="85" w:type="dxa"/>
              <w:left w:w="85" w:type="dxa"/>
              <w:bottom w:w="85" w:type="dxa"/>
            </w:tcMar>
          </w:tcPr>
          <w:p w:rsidR="00201706" w:rsidRDefault="00201706" w:rsidP="00201706">
            <w:pPr>
              <w:spacing w:after="0"/>
              <w:jc w:val="left"/>
              <w:rPr>
                <w:noProof/>
                <w:sz w:val="20"/>
              </w:rPr>
            </w:pPr>
            <w:r>
              <w:rPr>
                <w:noProof/>
                <w:sz w:val="20"/>
              </w:rPr>
              <w:t>COM(2018) 443 final.</w:t>
            </w:r>
            <w:r>
              <w:rPr>
                <w:noProof/>
                <w:sz w:val="20"/>
              </w:rPr>
              <w:br/>
              <w:t>2018/0233 (COD)</w:t>
            </w:r>
            <w:r>
              <w:rPr>
                <w:noProof/>
                <w:sz w:val="20"/>
              </w:rPr>
              <w:br/>
              <w:t>8. 6. 2018</w:t>
            </w:r>
          </w:p>
        </w:tc>
        <w:tc>
          <w:tcPr>
            <w:tcW w:w="1417" w:type="dxa"/>
          </w:tcPr>
          <w:p w:rsidR="00201706" w:rsidRPr="006F318C" w:rsidRDefault="00201706" w:rsidP="00A026B9">
            <w:pPr>
              <w:spacing w:after="0"/>
              <w:jc w:val="center"/>
              <w:rPr>
                <w:b/>
                <w:sz w:val="20"/>
              </w:rPr>
            </w:pPr>
            <w:r w:rsidRPr="006F318C">
              <w:rPr>
                <w:b/>
                <w:sz w:val="20"/>
              </w:rPr>
              <w:t>MF SR</w:t>
            </w:r>
          </w:p>
        </w:tc>
        <w:tc>
          <w:tcPr>
            <w:tcW w:w="6095" w:type="dxa"/>
          </w:tcPr>
          <w:p w:rsidR="00201706" w:rsidRDefault="00201706" w:rsidP="00201706">
            <w:pPr>
              <w:spacing w:after="0"/>
              <w:jc w:val="left"/>
              <w:rPr>
                <w:b/>
                <w:sz w:val="20"/>
              </w:rPr>
            </w:pPr>
            <w:r>
              <w:rPr>
                <w:b/>
                <w:sz w:val="20"/>
                <w:u w:val="single"/>
              </w:rPr>
              <w:t xml:space="preserve">Nízka </w:t>
            </w:r>
            <w:r w:rsidRPr="00FE4DFD">
              <w:rPr>
                <w:b/>
                <w:sz w:val="20"/>
                <w:u w:val="single"/>
              </w:rPr>
              <w:t>priorita</w:t>
            </w:r>
            <w:r>
              <w:rPr>
                <w:sz w:val="20"/>
              </w:rPr>
              <w:t xml:space="preserve"> </w:t>
            </w:r>
            <w:r w:rsidRPr="00FE4DFD">
              <w:rPr>
                <w:sz w:val="20"/>
              </w:rPr>
              <w:t>-</w:t>
            </w:r>
            <w:r w:rsidRPr="00A40A21">
              <w:rPr>
                <w:sz w:val="20"/>
              </w:rPr>
              <w:t xml:space="preserve">SR podporuje návrh naradenia </w:t>
            </w:r>
            <w:r>
              <w:rPr>
                <w:sz w:val="20"/>
              </w:rPr>
              <w:t>Fiscalis na obdobie 2021 – 2027, keďže p</w:t>
            </w:r>
            <w:r w:rsidRPr="00A40A21">
              <w:rPr>
                <w:sz w:val="20"/>
              </w:rPr>
              <w:t xml:space="preserve">rogram dlhodobo prispieva k zlepšeniu spolupráce medzi členskými štátmi, a to tak v oblasti daňovo-špecifických informačných systémov, ako aj v budovaní </w:t>
            </w:r>
            <w:r>
              <w:rPr>
                <w:sz w:val="20"/>
              </w:rPr>
              <w:t xml:space="preserve">odborných </w:t>
            </w:r>
            <w:r w:rsidRPr="00A40A21">
              <w:rPr>
                <w:sz w:val="20"/>
              </w:rPr>
              <w:t>kapacít daňových orgánov. Jeho pokračovaním sa posilní reakčná schopnosť ČK na nové výzvy v daňovej ob</w:t>
            </w:r>
            <w:r>
              <w:rPr>
                <w:sz w:val="20"/>
              </w:rPr>
              <w:t>lasti.</w:t>
            </w:r>
          </w:p>
        </w:tc>
      </w:tr>
      <w:tr w:rsidR="00201706" w:rsidTr="00687C5F">
        <w:trPr>
          <w:cantSplit/>
        </w:trPr>
        <w:tc>
          <w:tcPr>
            <w:tcW w:w="652" w:type="dxa"/>
            <w:tcBorders>
              <w:right w:val="nil"/>
            </w:tcBorders>
            <w:shd w:val="clear" w:color="auto" w:fill="auto"/>
            <w:tcMar>
              <w:top w:w="85" w:type="dxa"/>
              <w:left w:w="85" w:type="dxa"/>
              <w:bottom w:w="85" w:type="dxa"/>
            </w:tcMar>
          </w:tcPr>
          <w:p w:rsidR="00201706" w:rsidRDefault="00201706" w:rsidP="00201706">
            <w:pPr>
              <w:pStyle w:val="Odsekzoznamu"/>
              <w:numPr>
                <w:ilvl w:val="0"/>
                <w:numId w:val="20"/>
              </w:numPr>
              <w:spacing w:after="0"/>
              <w:ind w:left="426"/>
              <w:rPr>
                <w:b/>
                <w:noProof/>
                <w:sz w:val="20"/>
              </w:rPr>
            </w:pPr>
          </w:p>
        </w:tc>
        <w:tc>
          <w:tcPr>
            <w:tcW w:w="4588" w:type="dxa"/>
            <w:shd w:val="clear" w:color="auto" w:fill="EEECE1" w:themeFill="background2"/>
            <w:tcMar>
              <w:top w:w="85" w:type="dxa"/>
              <w:left w:w="85" w:type="dxa"/>
              <w:bottom w:w="85" w:type="dxa"/>
            </w:tcMar>
          </w:tcPr>
          <w:p w:rsidR="00201706" w:rsidRDefault="00201706" w:rsidP="00201706">
            <w:pPr>
              <w:spacing w:after="0"/>
              <w:rPr>
                <w:noProof/>
                <w:sz w:val="20"/>
              </w:rPr>
            </w:pPr>
            <w:r>
              <w:rPr>
                <w:noProof/>
                <w:sz w:val="20"/>
              </w:rPr>
              <w:t>Návrh NARIADENIE EURÓPSKEHO PARLAMENTU A RADY, ktorým sa ako súčasť Fondu pre integrované riadenie hraníc zriaďuje nástroj finančnej podpory na vybavenie na colné kontroly</w:t>
            </w:r>
          </w:p>
        </w:tc>
        <w:tc>
          <w:tcPr>
            <w:tcW w:w="1985" w:type="dxa"/>
            <w:tcMar>
              <w:top w:w="85" w:type="dxa"/>
              <w:left w:w="85" w:type="dxa"/>
              <w:bottom w:w="85" w:type="dxa"/>
            </w:tcMar>
          </w:tcPr>
          <w:p w:rsidR="00201706" w:rsidRDefault="00201706" w:rsidP="00201706">
            <w:pPr>
              <w:spacing w:after="0"/>
              <w:jc w:val="left"/>
              <w:rPr>
                <w:noProof/>
                <w:sz w:val="20"/>
              </w:rPr>
            </w:pPr>
            <w:r>
              <w:rPr>
                <w:noProof/>
                <w:sz w:val="20"/>
              </w:rPr>
              <w:t>COM(2018) 474 final.</w:t>
            </w:r>
            <w:r>
              <w:rPr>
                <w:noProof/>
                <w:sz w:val="20"/>
              </w:rPr>
              <w:br/>
              <w:t>2018/0258 (COD)</w:t>
            </w:r>
            <w:r>
              <w:rPr>
                <w:noProof/>
                <w:sz w:val="20"/>
              </w:rPr>
              <w:br/>
              <w:t>13. 6. 2018</w:t>
            </w:r>
          </w:p>
        </w:tc>
        <w:tc>
          <w:tcPr>
            <w:tcW w:w="1417" w:type="dxa"/>
          </w:tcPr>
          <w:p w:rsidR="00201706" w:rsidRPr="006F318C" w:rsidRDefault="00201706" w:rsidP="00A026B9">
            <w:pPr>
              <w:spacing w:after="0"/>
              <w:jc w:val="center"/>
              <w:rPr>
                <w:b/>
                <w:sz w:val="20"/>
              </w:rPr>
            </w:pPr>
            <w:r w:rsidRPr="006F318C">
              <w:rPr>
                <w:b/>
                <w:sz w:val="20"/>
              </w:rPr>
              <w:t>MF SR</w:t>
            </w:r>
          </w:p>
        </w:tc>
        <w:tc>
          <w:tcPr>
            <w:tcW w:w="6095" w:type="dxa"/>
          </w:tcPr>
          <w:p w:rsidR="00201706" w:rsidRPr="00A20075" w:rsidRDefault="00201706" w:rsidP="00201706">
            <w:pPr>
              <w:spacing w:after="0"/>
              <w:rPr>
                <w:sz w:val="22"/>
              </w:rPr>
            </w:pPr>
            <w:r w:rsidRPr="00FE4DFD">
              <w:rPr>
                <w:b/>
                <w:sz w:val="20"/>
                <w:u w:val="single"/>
              </w:rPr>
              <w:t>Vysoká priorita</w:t>
            </w:r>
            <w:r>
              <w:rPr>
                <w:sz w:val="20"/>
              </w:rPr>
              <w:t xml:space="preserve"> </w:t>
            </w:r>
            <w:r w:rsidRPr="00FE4DFD">
              <w:rPr>
                <w:sz w:val="20"/>
              </w:rPr>
              <w:t>-</w:t>
            </w:r>
            <w:r>
              <w:rPr>
                <w:sz w:val="20"/>
              </w:rPr>
              <w:t xml:space="preserve"> </w:t>
            </w:r>
            <w:r w:rsidRPr="00A20075">
              <w:rPr>
                <w:sz w:val="20"/>
              </w:rPr>
              <w:t>Podmienkou ochrany finančných záujmov EÚ a jeho členských štátov, cieleného boja proti nelegálnemu obchodu a zároveň zabezpečenia ochrany legitímneho obchodu, zabezpečenia bezpečnosti EÚ a jeho obyvateľov sú účinné colné kontroly. To si vyžaduje efektívne alokovanie finančných prostriedkov určených na vybavenie na vykonávanie colných kontrol. Slovenská republika podporuje prijatie návrhu, ktorý zlepší vybavenosť colných orgánov, predovšetkým s d</w:t>
            </w:r>
            <w:r>
              <w:rPr>
                <w:sz w:val="20"/>
              </w:rPr>
              <w:t>ôrazom na vonkajšiu hranicu EÚ.</w:t>
            </w:r>
            <w:r w:rsidRPr="006B4579">
              <w:rPr>
                <w:sz w:val="20"/>
              </w:rPr>
              <w:t xml:space="preserve"> Podmienkou ochrany finančných záujmov EÚ a jeho členských štátov, cieleného boja proti nelegálnemu obchodu a zároveň zabezpečenia ochrany legitímneho obchodu, zabezpečenia bezpečnosti EÚ a jeho obyvateľov sú účinné colné kontroly. To si vyžaduje efektívne alokovanie finančných prostriedkov určených na vybavenie na vykonávanie colných kontrol. Slovenská republika podporuje prijatie návrhu, ktorý zlepší vybavenosť colných orgánov, predovšetkým s dôrazom na vonkajšiu hranicu EÚ</w:t>
            </w:r>
            <w:r>
              <w:rPr>
                <w:sz w:val="20"/>
              </w:rPr>
              <w:t>.</w:t>
            </w:r>
          </w:p>
        </w:tc>
      </w:tr>
      <w:tr w:rsidR="00201706" w:rsidTr="00687C5F">
        <w:trPr>
          <w:cantSplit/>
        </w:trPr>
        <w:tc>
          <w:tcPr>
            <w:tcW w:w="652" w:type="dxa"/>
            <w:tcBorders>
              <w:right w:val="nil"/>
            </w:tcBorders>
            <w:shd w:val="clear" w:color="auto" w:fill="auto"/>
            <w:tcMar>
              <w:top w:w="85" w:type="dxa"/>
              <w:left w:w="85" w:type="dxa"/>
              <w:bottom w:w="85" w:type="dxa"/>
            </w:tcMar>
          </w:tcPr>
          <w:p w:rsidR="00201706" w:rsidRDefault="00201706" w:rsidP="00201706">
            <w:pPr>
              <w:pStyle w:val="Odsekzoznamu"/>
              <w:numPr>
                <w:ilvl w:val="0"/>
                <w:numId w:val="20"/>
              </w:numPr>
              <w:spacing w:after="0"/>
              <w:ind w:left="426"/>
              <w:rPr>
                <w:b/>
                <w:noProof/>
                <w:sz w:val="20"/>
              </w:rPr>
            </w:pPr>
          </w:p>
        </w:tc>
        <w:tc>
          <w:tcPr>
            <w:tcW w:w="4588" w:type="dxa"/>
            <w:shd w:val="clear" w:color="auto" w:fill="EEECE1" w:themeFill="background2"/>
            <w:tcMar>
              <w:top w:w="85" w:type="dxa"/>
              <w:left w:w="85" w:type="dxa"/>
              <w:bottom w:w="85" w:type="dxa"/>
            </w:tcMar>
          </w:tcPr>
          <w:p w:rsidR="00201706" w:rsidRDefault="00201706" w:rsidP="00201706">
            <w:pPr>
              <w:spacing w:after="0"/>
              <w:rPr>
                <w:noProof/>
                <w:sz w:val="20"/>
              </w:rPr>
            </w:pPr>
            <w:r>
              <w:rPr>
                <w:noProof/>
                <w:sz w:val="20"/>
              </w:rPr>
              <w:t xml:space="preserve"> Návrh NARIADENIE EURÓPSKEHO PARLAMENTU A RADY, ktorým sa stanovujú spoločné ustanovenia o Európskom fonde regionálneho rozvoja, Európskom sociálnom fonde plus, Kohéznom fonde a Európskom námornom a rybárskom fonde a rozpočtové pravidlá pre uvedené fondy, ako aj pre Fond pre azyl a migráciu, Fond pre vnútornú bezpečnosť a Nástroj na riadenie hraníc a víza</w:t>
            </w:r>
          </w:p>
        </w:tc>
        <w:tc>
          <w:tcPr>
            <w:tcW w:w="1985" w:type="dxa"/>
            <w:tcMar>
              <w:top w:w="85" w:type="dxa"/>
              <w:left w:w="85" w:type="dxa"/>
              <w:bottom w:w="85" w:type="dxa"/>
            </w:tcMar>
          </w:tcPr>
          <w:p w:rsidR="00201706" w:rsidRDefault="00201706" w:rsidP="00201706">
            <w:pPr>
              <w:spacing w:after="0"/>
              <w:jc w:val="left"/>
              <w:rPr>
                <w:noProof/>
                <w:sz w:val="20"/>
              </w:rPr>
            </w:pPr>
            <w:r>
              <w:rPr>
                <w:noProof/>
                <w:sz w:val="20"/>
              </w:rPr>
              <w:t>COM(2018) 375 final.</w:t>
            </w:r>
            <w:r>
              <w:rPr>
                <w:noProof/>
                <w:sz w:val="20"/>
              </w:rPr>
              <w:br/>
              <w:t>2018/0196 (COD)</w:t>
            </w:r>
            <w:r>
              <w:rPr>
                <w:noProof/>
                <w:sz w:val="20"/>
              </w:rPr>
              <w:br/>
              <w:t>29. 5. 2018</w:t>
            </w:r>
          </w:p>
        </w:tc>
        <w:tc>
          <w:tcPr>
            <w:tcW w:w="1417" w:type="dxa"/>
          </w:tcPr>
          <w:p w:rsidR="00201706" w:rsidRPr="006F318C" w:rsidRDefault="00201706" w:rsidP="00A026B9">
            <w:pPr>
              <w:spacing w:after="0"/>
              <w:jc w:val="center"/>
              <w:rPr>
                <w:b/>
                <w:sz w:val="20"/>
              </w:rPr>
            </w:pPr>
            <w:r w:rsidRPr="006F318C">
              <w:rPr>
                <w:b/>
                <w:sz w:val="20"/>
              </w:rPr>
              <w:t>ÚPVII</w:t>
            </w:r>
          </w:p>
          <w:p w:rsidR="00201706" w:rsidRPr="006F318C" w:rsidRDefault="00201706" w:rsidP="00A026B9">
            <w:pPr>
              <w:spacing w:after="0"/>
              <w:jc w:val="center"/>
              <w:rPr>
                <w:b/>
                <w:sz w:val="20"/>
              </w:rPr>
            </w:pPr>
            <w:r w:rsidRPr="006F318C">
              <w:rPr>
                <w:b/>
                <w:sz w:val="20"/>
              </w:rPr>
              <w:t xml:space="preserve">MDV SR, MF SR, MH SR, MK SR, MPRV SR, MPSVR SR, MS SR, </w:t>
            </w:r>
            <w:r w:rsidR="005A5D83">
              <w:rPr>
                <w:b/>
                <w:sz w:val="20"/>
              </w:rPr>
              <w:t xml:space="preserve">MŠVVaŠ </w:t>
            </w:r>
            <w:r w:rsidRPr="006F318C">
              <w:rPr>
                <w:b/>
                <w:sz w:val="20"/>
              </w:rPr>
              <w:t xml:space="preserve"> SR, MV SR</w:t>
            </w:r>
            <w:r>
              <w:rPr>
                <w:b/>
                <w:sz w:val="20"/>
              </w:rPr>
              <w:t xml:space="preserve">, MZ SR, MZVEZ SR, MŽP SR, </w:t>
            </w:r>
            <w:r w:rsidRPr="006F318C">
              <w:rPr>
                <w:b/>
                <w:sz w:val="20"/>
              </w:rPr>
              <w:t xml:space="preserve"> ÚV SR, ÚVO</w:t>
            </w:r>
          </w:p>
        </w:tc>
        <w:tc>
          <w:tcPr>
            <w:tcW w:w="6095" w:type="dxa"/>
          </w:tcPr>
          <w:p w:rsidR="00201706" w:rsidRDefault="00201706" w:rsidP="00201706">
            <w:pPr>
              <w:spacing w:after="0"/>
              <w:rPr>
                <w:sz w:val="20"/>
              </w:rPr>
            </w:pPr>
            <w:r w:rsidRPr="00FF586F">
              <w:rPr>
                <w:b/>
                <w:sz w:val="20"/>
                <w:u w:val="single"/>
              </w:rPr>
              <w:t>Vysoká priorita</w:t>
            </w:r>
            <w:r>
              <w:rPr>
                <w:sz w:val="20"/>
              </w:rPr>
              <w:t xml:space="preserve"> - </w:t>
            </w:r>
            <w:r w:rsidRPr="00FF586F">
              <w:rPr>
                <w:sz w:val="20"/>
              </w:rPr>
              <w:t>SR uvítalo zverejnenie návrhu všeobecného nariadenia EÚ a nového návrhu legislatívneho balíka pre politiku súdržnosti EÚ na roky 2021-2027. Návrh všeobecného nariadenia EÚ pre politiku súdržnosti poskytuje jednotný súbor pravidiel pre 7 fondov EÚ, avšak mimo Európskeho poľnohospodárskeho fondu pre rozvoj vidieka (EPFRV). V súčasnosti prebieha k tomuto návrhu nariadenia EÚ diskusia na úrovni Pracovnej skupiny Rady pre štrukturálne opatrenia (SMWP), ako aj trialóg s Európskym parlamentom. ÚPVII k návrhu všeobecného nariadenia EÚ pre politiku súdržnosti na obdobie 2021 - 2027 vypracovalo riadne predbežné stanovisko SR.</w:t>
            </w:r>
          </w:p>
        </w:tc>
      </w:tr>
      <w:tr w:rsidR="00201706" w:rsidTr="00687C5F">
        <w:trPr>
          <w:cantSplit/>
        </w:trPr>
        <w:tc>
          <w:tcPr>
            <w:tcW w:w="652" w:type="dxa"/>
            <w:tcBorders>
              <w:right w:val="nil"/>
            </w:tcBorders>
            <w:shd w:val="clear" w:color="auto" w:fill="auto"/>
            <w:tcMar>
              <w:top w:w="85" w:type="dxa"/>
              <w:left w:w="85" w:type="dxa"/>
              <w:bottom w:w="85" w:type="dxa"/>
            </w:tcMar>
          </w:tcPr>
          <w:p w:rsidR="00201706" w:rsidRDefault="00201706" w:rsidP="00201706">
            <w:pPr>
              <w:pStyle w:val="Odsekzoznamu"/>
              <w:numPr>
                <w:ilvl w:val="0"/>
                <w:numId w:val="20"/>
              </w:numPr>
              <w:spacing w:after="0"/>
              <w:ind w:left="426"/>
              <w:rPr>
                <w:b/>
                <w:noProof/>
                <w:sz w:val="20"/>
              </w:rPr>
            </w:pPr>
          </w:p>
        </w:tc>
        <w:tc>
          <w:tcPr>
            <w:tcW w:w="4588" w:type="dxa"/>
            <w:shd w:val="clear" w:color="auto" w:fill="EEECE1" w:themeFill="background2"/>
            <w:tcMar>
              <w:top w:w="85" w:type="dxa"/>
              <w:left w:w="85" w:type="dxa"/>
              <w:bottom w:w="85" w:type="dxa"/>
            </w:tcMar>
          </w:tcPr>
          <w:p w:rsidR="00201706" w:rsidRDefault="00201706" w:rsidP="00201706">
            <w:pPr>
              <w:spacing w:after="0"/>
              <w:rPr>
                <w:noProof/>
                <w:sz w:val="20"/>
              </w:rPr>
            </w:pPr>
            <w:r>
              <w:rPr>
                <w:noProof/>
                <w:sz w:val="20"/>
              </w:rPr>
              <w:t>Návrh NARIADENIE EURÓPSKEHO PARLAMENTU A RADY o Európskom fonde regionálneho rozvoja a Kohéznom fonde</w:t>
            </w:r>
          </w:p>
        </w:tc>
        <w:tc>
          <w:tcPr>
            <w:tcW w:w="1985" w:type="dxa"/>
            <w:tcMar>
              <w:top w:w="85" w:type="dxa"/>
              <w:left w:w="85" w:type="dxa"/>
              <w:bottom w:w="85" w:type="dxa"/>
            </w:tcMar>
          </w:tcPr>
          <w:p w:rsidR="00201706" w:rsidRDefault="00201706" w:rsidP="00201706">
            <w:pPr>
              <w:spacing w:after="0"/>
              <w:jc w:val="left"/>
              <w:rPr>
                <w:noProof/>
                <w:sz w:val="20"/>
              </w:rPr>
            </w:pPr>
            <w:r>
              <w:rPr>
                <w:noProof/>
                <w:sz w:val="20"/>
              </w:rPr>
              <w:t>COM(2018) 372 final.</w:t>
            </w:r>
            <w:r>
              <w:rPr>
                <w:noProof/>
                <w:sz w:val="20"/>
              </w:rPr>
              <w:br/>
              <w:t>2018/0197 (COD)</w:t>
            </w:r>
            <w:r>
              <w:rPr>
                <w:noProof/>
                <w:sz w:val="20"/>
              </w:rPr>
              <w:br/>
              <w:t>29. 5. 2018</w:t>
            </w:r>
          </w:p>
        </w:tc>
        <w:tc>
          <w:tcPr>
            <w:tcW w:w="1417" w:type="dxa"/>
          </w:tcPr>
          <w:p w:rsidR="00201706" w:rsidRPr="006F318C" w:rsidRDefault="00201706" w:rsidP="00201706">
            <w:pPr>
              <w:spacing w:after="0"/>
              <w:jc w:val="center"/>
              <w:rPr>
                <w:b/>
                <w:sz w:val="20"/>
              </w:rPr>
            </w:pPr>
            <w:r w:rsidRPr="006F318C">
              <w:rPr>
                <w:b/>
                <w:sz w:val="20"/>
              </w:rPr>
              <w:t>ÚPVII</w:t>
            </w:r>
          </w:p>
          <w:p w:rsidR="00201706" w:rsidRPr="006F318C" w:rsidRDefault="00201706" w:rsidP="00201706">
            <w:pPr>
              <w:spacing w:after="0"/>
              <w:jc w:val="center"/>
              <w:rPr>
                <w:b/>
                <w:sz w:val="20"/>
              </w:rPr>
            </w:pPr>
            <w:r w:rsidRPr="006F318C">
              <w:rPr>
                <w:b/>
                <w:sz w:val="20"/>
              </w:rPr>
              <w:t xml:space="preserve">MDV SR, MF SR, MH SR, MK SR, MPRV SR, </w:t>
            </w:r>
            <w:r w:rsidR="005A5D83">
              <w:rPr>
                <w:b/>
                <w:sz w:val="20"/>
              </w:rPr>
              <w:t xml:space="preserve">MŠVVaŠ </w:t>
            </w:r>
            <w:r w:rsidRPr="006F318C">
              <w:rPr>
                <w:b/>
                <w:sz w:val="20"/>
              </w:rPr>
              <w:t xml:space="preserve"> SR, MZ SR, MŽP SR</w:t>
            </w:r>
          </w:p>
        </w:tc>
        <w:tc>
          <w:tcPr>
            <w:tcW w:w="6095" w:type="dxa"/>
          </w:tcPr>
          <w:p w:rsidR="00201706" w:rsidRDefault="00201706" w:rsidP="00201706">
            <w:pPr>
              <w:spacing w:after="0"/>
              <w:rPr>
                <w:sz w:val="20"/>
              </w:rPr>
            </w:pPr>
            <w:r w:rsidRPr="00FF586F">
              <w:rPr>
                <w:b/>
                <w:sz w:val="20"/>
                <w:u w:val="single"/>
              </w:rPr>
              <w:t>Vysoká priorita</w:t>
            </w:r>
            <w:r>
              <w:rPr>
                <w:sz w:val="20"/>
              </w:rPr>
              <w:t xml:space="preserve"> </w:t>
            </w:r>
            <w:r w:rsidRPr="00FF586F">
              <w:rPr>
                <w:sz w:val="20"/>
              </w:rPr>
              <w:t>- SR uvítalo zverejnenie návrhu nariadenia EÚ o Európskom fonde regionálneho rozvoja (EFFR) a Kohéznom fonde (KF) na programové obdobie 2021 - 2027. SR podporuje koncentráciu EFRR na menší počet cieľov a oblastí, ale odmieta, aby legislatíva EÚ stanovila povinné ohraničenia alebo povinné minimálne limity pre jednotlivé tematické ciele politiky súdržnosti EÚ, či fondy EÚ. SR nesúhlasí so znížením alokácie pre KF na programové obdobie 2021-2027 (zo 68,7 mld. EUR na úroveň 41,3 mld. EUR), čo predstavuje približne 38 % zníženie v bežných cenách r. 2018. V súčasnosti prebieha k tomuto návrhu nariadenia diskusia na úrovni Pracovnej skupiny Rady pre štrukturálne opatrenia (SMWP), ako aj trialóg s Európskym parlamentom. ÚPVII k návrhu nariadenia EÚ o EFRR a KF vypracovalo riadne predbežné stanovisko SR.</w:t>
            </w:r>
          </w:p>
        </w:tc>
      </w:tr>
      <w:tr w:rsidR="00201706" w:rsidTr="00687C5F">
        <w:trPr>
          <w:cantSplit/>
        </w:trPr>
        <w:tc>
          <w:tcPr>
            <w:tcW w:w="652" w:type="dxa"/>
            <w:tcBorders>
              <w:right w:val="nil"/>
            </w:tcBorders>
            <w:shd w:val="clear" w:color="auto" w:fill="auto"/>
            <w:tcMar>
              <w:top w:w="85" w:type="dxa"/>
              <w:left w:w="85" w:type="dxa"/>
              <w:bottom w:w="85" w:type="dxa"/>
            </w:tcMar>
          </w:tcPr>
          <w:p w:rsidR="00201706" w:rsidRDefault="00201706" w:rsidP="00201706">
            <w:pPr>
              <w:pStyle w:val="Odsekzoznamu"/>
              <w:numPr>
                <w:ilvl w:val="0"/>
                <w:numId w:val="20"/>
              </w:numPr>
              <w:spacing w:after="0"/>
              <w:ind w:left="426"/>
              <w:rPr>
                <w:b/>
                <w:noProof/>
                <w:sz w:val="20"/>
              </w:rPr>
            </w:pPr>
          </w:p>
        </w:tc>
        <w:tc>
          <w:tcPr>
            <w:tcW w:w="4588" w:type="dxa"/>
            <w:shd w:val="clear" w:color="auto" w:fill="EEECE1" w:themeFill="background2"/>
            <w:tcMar>
              <w:top w:w="85" w:type="dxa"/>
              <w:left w:w="85" w:type="dxa"/>
              <w:bottom w:w="85" w:type="dxa"/>
            </w:tcMar>
          </w:tcPr>
          <w:p w:rsidR="00201706" w:rsidRDefault="00201706" w:rsidP="00201706">
            <w:pPr>
              <w:spacing w:after="0"/>
              <w:rPr>
                <w:noProof/>
                <w:sz w:val="20"/>
              </w:rPr>
            </w:pPr>
            <w:r>
              <w:rPr>
                <w:noProof/>
                <w:sz w:val="20"/>
              </w:rPr>
              <w:t>Návrh NARIADENIE EURÓPSKEHO PARLAMENTU A RADY o mechanizme riešenia právnych a administratívnych prekážok v cezhraničnom kontexte</w:t>
            </w:r>
          </w:p>
        </w:tc>
        <w:tc>
          <w:tcPr>
            <w:tcW w:w="1985" w:type="dxa"/>
            <w:tcMar>
              <w:top w:w="85" w:type="dxa"/>
              <w:left w:w="85" w:type="dxa"/>
              <w:bottom w:w="85" w:type="dxa"/>
            </w:tcMar>
          </w:tcPr>
          <w:p w:rsidR="00201706" w:rsidRDefault="00201706" w:rsidP="00201706">
            <w:pPr>
              <w:spacing w:after="0"/>
              <w:jc w:val="left"/>
              <w:rPr>
                <w:noProof/>
                <w:sz w:val="20"/>
              </w:rPr>
            </w:pPr>
            <w:r>
              <w:rPr>
                <w:noProof/>
                <w:sz w:val="20"/>
              </w:rPr>
              <w:t>COM(2018) 373 final.</w:t>
            </w:r>
            <w:r>
              <w:rPr>
                <w:noProof/>
                <w:sz w:val="20"/>
              </w:rPr>
              <w:br/>
              <w:t>2018/0198 (COD)</w:t>
            </w:r>
            <w:r>
              <w:rPr>
                <w:noProof/>
                <w:sz w:val="20"/>
              </w:rPr>
              <w:br/>
              <w:t>29. 5. 2018</w:t>
            </w:r>
          </w:p>
        </w:tc>
        <w:tc>
          <w:tcPr>
            <w:tcW w:w="1417" w:type="dxa"/>
          </w:tcPr>
          <w:p w:rsidR="00201706" w:rsidRPr="006F318C" w:rsidRDefault="00201706" w:rsidP="00201706">
            <w:pPr>
              <w:spacing w:after="0"/>
              <w:jc w:val="center"/>
              <w:rPr>
                <w:b/>
                <w:sz w:val="20"/>
              </w:rPr>
            </w:pPr>
            <w:r w:rsidRPr="006F318C">
              <w:rPr>
                <w:b/>
                <w:sz w:val="20"/>
              </w:rPr>
              <w:t>ÚPVII</w:t>
            </w:r>
          </w:p>
          <w:p w:rsidR="00201706" w:rsidRPr="006F318C" w:rsidRDefault="00201706" w:rsidP="00201706">
            <w:pPr>
              <w:spacing w:after="0"/>
              <w:jc w:val="center"/>
              <w:rPr>
                <w:b/>
                <w:sz w:val="20"/>
              </w:rPr>
            </w:pPr>
            <w:r w:rsidRPr="006F318C">
              <w:rPr>
                <w:b/>
                <w:sz w:val="20"/>
              </w:rPr>
              <w:t>MPRV SR,</w:t>
            </w:r>
          </w:p>
          <w:p w:rsidR="00201706" w:rsidRPr="006F318C" w:rsidRDefault="00201706" w:rsidP="00201706">
            <w:pPr>
              <w:spacing w:after="0"/>
              <w:jc w:val="center"/>
              <w:rPr>
                <w:b/>
                <w:sz w:val="20"/>
              </w:rPr>
            </w:pPr>
            <w:r w:rsidRPr="006F318C">
              <w:rPr>
                <w:b/>
                <w:sz w:val="20"/>
              </w:rPr>
              <w:t>MV SR</w:t>
            </w:r>
          </w:p>
        </w:tc>
        <w:tc>
          <w:tcPr>
            <w:tcW w:w="6095" w:type="dxa"/>
          </w:tcPr>
          <w:p w:rsidR="00201706" w:rsidRDefault="00201706" w:rsidP="00201706">
            <w:pPr>
              <w:spacing w:after="0"/>
              <w:rPr>
                <w:sz w:val="20"/>
              </w:rPr>
            </w:pPr>
            <w:r w:rsidRPr="00FF586F">
              <w:rPr>
                <w:b/>
                <w:sz w:val="20"/>
                <w:u w:val="single"/>
              </w:rPr>
              <w:t>Vysoká priorita</w:t>
            </w:r>
            <w:r>
              <w:rPr>
                <w:sz w:val="20"/>
              </w:rPr>
              <w:t xml:space="preserve"> </w:t>
            </w:r>
            <w:r w:rsidRPr="00FF586F">
              <w:rPr>
                <w:sz w:val="20"/>
              </w:rPr>
              <w:t>- SR si je vedomá dôležitosti podpory hospodárskeho a sociálneho rastu cezhraničných regiónov, a to vzhľadom na to, že celé územie SR tvoria len cezhraničné regióny. Taktiež si uvedomuje prekážky, ktoré vznikajú v cezhraničnom kontexte a preto oceňuje nový prístup k prekonávaniu právnych prekážok, ktoré vyplývajú z odlišných právnych poriadkov členských štátov EÚ (ČŠ). SR však bude presadzovať úpravu návrhu nariadenia EÚ tak, aby jednotlivým ČŠ bolo umožnené využívať aj iné spôsoby riešenia právnych prekážok okrem už existujúcich. SR bude presadzovať úplnú dobrovoľnosť použitia tohto mechanizmu jednotlivými ČŠ. ÚPVII k tomuto návrhu nariadenia EÚ vypracovalo riadne predbežné stanovisko SR.</w:t>
            </w:r>
          </w:p>
        </w:tc>
      </w:tr>
      <w:tr w:rsidR="00201706" w:rsidTr="00687C5F">
        <w:trPr>
          <w:cantSplit/>
        </w:trPr>
        <w:tc>
          <w:tcPr>
            <w:tcW w:w="652" w:type="dxa"/>
            <w:tcBorders>
              <w:bottom w:val="single" w:sz="4" w:space="0" w:color="auto"/>
              <w:right w:val="nil"/>
            </w:tcBorders>
            <w:shd w:val="clear" w:color="auto" w:fill="auto"/>
            <w:tcMar>
              <w:top w:w="85" w:type="dxa"/>
              <w:left w:w="85" w:type="dxa"/>
              <w:bottom w:w="85" w:type="dxa"/>
            </w:tcMar>
          </w:tcPr>
          <w:p w:rsidR="00201706" w:rsidRDefault="00201706" w:rsidP="00201706">
            <w:pPr>
              <w:pStyle w:val="Odsekzoznamu"/>
              <w:numPr>
                <w:ilvl w:val="0"/>
                <w:numId w:val="20"/>
              </w:numPr>
              <w:spacing w:after="0"/>
              <w:ind w:left="426"/>
              <w:rPr>
                <w:b/>
                <w:noProof/>
                <w:sz w:val="20"/>
              </w:rPr>
            </w:pPr>
          </w:p>
        </w:tc>
        <w:tc>
          <w:tcPr>
            <w:tcW w:w="4588" w:type="dxa"/>
            <w:tcBorders>
              <w:bottom w:val="single" w:sz="4" w:space="0" w:color="auto"/>
            </w:tcBorders>
            <w:shd w:val="clear" w:color="auto" w:fill="EEECE1" w:themeFill="background2"/>
            <w:tcMar>
              <w:top w:w="85" w:type="dxa"/>
              <w:left w:w="85" w:type="dxa"/>
              <w:bottom w:w="85" w:type="dxa"/>
            </w:tcMar>
          </w:tcPr>
          <w:p w:rsidR="00201706" w:rsidRDefault="00201706" w:rsidP="00201706">
            <w:pPr>
              <w:spacing w:after="0"/>
              <w:rPr>
                <w:noProof/>
                <w:sz w:val="20"/>
              </w:rPr>
            </w:pPr>
            <w:r>
              <w:rPr>
                <w:noProof/>
                <w:sz w:val="20"/>
              </w:rPr>
              <w:t>Návrh NARIADENIE EURÓPSKEHO PARLAMENTU A RADY o osobitných ustanoveniach týkajúcich sa cieľa Európska územná spolupráca (Interreg) podporovaného z Európskeho fondu regionálneho rozvoja a vonkajších finančných nástrojov</w:t>
            </w:r>
          </w:p>
        </w:tc>
        <w:tc>
          <w:tcPr>
            <w:tcW w:w="1985" w:type="dxa"/>
            <w:tcBorders>
              <w:bottom w:val="single" w:sz="4" w:space="0" w:color="auto"/>
            </w:tcBorders>
            <w:tcMar>
              <w:top w:w="85" w:type="dxa"/>
              <w:left w:w="85" w:type="dxa"/>
              <w:bottom w:w="85" w:type="dxa"/>
            </w:tcMar>
          </w:tcPr>
          <w:p w:rsidR="00201706" w:rsidRDefault="00201706" w:rsidP="00201706">
            <w:pPr>
              <w:spacing w:after="0"/>
              <w:jc w:val="left"/>
              <w:rPr>
                <w:noProof/>
                <w:sz w:val="20"/>
              </w:rPr>
            </w:pPr>
            <w:r>
              <w:rPr>
                <w:noProof/>
                <w:sz w:val="20"/>
              </w:rPr>
              <w:t>COM(2018) 374 final.</w:t>
            </w:r>
            <w:r>
              <w:rPr>
                <w:noProof/>
                <w:sz w:val="20"/>
              </w:rPr>
              <w:br/>
              <w:t>2018/0199 (COD)</w:t>
            </w:r>
            <w:r>
              <w:rPr>
                <w:noProof/>
                <w:sz w:val="20"/>
              </w:rPr>
              <w:br/>
              <w:t>29. 5. 2018</w:t>
            </w:r>
          </w:p>
        </w:tc>
        <w:tc>
          <w:tcPr>
            <w:tcW w:w="1417" w:type="dxa"/>
            <w:tcBorders>
              <w:bottom w:val="single" w:sz="4" w:space="0" w:color="auto"/>
            </w:tcBorders>
          </w:tcPr>
          <w:p w:rsidR="00201706" w:rsidRPr="00CF3A0F" w:rsidRDefault="00201706" w:rsidP="00201706">
            <w:pPr>
              <w:spacing w:after="0"/>
              <w:jc w:val="center"/>
              <w:rPr>
                <w:b/>
                <w:sz w:val="20"/>
              </w:rPr>
            </w:pPr>
            <w:r w:rsidRPr="00CF3A0F">
              <w:rPr>
                <w:b/>
                <w:sz w:val="20"/>
              </w:rPr>
              <w:t>ÚPVII</w:t>
            </w:r>
          </w:p>
          <w:p w:rsidR="00201706" w:rsidRPr="00CF3A0F" w:rsidRDefault="00201706" w:rsidP="00201706">
            <w:pPr>
              <w:spacing w:after="0"/>
              <w:jc w:val="center"/>
              <w:rPr>
                <w:b/>
                <w:sz w:val="20"/>
              </w:rPr>
            </w:pPr>
            <w:r w:rsidRPr="00CF3A0F">
              <w:rPr>
                <w:b/>
                <w:sz w:val="20"/>
              </w:rPr>
              <w:t>MH SR,</w:t>
            </w:r>
          </w:p>
          <w:p w:rsidR="00201706" w:rsidRPr="00CF3A0F" w:rsidRDefault="00201706" w:rsidP="00201706">
            <w:pPr>
              <w:spacing w:after="0"/>
              <w:jc w:val="center"/>
              <w:rPr>
                <w:b/>
                <w:sz w:val="20"/>
              </w:rPr>
            </w:pPr>
            <w:r w:rsidRPr="00CF3A0F">
              <w:rPr>
                <w:b/>
                <w:sz w:val="20"/>
              </w:rPr>
              <w:t>MPRV SR,</w:t>
            </w:r>
          </w:p>
          <w:p w:rsidR="00201706" w:rsidRPr="00CF3A0F" w:rsidRDefault="00201706" w:rsidP="00201706">
            <w:pPr>
              <w:spacing w:after="0"/>
              <w:jc w:val="center"/>
              <w:rPr>
                <w:b/>
                <w:sz w:val="20"/>
              </w:rPr>
            </w:pPr>
            <w:r w:rsidRPr="00CF3A0F">
              <w:rPr>
                <w:b/>
                <w:sz w:val="20"/>
              </w:rPr>
              <w:t>MV SR</w:t>
            </w:r>
          </w:p>
        </w:tc>
        <w:tc>
          <w:tcPr>
            <w:tcW w:w="6095" w:type="dxa"/>
            <w:tcBorders>
              <w:bottom w:val="single" w:sz="4" w:space="0" w:color="auto"/>
            </w:tcBorders>
          </w:tcPr>
          <w:p w:rsidR="00201706" w:rsidRPr="00FF586F" w:rsidRDefault="00201706" w:rsidP="00201706">
            <w:pPr>
              <w:spacing w:after="0"/>
              <w:rPr>
                <w:sz w:val="20"/>
              </w:rPr>
            </w:pPr>
            <w:r w:rsidRPr="00FF586F">
              <w:rPr>
                <w:b/>
                <w:sz w:val="20"/>
                <w:u w:val="single"/>
              </w:rPr>
              <w:t>Vysoká priorita</w:t>
            </w:r>
            <w:r>
              <w:rPr>
                <w:sz w:val="20"/>
              </w:rPr>
              <w:t xml:space="preserve"> - </w:t>
            </w:r>
            <w:r w:rsidRPr="00FF586F">
              <w:rPr>
                <w:sz w:val="20"/>
              </w:rPr>
              <w:t>SR uvítalo zverejnenie návrhu nariadenia EÚ o EÚS. V súčasnosti prebieha k predmetnému návrhu nariadenia EÚ diskusia na úrovni Pracovnej skupiny Rady pre štrukturálne opatrenia (SMWP), ako aj trialóg s Európskym parlamentom. SR k tomuto návrhu nariadenia EÚ vypracovalo riadne predbežné stanovisko SR.</w:t>
            </w:r>
          </w:p>
          <w:p w:rsidR="00201706" w:rsidRPr="00154FB5" w:rsidRDefault="00201706" w:rsidP="00201706">
            <w:pPr>
              <w:spacing w:after="0"/>
              <w:jc w:val="left"/>
              <w:rPr>
                <w:b/>
                <w:sz w:val="20"/>
              </w:rPr>
            </w:pPr>
          </w:p>
        </w:tc>
      </w:tr>
      <w:tr w:rsidR="00201706" w:rsidTr="00687C5F">
        <w:trPr>
          <w:cantSplit/>
        </w:trPr>
        <w:tc>
          <w:tcPr>
            <w:tcW w:w="652" w:type="dxa"/>
            <w:tcBorders>
              <w:bottom w:val="single" w:sz="4" w:space="0" w:color="auto"/>
              <w:right w:val="nil"/>
            </w:tcBorders>
            <w:shd w:val="clear" w:color="auto" w:fill="auto"/>
            <w:tcMar>
              <w:top w:w="85" w:type="dxa"/>
              <w:left w:w="85" w:type="dxa"/>
              <w:bottom w:w="85" w:type="dxa"/>
              <w:right w:w="85" w:type="dxa"/>
            </w:tcMar>
          </w:tcPr>
          <w:p w:rsidR="00201706" w:rsidRDefault="00201706" w:rsidP="00201706">
            <w:pPr>
              <w:pStyle w:val="Odsekzoznamu"/>
              <w:numPr>
                <w:ilvl w:val="0"/>
                <w:numId w:val="20"/>
              </w:numPr>
              <w:spacing w:after="0"/>
              <w:ind w:left="426"/>
              <w:rPr>
                <w:b/>
                <w:noProof/>
                <w:sz w:val="20"/>
              </w:rPr>
            </w:pPr>
          </w:p>
        </w:tc>
        <w:tc>
          <w:tcPr>
            <w:tcW w:w="4588" w:type="dxa"/>
            <w:tcBorders>
              <w:bottom w:val="single" w:sz="4" w:space="0" w:color="auto"/>
            </w:tcBorders>
            <w:shd w:val="clear" w:color="auto" w:fill="EEECE1" w:themeFill="background2"/>
            <w:tcMar>
              <w:top w:w="85" w:type="dxa"/>
              <w:left w:w="85" w:type="dxa"/>
              <w:bottom w:w="85" w:type="dxa"/>
            </w:tcMar>
          </w:tcPr>
          <w:p w:rsidR="00201706" w:rsidRDefault="00201706" w:rsidP="00201706">
            <w:pPr>
              <w:spacing w:after="0"/>
              <w:rPr>
                <w:noProof/>
                <w:sz w:val="20"/>
              </w:rPr>
            </w:pPr>
            <w:r>
              <w:rPr>
                <w:noProof/>
                <w:sz w:val="20"/>
              </w:rPr>
              <w:t>Návrh NARIADENIE EURÓPSKEHO PARLAMENTU A RADY, ktorým sa mení nariadenie (EÚ) č. 1303/2013, pokiaľ ide o úpravu ročných zálohových platieb na roky 2021 až 2023</w:t>
            </w:r>
          </w:p>
        </w:tc>
        <w:tc>
          <w:tcPr>
            <w:tcW w:w="1985" w:type="dxa"/>
            <w:tcBorders>
              <w:bottom w:val="single" w:sz="4" w:space="0" w:color="auto"/>
            </w:tcBorders>
            <w:tcMar>
              <w:top w:w="85" w:type="dxa"/>
              <w:left w:w="85" w:type="dxa"/>
              <w:bottom w:w="85" w:type="dxa"/>
            </w:tcMar>
          </w:tcPr>
          <w:p w:rsidR="00201706" w:rsidRDefault="00201706" w:rsidP="00201706">
            <w:pPr>
              <w:spacing w:after="0"/>
              <w:jc w:val="left"/>
              <w:rPr>
                <w:noProof/>
                <w:sz w:val="20"/>
              </w:rPr>
            </w:pPr>
            <w:r>
              <w:rPr>
                <w:noProof/>
                <w:sz w:val="20"/>
              </w:rPr>
              <w:t>COM(2018) 614 final.</w:t>
            </w:r>
            <w:r>
              <w:rPr>
                <w:noProof/>
                <w:sz w:val="20"/>
              </w:rPr>
              <w:br/>
              <w:t>2018/0322 (COD)</w:t>
            </w:r>
            <w:r>
              <w:rPr>
                <w:noProof/>
                <w:sz w:val="20"/>
              </w:rPr>
              <w:br/>
              <w:t>7. 9. 2018</w:t>
            </w:r>
          </w:p>
        </w:tc>
        <w:tc>
          <w:tcPr>
            <w:tcW w:w="1417" w:type="dxa"/>
            <w:tcBorders>
              <w:bottom w:val="single" w:sz="4" w:space="0" w:color="auto"/>
            </w:tcBorders>
          </w:tcPr>
          <w:p w:rsidR="00201706" w:rsidRPr="00CF3A0F" w:rsidRDefault="00201706" w:rsidP="00201706">
            <w:pPr>
              <w:spacing w:after="0"/>
              <w:jc w:val="center"/>
              <w:rPr>
                <w:b/>
                <w:sz w:val="20"/>
              </w:rPr>
            </w:pPr>
            <w:r w:rsidRPr="00CF3A0F">
              <w:rPr>
                <w:b/>
                <w:sz w:val="20"/>
              </w:rPr>
              <w:t>ÚPVII</w:t>
            </w:r>
          </w:p>
          <w:p w:rsidR="00201706" w:rsidRPr="00CF3A0F" w:rsidRDefault="00201706" w:rsidP="00201706">
            <w:pPr>
              <w:spacing w:after="0"/>
              <w:jc w:val="center"/>
              <w:rPr>
                <w:b/>
                <w:sz w:val="20"/>
              </w:rPr>
            </w:pPr>
            <w:r w:rsidRPr="00CF3A0F">
              <w:rPr>
                <w:b/>
                <w:sz w:val="20"/>
              </w:rPr>
              <w:t>MF SR</w:t>
            </w:r>
          </w:p>
        </w:tc>
        <w:tc>
          <w:tcPr>
            <w:tcW w:w="6095" w:type="dxa"/>
            <w:tcBorders>
              <w:bottom w:val="single" w:sz="4" w:space="0" w:color="auto"/>
            </w:tcBorders>
          </w:tcPr>
          <w:p w:rsidR="00201706" w:rsidRPr="00FF586F" w:rsidRDefault="00201706" w:rsidP="00201706">
            <w:pPr>
              <w:spacing w:after="0"/>
              <w:rPr>
                <w:sz w:val="20"/>
              </w:rPr>
            </w:pPr>
            <w:r w:rsidRPr="00FF586F">
              <w:rPr>
                <w:b/>
                <w:sz w:val="20"/>
                <w:u w:val="single"/>
              </w:rPr>
              <w:t>Vysoká priorita</w:t>
            </w:r>
            <w:r>
              <w:rPr>
                <w:sz w:val="20"/>
              </w:rPr>
              <w:t xml:space="preserve"> </w:t>
            </w:r>
            <w:r w:rsidRPr="00FF586F">
              <w:rPr>
                <w:sz w:val="20"/>
              </w:rPr>
              <w:t>- SR nesúhlasí s návrhom EK na zníženie zálohových platieb na roky 2021 – 2023 a rovnako SR nesúhlasí ani s ich znížením na obdobie 2021 – 2027. ÚPVII k tomuto návrhu nariadenia EÚ vypracovalo riadne predbežné stanovisko SR.</w:t>
            </w:r>
          </w:p>
          <w:p w:rsidR="00201706" w:rsidRPr="00154FB5" w:rsidRDefault="00201706" w:rsidP="00201706">
            <w:pPr>
              <w:spacing w:after="0"/>
              <w:jc w:val="left"/>
              <w:rPr>
                <w:b/>
                <w:sz w:val="20"/>
              </w:rPr>
            </w:pPr>
          </w:p>
        </w:tc>
      </w:tr>
      <w:tr w:rsidR="00201706" w:rsidTr="00687C5F">
        <w:trPr>
          <w:cantSplit/>
        </w:trPr>
        <w:tc>
          <w:tcPr>
            <w:tcW w:w="7225" w:type="dxa"/>
            <w:gridSpan w:val="3"/>
            <w:shd w:val="clear" w:color="auto" w:fill="585EAA" w:themeFill="accent4"/>
            <w:tcMar>
              <w:top w:w="85" w:type="dxa"/>
              <w:left w:w="85" w:type="dxa"/>
              <w:bottom w:w="85" w:type="dxa"/>
              <w:right w:w="85" w:type="dxa"/>
            </w:tcMar>
          </w:tcPr>
          <w:p w:rsidR="00201706" w:rsidRDefault="00201706" w:rsidP="00201706">
            <w:pPr>
              <w:keepNext/>
              <w:spacing w:before="60" w:after="60"/>
              <w:rPr>
                <w:noProof/>
                <w:sz w:val="20"/>
              </w:rPr>
            </w:pPr>
            <w:r>
              <w:rPr>
                <w:b/>
                <w:bCs/>
                <w:noProof/>
                <w:color w:val="FFFFFF" w:themeColor="background1"/>
                <w:sz w:val="20"/>
              </w:rPr>
              <w:t>Silnejšia Európa vo svete</w:t>
            </w:r>
          </w:p>
        </w:tc>
        <w:tc>
          <w:tcPr>
            <w:tcW w:w="1417" w:type="dxa"/>
            <w:shd w:val="clear" w:color="auto" w:fill="585EAA" w:themeFill="accent4"/>
          </w:tcPr>
          <w:p w:rsidR="00201706" w:rsidRDefault="00201706" w:rsidP="00201706">
            <w:pPr>
              <w:keepNext/>
              <w:spacing w:before="60" w:after="60"/>
              <w:rPr>
                <w:b/>
                <w:bCs/>
                <w:noProof/>
                <w:color w:val="FFFFFF" w:themeColor="background1"/>
                <w:sz w:val="20"/>
              </w:rPr>
            </w:pPr>
          </w:p>
        </w:tc>
        <w:tc>
          <w:tcPr>
            <w:tcW w:w="6095" w:type="dxa"/>
            <w:shd w:val="clear" w:color="auto" w:fill="585EAA" w:themeFill="accent4"/>
          </w:tcPr>
          <w:p w:rsidR="00201706" w:rsidRDefault="00201706" w:rsidP="00201706">
            <w:pPr>
              <w:keepNext/>
              <w:spacing w:before="60" w:after="60"/>
              <w:rPr>
                <w:b/>
                <w:bCs/>
                <w:noProof/>
                <w:color w:val="FFFFFF" w:themeColor="background1"/>
                <w:sz w:val="20"/>
              </w:rPr>
            </w:pPr>
          </w:p>
        </w:tc>
      </w:tr>
      <w:tr w:rsidR="00201706" w:rsidTr="00687C5F">
        <w:trPr>
          <w:cantSplit/>
        </w:trPr>
        <w:tc>
          <w:tcPr>
            <w:tcW w:w="652" w:type="dxa"/>
            <w:tcBorders>
              <w:right w:val="nil"/>
            </w:tcBorders>
            <w:shd w:val="clear" w:color="auto" w:fill="auto"/>
            <w:tcMar>
              <w:top w:w="85" w:type="dxa"/>
              <w:left w:w="85" w:type="dxa"/>
              <w:bottom w:w="85" w:type="dxa"/>
            </w:tcMar>
          </w:tcPr>
          <w:p w:rsidR="00201706" w:rsidRDefault="00201706" w:rsidP="00201706">
            <w:pPr>
              <w:pStyle w:val="Odsekzoznamu"/>
              <w:numPr>
                <w:ilvl w:val="0"/>
                <w:numId w:val="20"/>
              </w:numPr>
              <w:spacing w:after="0"/>
              <w:ind w:left="426"/>
              <w:rPr>
                <w:b/>
                <w:noProof/>
                <w:sz w:val="20"/>
              </w:rPr>
            </w:pPr>
          </w:p>
        </w:tc>
        <w:tc>
          <w:tcPr>
            <w:tcW w:w="4588" w:type="dxa"/>
            <w:shd w:val="clear" w:color="auto" w:fill="auto"/>
            <w:tcMar>
              <w:top w:w="85" w:type="dxa"/>
              <w:left w:w="85" w:type="dxa"/>
              <w:bottom w:w="85" w:type="dxa"/>
            </w:tcMar>
          </w:tcPr>
          <w:p w:rsidR="00201706" w:rsidRPr="003B1CF2" w:rsidRDefault="00201706" w:rsidP="00201706">
            <w:pPr>
              <w:spacing w:after="0"/>
              <w:rPr>
                <w:noProof/>
                <w:sz w:val="20"/>
              </w:rPr>
            </w:pPr>
            <w:r w:rsidRPr="003B1CF2">
              <w:rPr>
                <w:noProof/>
                <w:sz w:val="20"/>
              </w:rPr>
              <w:t xml:space="preserve">Návrh NARIADENIE EURÓPSKEHO PARLAMENTU A RADY, ktorým sa stanovuje režim Únie na kontrolu vývozov, transferu, sprostredkovania, technickej pomoci a tranzitu položiek s dvojakým použitím (prepracované znenie) </w:t>
            </w:r>
          </w:p>
        </w:tc>
        <w:tc>
          <w:tcPr>
            <w:tcW w:w="1985" w:type="dxa"/>
            <w:tcMar>
              <w:top w:w="85" w:type="dxa"/>
              <w:left w:w="85" w:type="dxa"/>
              <w:bottom w:w="85" w:type="dxa"/>
            </w:tcMar>
          </w:tcPr>
          <w:p w:rsidR="00201706" w:rsidRPr="003B1CF2" w:rsidRDefault="00201706" w:rsidP="00201706">
            <w:pPr>
              <w:spacing w:after="0"/>
              <w:jc w:val="left"/>
              <w:rPr>
                <w:noProof/>
                <w:sz w:val="20"/>
              </w:rPr>
            </w:pPr>
            <w:r w:rsidRPr="003B1CF2">
              <w:rPr>
                <w:noProof/>
                <w:sz w:val="20"/>
              </w:rPr>
              <w:t>COM(2016) 616 final.</w:t>
            </w:r>
            <w:r w:rsidRPr="003B1CF2">
              <w:rPr>
                <w:noProof/>
                <w:sz w:val="20"/>
              </w:rPr>
              <w:br/>
              <w:t>2016/0295 (COD)</w:t>
            </w:r>
            <w:r w:rsidRPr="003B1CF2">
              <w:rPr>
                <w:noProof/>
                <w:sz w:val="20"/>
              </w:rPr>
              <w:br/>
              <w:t>28. 9. 2016</w:t>
            </w:r>
          </w:p>
        </w:tc>
        <w:tc>
          <w:tcPr>
            <w:tcW w:w="1417" w:type="dxa"/>
          </w:tcPr>
          <w:p w:rsidR="00201706" w:rsidRPr="00164F53" w:rsidRDefault="00164F53" w:rsidP="00164F53">
            <w:pPr>
              <w:spacing w:after="0"/>
              <w:jc w:val="center"/>
              <w:rPr>
                <w:b/>
                <w:noProof/>
                <w:sz w:val="20"/>
              </w:rPr>
            </w:pPr>
            <w:r w:rsidRPr="00164F53">
              <w:rPr>
                <w:b/>
                <w:noProof/>
                <w:sz w:val="20"/>
              </w:rPr>
              <w:t>MH SR</w:t>
            </w:r>
          </w:p>
        </w:tc>
        <w:tc>
          <w:tcPr>
            <w:tcW w:w="6095" w:type="dxa"/>
          </w:tcPr>
          <w:p w:rsidR="00201706" w:rsidRPr="003B1CF2" w:rsidRDefault="000D5C05" w:rsidP="000D5C05">
            <w:pPr>
              <w:spacing w:after="0"/>
              <w:rPr>
                <w:noProof/>
                <w:sz w:val="20"/>
              </w:rPr>
            </w:pPr>
            <w:r w:rsidRPr="000D5C05">
              <w:rPr>
                <w:b/>
                <w:noProof/>
                <w:sz w:val="20"/>
                <w:u w:val="single"/>
              </w:rPr>
              <w:t>Vysoká priorita</w:t>
            </w:r>
            <w:r>
              <w:rPr>
                <w:b/>
                <w:noProof/>
                <w:sz w:val="20"/>
              </w:rPr>
              <w:t xml:space="preserve"> </w:t>
            </w:r>
            <w:r>
              <w:rPr>
                <w:noProof/>
                <w:sz w:val="20"/>
              </w:rPr>
              <w:t>– Legislatívny návrh, ktorý bude podliehať riadnemu legislatívnemu postupu a následne bude nutná implementácia do národnej legislatívy. SR nemá výhrady k tomuto návrhu.</w:t>
            </w:r>
          </w:p>
        </w:tc>
      </w:tr>
      <w:tr w:rsidR="00201706" w:rsidTr="00687C5F">
        <w:trPr>
          <w:cantSplit/>
        </w:trPr>
        <w:tc>
          <w:tcPr>
            <w:tcW w:w="652" w:type="dxa"/>
            <w:tcBorders>
              <w:right w:val="nil"/>
            </w:tcBorders>
            <w:shd w:val="clear" w:color="auto" w:fill="auto"/>
            <w:tcMar>
              <w:top w:w="85" w:type="dxa"/>
              <w:left w:w="85" w:type="dxa"/>
              <w:bottom w:w="85" w:type="dxa"/>
            </w:tcMar>
          </w:tcPr>
          <w:p w:rsidR="00201706" w:rsidRDefault="00201706" w:rsidP="00201706">
            <w:pPr>
              <w:pStyle w:val="Odsekzoznamu"/>
              <w:numPr>
                <w:ilvl w:val="0"/>
                <w:numId w:val="20"/>
              </w:numPr>
              <w:spacing w:after="0"/>
              <w:ind w:left="426"/>
              <w:rPr>
                <w:b/>
                <w:noProof/>
                <w:sz w:val="20"/>
              </w:rPr>
            </w:pPr>
          </w:p>
        </w:tc>
        <w:tc>
          <w:tcPr>
            <w:tcW w:w="4588" w:type="dxa"/>
            <w:shd w:val="clear" w:color="auto" w:fill="auto"/>
            <w:tcMar>
              <w:top w:w="85" w:type="dxa"/>
              <w:left w:w="85" w:type="dxa"/>
              <w:bottom w:w="85" w:type="dxa"/>
            </w:tcMar>
          </w:tcPr>
          <w:p w:rsidR="00201706" w:rsidRDefault="00201706" w:rsidP="00201706">
            <w:pPr>
              <w:spacing w:after="0"/>
              <w:rPr>
                <w:noProof/>
                <w:sz w:val="20"/>
              </w:rPr>
            </w:pPr>
            <w:r>
              <w:rPr>
                <w:noProof/>
                <w:sz w:val="20"/>
              </w:rPr>
              <w:t>Návrh NARIADENIE EURÓPSKEHO PARLAMENTU A RADY o prístupe tovaru a služieb tretích krajín na vnútorný trh verejného obstarávania Únie a o postupoch podporujúcich rokovania o prístupe tovaru a služieb Únie na trhy verejného obstarávania tretích krajín</w:t>
            </w:r>
          </w:p>
        </w:tc>
        <w:tc>
          <w:tcPr>
            <w:tcW w:w="1985" w:type="dxa"/>
            <w:tcMar>
              <w:top w:w="85" w:type="dxa"/>
              <w:left w:w="85" w:type="dxa"/>
              <w:bottom w:w="85" w:type="dxa"/>
            </w:tcMar>
          </w:tcPr>
          <w:p w:rsidR="00201706" w:rsidRDefault="00201706" w:rsidP="00201706">
            <w:pPr>
              <w:spacing w:after="0"/>
              <w:jc w:val="left"/>
              <w:rPr>
                <w:noProof/>
                <w:sz w:val="20"/>
              </w:rPr>
            </w:pPr>
            <w:r>
              <w:rPr>
                <w:noProof/>
                <w:sz w:val="20"/>
              </w:rPr>
              <w:t>COM(2012) 124 final.</w:t>
            </w:r>
            <w:r>
              <w:rPr>
                <w:noProof/>
                <w:sz w:val="20"/>
              </w:rPr>
              <w:br/>
              <w:t>2012/0060 (COD)</w:t>
            </w:r>
            <w:r>
              <w:rPr>
                <w:noProof/>
                <w:sz w:val="20"/>
              </w:rPr>
              <w:br/>
              <w:t>21. 3. 2012</w:t>
            </w:r>
          </w:p>
        </w:tc>
        <w:tc>
          <w:tcPr>
            <w:tcW w:w="1417" w:type="dxa"/>
          </w:tcPr>
          <w:p w:rsidR="00201706" w:rsidRPr="00912204" w:rsidRDefault="00201706" w:rsidP="00201706">
            <w:pPr>
              <w:spacing w:after="0"/>
              <w:jc w:val="center"/>
              <w:rPr>
                <w:b/>
                <w:noProof/>
                <w:sz w:val="20"/>
              </w:rPr>
            </w:pPr>
            <w:r w:rsidRPr="00912204">
              <w:rPr>
                <w:b/>
                <w:noProof/>
                <w:sz w:val="20"/>
              </w:rPr>
              <w:t>UVO SR</w:t>
            </w:r>
            <w:r w:rsidRPr="00912204">
              <w:rPr>
                <w:b/>
                <w:noProof/>
                <w:sz w:val="20"/>
              </w:rPr>
              <w:br/>
              <w:t>MH SR</w:t>
            </w:r>
          </w:p>
        </w:tc>
        <w:tc>
          <w:tcPr>
            <w:tcW w:w="6095" w:type="dxa"/>
          </w:tcPr>
          <w:p w:rsidR="00201706" w:rsidRDefault="00201706" w:rsidP="00201706">
            <w:pPr>
              <w:spacing w:after="0"/>
              <w:jc w:val="left"/>
              <w:rPr>
                <w:noProof/>
                <w:sz w:val="20"/>
              </w:rPr>
            </w:pPr>
            <w:r w:rsidRPr="00912204">
              <w:rPr>
                <w:sz w:val="20"/>
              </w:rPr>
              <w:t>SR je súčasťou bloku členských štátov, ktoré vyžadujú dôsledné uplatňovanie reciprocity v rámci obchodných vzťahov s tretími krajinami.</w:t>
            </w:r>
          </w:p>
        </w:tc>
      </w:tr>
      <w:tr w:rsidR="00201706" w:rsidTr="00687C5F">
        <w:trPr>
          <w:cantSplit/>
        </w:trPr>
        <w:tc>
          <w:tcPr>
            <w:tcW w:w="652" w:type="dxa"/>
            <w:tcBorders>
              <w:right w:val="nil"/>
            </w:tcBorders>
            <w:shd w:val="clear" w:color="auto" w:fill="auto"/>
            <w:tcMar>
              <w:top w:w="85" w:type="dxa"/>
              <w:left w:w="85" w:type="dxa"/>
              <w:bottom w:w="85" w:type="dxa"/>
            </w:tcMar>
          </w:tcPr>
          <w:p w:rsidR="00201706" w:rsidRDefault="00201706" w:rsidP="00201706">
            <w:pPr>
              <w:pStyle w:val="Odsekzoznamu"/>
              <w:numPr>
                <w:ilvl w:val="0"/>
                <w:numId w:val="20"/>
              </w:numPr>
              <w:spacing w:after="0"/>
              <w:ind w:left="426"/>
              <w:rPr>
                <w:b/>
                <w:noProof/>
                <w:sz w:val="20"/>
              </w:rPr>
            </w:pPr>
          </w:p>
        </w:tc>
        <w:tc>
          <w:tcPr>
            <w:tcW w:w="4588" w:type="dxa"/>
            <w:tcBorders>
              <w:bottom w:val="single" w:sz="4" w:space="0" w:color="auto"/>
            </w:tcBorders>
            <w:shd w:val="clear" w:color="auto" w:fill="auto"/>
            <w:tcMar>
              <w:top w:w="85" w:type="dxa"/>
              <w:left w:w="85" w:type="dxa"/>
              <w:bottom w:w="85" w:type="dxa"/>
            </w:tcMar>
          </w:tcPr>
          <w:p w:rsidR="00201706" w:rsidRPr="003B1CF2" w:rsidRDefault="00201706" w:rsidP="00201706">
            <w:pPr>
              <w:spacing w:after="0"/>
              <w:rPr>
                <w:noProof/>
                <w:sz w:val="20"/>
              </w:rPr>
            </w:pPr>
            <w:r w:rsidRPr="003B1CF2">
              <w:rPr>
                <w:noProof/>
                <w:sz w:val="20"/>
              </w:rPr>
              <w:t>Návrh NARIADENIE EURÓPSKEHO PARLAMENTU A RADY, ktorým sa mení nariadenie Európskeho parlamentu a Rady (EÚ) č. 654/2014 o výkone práv Únie na účely uplatňovania a presadzovania pravidiel medzinárodného obchodu</w:t>
            </w:r>
          </w:p>
        </w:tc>
        <w:tc>
          <w:tcPr>
            <w:tcW w:w="1985" w:type="dxa"/>
            <w:shd w:val="clear" w:color="auto" w:fill="auto"/>
            <w:tcMar>
              <w:top w:w="85" w:type="dxa"/>
              <w:left w:w="85" w:type="dxa"/>
              <w:bottom w:w="85" w:type="dxa"/>
            </w:tcMar>
          </w:tcPr>
          <w:p w:rsidR="00201706" w:rsidRPr="003B1CF2" w:rsidRDefault="00201706" w:rsidP="00201706">
            <w:pPr>
              <w:spacing w:after="0"/>
              <w:jc w:val="left"/>
              <w:rPr>
                <w:noProof/>
                <w:sz w:val="20"/>
              </w:rPr>
            </w:pPr>
            <w:r w:rsidRPr="003B1CF2">
              <w:rPr>
                <w:noProof/>
                <w:sz w:val="20"/>
              </w:rPr>
              <w:t>COM(2019) 623 final.</w:t>
            </w:r>
            <w:r w:rsidRPr="003B1CF2">
              <w:rPr>
                <w:noProof/>
                <w:sz w:val="20"/>
              </w:rPr>
              <w:br/>
              <w:t>2019/0273 (COD)</w:t>
            </w:r>
            <w:r w:rsidRPr="003B1CF2">
              <w:rPr>
                <w:noProof/>
                <w:sz w:val="20"/>
              </w:rPr>
              <w:br/>
              <w:t>12. 12. 2019</w:t>
            </w:r>
          </w:p>
        </w:tc>
        <w:tc>
          <w:tcPr>
            <w:tcW w:w="1417" w:type="dxa"/>
          </w:tcPr>
          <w:p w:rsidR="00201706" w:rsidRPr="00164F53" w:rsidRDefault="00164F53" w:rsidP="00164F53">
            <w:pPr>
              <w:spacing w:after="0"/>
              <w:jc w:val="center"/>
              <w:rPr>
                <w:b/>
                <w:noProof/>
                <w:sz w:val="20"/>
              </w:rPr>
            </w:pPr>
            <w:r w:rsidRPr="00164F53">
              <w:rPr>
                <w:b/>
                <w:noProof/>
                <w:sz w:val="20"/>
              </w:rPr>
              <w:t>MH SR</w:t>
            </w:r>
          </w:p>
        </w:tc>
        <w:tc>
          <w:tcPr>
            <w:tcW w:w="6095" w:type="dxa"/>
          </w:tcPr>
          <w:p w:rsidR="00201706" w:rsidRDefault="000D5C05" w:rsidP="000D5C05">
            <w:pPr>
              <w:spacing w:after="0"/>
              <w:rPr>
                <w:noProof/>
                <w:sz w:val="20"/>
              </w:rPr>
            </w:pPr>
            <w:r>
              <w:rPr>
                <w:b/>
                <w:bCs/>
                <w:color w:val="000000"/>
                <w:sz w:val="20"/>
                <w:u w:val="single"/>
              </w:rPr>
              <w:t xml:space="preserve">Nízka priorita </w:t>
            </w:r>
            <w:r w:rsidRPr="000D5C05">
              <w:rPr>
                <w:bCs/>
                <w:color w:val="000000"/>
                <w:sz w:val="20"/>
                <w:u w:val="single"/>
              </w:rPr>
              <w:t xml:space="preserve">- </w:t>
            </w:r>
            <w:r w:rsidRPr="000D5C05">
              <w:rPr>
                <w:bCs/>
                <w:color w:val="000000"/>
                <w:sz w:val="20"/>
              </w:rPr>
              <w:t>SR podporuje tento návrh, ktorý umožní prijať zo strany EÚ prípadné odvetné opatrenia vo vyhratých obchodných sporoch s tretími krajinami. Návrh je reakciou na súčasnú nefunkčnosť odvolacieho orgánu pre urovnávanie sporov WTO.</w:t>
            </w:r>
          </w:p>
        </w:tc>
      </w:tr>
      <w:tr w:rsidR="00201706" w:rsidTr="00687C5F">
        <w:trPr>
          <w:cantSplit/>
        </w:trPr>
        <w:tc>
          <w:tcPr>
            <w:tcW w:w="652" w:type="dxa"/>
            <w:tcBorders>
              <w:right w:val="nil"/>
            </w:tcBorders>
            <w:shd w:val="clear" w:color="auto" w:fill="auto"/>
            <w:tcMar>
              <w:top w:w="85" w:type="dxa"/>
              <w:left w:w="85" w:type="dxa"/>
              <w:bottom w:w="85" w:type="dxa"/>
            </w:tcMar>
          </w:tcPr>
          <w:p w:rsidR="00201706" w:rsidRDefault="00201706" w:rsidP="00201706">
            <w:pPr>
              <w:pStyle w:val="Odsekzoznamu"/>
              <w:numPr>
                <w:ilvl w:val="0"/>
                <w:numId w:val="20"/>
              </w:numPr>
              <w:spacing w:after="0"/>
              <w:ind w:left="426"/>
              <w:rPr>
                <w:b/>
                <w:noProof/>
                <w:sz w:val="20"/>
              </w:rPr>
            </w:pPr>
          </w:p>
        </w:tc>
        <w:tc>
          <w:tcPr>
            <w:tcW w:w="4588" w:type="dxa"/>
            <w:shd w:val="clear" w:color="auto" w:fill="auto"/>
            <w:tcMar>
              <w:top w:w="85" w:type="dxa"/>
              <w:left w:w="85" w:type="dxa"/>
              <w:bottom w:w="85" w:type="dxa"/>
            </w:tcMar>
          </w:tcPr>
          <w:p w:rsidR="00201706" w:rsidRPr="003B1CF2" w:rsidRDefault="00201706" w:rsidP="00201706">
            <w:pPr>
              <w:spacing w:after="0"/>
              <w:rPr>
                <w:noProof/>
                <w:sz w:val="20"/>
              </w:rPr>
            </w:pPr>
            <w:r w:rsidRPr="003B1CF2">
              <w:rPr>
                <w:noProof/>
                <w:sz w:val="20"/>
              </w:rPr>
              <w:t>Návrh rozhodnutia Rady o zriadení Európskeho mierového nástroja predloženého Rade vysokou predstaviteľkou Únie pre zahraničné veci a bezpečnostnú politiku za podpory Komisie</w:t>
            </w:r>
          </w:p>
        </w:tc>
        <w:tc>
          <w:tcPr>
            <w:tcW w:w="1985" w:type="dxa"/>
            <w:shd w:val="clear" w:color="auto" w:fill="auto"/>
            <w:tcMar>
              <w:top w:w="85" w:type="dxa"/>
              <w:left w:w="85" w:type="dxa"/>
              <w:bottom w:w="85" w:type="dxa"/>
            </w:tcMar>
          </w:tcPr>
          <w:p w:rsidR="00201706" w:rsidRPr="003B1CF2" w:rsidRDefault="00201706" w:rsidP="00201706">
            <w:pPr>
              <w:spacing w:after="0"/>
              <w:jc w:val="left"/>
              <w:rPr>
                <w:noProof/>
                <w:sz w:val="20"/>
              </w:rPr>
            </w:pPr>
            <w:r w:rsidRPr="003B1CF2">
              <w:rPr>
                <w:noProof/>
                <w:sz w:val="20"/>
              </w:rPr>
              <w:t>9736/18</w:t>
            </w:r>
            <w:r w:rsidRPr="003B1CF2">
              <w:rPr>
                <w:noProof/>
                <w:sz w:val="20"/>
              </w:rPr>
              <w:br/>
              <w:t>13. 6. 2018</w:t>
            </w:r>
          </w:p>
        </w:tc>
        <w:tc>
          <w:tcPr>
            <w:tcW w:w="1417" w:type="dxa"/>
          </w:tcPr>
          <w:p w:rsidR="003B0BA2" w:rsidRPr="006458BF" w:rsidRDefault="003B0BA2" w:rsidP="003B0BA2">
            <w:pPr>
              <w:spacing w:after="0"/>
              <w:ind w:left="1"/>
              <w:jc w:val="center"/>
              <w:rPr>
                <w:b/>
                <w:sz w:val="20"/>
              </w:rPr>
            </w:pPr>
            <w:r w:rsidRPr="006458BF">
              <w:rPr>
                <w:b/>
                <w:sz w:val="20"/>
              </w:rPr>
              <w:t>MF SR</w:t>
            </w:r>
          </w:p>
          <w:p w:rsidR="003B0BA2" w:rsidRDefault="003B0BA2" w:rsidP="003B0BA2">
            <w:pPr>
              <w:spacing w:after="0"/>
              <w:ind w:left="1"/>
              <w:jc w:val="center"/>
              <w:rPr>
                <w:b/>
                <w:sz w:val="20"/>
              </w:rPr>
            </w:pPr>
            <w:r w:rsidRPr="006458BF">
              <w:rPr>
                <w:b/>
                <w:sz w:val="20"/>
              </w:rPr>
              <w:t>MO SR</w:t>
            </w:r>
          </w:p>
          <w:p w:rsidR="00F364F5" w:rsidRPr="006458BF" w:rsidRDefault="00F364F5" w:rsidP="003B0BA2">
            <w:pPr>
              <w:spacing w:after="0"/>
              <w:ind w:left="1"/>
              <w:jc w:val="center"/>
              <w:rPr>
                <w:b/>
                <w:sz w:val="20"/>
              </w:rPr>
            </w:pPr>
            <w:r>
              <w:rPr>
                <w:b/>
                <w:sz w:val="20"/>
              </w:rPr>
              <w:t>MZVEZ SR</w:t>
            </w:r>
          </w:p>
          <w:p w:rsidR="00201706" w:rsidRDefault="00201706" w:rsidP="00201706">
            <w:pPr>
              <w:spacing w:after="0"/>
              <w:jc w:val="left"/>
              <w:rPr>
                <w:noProof/>
                <w:sz w:val="20"/>
              </w:rPr>
            </w:pPr>
          </w:p>
        </w:tc>
        <w:tc>
          <w:tcPr>
            <w:tcW w:w="6095" w:type="dxa"/>
          </w:tcPr>
          <w:p w:rsidR="00201706" w:rsidRDefault="00201706" w:rsidP="00201706">
            <w:pPr>
              <w:spacing w:after="0"/>
              <w:jc w:val="left"/>
              <w:rPr>
                <w:noProof/>
                <w:sz w:val="20"/>
              </w:rPr>
            </w:pPr>
          </w:p>
        </w:tc>
      </w:tr>
      <w:tr w:rsidR="003B0BA2" w:rsidTr="00687C5F">
        <w:trPr>
          <w:cantSplit/>
        </w:trPr>
        <w:tc>
          <w:tcPr>
            <w:tcW w:w="652" w:type="dxa"/>
            <w:tcBorders>
              <w:right w:val="nil"/>
            </w:tcBorders>
            <w:shd w:val="clear" w:color="auto" w:fill="auto"/>
            <w:tcMar>
              <w:top w:w="85" w:type="dxa"/>
              <w:left w:w="85" w:type="dxa"/>
              <w:bottom w:w="85" w:type="dxa"/>
            </w:tcMar>
          </w:tcPr>
          <w:p w:rsidR="003B0BA2" w:rsidRDefault="003B0BA2" w:rsidP="003B0BA2">
            <w:pPr>
              <w:pStyle w:val="Odsekzoznamu"/>
              <w:numPr>
                <w:ilvl w:val="0"/>
                <w:numId w:val="20"/>
              </w:numPr>
              <w:spacing w:after="0"/>
              <w:ind w:left="426"/>
              <w:rPr>
                <w:b/>
                <w:noProof/>
                <w:sz w:val="20"/>
              </w:rPr>
            </w:pPr>
          </w:p>
        </w:tc>
        <w:tc>
          <w:tcPr>
            <w:tcW w:w="4588" w:type="dxa"/>
            <w:shd w:val="clear" w:color="auto" w:fill="auto"/>
            <w:tcMar>
              <w:top w:w="85" w:type="dxa"/>
              <w:left w:w="85" w:type="dxa"/>
              <w:bottom w:w="85" w:type="dxa"/>
            </w:tcMar>
          </w:tcPr>
          <w:p w:rsidR="003B0BA2" w:rsidRPr="003B1CF2" w:rsidRDefault="003B0BA2" w:rsidP="003B0BA2">
            <w:pPr>
              <w:spacing w:after="0"/>
              <w:rPr>
                <w:noProof/>
                <w:sz w:val="20"/>
              </w:rPr>
            </w:pPr>
            <w:r w:rsidRPr="003B1CF2">
              <w:rPr>
                <w:noProof/>
                <w:sz w:val="20"/>
              </w:rPr>
              <w:t>Návrh NARIADENIA EURÓPSKEHO PARLAMENTU A RADY, ktorým sa stanovuje nástroj predvstupovej pomoci (IPA III)</w:t>
            </w:r>
          </w:p>
        </w:tc>
        <w:tc>
          <w:tcPr>
            <w:tcW w:w="1985" w:type="dxa"/>
            <w:shd w:val="clear" w:color="auto" w:fill="auto"/>
            <w:tcMar>
              <w:top w:w="85" w:type="dxa"/>
              <w:left w:w="85" w:type="dxa"/>
              <w:bottom w:w="85" w:type="dxa"/>
            </w:tcMar>
          </w:tcPr>
          <w:p w:rsidR="003B0BA2" w:rsidRPr="003B1CF2" w:rsidRDefault="003B0BA2" w:rsidP="003B0BA2">
            <w:pPr>
              <w:spacing w:after="0"/>
              <w:jc w:val="left"/>
              <w:rPr>
                <w:noProof/>
                <w:sz w:val="20"/>
              </w:rPr>
            </w:pPr>
            <w:r w:rsidRPr="003B1CF2">
              <w:rPr>
                <w:noProof/>
                <w:sz w:val="20"/>
              </w:rPr>
              <w:t>COM(2018) 465 final.</w:t>
            </w:r>
            <w:r w:rsidRPr="003B1CF2">
              <w:rPr>
                <w:noProof/>
                <w:sz w:val="20"/>
              </w:rPr>
              <w:br/>
              <w:t>2018/0247 (COD)</w:t>
            </w:r>
            <w:r w:rsidRPr="003B1CF2">
              <w:rPr>
                <w:noProof/>
                <w:sz w:val="20"/>
              </w:rPr>
              <w:br/>
              <w:t>14. 6. 2018</w:t>
            </w:r>
          </w:p>
        </w:tc>
        <w:tc>
          <w:tcPr>
            <w:tcW w:w="1417" w:type="dxa"/>
          </w:tcPr>
          <w:p w:rsidR="003B0BA2" w:rsidRPr="006458BF" w:rsidRDefault="003B0BA2" w:rsidP="003B0BA2">
            <w:pPr>
              <w:spacing w:after="0"/>
              <w:ind w:left="1"/>
              <w:rPr>
                <w:b/>
                <w:sz w:val="20"/>
              </w:rPr>
            </w:pPr>
            <w:r>
              <w:rPr>
                <w:b/>
                <w:sz w:val="20"/>
              </w:rPr>
              <w:t>MZVEZ SR</w:t>
            </w:r>
          </w:p>
        </w:tc>
        <w:tc>
          <w:tcPr>
            <w:tcW w:w="6095" w:type="dxa"/>
          </w:tcPr>
          <w:p w:rsidR="003B0BA2" w:rsidRPr="00756657" w:rsidRDefault="003B0BA2" w:rsidP="003B0BA2">
            <w:pPr>
              <w:spacing w:after="0"/>
              <w:ind w:left="1"/>
              <w:rPr>
                <w:b/>
                <w:sz w:val="20"/>
                <w:u w:val="single"/>
              </w:rPr>
            </w:pPr>
            <w:r>
              <w:rPr>
                <w:b/>
                <w:sz w:val="20"/>
                <w:u w:val="single"/>
              </w:rPr>
              <w:t xml:space="preserve">Vysoká </w:t>
            </w:r>
            <w:r w:rsidRPr="00756657">
              <w:rPr>
                <w:b/>
                <w:sz w:val="20"/>
                <w:u w:val="single"/>
              </w:rPr>
              <w:t>priorita</w:t>
            </w:r>
          </w:p>
          <w:p w:rsidR="003B0BA2" w:rsidRDefault="003B0BA2" w:rsidP="003B0BA2">
            <w:pPr>
              <w:spacing w:after="0"/>
              <w:ind w:left="1"/>
              <w:rPr>
                <w:sz w:val="20"/>
              </w:rPr>
            </w:pPr>
            <w:r w:rsidRPr="00160895">
              <w:rPr>
                <w:sz w:val="20"/>
              </w:rPr>
              <w:t>SR podporuje tento návrh, ktorý umožní Únii pokračovať v plnení cieľov predvstupovej pomoci. Nástroj predvstupovej pomoci IPA sa zameriava na prípravu partnerov a podporu ich prístupového procesu s výhľadom na ich budúce členstvo v EÚ. Je potrebné zachovať špecializovaný nástroj na podporu politiky rozširovania a zároveň zabezpečiť, aby dopĺňal všeobecné ciele vonkajšej činnosti Únie, a najmä ciele Nástroja susedstva a rozvojovej a medzinárodnej spolupráce.</w:t>
            </w:r>
          </w:p>
        </w:tc>
      </w:tr>
      <w:tr w:rsidR="003B0BA2" w:rsidTr="00687C5F">
        <w:trPr>
          <w:cantSplit/>
        </w:trPr>
        <w:tc>
          <w:tcPr>
            <w:tcW w:w="652" w:type="dxa"/>
            <w:tcBorders>
              <w:right w:val="nil"/>
            </w:tcBorders>
            <w:shd w:val="clear" w:color="auto" w:fill="auto"/>
            <w:tcMar>
              <w:top w:w="85" w:type="dxa"/>
              <w:left w:w="85" w:type="dxa"/>
              <w:bottom w:w="85" w:type="dxa"/>
            </w:tcMar>
          </w:tcPr>
          <w:p w:rsidR="003B0BA2" w:rsidRDefault="003B0BA2" w:rsidP="003B0BA2">
            <w:pPr>
              <w:pStyle w:val="Odsekzoznamu"/>
              <w:numPr>
                <w:ilvl w:val="0"/>
                <w:numId w:val="20"/>
              </w:numPr>
              <w:spacing w:after="0"/>
              <w:ind w:left="426"/>
              <w:rPr>
                <w:b/>
                <w:noProof/>
                <w:sz w:val="20"/>
              </w:rPr>
            </w:pPr>
          </w:p>
        </w:tc>
        <w:tc>
          <w:tcPr>
            <w:tcW w:w="4588" w:type="dxa"/>
            <w:shd w:val="clear" w:color="auto" w:fill="EEECE1" w:themeFill="background2"/>
            <w:tcMar>
              <w:top w:w="85" w:type="dxa"/>
              <w:left w:w="85" w:type="dxa"/>
              <w:bottom w:w="85" w:type="dxa"/>
            </w:tcMar>
          </w:tcPr>
          <w:p w:rsidR="003B0BA2" w:rsidRDefault="003B0BA2" w:rsidP="003B0BA2">
            <w:pPr>
              <w:spacing w:after="0"/>
              <w:rPr>
                <w:noProof/>
                <w:sz w:val="20"/>
              </w:rPr>
            </w:pPr>
            <w:r>
              <w:rPr>
                <w:noProof/>
                <w:sz w:val="20"/>
              </w:rPr>
              <w:t>Návrh NARIADENIE EURÓPSKEHO PARLAMENTU A RADY, ktorým sa zriaďuje Nástroj susedstva a rozvojovej a medzinárodnej spolupráce</w:t>
            </w:r>
          </w:p>
        </w:tc>
        <w:tc>
          <w:tcPr>
            <w:tcW w:w="1985" w:type="dxa"/>
            <w:tcMar>
              <w:top w:w="85" w:type="dxa"/>
              <w:left w:w="85" w:type="dxa"/>
              <w:bottom w:w="85" w:type="dxa"/>
            </w:tcMar>
          </w:tcPr>
          <w:p w:rsidR="003B0BA2" w:rsidRDefault="003B0BA2" w:rsidP="003B0BA2">
            <w:pPr>
              <w:spacing w:after="0"/>
              <w:jc w:val="left"/>
              <w:rPr>
                <w:noProof/>
                <w:sz w:val="20"/>
              </w:rPr>
            </w:pPr>
            <w:r>
              <w:rPr>
                <w:noProof/>
                <w:sz w:val="20"/>
              </w:rPr>
              <w:t>COM(2018) 460 final.</w:t>
            </w:r>
            <w:r>
              <w:rPr>
                <w:noProof/>
                <w:sz w:val="20"/>
              </w:rPr>
              <w:br/>
              <w:t>2018/0243 (COD)</w:t>
            </w:r>
            <w:r>
              <w:rPr>
                <w:noProof/>
                <w:sz w:val="20"/>
              </w:rPr>
              <w:br/>
              <w:t>14. 6. 2018</w:t>
            </w:r>
          </w:p>
        </w:tc>
        <w:tc>
          <w:tcPr>
            <w:tcW w:w="1417" w:type="dxa"/>
          </w:tcPr>
          <w:p w:rsidR="003B0BA2" w:rsidRDefault="003B0BA2" w:rsidP="003B0BA2">
            <w:pPr>
              <w:spacing w:after="0"/>
              <w:jc w:val="center"/>
              <w:rPr>
                <w:b/>
                <w:sz w:val="20"/>
              </w:rPr>
            </w:pPr>
            <w:r>
              <w:rPr>
                <w:b/>
                <w:sz w:val="20"/>
              </w:rPr>
              <w:t>MZVEZ SR</w:t>
            </w:r>
          </w:p>
          <w:p w:rsidR="003B0BA2" w:rsidRDefault="003B0BA2" w:rsidP="003B0BA2">
            <w:pPr>
              <w:spacing w:after="0"/>
              <w:jc w:val="center"/>
              <w:rPr>
                <w:noProof/>
                <w:sz w:val="20"/>
              </w:rPr>
            </w:pPr>
            <w:r>
              <w:rPr>
                <w:b/>
                <w:sz w:val="20"/>
              </w:rPr>
              <w:t>MF SR</w:t>
            </w:r>
          </w:p>
        </w:tc>
        <w:tc>
          <w:tcPr>
            <w:tcW w:w="6095" w:type="dxa"/>
          </w:tcPr>
          <w:p w:rsidR="003B0BA2" w:rsidRPr="00FF586F" w:rsidRDefault="003B0BA2" w:rsidP="003B0BA2">
            <w:pPr>
              <w:rPr>
                <w:b/>
                <w:bCs/>
                <w:sz w:val="20"/>
              </w:rPr>
            </w:pPr>
            <w:r w:rsidRPr="00FF586F">
              <w:rPr>
                <w:b/>
                <w:bCs/>
                <w:sz w:val="20"/>
                <w:u w:val="single"/>
              </w:rPr>
              <w:t>Vysoká dôležitosť</w:t>
            </w:r>
            <w:r w:rsidRPr="00FF586F">
              <w:rPr>
                <w:b/>
                <w:bCs/>
                <w:sz w:val="20"/>
              </w:rPr>
              <w:t xml:space="preserve"> </w:t>
            </w:r>
            <w:r>
              <w:rPr>
                <w:b/>
                <w:bCs/>
                <w:sz w:val="20"/>
              </w:rPr>
              <w:t xml:space="preserve">- </w:t>
            </w:r>
            <w:r w:rsidRPr="00FF586F">
              <w:rPr>
                <w:sz w:val="20"/>
              </w:rPr>
              <w:t>SR v kontexte súčasného bezpečnostného prostredia navrhované navýšenie rozpočtu pre vonkajšie činnosti podporuje. V oblasti zefektívnenia a zjednodušenia architektúry vonkajších nástrojov má návrh na vytvorenie nového Nástroja pre susedstvo, rozvoj a medzinárodnú spoluprácu (NDICI) pridanú hodnotu. Hoci je preferencia SR, aby Nástroj európskeho susedstva (ENI) ostal samostatným finančným nástrojom v celkovej architektúre mechanizmov týkajúcich sa kapitoly VI - Susedstvo a Svet v rámci VFR 2021-2027, bude potrebné to zohľadniť v kontexte celkového vyjednávania VFR. Jeho začlenenie do globálneho fondu v podobe NDICI by vyslalo negatívny politický signál pre krajiny v našom susedstve a najmä by zatienilo prioritné vzťahy k týmito regiónmi, ktoré uvádza aj Globálna stratégia EÚ. Zvažované zahrnutie Európskeho rozvojového fondu (EDF) do rozpočtu EÚ by viedlo k navýšeniu povinného príspevku SR. Je nutné zvážiť a vyhodnotiť dopady alternatív postavenia EDF mimo, alebo v rámci rozpočtu, a to najmä v kontexte celkovej výšky rozpočtu EÚ.</w:t>
            </w:r>
          </w:p>
        </w:tc>
      </w:tr>
      <w:tr w:rsidR="003B0BA2" w:rsidTr="00687C5F">
        <w:trPr>
          <w:cantSplit/>
        </w:trPr>
        <w:tc>
          <w:tcPr>
            <w:tcW w:w="652" w:type="dxa"/>
            <w:tcBorders>
              <w:right w:val="nil"/>
            </w:tcBorders>
            <w:shd w:val="clear" w:color="auto" w:fill="auto"/>
            <w:tcMar>
              <w:top w:w="85" w:type="dxa"/>
              <w:left w:w="85" w:type="dxa"/>
              <w:bottom w:w="85" w:type="dxa"/>
            </w:tcMar>
          </w:tcPr>
          <w:p w:rsidR="003B0BA2" w:rsidRDefault="003B0BA2" w:rsidP="003B0BA2">
            <w:pPr>
              <w:pStyle w:val="Odsekzoznamu"/>
              <w:numPr>
                <w:ilvl w:val="0"/>
                <w:numId w:val="20"/>
              </w:numPr>
              <w:spacing w:after="0"/>
              <w:ind w:left="426"/>
              <w:rPr>
                <w:b/>
                <w:noProof/>
                <w:sz w:val="20"/>
              </w:rPr>
            </w:pPr>
          </w:p>
        </w:tc>
        <w:tc>
          <w:tcPr>
            <w:tcW w:w="4588" w:type="dxa"/>
            <w:shd w:val="clear" w:color="auto" w:fill="EEECE1" w:themeFill="background2"/>
            <w:tcMar>
              <w:top w:w="85" w:type="dxa"/>
              <w:left w:w="85" w:type="dxa"/>
              <w:bottom w:w="85" w:type="dxa"/>
            </w:tcMar>
          </w:tcPr>
          <w:p w:rsidR="003B0BA2" w:rsidRDefault="003B0BA2" w:rsidP="003B0BA2">
            <w:pPr>
              <w:spacing w:after="0"/>
              <w:rPr>
                <w:noProof/>
                <w:sz w:val="20"/>
              </w:rPr>
            </w:pPr>
            <w:r>
              <w:rPr>
                <w:noProof/>
                <w:sz w:val="20"/>
              </w:rPr>
              <w:t>Návrh ROZHODNUTIE RADY o pridružení zámorských krajín a území k Európskej únii vrátane vzťahov medzi Európskou úniou na jednej strane a Grónskom a Dánskym kráľovstvom na strane druhej („rozhodnutie o pridružení zámoria“)</w:t>
            </w:r>
          </w:p>
        </w:tc>
        <w:tc>
          <w:tcPr>
            <w:tcW w:w="1985" w:type="dxa"/>
            <w:tcMar>
              <w:top w:w="85" w:type="dxa"/>
              <w:left w:w="85" w:type="dxa"/>
              <w:bottom w:w="85" w:type="dxa"/>
            </w:tcMar>
          </w:tcPr>
          <w:p w:rsidR="003B0BA2" w:rsidRDefault="003B0BA2" w:rsidP="003B0BA2">
            <w:pPr>
              <w:spacing w:after="0"/>
              <w:jc w:val="left"/>
              <w:rPr>
                <w:noProof/>
                <w:sz w:val="20"/>
              </w:rPr>
            </w:pPr>
            <w:r>
              <w:rPr>
                <w:noProof/>
                <w:sz w:val="20"/>
              </w:rPr>
              <w:t>COM(2018) 461 final.</w:t>
            </w:r>
            <w:r>
              <w:rPr>
                <w:noProof/>
                <w:sz w:val="20"/>
              </w:rPr>
              <w:br/>
              <w:t>2018/0244 (NLE)</w:t>
            </w:r>
            <w:r>
              <w:rPr>
                <w:noProof/>
                <w:sz w:val="20"/>
              </w:rPr>
              <w:br/>
              <w:t>14. 6. 2018</w:t>
            </w:r>
          </w:p>
        </w:tc>
        <w:tc>
          <w:tcPr>
            <w:tcW w:w="1417" w:type="dxa"/>
          </w:tcPr>
          <w:p w:rsidR="003B0BA2" w:rsidRPr="00AC065F" w:rsidRDefault="003B0BA2" w:rsidP="003B0BA2">
            <w:pPr>
              <w:spacing w:after="0"/>
              <w:jc w:val="center"/>
              <w:rPr>
                <w:b/>
                <w:noProof/>
                <w:sz w:val="20"/>
              </w:rPr>
            </w:pPr>
            <w:r w:rsidRPr="00AC065F">
              <w:rPr>
                <w:b/>
                <w:noProof/>
                <w:sz w:val="20"/>
              </w:rPr>
              <w:t>MZVEZ SR</w:t>
            </w:r>
          </w:p>
          <w:p w:rsidR="003B0BA2" w:rsidRDefault="003B0BA2" w:rsidP="003B0BA2">
            <w:pPr>
              <w:spacing w:after="0"/>
              <w:jc w:val="center"/>
              <w:rPr>
                <w:noProof/>
                <w:sz w:val="20"/>
              </w:rPr>
            </w:pPr>
            <w:r w:rsidRPr="00AC065F">
              <w:rPr>
                <w:b/>
                <w:noProof/>
                <w:sz w:val="20"/>
              </w:rPr>
              <w:t>MF SR</w:t>
            </w:r>
          </w:p>
        </w:tc>
        <w:tc>
          <w:tcPr>
            <w:tcW w:w="6095" w:type="dxa"/>
          </w:tcPr>
          <w:p w:rsidR="003B0BA2" w:rsidRPr="00AC065F" w:rsidRDefault="003B0BA2" w:rsidP="003B0BA2">
            <w:pPr>
              <w:rPr>
                <w:b/>
                <w:bCs/>
                <w:sz w:val="22"/>
                <w:u w:val="single"/>
              </w:rPr>
            </w:pPr>
            <w:r w:rsidRPr="00AC065F">
              <w:rPr>
                <w:b/>
                <w:bCs/>
                <w:sz w:val="20"/>
                <w:u w:val="single"/>
              </w:rPr>
              <w:t>Nízka dôležitosť</w:t>
            </w:r>
            <w:r>
              <w:rPr>
                <w:b/>
                <w:bCs/>
                <w:u w:val="single"/>
              </w:rPr>
              <w:t xml:space="preserve"> </w:t>
            </w:r>
            <w:r w:rsidRPr="00AC065F">
              <w:rPr>
                <w:sz w:val="20"/>
              </w:rPr>
              <w:t>- V rámci členstva v EÚ sa SR podieľa na financovaní spolupráce a rozvoja zámorských krajín a území EÚ (ZKÚ EÚ) v zmysle článku 198 ZFEÚ a Grónska v zmysle článku 204 ZFEÚ. SR vníma predmetný návrh rozhodnutia Rady ako pokračovanie doterajšieho združenia ZKÚ EÚ a Grónska efektívnejším spôsobom, a to jednotným riadením a financovaním. Finančná alokácia 500 miliónov EUR nepredstavuje žiadnu zásadnú zmenu pre rozpočet EÚ v porovnaní s celkovou výškou návrhu VFR 2021-2027. Finalizácia rozhodnutia Rady je tak úzko prepojená na dosiahnutie dohody na budúcom VFR.</w:t>
            </w:r>
          </w:p>
        </w:tc>
      </w:tr>
      <w:tr w:rsidR="003B0BA2" w:rsidTr="00687C5F">
        <w:trPr>
          <w:cantSplit/>
        </w:trPr>
        <w:tc>
          <w:tcPr>
            <w:tcW w:w="652" w:type="dxa"/>
            <w:tcBorders>
              <w:right w:val="nil"/>
            </w:tcBorders>
            <w:shd w:val="clear" w:color="auto" w:fill="auto"/>
            <w:tcMar>
              <w:top w:w="85" w:type="dxa"/>
              <w:left w:w="85" w:type="dxa"/>
              <w:bottom w:w="85" w:type="dxa"/>
            </w:tcMar>
          </w:tcPr>
          <w:p w:rsidR="003B0BA2" w:rsidRDefault="003B0BA2" w:rsidP="003B0BA2">
            <w:pPr>
              <w:pStyle w:val="Odsekzoznamu"/>
              <w:numPr>
                <w:ilvl w:val="0"/>
                <w:numId w:val="20"/>
              </w:numPr>
              <w:spacing w:after="0"/>
              <w:ind w:left="426"/>
              <w:rPr>
                <w:b/>
                <w:noProof/>
                <w:sz w:val="20"/>
              </w:rPr>
            </w:pPr>
          </w:p>
        </w:tc>
        <w:tc>
          <w:tcPr>
            <w:tcW w:w="4588" w:type="dxa"/>
            <w:shd w:val="clear" w:color="auto" w:fill="EEECE1" w:themeFill="background2"/>
            <w:tcMar>
              <w:top w:w="85" w:type="dxa"/>
              <w:left w:w="85" w:type="dxa"/>
              <w:bottom w:w="85" w:type="dxa"/>
            </w:tcMar>
          </w:tcPr>
          <w:p w:rsidR="003B0BA2" w:rsidRDefault="003B0BA2" w:rsidP="003B0BA2">
            <w:pPr>
              <w:spacing w:after="0"/>
              <w:rPr>
                <w:noProof/>
                <w:sz w:val="20"/>
              </w:rPr>
            </w:pPr>
            <w:r>
              <w:rPr>
                <w:noProof/>
                <w:sz w:val="20"/>
              </w:rPr>
              <w:t>Návrh NARIADENIE RADY, ktorým sa zriaďuje Európsky nástroj pre jadrovú bezpečnosť dopĺňajúci Nástroj susedstva a rozvojovej a medzinárodnej spolupráce na základe Zmluvy o Euratome</w:t>
            </w:r>
          </w:p>
        </w:tc>
        <w:tc>
          <w:tcPr>
            <w:tcW w:w="1985" w:type="dxa"/>
            <w:tcMar>
              <w:top w:w="85" w:type="dxa"/>
              <w:left w:w="85" w:type="dxa"/>
              <w:bottom w:w="85" w:type="dxa"/>
            </w:tcMar>
          </w:tcPr>
          <w:p w:rsidR="003B0BA2" w:rsidRDefault="003B0BA2" w:rsidP="003B0BA2">
            <w:pPr>
              <w:spacing w:after="0"/>
              <w:jc w:val="left"/>
              <w:rPr>
                <w:noProof/>
                <w:sz w:val="20"/>
              </w:rPr>
            </w:pPr>
            <w:r>
              <w:rPr>
                <w:noProof/>
                <w:sz w:val="20"/>
              </w:rPr>
              <w:t>COM(2018) 462 final.</w:t>
            </w:r>
            <w:r>
              <w:rPr>
                <w:noProof/>
                <w:sz w:val="20"/>
              </w:rPr>
              <w:br/>
              <w:t>2018/0245 (NLE)</w:t>
            </w:r>
            <w:r>
              <w:rPr>
                <w:noProof/>
                <w:sz w:val="20"/>
              </w:rPr>
              <w:br/>
              <w:t>14. 6. 2018</w:t>
            </w:r>
          </w:p>
        </w:tc>
        <w:tc>
          <w:tcPr>
            <w:tcW w:w="1417" w:type="dxa"/>
          </w:tcPr>
          <w:p w:rsidR="003B0BA2" w:rsidRPr="008A1982" w:rsidRDefault="003B0BA2" w:rsidP="003B0BA2">
            <w:pPr>
              <w:spacing w:after="0"/>
              <w:jc w:val="center"/>
              <w:rPr>
                <w:b/>
                <w:noProof/>
                <w:sz w:val="20"/>
              </w:rPr>
            </w:pPr>
            <w:r w:rsidRPr="008A1982">
              <w:rPr>
                <w:b/>
                <w:noProof/>
                <w:sz w:val="20"/>
              </w:rPr>
              <w:t>ÚJD SR</w:t>
            </w:r>
          </w:p>
          <w:p w:rsidR="003B0BA2" w:rsidRDefault="003B0BA2" w:rsidP="003B0BA2">
            <w:pPr>
              <w:spacing w:after="0"/>
              <w:jc w:val="center"/>
              <w:rPr>
                <w:noProof/>
                <w:sz w:val="20"/>
              </w:rPr>
            </w:pPr>
            <w:r w:rsidRPr="008A1982">
              <w:rPr>
                <w:b/>
                <w:noProof/>
                <w:sz w:val="20"/>
              </w:rPr>
              <w:t>MZVEZ SR</w:t>
            </w:r>
          </w:p>
        </w:tc>
        <w:tc>
          <w:tcPr>
            <w:tcW w:w="6095" w:type="dxa"/>
          </w:tcPr>
          <w:p w:rsidR="003B0BA2" w:rsidRPr="008A1982" w:rsidRDefault="003B0BA2" w:rsidP="003B0BA2">
            <w:pPr>
              <w:rPr>
                <w:color w:val="FF0000"/>
                <w:sz w:val="20"/>
              </w:rPr>
            </w:pPr>
            <w:r w:rsidRPr="008A1982">
              <w:rPr>
                <w:b/>
                <w:bCs/>
                <w:sz w:val="20"/>
                <w:u w:val="single"/>
              </w:rPr>
              <w:t>Stredná priorita -</w:t>
            </w:r>
            <w:r>
              <w:rPr>
                <w:b/>
                <w:color w:val="FF0000"/>
                <w:sz w:val="20"/>
              </w:rPr>
              <w:t xml:space="preserve"> </w:t>
            </w:r>
            <w:r w:rsidRPr="008A1982">
              <w:rPr>
                <w:sz w:val="20"/>
              </w:rPr>
              <w:t>Návrh reflektuje a nadväzuje na výsledky a skúsenosti z implementácie nástroja jadrovej bezpečnosti z predchádzajúceho obdobia. Z pohľadu SR je nevyhnutné, aby bola zachovaná možnosť členských štátov zapojiť sa do celkového procesu implementácie, monitoringu a odsúhlasovania projektov a zároveň aby bola zachovaná povinnosť Komisie informovať o priebehu a výsledkoch. V rámci PS ATO bol dohodnutý kompromisný text a diskusia sa už uzatvorila – finančné otázky sú riešené v r</w:t>
            </w:r>
            <w:r>
              <w:rPr>
                <w:sz w:val="20"/>
              </w:rPr>
              <w:t>ámci horizontálnej skupiny k VFR</w:t>
            </w:r>
            <w:r w:rsidRPr="008A1982">
              <w:rPr>
                <w:sz w:val="20"/>
              </w:rPr>
              <w:t xml:space="preserve"> 2021-2027.</w:t>
            </w:r>
          </w:p>
        </w:tc>
      </w:tr>
      <w:tr w:rsidR="003B0BA2" w:rsidTr="00687C5F">
        <w:trPr>
          <w:cantSplit/>
        </w:trPr>
        <w:tc>
          <w:tcPr>
            <w:tcW w:w="652" w:type="dxa"/>
            <w:tcBorders>
              <w:bottom w:val="single" w:sz="4" w:space="0" w:color="auto"/>
              <w:right w:val="nil"/>
            </w:tcBorders>
            <w:shd w:val="clear" w:color="auto" w:fill="auto"/>
            <w:tcMar>
              <w:top w:w="85" w:type="dxa"/>
              <w:left w:w="85" w:type="dxa"/>
              <w:bottom w:w="85" w:type="dxa"/>
            </w:tcMar>
          </w:tcPr>
          <w:p w:rsidR="003B0BA2" w:rsidRDefault="003B0BA2" w:rsidP="003B0BA2">
            <w:pPr>
              <w:pStyle w:val="Odsekzoznamu"/>
              <w:numPr>
                <w:ilvl w:val="0"/>
                <w:numId w:val="20"/>
              </w:numPr>
              <w:spacing w:after="0"/>
              <w:ind w:left="426"/>
              <w:rPr>
                <w:b/>
                <w:noProof/>
                <w:color w:val="FFFFFF" w:themeColor="background1"/>
                <w:sz w:val="20"/>
              </w:rPr>
            </w:pPr>
          </w:p>
        </w:tc>
        <w:tc>
          <w:tcPr>
            <w:tcW w:w="4588" w:type="dxa"/>
            <w:tcBorders>
              <w:bottom w:val="single" w:sz="4" w:space="0" w:color="auto"/>
            </w:tcBorders>
            <w:shd w:val="clear" w:color="auto" w:fill="EEECE1" w:themeFill="background2"/>
            <w:tcMar>
              <w:top w:w="85" w:type="dxa"/>
              <w:left w:w="85" w:type="dxa"/>
              <w:bottom w:w="85" w:type="dxa"/>
            </w:tcMar>
          </w:tcPr>
          <w:p w:rsidR="003B0BA2" w:rsidRPr="003B1CF2" w:rsidRDefault="003B0BA2" w:rsidP="003B0BA2">
            <w:pPr>
              <w:spacing w:after="0"/>
              <w:rPr>
                <w:noProof/>
                <w:sz w:val="20"/>
              </w:rPr>
            </w:pPr>
            <w:r w:rsidRPr="003B1CF2">
              <w:rPr>
                <w:noProof/>
                <w:sz w:val="20"/>
              </w:rPr>
              <w:t>Návrh ROZHODNUTIE EURÓPSKEHO PARLAMENTU A RADY, ktorým sa mení rozhodnutie Európskeho parlamentu a Rady č. 1313/2013/EÚ o mechanizme Únie v oblasti civilnej ochrany</w:t>
            </w:r>
          </w:p>
        </w:tc>
        <w:tc>
          <w:tcPr>
            <w:tcW w:w="1985" w:type="dxa"/>
            <w:tcBorders>
              <w:bottom w:val="single" w:sz="4" w:space="0" w:color="auto"/>
            </w:tcBorders>
            <w:tcMar>
              <w:top w:w="85" w:type="dxa"/>
              <w:left w:w="85" w:type="dxa"/>
              <w:bottom w:w="85" w:type="dxa"/>
            </w:tcMar>
          </w:tcPr>
          <w:p w:rsidR="003B0BA2" w:rsidRPr="003B1CF2" w:rsidRDefault="003B0BA2" w:rsidP="003B0BA2">
            <w:pPr>
              <w:spacing w:after="0"/>
              <w:jc w:val="left"/>
              <w:rPr>
                <w:noProof/>
                <w:sz w:val="20"/>
              </w:rPr>
            </w:pPr>
            <w:r w:rsidRPr="003B1CF2">
              <w:rPr>
                <w:noProof/>
                <w:sz w:val="20"/>
              </w:rPr>
              <w:t>COM(2019) 125 final.</w:t>
            </w:r>
            <w:r w:rsidRPr="003B1CF2">
              <w:rPr>
                <w:noProof/>
                <w:sz w:val="20"/>
              </w:rPr>
              <w:br/>
              <w:t>2019/0070 (COD)</w:t>
            </w:r>
            <w:r w:rsidRPr="003B1CF2">
              <w:rPr>
                <w:noProof/>
                <w:sz w:val="20"/>
              </w:rPr>
              <w:br/>
              <w:t>7. 3. 2019</w:t>
            </w:r>
          </w:p>
        </w:tc>
        <w:tc>
          <w:tcPr>
            <w:tcW w:w="1417" w:type="dxa"/>
            <w:tcBorders>
              <w:bottom w:val="single" w:sz="4" w:space="0" w:color="auto"/>
            </w:tcBorders>
          </w:tcPr>
          <w:p w:rsidR="003B0BA2" w:rsidRPr="003B0BA2" w:rsidRDefault="003B0BA2" w:rsidP="003B0BA2">
            <w:pPr>
              <w:spacing w:after="0"/>
              <w:jc w:val="center"/>
              <w:rPr>
                <w:b/>
                <w:noProof/>
                <w:sz w:val="20"/>
              </w:rPr>
            </w:pPr>
            <w:r w:rsidRPr="003B0BA2">
              <w:rPr>
                <w:b/>
                <w:noProof/>
                <w:sz w:val="20"/>
              </w:rPr>
              <w:t>MV SR</w:t>
            </w:r>
          </w:p>
        </w:tc>
        <w:tc>
          <w:tcPr>
            <w:tcW w:w="6095" w:type="dxa"/>
            <w:tcBorders>
              <w:bottom w:val="single" w:sz="4" w:space="0" w:color="auto"/>
            </w:tcBorders>
          </w:tcPr>
          <w:p w:rsidR="003B0BA2" w:rsidRPr="00164F53" w:rsidRDefault="00164F53" w:rsidP="00164F53">
            <w:pPr>
              <w:spacing w:after="0"/>
              <w:rPr>
                <w:sz w:val="20"/>
                <w:u w:val="single"/>
              </w:rPr>
            </w:pPr>
            <w:r>
              <w:rPr>
                <w:b/>
                <w:sz w:val="20"/>
                <w:u w:val="single"/>
              </w:rPr>
              <w:t>Stredná dôležitosť</w:t>
            </w:r>
            <w:r w:rsidRPr="00164F53">
              <w:rPr>
                <w:sz w:val="20"/>
              </w:rPr>
              <w:t xml:space="preserve"> - Upravuje sa finančné krytie dostupné na podporu civilnej ochrany v nasledujúcom viacročnom finančnom rámci (2021 – 2027). SR nemala k návrhu výhrady.Rada v novembri schválila čiastočné všeobecné smerovanie, ktoré SR podporila.</w:t>
            </w:r>
          </w:p>
        </w:tc>
      </w:tr>
      <w:tr w:rsidR="003B0BA2" w:rsidTr="00687C5F">
        <w:trPr>
          <w:cantSplit/>
        </w:trPr>
        <w:tc>
          <w:tcPr>
            <w:tcW w:w="7225" w:type="dxa"/>
            <w:gridSpan w:val="3"/>
            <w:shd w:val="clear" w:color="auto" w:fill="DA5C57" w:themeFill="accent6"/>
            <w:tcMar>
              <w:top w:w="85" w:type="dxa"/>
              <w:left w:w="85" w:type="dxa"/>
              <w:bottom w:w="85" w:type="dxa"/>
              <w:right w:w="85" w:type="dxa"/>
            </w:tcMar>
          </w:tcPr>
          <w:p w:rsidR="003B0BA2" w:rsidRDefault="003B0BA2" w:rsidP="003B0BA2">
            <w:pPr>
              <w:spacing w:before="60" w:after="60"/>
              <w:rPr>
                <w:noProof/>
                <w:color w:val="FFFFFF" w:themeColor="background1"/>
                <w:sz w:val="20"/>
              </w:rPr>
            </w:pPr>
            <w:r>
              <w:rPr>
                <w:b/>
                <w:bCs/>
                <w:noProof/>
                <w:color w:val="FFFFFF" w:themeColor="background1"/>
                <w:sz w:val="20"/>
              </w:rPr>
              <w:t>Podpora európskeho spôsobu života</w:t>
            </w:r>
          </w:p>
        </w:tc>
        <w:tc>
          <w:tcPr>
            <w:tcW w:w="1417" w:type="dxa"/>
            <w:shd w:val="clear" w:color="auto" w:fill="DA5C57" w:themeFill="accent6"/>
          </w:tcPr>
          <w:p w:rsidR="003B0BA2" w:rsidRDefault="003B0BA2" w:rsidP="003B0BA2">
            <w:pPr>
              <w:spacing w:before="60" w:after="60"/>
              <w:rPr>
                <w:b/>
                <w:bCs/>
                <w:noProof/>
                <w:color w:val="FFFFFF" w:themeColor="background1"/>
                <w:sz w:val="20"/>
              </w:rPr>
            </w:pPr>
          </w:p>
        </w:tc>
        <w:tc>
          <w:tcPr>
            <w:tcW w:w="6095" w:type="dxa"/>
            <w:shd w:val="clear" w:color="auto" w:fill="DA5C57" w:themeFill="accent6"/>
          </w:tcPr>
          <w:p w:rsidR="003B0BA2" w:rsidRDefault="003B0BA2" w:rsidP="003B0BA2">
            <w:pPr>
              <w:spacing w:before="60" w:after="60"/>
              <w:rPr>
                <w:b/>
                <w:bCs/>
                <w:noProof/>
                <w:color w:val="FFFFFF" w:themeColor="background1"/>
                <w:sz w:val="20"/>
              </w:rPr>
            </w:pPr>
          </w:p>
        </w:tc>
      </w:tr>
      <w:tr w:rsidR="003B0BA2" w:rsidTr="00687C5F">
        <w:trPr>
          <w:cantSplit/>
        </w:trPr>
        <w:tc>
          <w:tcPr>
            <w:tcW w:w="652" w:type="dxa"/>
            <w:tcBorders>
              <w:right w:val="nil"/>
            </w:tcBorders>
            <w:shd w:val="clear" w:color="auto" w:fill="auto"/>
            <w:tcMar>
              <w:top w:w="85" w:type="dxa"/>
              <w:left w:w="85" w:type="dxa"/>
              <w:bottom w:w="85" w:type="dxa"/>
            </w:tcMar>
          </w:tcPr>
          <w:p w:rsidR="003B0BA2" w:rsidRDefault="003B0BA2" w:rsidP="003B0BA2">
            <w:pPr>
              <w:pStyle w:val="Odsekzoznamu"/>
              <w:numPr>
                <w:ilvl w:val="0"/>
                <w:numId w:val="20"/>
              </w:numPr>
              <w:spacing w:after="0"/>
              <w:ind w:left="426"/>
              <w:rPr>
                <w:b/>
                <w:noProof/>
                <w:sz w:val="20"/>
              </w:rPr>
            </w:pPr>
          </w:p>
        </w:tc>
        <w:tc>
          <w:tcPr>
            <w:tcW w:w="4588" w:type="dxa"/>
            <w:shd w:val="clear" w:color="auto" w:fill="auto"/>
            <w:tcMar>
              <w:top w:w="85" w:type="dxa"/>
              <w:left w:w="85" w:type="dxa"/>
              <w:bottom w:w="85" w:type="dxa"/>
            </w:tcMar>
          </w:tcPr>
          <w:p w:rsidR="003B0BA2" w:rsidRDefault="003B0BA2" w:rsidP="003B0BA2">
            <w:pPr>
              <w:spacing w:after="0"/>
              <w:rPr>
                <w:noProof/>
                <w:sz w:val="20"/>
              </w:rPr>
            </w:pPr>
            <w:r>
              <w:rPr>
                <w:noProof/>
                <w:sz w:val="20"/>
              </w:rPr>
              <w:t>Návrh NARIADENIE EURÓPSKEHO PARLAMENTU A RADY, ktorým sa mení nariadenie (EÚ, Euratom) č. 883/2013 o vyšetrovaniach vykonávaných Európskym úradom pre boj proti podvodom (OLAF), pokiaľ ide o spoluprácu s Európskou prokuratúrou a účinnosť vyšetrovaní úradu OLAF</w:t>
            </w:r>
            <w:r>
              <w:rPr>
                <w:b/>
                <w:bCs/>
                <w:noProof/>
                <w:sz w:val="20"/>
              </w:rPr>
              <w:t xml:space="preserve"> </w:t>
            </w:r>
          </w:p>
        </w:tc>
        <w:tc>
          <w:tcPr>
            <w:tcW w:w="1985" w:type="dxa"/>
            <w:tcMar>
              <w:top w:w="85" w:type="dxa"/>
              <w:left w:w="85" w:type="dxa"/>
              <w:bottom w:w="85" w:type="dxa"/>
            </w:tcMar>
          </w:tcPr>
          <w:p w:rsidR="003B0BA2" w:rsidRDefault="003B0BA2" w:rsidP="003B0BA2">
            <w:pPr>
              <w:spacing w:after="0"/>
              <w:jc w:val="left"/>
              <w:rPr>
                <w:noProof/>
                <w:sz w:val="20"/>
              </w:rPr>
            </w:pPr>
            <w:r>
              <w:rPr>
                <w:noProof/>
                <w:sz w:val="20"/>
              </w:rPr>
              <w:t>COM(2018) 338 final.</w:t>
            </w:r>
            <w:r>
              <w:rPr>
                <w:noProof/>
                <w:sz w:val="20"/>
              </w:rPr>
              <w:br/>
              <w:t>2018/0170 (COD)</w:t>
            </w:r>
            <w:r>
              <w:rPr>
                <w:noProof/>
                <w:sz w:val="20"/>
              </w:rPr>
              <w:br/>
              <w:t>24. 5. 2018</w:t>
            </w:r>
          </w:p>
        </w:tc>
        <w:tc>
          <w:tcPr>
            <w:tcW w:w="1417" w:type="dxa"/>
          </w:tcPr>
          <w:p w:rsidR="003B0BA2" w:rsidRDefault="003B0BA2" w:rsidP="003B0BA2">
            <w:pPr>
              <w:spacing w:after="0"/>
              <w:jc w:val="center"/>
              <w:rPr>
                <w:b/>
                <w:noProof/>
                <w:sz w:val="20"/>
              </w:rPr>
            </w:pPr>
            <w:r>
              <w:rPr>
                <w:b/>
                <w:noProof/>
                <w:sz w:val="20"/>
              </w:rPr>
              <w:t xml:space="preserve">ÚV SR </w:t>
            </w:r>
          </w:p>
          <w:p w:rsidR="003B0BA2" w:rsidRPr="009D4C5D" w:rsidRDefault="003B0BA2" w:rsidP="003B0BA2">
            <w:pPr>
              <w:spacing w:after="0"/>
              <w:jc w:val="center"/>
              <w:rPr>
                <w:b/>
                <w:noProof/>
                <w:sz w:val="20"/>
              </w:rPr>
            </w:pPr>
            <w:r w:rsidRPr="009D4C5D">
              <w:rPr>
                <w:b/>
                <w:noProof/>
                <w:sz w:val="20"/>
              </w:rPr>
              <w:t>MS SR</w:t>
            </w:r>
          </w:p>
        </w:tc>
        <w:tc>
          <w:tcPr>
            <w:tcW w:w="6095" w:type="dxa"/>
          </w:tcPr>
          <w:p w:rsidR="003B0BA2" w:rsidRDefault="009B5120" w:rsidP="009B5120">
            <w:pPr>
              <w:rPr>
                <w:sz w:val="20"/>
              </w:rPr>
            </w:pPr>
            <w:r>
              <w:rPr>
                <w:b/>
                <w:bCs/>
                <w:sz w:val="20"/>
                <w:u w:val="single"/>
              </w:rPr>
              <w:t>Vysoká priorita</w:t>
            </w:r>
            <w:r>
              <w:rPr>
                <w:sz w:val="20"/>
              </w:rPr>
              <w:t xml:space="preserve"> – Predsedníctvo Rady EÚ začalo na základe schváleného mandátu rokovania s EP, pričom EP potvrdil svoju pozíciu z prvého čítania v liste adresovanom Rade EÚ, ktorý zahŕňal  „neukončené záležitosti“. V roku 2019 sa uskutočnili dva trialógy a ďalšie budú prebiehať počas roka 2020.SR plne podporuje ciele predloženého návrhu nariadenia. Návrh obsahuje ustanovenia, ktorými sa mení nariadenie (EÚ, Euratom) č. 883/2013 o vyšetrovaniach vykonávaných Európskym úradom pre boj proti podvodom (OLAF), a to pokiaľ ide o spoluprácu s Európskou prokuratúrou (ďalej len „EPPO“) a účinnosť vyšetrovaní úradu OLAF. Cieľom navrhovaných zmien je posilniť ochranu finančných záujmov EÚ prispôsobením činnosti úradu OLAF zriadeniu EPPO, posilnením účinnosti vyšetrovacej funkcie úradu OLAF a objasnením a zjednodušením niektorých ustanovení nariadenia č. 883/2013.</w:t>
            </w:r>
          </w:p>
        </w:tc>
      </w:tr>
      <w:tr w:rsidR="003B0BA2" w:rsidTr="00687C5F">
        <w:trPr>
          <w:cantSplit/>
        </w:trPr>
        <w:tc>
          <w:tcPr>
            <w:tcW w:w="652" w:type="dxa"/>
            <w:tcBorders>
              <w:right w:val="nil"/>
            </w:tcBorders>
            <w:shd w:val="clear" w:color="auto" w:fill="auto"/>
            <w:tcMar>
              <w:top w:w="85" w:type="dxa"/>
              <w:left w:w="85" w:type="dxa"/>
              <w:bottom w:w="85" w:type="dxa"/>
            </w:tcMar>
          </w:tcPr>
          <w:p w:rsidR="003B0BA2" w:rsidRDefault="003B0BA2" w:rsidP="003B0BA2">
            <w:pPr>
              <w:pStyle w:val="Odsekzoznamu"/>
              <w:numPr>
                <w:ilvl w:val="0"/>
                <w:numId w:val="20"/>
              </w:numPr>
              <w:spacing w:after="0"/>
              <w:ind w:left="426"/>
              <w:rPr>
                <w:b/>
                <w:noProof/>
                <w:sz w:val="20"/>
              </w:rPr>
            </w:pPr>
          </w:p>
        </w:tc>
        <w:tc>
          <w:tcPr>
            <w:tcW w:w="4588" w:type="dxa"/>
            <w:shd w:val="clear" w:color="auto" w:fill="auto"/>
            <w:tcMar>
              <w:top w:w="85" w:type="dxa"/>
              <w:left w:w="85" w:type="dxa"/>
              <w:bottom w:w="85" w:type="dxa"/>
            </w:tcMar>
          </w:tcPr>
          <w:p w:rsidR="003B0BA2" w:rsidRPr="003B1CF2" w:rsidRDefault="003B0BA2" w:rsidP="003B0BA2">
            <w:pPr>
              <w:spacing w:after="0"/>
              <w:rPr>
                <w:noProof/>
                <w:sz w:val="20"/>
              </w:rPr>
            </w:pPr>
            <w:r w:rsidRPr="003B1CF2">
              <w:rPr>
                <w:noProof/>
                <w:sz w:val="20"/>
              </w:rPr>
              <w:t>Návrh NARIADENIE EURÓPSKEHO PARLAMENTU A RADY, ktorým sa mení nariadenie (EÚ, Euratom) č. 883/2013, pokiaľ ide o vytvorenie funkcie kontrolóra procesných záruk</w:t>
            </w:r>
          </w:p>
        </w:tc>
        <w:tc>
          <w:tcPr>
            <w:tcW w:w="1985" w:type="dxa"/>
            <w:tcMar>
              <w:top w:w="85" w:type="dxa"/>
              <w:left w:w="85" w:type="dxa"/>
              <w:bottom w:w="85" w:type="dxa"/>
            </w:tcMar>
          </w:tcPr>
          <w:p w:rsidR="003B0BA2" w:rsidRPr="003B1CF2" w:rsidRDefault="003B0BA2" w:rsidP="003B0BA2">
            <w:pPr>
              <w:spacing w:after="0"/>
              <w:jc w:val="left"/>
              <w:rPr>
                <w:noProof/>
                <w:sz w:val="20"/>
              </w:rPr>
            </w:pPr>
            <w:r w:rsidRPr="003B1CF2">
              <w:rPr>
                <w:noProof/>
                <w:sz w:val="20"/>
              </w:rPr>
              <w:t>COM(2014) 340 final.</w:t>
            </w:r>
            <w:r w:rsidRPr="003B1CF2">
              <w:rPr>
                <w:noProof/>
                <w:sz w:val="20"/>
              </w:rPr>
              <w:br/>
              <w:t>2014/0173 (COD)</w:t>
            </w:r>
            <w:r w:rsidRPr="003B1CF2">
              <w:rPr>
                <w:noProof/>
                <w:sz w:val="20"/>
              </w:rPr>
              <w:br/>
              <w:t>11. 6. 2014</w:t>
            </w:r>
          </w:p>
        </w:tc>
        <w:tc>
          <w:tcPr>
            <w:tcW w:w="1417" w:type="dxa"/>
          </w:tcPr>
          <w:p w:rsidR="003B0BA2" w:rsidRPr="00CF3A0F" w:rsidRDefault="00CF3A0F" w:rsidP="00CF3A0F">
            <w:pPr>
              <w:spacing w:after="0"/>
              <w:jc w:val="center"/>
              <w:rPr>
                <w:b/>
                <w:noProof/>
                <w:sz w:val="20"/>
              </w:rPr>
            </w:pPr>
            <w:r w:rsidRPr="00CF3A0F">
              <w:rPr>
                <w:b/>
                <w:noProof/>
                <w:sz w:val="20"/>
              </w:rPr>
              <w:t>ÚV SR</w:t>
            </w:r>
          </w:p>
        </w:tc>
        <w:tc>
          <w:tcPr>
            <w:tcW w:w="6095" w:type="dxa"/>
          </w:tcPr>
          <w:p w:rsidR="003B0BA2" w:rsidRDefault="009B5120" w:rsidP="009B5120">
            <w:pPr>
              <w:spacing w:after="0"/>
              <w:rPr>
                <w:noProof/>
                <w:sz w:val="20"/>
              </w:rPr>
            </w:pPr>
            <w:r>
              <w:rPr>
                <w:b/>
                <w:bCs/>
                <w:sz w:val="20"/>
                <w:u w:val="single"/>
              </w:rPr>
              <w:t>Nízka priorita</w:t>
            </w:r>
            <w:r>
              <w:rPr>
                <w:b/>
                <w:bCs/>
                <w:sz w:val="20"/>
              </w:rPr>
              <w:t xml:space="preserve"> – </w:t>
            </w:r>
            <w:r>
              <w:rPr>
                <w:sz w:val="20"/>
              </w:rPr>
              <w:t>V zmysle pozície Rady EÚ z roku 2014, bol návrh vyhodnotený ako predčasný a neprimeraný a zároveň existovali pochybnosti o jeho predpokladanom prínose. EP aktuálne ustanovenia tohto návrhu premietol do svojich pozmeňujúcich návrhov k návrhu nariadenia, ktorým sa mení nariadenie (EÚ, Euratom) č. 883/2013 o vyšetrovaniach vykonávaných Európskym úradom pre boj proti podvodom (OLAF), pokiaľ ide o spoluprácu s Európskou prokuratúrou a účinnosť vyšetrovaní úradu OLAF.</w:t>
            </w:r>
          </w:p>
        </w:tc>
      </w:tr>
      <w:tr w:rsidR="003B0BA2" w:rsidTr="00687C5F">
        <w:trPr>
          <w:cantSplit/>
        </w:trPr>
        <w:tc>
          <w:tcPr>
            <w:tcW w:w="652" w:type="dxa"/>
            <w:tcBorders>
              <w:right w:val="nil"/>
            </w:tcBorders>
            <w:shd w:val="clear" w:color="auto" w:fill="auto"/>
            <w:tcMar>
              <w:top w:w="85" w:type="dxa"/>
              <w:left w:w="85" w:type="dxa"/>
              <w:bottom w:w="85" w:type="dxa"/>
            </w:tcMar>
          </w:tcPr>
          <w:p w:rsidR="003B0BA2" w:rsidRDefault="003B0BA2" w:rsidP="003B0BA2">
            <w:pPr>
              <w:pStyle w:val="Odsekzoznamu"/>
              <w:numPr>
                <w:ilvl w:val="0"/>
                <w:numId w:val="20"/>
              </w:numPr>
              <w:spacing w:after="0"/>
              <w:ind w:left="426"/>
              <w:rPr>
                <w:b/>
                <w:noProof/>
                <w:sz w:val="20"/>
              </w:rPr>
            </w:pPr>
          </w:p>
        </w:tc>
        <w:tc>
          <w:tcPr>
            <w:tcW w:w="4588" w:type="dxa"/>
            <w:shd w:val="clear" w:color="auto" w:fill="auto"/>
            <w:tcMar>
              <w:top w:w="85" w:type="dxa"/>
              <w:left w:w="85" w:type="dxa"/>
              <w:bottom w:w="85" w:type="dxa"/>
            </w:tcMar>
          </w:tcPr>
          <w:p w:rsidR="003B0BA2" w:rsidRDefault="003B0BA2" w:rsidP="003B0BA2">
            <w:pPr>
              <w:spacing w:after="0"/>
              <w:rPr>
                <w:noProof/>
                <w:sz w:val="20"/>
              </w:rPr>
            </w:pPr>
            <w:r>
              <w:rPr>
                <w:noProof/>
                <w:sz w:val="20"/>
              </w:rPr>
              <w:t>Návrh NARIADENIE EURÓPSKEHO PARLAMENTU A RADY o hodnotení zdravotníckych technológií a zmene smernice 2011/24/EÚ</w:t>
            </w:r>
          </w:p>
        </w:tc>
        <w:tc>
          <w:tcPr>
            <w:tcW w:w="1985" w:type="dxa"/>
            <w:tcMar>
              <w:top w:w="85" w:type="dxa"/>
              <w:left w:w="85" w:type="dxa"/>
              <w:bottom w:w="85" w:type="dxa"/>
            </w:tcMar>
          </w:tcPr>
          <w:p w:rsidR="003B0BA2" w:rsidRDefault="003B0BA2" w:rsidP="003B0BA2">
            <w:pPr>
              <w:spacing w:after="0"/>
              <w:jc w:val="left"/>
              <w:rPr>
                <w:noProof/>
                <w:sz w:val="20"/>
              </w:rPr>
            </w:pPr>
            <w:r>
              <w:rPr>
                <w:noProof/>
                <w:sz w:val="20"/>
              </w:rPr>
              <w:t>COM(2018) 51 final.</w:t>
            </w:r>
            <w:r>
              <w:rPr>
                <w:noProof/>
                <w:sz w:val="20"/>
              </w:rPr>
              <w:br/>
              <w:t>2018/0018 (COD)</w:t>
            </w:r>
            <w:r>
              <w:rPr>
                <w:noProof/>
                <w:sz w:val="20"/>
              </w:rPr>
              <w:br/>
              <w:t>1. 2. 2018</w:t>
            </w:r>
          </w:p>
        </w:tc>
        <w:tc>
          <w:tcPr>
            <w:tcW w:w="1417" w:type="dxa"/>
          </w:tcPr>
          <w:p w:rsidR="003B0BA2" w:rsidRPr="00485B8C" w:rsidRDefault="003B0BA2" w:rsidP="003B0BA2">
            <w:pPr>
              <w:jc w:val="center"/>
              <w:rPr>
                <w:b/>
                <w:sz w:val="20"/>
              </w:rPr>
            </w:pPr>
            <w:r w:rsidRPr="00485B8C">
              <w:rPr>
                <w:b/>
                <w:sz w:val="20"/>
              </w:rPr>
              <w:t>MZ SR</w:t>
            </w:r>
          </w:p>
        </w:tc>
        <w:tc>
          <w:tcPr>
            <w:tcW w:w="6095" w:type="dxa"/>
          </w:tcPr>
          <w:p w:rsidR="003B0BA2" w:rsidRPr="00485B8C" w:rsidRDefault="003B0BA2" w:rsidP="003B0BA2">
            <w:pPr>
              <w:rPr>
                <w:bCs/>
                <w:sz w:val="20"/>
              </w:rPr>
            </w:pPr>
            <w:r>
              <w:rPr>
                <w:b/>
                <w:bCs/>
                <w:sz w:val="20"/>
                <w:u w:val="single"/>
              </w:rPr>
              <w:t>Vysoká priorita</w:t>
            </w:r>
            <w:r>
              <w:rPr>
                <w:bCs/>
                <w:sz w:val="20"/>
              </w:rPr>
              <w:t xml:space="preserve"> - </w:t>
            </w:r>
            <w:r w:rsidRPr="00485B8C">
              <w:rPr>
                <w:bCs/>
                <w:sz w:val="20"/>
              </w:rPr>
              <w:t xml:space="preserve"> Návrh je pre SR dôležitý, vítame iniciatívu zharmonizovať systém HTA v EÚ, keďže v SR samostatným systémom na hodnotenie zdravotníckych technológií nedisponujeme. </w:t>
            </w:r>
          </w:p>
        </w:tc>
      </w:tr>
      <w:tr w:rsidR="003B0BA2" w:rsidTr="00687C5F">
        <w:trPr>
          <w:cantSplit/>
        </w:trPr>
        <w:tc>
          <w:tcPr>
            <w:tcW w:w="652" w:type="dxa"/>
            <w:tcBorders>
              <w:right w:val="nil"/>
            </w:tcBorders>
            <w:shd w:val="clear" w:color="auto" w:fill="auto"/>
            <w:tcMar>
              <w:top w:w="85" w:type="dxa"/>
              <w:left w:w="85" w:type="dxa"/>
              <w:bottom w:w="85" w:type="dxa"/>
            </w:tcMar>
          </w:tcPr>
          <w:p w:rsidR="003B0BA2" w:rsidRDefault="003B0BA2" w:rsidP="003B0BA2">
            <w:pPr>
              <w:pStyle w:val="Odsekzoznamu"/>
              <w:numPr>
                <w:ilvl w:val="0"/>
                <w:numId w:val="20"/>
              </w:numPr>
              <w:spacing w:after="0"/>
              <w:ind w:left="426"/>
              <w:rPr>
                <w:b/>
                <w:noProof/>
                <w:sz w:val="20"/>
              </w:rPr>
            </w:pPr>
          </w:p>
        </w:tc>
        <w:tc>
          <w:tcPr>
            <w:tcW w:w="4588" w:type="dxa"/>
            <w:shd w:val="clear" w:color="auto" w:fill="auto"/>
            <w:tcMar>
              <w:top w:w="85" w:type="dxa"/>
              <w:left w:w="85" w:type="dxa"/>
              <w:bottom w:w="85" w:type="dxa"/>
            </w:tcMar>
          </w:tcPr>
          <w:p w:rsidR="003B0BA2" w:rsidRDefault="003B0BA2" w:rsidP="003B0BA2">
            <w:pPr>
              <w:spacing w:after="0"/>
              <w:rPr>
                <w:noProof/>
                <w:sz w:val="20"/>
              </w:rPr>
            </w:pPr>
            <w:r>
              <w:rPr>
                <w:noProof/>
                <w:sz w:val="20"/>
              </w:rPr>
              <w:t>Návrh SMERNICA EURÓPSKEHO PARLAMENTU A RADY o spoločných normách a postupoch členských štátov na účely návratu štátnych príslušníkov tretích krajín, ktorí sa neoprávnene zdržiavajú na ich území (prepracované znenie) Príspevok Európskej komisie k stretnutiu lídrov v Salzburgu, ktoré sa uskutočnilo 19. a 20. septembra 2018</w:t>
            </w:r>
          </w:p>
        </w:tc>
        <w:tc>
          <w:tcPr>
            <w:tcW w:w="1985" w:type="dxa"/>
            <w:tcMar>
              <w:top w:w="85" w:type="dxa"/>
              <w:left w:w="85" w:type="dxa"/>
              <w:bottom w:w="85" w:type="dxa"/>
            </w:tcMar>
          </w:tcPr>
          <w:p w:rsidR="003B0BA2" w:rsidRDefault="003B0BA2" w:rsidP="003B0BA2">
            <w:pPr>
              <w:spacing w:after="0"/>
              <w:jc w:val="left"/>
              <w:rPr>
                <w:noProof/>
                <w:sz w:val="20"/>
              </w:rPr>
            </w:pPr>
            <w:r>
              <w:rPr>
                <w:noProof/>
                <w:sz w:val="20"/>
              </w:rPr>
              <w:t>COM(2018) 634 final.</w:t>
            </w:r>
            <w:r>
              <w:rPr>
                <w:noProof/>
                <w:sz w:val="20"/>
              </w:rPr>
              <w:br/>
              <w:t>2018/0329 (COD)</w:t>
            </w:r>
            <w:r>
              <w:rPr>
                <w:noProof/>
                <w:sz w:val="20"/>
              </w:rPr>
              <w:br/>
              <w:t>12. 9. 2018</w:t>
            </w:r>
          </w:p>
        </w:tc>
        <w:tc>
          <w:tcPr>
            <w:tcW w:w="1417" w:type="dxa"/>
          </w:tcPr>
          <w:p w:rsidR="003B0BA2" w:rsidRPr="002E5596" w:rsidRDefault="003B0BA2" w:rsidP="003B0BA2">
            <w:pPr>
              <w:spacing w:after="0"/>
              <w:jc w:val="center"/>
              <w:rPr>
                <w:b/>
                <w:sz w:val="20"/>
              </w:rPr>
            </w:pPr>
            <w:r w:rsidRPr="002E5596">
              <w:rPr>
                <w:b/>
                <w:sz w:val="20"/>
              </w:rPr>
              <w:t>MV SR</w:t>
            </w:r>
          </w:p>
        </w:tc>
        <w:tc>
          <w:tcPr>
            <w:tcW w:w="6095" w:type="dxa"/>
          </w:tcPr>
          <w:p w:rsidR="003B0BA2" w:rsidRPr="002E5596" w:rsidRDefault="003B0BA2" w:rsidP="003B0BA2">
            <w:pPr>
              <w:spacing w:after="0"/>
              <w:rPr>
                <w:sz w:val="20"/>
              </w:rPr>
            </w:pPr>
            <w:r w:rsidRPr="002E5596">
              <w:rPr>
                <w:b/>
                <w:sz w:val="20"/>
                <w:u w:val="single"/>
              </w:rPr>
              <w:t>Stredná priorita</w:t>
            </w:r>
            <w:r>
              <w:rPr>
                <w:sz w:val="20"/>
              </w:rPr>
              <w:t xml:space="preserve"> - </w:t>
            </w:r>
            <w:r w:rsidRPr="00184289">
              <w:rPr>
                <w:sz w:val="20"/>
              </w:rPr>
              <w:t xml:space="preserve">Slovenská republika víta iniciatívu otvorenia návratovej smernice, sme presvedčení, že konkrétne opatrenia, resp. zmeny v smernici napomôžu urýchliť konania o návrate, zabrániť útekom a zvýšiť celkovú mieru návratu z EÚ za plného dodržiavania základných práv a zásady zákazu vyhostenia alebo vrátenia. </w:t>
            </w:r>
            <w:r>
              <w:rPr>
                <w:sz w:val="20"/>
              </w:rPr>
              <w:t>SR počas rokovaní uplatnila pripomienky.</w:t>
            </w:r>
          </w:p>
          <w:p w:rsidR="003B0BA2" w:rsidRDefault="003B0BA2" w:rsidP="003B0BA2">
            <w:pPr>
              <w:spacing w:after="0"/>
              <w:rPr>
                <w:b/>
                <w:sz w:val="20"/>
              </w:rPr>
            </w:pPr>
            <w:r>
              <w:rPr>
                <w:sz w:val="20"/>
              </w:rPr>
              <w:t>Rada sa zhodla na čiastočnom všeobecnom smerovaní, ktoré SR podporila, čaka sa na pozíciu EP.</w:t>
            </w:r>
          </w:p>
        </w:tc>
      </w:tr>
      <w:tr w:rsidR="003B0BA2" w:rsidTr="00687C5F">
        <w:trPr>
          <w:cantSplit/>
        </w:trPr>
        <w:tc>
          <w:tcPr>
            <w:tcW w:w="652" w:type="dxa"/>
            <w:tcBorders>
              <w:right w:val="nil"/>
            </w:tcBorders>
            <w:shd w:val="clear" w:color="auto" w:fill="auto"/>
            <w:tcMar>
              <w:top w:w="85" w:type="dxa"/>
              <w:left w:w="85" w:type="dxa"/>
              <w:bottom w:w="85" w:type="dxa"/>
            </w:tcMar>
          </w:tcPr>
          <w:p w:rsidR="003B0BA2" w:rsidRDefault="003B0BA2" w:rsidP="003B0BA2">
            <w:pPr>
              <w:pStyle w:val="Odsekzoznamu"/>
              <w:numPr>
                <w:ilvl w:val="0"/>
                <w:numId w:val="20"/>
              </w:numPr>
              <w:spacing w:after="0"/>
              <w:ind w:left="426"/>
              <w:rPr>
                <w:b/>
                <w:noProof/>
                <w:sz w:val="20"/>
              </w:rPr>
            </w:pPr>
          </w:p>
        </w:tc>
        <w:tc>
          <w:tcPr>
            <w:tcW w:w="4588" w:type="dxa"/>
            <w:shd w:val="clear" w:color="auto" w:fill="auto"/>
            <w:tcMar>
              <w:top w:w="85" w:type="dxa"/>
              <w:left w:w="85" w:type="dxa"/>
              <w:bottom w:w="85" w:type="dxa"/>
            </w:tcMar>
          </w:tcPr>
          <w:p w:rsidR="003B0BA2" w:rsidRDefault="003B0BA2" w:rsidP="003B0BA2">
            <w:pPr>
              <w:spacing w:after="0"/>
              <w:rPr>
                <w:noProof/>
                <w:sz w:val="20"/>
              </w:rPr>
            </w:pPr>
            <w:r>
              <w:rPr>
                <w:noProof/>
                <w:sz w:val="20"/>
              </w:rPr>
              <w:t>Návrh NARIADENIE EURÓPSKEHO PARLAMENTU A RADY o predchádzaní šíreniu teroristického obsahu online Príspevok Európskej komisie k stretnutiu čelných predstaviteľov v Salzburgu, 19. až 20. septembra 2018</w:t>
            </w:r>
          </w:p>
        </w:tc>
        <w:tc>
          <w:tcPr>
            <w:tcW w:w="1985" w:type="dxa"/>
            <w:tcMar>
              <w:top w:w="85" w:type="dxa"/>
              <w:left w:w="85" w:type="dxa"/>
              <w:bottom w:w="85" w:type="dxa"/>
            </w:tcMar>
          </w:tcPr>
          <w:p w:rsidR="003B0BA2" w:rsidRDefault="003B0BA2" w:rsidP="003B0BA2">
            <w:pPr>
              <w:spacing w:after="0"/>
              <w:jc w:val="left"/>
              <w:rPr>
                <w:noProof/>
                <w:sz w:val="20"/>
              </w:rPr>
            </w:pPr>
            <w:r>
              <w:rPr>
                <w:noProof/>
                <w:sz w:val="20"/>
              </w:rPr>
              <w:t>COM(2018) 640 final.</w:t>
            </w:r>
            <w:r>
              <w:rPr>
                <w:noProof/>
                <w:sz w:val="20"/>
              </w:rPr>
              <w:br/>
              <w:t>2018/0331 (COD)</w:t>
            </w:r>
            <w:r>
              <w:rPr>
                <w:noProof/>
                <w:sz w:val="20"/>
              </w:rPr>
              <w:br/>
              <w:t>12. 9. 2018</w:t>
            </w:r>
          </w:p>
        </w:tc>
        <w:tc>
          <w:tcPr>
            <w:tcW w:w="1417" w:type="dxa"/>
          </w:tcPr>
          <w:p w:rsidR="003B0BA2" w:rsidRPr="002E5596" w:rsidRDefault="003B0BA2" w:rsidP="003B0BA2">
            <w:pPr>
              <w:spacing w:after="0"/>
              <w:jc w:val="center"/>
              <w:rPr>
                <w:b/>
                <w:sz w:val="20"/>
              </w:rPr>
            </w:pPr>
            <w:r w:rsidRPr="002E5596">
              <w:rPr>
                <w:b/>
                <w:sz w:val="20"/>
              </w:rPr>
              <w:t>MV SR</w:t>
            </w:r>
          </w:p>
        </w:tc>
        <w:tc>
          <w:tcPr>
            <w:tcW w:w="6095" w:type="dxa"/>
          </w:tcPr>
          <w:p w:rsidR="003B0BA2" w:rsidRPr="002E5596" w:rsidRDefault="003B0BA2" w:rsidP="003B0BA2">
            <w:pPr>
              <w:spacing w:after="0"/>
              <w:rPr>
                <w:sz w:val="20"/>
              </w:rPr>
            </w:pPr>
            <w:r w:rsidRPr="002E5596">
              <w:rPr>
                <w:b/>
                <w:sz w:val="20"/>
              </w:rPr>
              <w:t>Stredná priorita</w:t>
            </w:r>
            <w:r>
              <w:rPr>
                <w:sz w:val="20"/>
              </w:rPr>
              <w:t xml:space="preserve"> - </w:t>
            </w:r>
            <w:r w:rsidRPr="00184289">
              <w:rPr>
                <w:sz w:val="20"/>
              </w:rPr>
              <w:t>SR sa k cieľom predmetného návrhu nariadenia, smerujúcim k obmedzeniu, resp. znemožneniu dostupnosti teroristického obsahu</w:t>
            </w:r>
            <w:r>
              <w:rPr>
                <w:sz w:val="20"/>
              </w:rPr>
              <w:t xml:space="preserve"> na internete, stavia pozitívne. Počas rokovania v orgánoch Rady SR uplatnila svoje pripomienky. </w:t>
            </w:r>
            <w:r w:rsidRPr="00184289">
              <w:rPr>
                <w:sz w:val="20"/>
              </w:rPr>
              <w:t xml:space="preserve">Rada schválila </w:t>
            </w:r>
            <w:r>
              <w:rPr>
                <w:sz w:val="20"/>
              </w:rPr>
              <w:t xml:space="preserve">v roku 2018 </w:t>
            </w:r>
            <w:r w:rsidRPr="00184289">
              <w:rPr>
                <w:sz w:val="20"/>
              </w:rPr>
              <w:t>k návrhu všeobecné smerovanie,</w:t>
            </w:r>
            <w:r>
              <w:rPr>
                <w:sz w:val="20"/>
              </w:rPr>
              <w:t xml:space="preserve"> ktoré SR podporila,</w:t>
            </w:r>
            <w:r w:rsidRPr="00184289">
              <w:rPr>
                <w:sz w:val="20"/>
              </w:rPr>
              <w:t xml:space="preserve"> </w:t>
            </w:r>
            <w:r>
              <w:rPr>
                <w:sz w:val="20"/>
              </w:rPr>
              <w:t>prebiehajú trialógy s EP.</w:t>
            </w:r>
          </w:p>
        </w:tc>
      </w:tr>
      <w:tr w:rsidR="003B0BA2" w:rsidTr="00687C5F">
        <w:trPr>
          <w:cantSplit/>
        </w:trPr>
        <w:tc>
          <w:tcPr>
            <w:tcW w:w="652" w:type="dxa"/>
            <w:tcBorders>
              <w:right w:val="nil"/>
            </w:tcBorders>
            <w:shd w:val="clear" w:color="auto" w:fill="auto"/>
            <w:tcMar>
              <w:top w:w="85" w:type="dxa"/>
              <w:left w:w="85" w:type="dxa"/>
              <w:bottom w:w="85" w:type="dxa"/>
            </w:tcMar>
          </w:tcPr>
          <w:p w:rsidR="003B0BA2" w:rsidRDefault="003B0BA2" w:rsidP="003B0BA2">
            <w:pPr>
              <w:pStyle w:val="Odsekzoznamu"/>
              <w:numPr>
                <w:ilvl w:val="0"/>
                <w:numId w:val="20"/>
              </w:numPr>
              <w:spacing w:after="0"/>
              <w:ind w:left="426"/>
              <w:rPr>
                <w:b/>
                <w:noProof/>
                <w:sz w:val="20"/>
              </w:rPr>
            </w:pPr>
          </w:p>
        </w:tc>
        <w:tc>
          <w:tcPr>
            <w:tcW w:w="4588" w:type="dxa"/>
            <w:shd w:val="clear" w:color="auto" w:fill="auto"/>
            <w:tcMar>
              <w:top w:w="85" w:type="dxa"/>
              <w:left w:w="85" w:type="dxa"/>
              <w:bottom w:w="85" w:type="dxa"/>
            </w:tcMar>
          </w:tcPr>
          <w:p w:rsidR="003B0BA2" w:rsidRDefault="003B0BA2" w:rsidP="003B0BA2">
            <w:pPr>
              <w:spacing w:after="0"/>
              <w:rPr>
                <w:noProof/>
                <w:sz w:val="20"/>
              </w:rPr>
            </w:pPr>
            <w:r>
              <w:rPr>
                <w:noProof/>
                <w:sz w:val="20"/>
              </w:rPr>
              <w:t>Návrh NARIADENIE EURÓPSKEHO PARLAMENTU A RADY, ktorým sa mení nariadenie (ES) č. 767/2008, nariadenie (ES) č. 810/2009, nariadenie (EÚ) 2017/2226, nariadenie (EÚ) 2016/399, nariadenie XX/2018 [nariadenie o interoperabilite] a rozhodnutie 2004/512/ES a zrušuje rozhodnutie Rady 2008/633/SVV</w:t>
            </w:r>
          </w:p>
        </w:tc>
        <w:tc>
          <w:tcPr>
            <w:tcW w:w="1985" w:type="dxa"/>
            <w:tcMar>
              <w:top w:w="85" w:type="dxa"/>
              <w:left w:w="85" w:type="dxa"/>
              <w:bottom w:w="85" w:type="dxa"/>
            </w:tcMar>
          </w:tcPr>
          <w:p w:rsidR="003B0BA2" w:rsidRDefault="003B0BA2" w:rsidP="003B0BA2">
            <w:pPr>
              <w:spacing w:after="0"/>
              <w:jc w:val="left"/>
              <w:rPr>
                <w:noProof/>
                <w:sz w:val="20"/>
              </w:rPr>
            </w:pPr>
            <w:r>
              <w:rPr>
                <w:noProof/>
                <w:sz w:val="20"/>
              </w:rPr>
              <w:t>COM(2018) 302 final.</w:t>
            </w:r>
            <w:r>
              <w:rPr>
                <w:noProof/>
                <w:sz w:val="20"/>
              </w:rPr>
              <w:br/>
              <w:t>2018/0152 (COD)</w:t>
            </w:r>
            <w:r>
              <w:rPr>
                <w:noProof/>
                <w:sz w:val="20"/>
              </w:rPr>
              <w:br/>
              <w:t>17. 5. 2018</w:t>
            </w:r>
          </w:p>
        </w:tc>
        <w:tc>
          <w:tcPr>
            <w:tcW w:w="1417" w:type="dxa"/>
          </w:tcPr>
          <w:p w:rsidR="003B0BA2" w:rsidRPr="002E5596" w:rsidRDefault="003B0BA2" w:rsidP="003B0BA2">
            <w:pPr>
              <w:spacing w:after="0"/>
              <w:jc w:val="center"/>
              <w:rPr>
                <w:b/>
                <w:sz w:val="20"/>
              </w:rPr>
            </w:pPr>
            <w:r w:rsidRPr="002E5596">
              <w:rPr>
                <w:b/>
                <w:sz w:val="20"/>
              </w:rPr>
              <w:t>MV SR</w:t>
            </w:r>
          </w:p>
        </w:tc>
        <w:tc>
          <w:tcPr>
            <w:tcW w:w="6095" w:type="dxa"/>
          </w:tcPr>
          <w:p w:rsidR="003B0BA2" w:rsidRPr="002E5596" w:rsidRDefault="003B0BA2" w:rsidP="003B0BA2">
            <w:pPr>
              <w:spacing w:after="0"/>
              <w:rPr>
                <w:sz w:val="20"/>
              </w:rPr>
            </w:pPr>
            <w:r w:rsidRPr="002E5596">
              <w:rPr>
                <w:b/>
                <w:sz w:val="20"/>
                <w:u w:val="single"/>
              </w:rPr>
              <w:t>Vysoká priorita</w:t>
            </w:r>
            <w:r>
              <w:rPr>
                <w:sz w:val="20"/>
              </w:rPr>
              <w:t xml:space="preserve"> - </w:t>
            </w:r>
            <w:r w:rsidRPr="00184289">
              <w:rPr>
                <w:sz w:val="20"/>
              </w:rPr>
              <w:t>SR víta predložený návrh nariadenia a sme presvedčení, že pomôže pri naplnení cieľov</w:t>
            </w:r>
          </w:p>
          <w:p w:rsidR="003B0BA2" w:rsidRPr="00184289" w:rsidRDefault="003B0BA2" w:rsidP="003B0BA2">
            <w:pPr>
              <w:spacing w:after="0"/>
              <w:rPr>
                <w:b/>
                <w:sz w:val="20"/>
              </w:rPr>
            </w:pPr>
            <w:r w:rsidRPr="00184289">
              <w:rPr>
                <w:sz w:val="20"/>
              </w:rPr>
              <w:t xml:space="preserve">- uľahčiť konanie o udelení víza, </w:t>
            </w:r>
          </w:p>
          <w:p w:rsidR="003B0BA2" w:rsidRPr="00184289" w:rsidRDefault="003B0BA2" w:rsidP="003B0BA2">
            <w:pPr>
              <w:spacing w:after="0"/>
              <w:rPr>
                <w:b/>
                <w:sz w:val="20"/>
              </w:rPr>
            </w:pPr>
            <w:r w:rsidRPr="00184289">
              <w:rPr>
                <w:sz w:val="20"/>
              </w:rPr>
              <w:t xml:space="preserve">- uľahčiť a posilniť kontroly na hraničných priechodoch na vonkajších hraniciach a na území členských štátov a  </w:t>
            </w:r>
          </w:p>
          <w:p w:rsidR="003B0BA2" w:rsidRDefault="003B0BA2" w:rsidP="003B0BA2">
            <w:pPr>
              <w:spacing w:after="0"/>
              <w:rPr>
                <w:b/>
                <w:sz w:val="20"/>
              </w:rPr>
            </w:pPr>
            <w:r w:rsidRPr="00184289">
              <w:rPr>
                <w:sz w:val="20"/>
              </w:rPr>
              <w:t>- posilniť vnútornú bezpečnosť schengenského priestoru prostredníctvom uľahčenia výmeny informácií medzi členskými štátmi o štátnych príslušníkoch tretích krajín, ktorí sú držiteľmi dlhodobých víz a povolení na pobyt.</w:t>
            </w:r>
          </w:p>
        </w:tc>
      </w:tr>
      <w:tr w:rsidR="003B0BA2" w:rsidTr="00687C5F">
        <w:trPr>
          <w:cantSplit/>
        </w:trPr>
        <w:tc>
          <w:tcPr>
            <w:tcW w:w="652" w:type="dxa"/>
            <w:tcBorders>
              <w:right w:val="nil"/>
            </w:tcBorders>
            <w:shd w:val="clear" w:color="auto" w:fill="auto"/>
            <w:tcMar>
              <w:top w:w="85" w:type="dxa"/>
              <w:left w:w="85" w:type="dxa"/>
              <w:bottom w:w="85" w:type="dxa"/>
            </w:tcMar>
          </w:tcPr>
          <w:p w:rsidR="003B0BA2" w:rsidRDefault="003B0BA2" w:rsidP="003B0BA2">
            <w:pPr>
              <w:pStyle w:val="Odsekzoznamu"/>
              <w:numPr>
                <w:ilvl w:val="0"/>
                <w:numId w:val="20"/>
              </w:numPr>
              <w:spacing w:after="0"/>
              <w:ind w:left="426"/>
              <w:rPr>
                <w:b/>
                <w:noProof/>
                <w:sz w:val="20"/>
              </w:rPr>
            </w:pPr>
          </w:p>
        </w:tc>
        <w:tc>
          <w:tcPr>
            <w:tcW w:w="4588" w:type="dxa"/>
            <w:shd w:val="clear" w:color="auto" w:fill="auto"/>
            <w:tcMar>
              <w:top w:w="85" w:type="dxa"/>
              <w:left w:w="85" w:type="dxa"/>
              <w:bottom w:w="85" w:type="dxa"/>
            </w:tcMar>
          </w:tcPr>
          <w:p w:rsidR="003B0BA2" w:rsidRDefault="003B0BA2" w:rsidP="003B0BA2">
            <w:pPr>
              <w:spacing w:after="0"/>
              <w:rPr>
                <w:noProof/>
                <w:sz w:val="20"/>
              </w:rPr>
            </w:pPr>
            <w:r>
              <w:rPr>
                <w:noProof/>
                <w:sz w:val="20"/>
              </w:rPr>
              <w:t>Návrh NARIADENIE EURÓPSKEHO PARLAMENTU A RADY, ktorým sa stanovujú podmienky prístupu do iných informačných systémov EÚ na účely systému ETIAS a ktorým sa mení nariadenie (EÚ) 2018/1240, nariadenie (ES) č. 767/2008, nariadenie (EÚ) 2017/2226 a nariadenie (EÚ) 2018/1861</w:t>
            </w:r>
          </w:p>
        </w:tc>
        <w:tc>
          <w:tcPr>
            <w:tcW w:w="1985" w:type="dxa"/>
            <w:tcMar>
              <w:top w:w="85" w:type="dxa"/>
              <w:left w:w="85" w:type="dxa"/>
              <w:bottom w:w="85" w:type="dxa"/>
            </w:tcMar>
          </w:tcPr>
          <w:p w:rsidR="003B0BA2" w:rsidRDefault="003B0BA2" w:rsidP="003B0BA2">
            <w:pPr>
              <w:spacing w:after="0"/>
              <w:jc w:val="left"/>
              <w:rPr>
                <w:noProof/>
                <w:sz w:val="20"/>
              </w:rPr>
            </w:pPr>
            <w:r>
              <w:rPr>
                <w:noProof/>
                <w:sz w:val="20"/>
              </w:rPr>
              <w:t>COM(2019) 4 final.</w:t>
            </w:r>
            <w:r>
              <w:rPr>
                <w:noProof/>
                <w:sz w:val="20"/>
              </w:rPr>
              <w:br/>
              <w:t>2019/0002 (COD)</w:t>
            </w:r>
            <w:r>
              <w:rPr>
                <w:noProof/>
                <w:sz w:val="20"/>
              </w:rPr>
              <w:br/>
              <w:t>7. 1. 2019</w:t>
            </w:r>
          </w:p>
        </w:tc>
        <w:tc>
          <w:tcPr>
            <w:tcW w:w="1417" w:type="dxa"/>
          </w:tcPr>
          <w:p w:rsidR="003B0BA2" w:rsidRPr="002E5596" w:rsidRDefault="003B0BA2" w:rsidP="003B0BA2">
            <w:pPr>
              <w:spacing w:after="0"/>
              <w:jc w:val="center"/>
              <w:rPr>
                <w:b/>
                <w:sz w:val="20"/>
              </w:rPr>
            </w:pPr>
            <w:r w:rsidRPr="002E5596">
              <w:rPr>
                <w:b/>
                <w:sz w:val="20"/>
              </w:rPr>
              <w:t>MV SR</w:t>
            </w:r>
          </w:p>
        </w:tc>
        <w:tc>
          <w:tcPr>
            <w:tcW w:w="6095" w:type="dxa"/>
          </w:tcPr>
          <w:p w:rsidR="003B0BA2" w:rsidRPr="002E5596" w:rsidRDefault="003B0BA2" w:rsidP="003B0BA2">
            <w:pPr>
              <w:spacing w:after="0"/>
              <w:rPr>
                <w:sz w:val="20"/>
              </w:rPr>
            </w:pPr>
            <w:r w:rsidRPr="002E5596">
              <w:rPr>
                <w:b/>
                <w:sz w:val="20"/>
                <w:u w:val="single"/>
              </w:rPr>
              <w:t>Stredná priorita</w:t>
            </w:r>
            <w:r>
              <w:rPr>
                <w:sz w:val="20"/>
              </w:rPr>
              <w:t xml:space="preserve"> - </w:t>
            </w:r>
            <w:r w:rsidRPr="001D08FB">
              <w:rPr>
                <w:sz w:val="20"/>
              </w:rPr>
              <w:t>Cieľom tohto návrhu je preto stanoviť technické zmeny potrebné na plne funkčné zriadenie systému ETIAS prostredníctvom zmeny právnych aktov systémov informačných technológií EÚ, v ktorých systém ETIAS vyhľadáva.</w:t>
            </w:r>
            <w:r>
              <w:rPr>
                <w:sz w:val="20"/>
              </w:rPr>
              <w:t xml:space="preserve"> SR nemala k návrhu pripomienky. Rada v júli 2019 schválila všeobecné smerovanie aj podporou SR.</w:t>
            </w:r>
          </w:p>
        </w:tc>
      </w:tr>
      <w:tr w:rsidR="003B0BA2" w:rsidTr="00687C5F">
        <w:trPr>
          <w:cantSplit/>
        </w:trPr>
        <w:tc>
          <w:tcPr>
            <w:tcW w:w="652" w:type="dxa"/>
            <w:tcBorders>
              <w:right w:val="nil"/>
            </w:tcBorders>
            <w:shd w:val="clear" w:color="auto" w:fill="auto"/>
            <w:tcMar>
              <w:top w:w="85" w:type="dxa"/>
              <w:left w:w="85" w:type="dxa"/>
              <w:bottom w:w="85" w:type="dxa"/>
            </w:tcMar>
          </w:tcPr>
          <w:p w:rsidR="003B0BA2" w:rsidRDefault="003B0BA2" w:rsidP="003B0BA2">
            <w:pPr>
              <w:pStyle w:val="Odsekzoznamu"/>
              <w:numPr>
                <w:ilvl w:val="0"/>
                <w:numId w:val="20"/>
              </w:numPr>
              <w:spacing w:after="0"/>
              <w:ind w:left="426"/>
              <w:rPr>
                <w:b/>
                <w:noProof/>
                <w:sz w:val="20"/>
              </w:rPr>
            </w:pPr>
          </w:p>
        </w:tc>
        <w:tc>
          <w:tcPr>
            <w:tcW w:w="4588" w:type="dxa"/>
            <w:shd w:val="clear" w:color="auto" w:fill="auto"/>
            <w:tcMar>
              <w:top w:w="85" w:type="dxa"/>
              <w:left w:w="85" w:type="dxa"/>
              <w:bottom w:w="85" w:type="dxa"/>
            </w:tcMar>
          </w:tcPr>
          <w:p w:rsidR="003B0BA2" w:rsidRDefault="003B0BA2" w:rsidP="003B0BA2">
            <w:pPr>
              <w:spacing w:after="0"/>
              <w:rPr>
                <w:noProof/>
                <w:sz w:val="20"/>
              </w:rPr>
            </w:pPr>
            <w:r>
              <w:rPr>
                <w:noProof/>
                <w:sz w:val="20"/>
              </w:rPr>
              <w:t>Návrh NARIADENIE EURÓPSKEHO PARLAMENTU A RADY, ktorým sa mení nariadenie (ES) č. 539/2001 uvádzajúce zoznam tretích krajín, ktorých štátni príslušníci musia mať víza pri prekračovaní vonkajších hraníc členských štátov, a krajín, ktorých štátni príslušníci sú oslobodení od tejto povinnosti (Turecko)</w:t>
            </w:r>
          </w:p>
        </w:tc>
        <w:tc>
          <w:tcPr>
            <w:tcW w:w="1985" w:type="dxa"/>
            <w:tcMar>
              <w:top w:w="85" w:type="dxa"/>
              <w:left w:w="85" w:type="dxa"/>
              <w:bottom w:w="85" w:type="dxa"/>
            </w:tcMar>
          </w:tcPr>
          <w:p w:rsidR="003B0BA2" w:rsidRDefault="003B0BA2" w:rsidP="003B0BA2">
            <w:pPr>
              <w:spacing w:after="0"/>
              <w:jc w:val="left"/>
              <w:rPr>
                <w:noProof/>
                <w:sz w:val="20"/>
              </w:rPr>
            </w:pPr>
            <w:r>
              <w:rPr>
                <w:noProof/>
                <w:sz w:val="20"/>
              </w:rPr>
              <w:t>COM(2016) 279 final.</w:t>
            </w:r>
            <w:r>
              <w:rPr>
                <w:noProof/>
                <w:sz w:val="20"/>
              </w:rPr>
              <w:br/>
              <w:t>2016/0141 (COD) 4. 5. 2016</w:t>
            </w:r>
          </w:p>
        </w:tc>
        <w:tc>
          <w:tcPr>
            <w:tcW w:w="1417" w:type="dxa"/>
          </w:tcPr>
          <w:p w:rsidR="003B0BA2" w:rsidRPr="002E5596" w:rsidRDefault="003B0BA2" w:rsidP="003B0BA2">
            <w:pPr>
              <w:spacing w:after="0"/>
              <w:jc w:val="center"/>
              <w:rPr>
                <w:b/>
                <w:sz w:val="20"/>
              </w:rPr>
            </w:pPr>
            <w:r w:rsidRPr="002E5596">
              <w:rPr>
                <w:b/>
                <w:sz w:val="20"/>
              </w:rPr>
              <w:t>MV SR</w:t>
            </w:r>
          </w:p>
        </w:tc>
        <w:tc>
          <w:tcPr>
            <w:tcW w:w="6095" w:type="dxa"/>
          </w:tcPr>
          <w:p w:rsidR="003B0BA2" w:rsidRPr="002E5596" w:rsidRDefault="003B0BA2" w:rsidP="003B0BA2">
            <w:pPr>
              <w:spacing w:after="0"/>
              <w:rPr>
                <w:sz w:val="20"/>
              </w:rPr>
            </w:pPr>
            <w:r w:rsidRPr="002E5596">
              <w:rPr>
                <w:b/>
                <w:sz w:val="20"/>
                <w:u w:val="single"/>
              </w:rPr>
              <w:t>Stredná priorita</w:t>
            </w:r>
            <w:r>
              <w:rPr>
                <w:sz w:val="20"/>
              </w:rPr>
              <w:t xml:space="preserve"> - </w:t>
            </w:r>
            <w:r w:rsidRPr="00DE7498">
              <w:rPr>
                <w:sz w:val="20"/>
              </w:rPr>
              <w:t>Nariadenie 539/2001 bolo zrušené a nahradené nariadením 1806/2018.Momentálne rokovania o zrušení vízovej povinnosti pre občanov Turecka pri cestovaní do EÚ neprebiehajú.</w:t>
            </w:r>
          </w:p>
        </w:tc>
      </w:tr>
      <w:tr w:rsidR="003B0BA2" w:rsidTr="00687C5F">
        <w:trPr>
          <w:cantSplit/>
        </w:trPr>
        <w:tc>
          <w:tcPr>
            <w:tcW w:w="652" w:type="dxa"/>
            <w:tcBorders>
              <w:right w:val="nil"/>
            </w:tcBorders>
            <w:shd w:val="clear" w:color="auto" w:fill="auto"/>
            <w:tcMar>
              <w:top w:w="85" w:type="dxa"/>
              <w:left w:w="85" w:type="dxa"/>
              <w:bottom w:w="85" w:type="dxa"/>
            </w:tcMar>
          </w:tcPr>
          <w:p w:rsidR="003B0BA2" w:rsidRDefault="003B0BA2" w:rsidP="003B0BA2">
            <w:pPr>
              <w:pStyle w:val="Odsekzoznamu"/>
              <w:numPr>
                <w:ilvl w:val="0"/>
                <w:numId w:val="20"/>
              </w:numPr>
              <w:spacing w:after="0"/>
              <w:ind w:left="426"/>
              <w:rPr>
                <w:b/>
                <w:noProof/>
                <w:sz w:val="20"/>
              </w:rPr>
            </w:pPr>
          </w:p>
        </w:tc>
        <w:tc>
          <w:tcPr>
            <w:tcW w:w="4588" w:type="dxa"/>
            <w:shd w:val="clear" w:color="auto" w:fill="auto"/>
            <w:tcMar>
              <w:top w:w="85" w:type="dxa"/>
              <w:left w:w="85" w:type="dxa"/>
              <w:bottom w:w="85" w:type="dxa"/>
            </w:tcMar>
          </w:tcPr>
          <w:p w:rsidR="003B0BA2" w:rsidRDefault="003B0BA2" w:rsidP="003B0BA2">
            <w:pPr>
              <w:spacing w:after="0"/>
              <w:rPr>
                <w:noProof/>
                <w:sz w:val="20"/>
              </w:rPr>
            </w:pPr>
            <w:r>
              <w:rPr>
                <w:noProof/>
                <w:sz w:val="20"/>
              </w:rPr>
              <w:t>Návrh NARIADENIE EURÓPSKEHO PARLAMENTU A RADY, ktorým sa mení nariadenie (ES) č. 539/2001 uvádzajúce zoznam tretích krajín, ktorých štátni príslušníci musia mať víza pri prekračovaní vonkajších hraníc členských štátov, a krajín, ktorých štátni príslušníci sú oslobodení od tejto povinnosti (Kosovo*)</w:t>
            </w:r>
          </w:p>
        </w:tc>
        <w:tc>
          <w:tcPr>
            <w:tcW w:w="1985" w:type="dxa"/>
            <w:tcMar>
              <w:top w:w="85" w:type="dxa"/>
              <w:left w:w="85" w:type="dxa"/>
              <w:bottom w:w="85" w:type="dxa"/>
            </w:tcMar>
          </w:tcPr>
          <w:p w:rsidR="003B0BA2" w:rsidRDefault="003B0BA2" w:rsidP="003B0BA2">
            <w:pPr>
              <w:spacing w:after="0"/>
              <w:jc w:val="left"/>
              <w:rPr>
                <w:noProof/>
                <w:sz w:val="20"/>
              </w:rPr>
            </w:pPr>
            <w:r>
              <w:rPr>
                <w:noProof/>
                <w:sz w:val="20"/>
              </w:rPr>
              <w:t>COM(2016) 277 final.</w:t>
            </w:r>
            <w:r>
              <w:rPr>
                <w:noProof/>
                <w:sz w:val="20"/>
              </w:rPr>
              <w:br/>
              <w:t>2016/0139 (COD)</w:t>
            </w:r>
            <w:r>
              <w:rPr>
                <w:noProof/>
                <w:sz w:val="20"/>
              </w:rPr>
              <w:br/>
              <w:t>4. 5. 2016</w:t>
            </w:r>
          </w:p>
        </w:tc>
        <w:tc>
          <w:tcPr>
            <w:tcW w:w="1417" w:type="dxa"/>
          </w:tcPr>
          <w:p w:rsidR="003B0BA2" w:rsidRPr="002E5596" w:rsidRDefault="003B0BA2" w:rsidP="003B0BA2">
            <w:pPr>
              <w:spacing w:after="0"/>
              <w:jc w:val="center"/>
              <w:rPr>
                <w:b/>
                <w:sz w:val="20"/>
              </w:rPr>
            </w:pPr>
            <w:r w:rsidRPr="002E5596">
              <w:rPr>
                <w:b/>
                <w:sz w:val="20"/>
              </w:rPr>
              <w:t>MV SR</w:t>
            </w:r>
          </w:p>
        </w:tc>
        <w:tc>
          <w:tcPr>
            <w:tcW w:w="6095" w:type="dxa"/>
          </w:tcPr>
          <w:p w:rsidR="003B0BA2" w:rsidRPr="002E5596" w:rsidRDefault="003B0BA2" w:rsidP="003B0BA2">
            <w:pPr>
              <w:spacing w:after="0"/>
              <w:rPr>
                <w:sz w:val="20"/>
              </w:rPr>
            </w:pPr>
            <w:r w:rsidRPr="002E5596">
              <w:rPr>
                <w:b/>
                <w:sz w:val="20"/>
              </w:rPr>
              <w:t>Stredná priorita</w:t>
            </w:r>
            <w:r>
              <w:rPr>
                <w:sz w:val="20"/>
              </w:rPr>
              <w:t xml:space="preserve"> - </w:t>
            </w:r>
            <w:r w:rsidRPr="00DE7498">
              <w:rPr>
                <w:sz w:val="20"/>
              </w:rPr>
              <w:t>Nariadenie 539/2001 bolo zrušené a nahradené nariadením 1806/2018.</w:t>
            </w:r>
          </w:p>
          <w:p w:rsidR="003B0BA2" w:rsidRPr="00DE7498" w:rsidRDefault="003B0BA2" w:rsidP="003B0BA2">
            <w:pPr>
              <w:spacing w:after="0"/>
              <w:rPr>
                <w:b/>
                <w:sz w:val="20"/>
              </w:rPr>
            </w:pPr>
            <w:r w:rsidRPr="00DE7498">
              <w:rPr>
                <w:sz w:val="20"/>
              </w:rPr>
              <w:t>Momentálne rokovania o zrušení vízovej povinnosti pre občanov Turecka pri cestovaní do EÚ neprebiehajú.</w:t>
            </w:r>
          </w:p>
        </w:tc>
      </w:tr>
      <w:tr w:rsidR="003B0BA2" w:rsidTr="00687C5F">
        <w:trPr>
          <w:cantSplit/>
        </w:trPr>
        <w:tc>
          <w:tcPr>
            <w:tcW w:w="652" w:type="dxa"/>
            <w:tcBorders>
              <w:right w:val="nil"/>
            </w:tcBorders>
            <w:shd w:val="clear" w:color="auto" w:fill="auto"/>
            <w:tcMar>
              <w:top w:w="85" w:type="dxa"/>
              <w:left w:w="85" w:type="dxa"/>
              <w:bottom w:w="85" w:type="dxa"/>
            </w:tcMar>
          </w:tcPr>
          <w:p w:rsidR="003B0BA2" w:rsidRDefault="003B0BA2" w:rsidP="003B0BA2">
            <w:pPr>
              <w:pStyle w:val="Odsekzoznamu"/>
              <w:numPr>
                <w:ilvl w:val="0"/>
                <w:numId w:val="20"/>
              </w:numPr>
              <w:spacing w:after="0"/>
              <w:ind w:left="426"/>
              <w:rPr>
                <w:b/>
                <w:noProof/>
                <w:sz w:val="20"/>
              </w:rPr>
            </w:pPr>
          </w:p>
        </w:tc>
        <w:tc>
          <w:tcPr>
            <w:tcW w:w="4588" w:type="dxa"/>
            <w:shd w:val="clear" w:color="auto" w:fill="auto"/>
            <w:tcMar>
              <w:top w:w="85" w:type="dxa"/>
              <w:left w:w="85" w:type="dxa"/>
              <w:bottom w:w="85" w:type="dxa"/>
            </w:tcMar>
          </w:tcPr>
          <w:p w:rsidR="003B0BA2" w:rsidRDefault="003B0BA2" w:rsidP="003B0BA2">
            <w:pPr>
              <w:spacing w:after="0"/>
              <w:rPr>
                <w:noProof/>
                <w:sz w:val="20"/>
              </w:rPr>
            </w:pPr>
            <w:r>
              <w:rPr>
                <w:noProof/>
                <w:sz w:val="20"/>
              </w:rPr>
              <w:t>Návrh NARIADENIE EURÓPSKEHO PARLAMENTU A RADY, ktorým sa mení nariadenie (EÚ) 2016/399, pokiaľ ide o pravidlá vzťahujúce sa na dočasné obnovenie kontroly vnútorných hraníc</w:t>
            </w:r>
          </w:p>
        </w:tc>
        <w:tc>
          <w:tcPr>
            <w:tcW w:w="1985" w:type="dxa"/>
            <w:tcMar>
              <w:top w:w="85" w:type="dxa"/>
              <w:left w:w="85" w:type="dxa"/>
              <w:bottom w:w="85" w:type="dxa"/>
            </w:tcMar>
          </w:tcPr>
          <w:p w:rsidR="003B0BA2" w:rsidRDefault="003B0BA2" w:rsidP="003B0BA2">
            <w:pPr>
              <w:spacing w:after="0"/>
              <w:jc w:val="left"/>
              <w:rPr>
                <w:noProof/>
                <w:sz w:val="20"/>
              </w:rPr>
            </w:pPr>
            <w:r>
              <w:rPr>
                <w:noProof/>
                <w:sz w:val="20"/>
              </w:rPr>
              <w:t>COM(2017) 571 final.</w:t>
            </w:r>
            <w:r>
              <w:rPr>
                <w:noProof/>
                <w:sz w:val="20"/>
              </w:rPr>
              <w:br/>
              <w:t>2017/0245 (COD)</w:t>
            </w:r>
            <w:r>
              <w:rPr>
                <w:noProof/>
                <w:sz w:val="20"/>
              </w:rPr>
              <w:br/>
              <w:t>28. 9. 2017</w:t>
            </w:r>
          </w:p>
        </w:tc>
        <w:tc>
          <w:tcPr>
            <w:tcW w:w="1417" w:type="dxa"/>
          </w:tcPr>
          <w:p w:rsidR="003B0BA2" w:rsidRPr="002E5596" w:rsidRDefault="003B0BA2" w:rsidP="003B0BA2">
            <w:pPr>
              <w:spacing w:after="0"/>
              <w:jc w:val="center"/>
              <w:rPr>
                <w:b/>
                <w:sz w:val="20"/>
              </w:rPr>
            </w:pPr>
            <w:r w:rsidRPr="002E5596">
              <w:rPr>
                <w:b/>
                <w:sz w:val="20"/>
              </w:rPr>
              <w:t>MV SR</w:t>
            </w:r>
          </w:p>
        </w:tc>
        <w:tc>
          <w:tcPr>
            <w:tcW w:w="6095" w:type="dxa"/>
          </w:tcPr>
          <w:p w:rsidR="003B0BA2" w:rsidRPr="002E5596" w:rsidRDefault="003B0BA2" w:rsidP="003B0BA2">
            <w:pPr>
              <w:spacing w:after="0"/>
              <w:rPr>
                <w:b/>
                <w:sz w:val="20"/>
                <w:u w:val="single"/>
              </w:rPr>
            </w:pPr>
            <w:r w:rsidRPr="002E5596">
              <w:rPr>
                <w:b/>
                <w:sz w:val="20"/>
                <w:u w:val="single"/>
              </w:rPr>
              <w:t>Vysoká priorita</w:t>
            </w:r>
            <w:r w:rsidRPr="002E5596">
              <w:rPr>
                <w:b/>
                <w:sz w:val="20"/>
              </w:rPr>
              <w:t xml:space="preserve"> - </w:t>
            </w:r>
            <w:r w:rsidRPr="002D7037">
              <w:rPr>
                <w:sz w:val="20"/>
              </w:rPr>
              <w:t>SR nepodporila návrh nariadenia v znení predloženom Komisiou. Presadzovali sa zmeny v texte smerujúce k  posilneniu záruk proti zneužívaniu inštitútu dočasného obnovenia kontroly vnútorných hraníc.</w:t>
            </w:r>
            <w:r>
              <w:rPr>
                <w:sz w:val="20"/>
              </w:rPr>
              <w:t xml:space="preserve"> SR na tchnických rokovaniach uplatnila svoje pripomienky.</w:t>
            </w:r>
          </w:p>
          <w:p w:rsidR="003B0BA2" w:rsidRDefault="003B0BA2" w:rsidP="003B0BA2">
            <w:pPr>
              <w:spacing w:after="0"/>
              <w:rPr>
                <w:b/>
                <w:sz w:val="20"/>
              </w:rPr>
            </w:pPr>
            <w:r w:rsidRPr="002D7037">
              <w:rPr>
                <w:sz w:val="20"/>
              </w:rPr>
              <w:t>Pozícia Rady bola schválená v júni 2018</w:t>
            </w:r>
            <w:r>
              <w:rPr>
                <w:sz w:val="20"/>
              </w:rPr>
              <w:t xml:space="preserve"> aj s podporou SR</w:t>
            </w:r>
            <w:r w:rsidRPr="002D7037">
              <w:rPr>
                <w:sz w:val="20"/>
              </w:rPr>
              <w:t>.</w:t>
            </w:r>
            <w:r>
              <w:rPr>
                <w:sz w:val="20"/>
              </w:rPr>
              <w:t xml:space="preserve"> Rokovania s EP sú momentálne zablokované.</w:t>
            </w:r>
          </w:p>
        </w:tc>
      </w:tr>
      <w:tr w:rsidR="003B0BA2" w:rsidTr="00687C5F">
        <w:trPr>
          <w:cantSplit/>
        </w:trPr>
        <w:tc>
          <w:tcPr>
            <w:tcW w:w="652" w:type="dxa"/>
            <w:tcBorders>
              <w:right w:val="nil"/>
            </w:tcBorders>
            <w:shd w:val="clear" w:color="auto" w:fill="auto"/>
            <w:tcMar>
              <w:top w:w="85" w:type="dxa"/>
              <w:left w:w="85" w:type="dxa"/>
              <w:bottom w:w="85" w:type="dxa"/>
            </w:tcMar>
          </w:tcPr>
          <w:p w:rsidR="003B0BA2" w:rsidRDefault="003B0BA2" w:rsidP="003B0BA2">
            <w:pPr>
              <w:pStyle w:val="Odsekzoznamu"/>
              <w:numPr>
                <w:ilvl w:val="0"/>
                <w:numId w:val="20"/>
              </w:numPr>
              <w:spacing w:after="0"/>
              <w:ind w:left="426"/>
              <w:rPr>
                <w:b/>
                <w:noProof/>
                <w:sz w:val="20"/>
              </w:rPr>
            </w:pPr>
          </w:p>
        </w:tc>
        <w:tc>
          <w:tcPr>
            <w:tcW w:w="4588" w:type="dxa"/>
            <w:shd w:val="clear" w:color="auto" w:fill="auto"/>
            <w:tcMar>
              <w:top w:w="85" w:type="dxa"/>
              <w:left w:w="85" w:type="dxa"/>
              <w:bottom w:w="85" w:type="dxa"/>
            </w:tcMar>
          </w:tcPr>
          <w:p w:rsidR="003B0BA2" w:rsidRDefault="003B0BA2" w:rsidP="003B0BA2">
            <w:pPr>
              <w:spacing w:after="0"/>
              <w:rPr>
                <w:noProof/>
                <w:sz w:val="20"/>
              </w:rPr>
            </w:pPr>
            <w:r>
              <w:rPr>
                <w:noProof/>
                <w:sz w:val="20"/>
              </w:rPr>
              <w:t>Návrh NARIADENIA EURÓPSKEHO PARLAMENTU A RADY o Agentúre Európskej únie pre azyl, ktorým sa zrušuje nariadenie (EÚ) č. 439/2010</w:t>
            </w:r>
          </w:p>
        </w:tc>
        <w:tc>
          <w:tcPr>
            <w:tcW w:w="1985" w:type="dxa"/>
            <w:tcMar>
              <w:top w:w="85" w:type="dxa"/>
              <w:left w:w="85" w:type="dxa"/>
              <w:bottom w:w="85" w:type="dxa"/>
            </w:tcMar>
          </w:tcPr>
          <w:p w:rsidR="003B0BA2" w:rsidRDefault="003B0BA2" w:rsidP="003B0BA2">
            <w:pPr>
              <w:spacing w:after="0"/>
              <w:jc w:val="left"/>
              <w:rPr>
                <w:noProof/>
                <w:sz w:val="20"/>
              </w:rPr>
            </w:pPr>
            <w:r>
              <w:rPr>
                <w:noProof/>
                <w:sz w:val="20"/>
              </w:rPr>
              <w:t>COM(2016) 271 final.</w:t>
            </w:r>
            <w:r>
              <w:rPr>
                <w:noProof/>
                <w:sz w:val="20"/>
              </w:rPr>
              <w:br/>
              <w:t>2016/0131 (COD)</w:t>
            </w:r>
            <w:r>
              <w:rPr>
                <w:noProof/>
                <w:sz w:val="20"/>
              </w:rPr>
              <w:br/>
              <w:t>4. 5. 2016</w:t>
            </w:r>
            <w:r>
              <w:rPr>
                <w:noProof/>
                <w:sz w:val="20"/>
              </w:rPr>
              <w:br/>
            </w:r>
            <w:r>
              <w:rPr>
                <w:noProof/>
                <w:sz w:val="20"/>
              </w:rPr>
              <w:br/>
              <w:t>COM(2018) 633 final.</w:t>
            </w:r>
            <w:r>
              <w:rPr>
                <w:noProof/>
                <w:sz w:val="20"/>
              </w:rPr>
              <w:br/>
              <w:t>12. 9. 2018</w:t>
            </w:r>
          </w:p>
        </w:tc>
        <w:tc>
          <w:tcPr>
            <w:tcW w:w="1417" w:type="dxa"/>
          </w:tcPr>
          <w:p w:rsidR="003B0BA2" w:rsidRPr="002E5596" w:rsidRDefault="003B0BA2" w:rsidP="003B0BA2">
            <w:pPr>
              <w:spacing w:after="0"/>
              <w:jc w:val="center"/>
              <w:rPr>
                <w:b/>
                <w:sz w:val="20"/>
              </w:rPr>
            </w:pPr>
            <w:r w:rsidRPr="002E5596">
              <w:rPr>
                <w:b/>
                <w:sz w:val="20"/>
              </w:rPr>
              <w:t>MV SR</w:t>
            </w:r>
          </w:p>
        </w:tc>
        <w:tc>
          <w:tcPr>
            <w:tcW w:w="6095" w:type="dxa"/>
          </w:tcPr>
          <w:p w:rsidR="003B0BA2" w:rsidRPr="002E5596" w:rsidRDefault="003B0BA2" w:rsidP="003B0BA2">
            <w:pPr>
              <w:spacing w:after="0"/>
              <w:rPr>
                <w:sz w:val="20"/>
              </w:rPr>
            </w:pPr>
            <w:r w:rsidRPr="002E5596">
              <w:rPr>
                <w:b/>
                <w:sz w:val="20"/>
                <w:u w:val="single"/>
              </w:rPr>
              <w:t>Vysoká priorita</w:t>
            </w:r>
            <w:r>
              <w:rPr>
                <w:sz w:val="20"/>
              </w:rPr>
              <w:t xml:space="preserve"> - </w:t>
            </w:r>
            <w:r w:rsidRPr="002D7037">
              <w:rPr>
                <w:sz w:val="20"/>
              </w:rPr>
              <w:t>Na základe návrhu má byť vytvorená Európska agentúra pre azyl (EUAA), ktorá nahradí doterajšiu agentúru EASO. Návrh počíta s posilnením právomocí agentúry, s rozšírením mandátu a posilneným personálnym zabezpečením. Návrh bol Komisiou zmenený v septembri 2018.</w:t>
            </w:r>
            <w:r>
              <w:rPr>
                <w:sz w:val="20"/>
              </w:rPr>
              <w:t xml:space="preserve"> K poslednému návrhu textu nemala SR pripomienky.Rokovania sú momentálne utlmené.</w:t>
            </w:r>
          </w:p>
        </w:tc>
      </w:tr>
      <w:tr w:rsidR="003B0BA2" w:rsidTr="00687C5F">
        <w:trPr>
          <w:cantSplit/>
        </w:trPr>
        <w:tc>
          <w:tcPr>
            <w:tcW w:w="652" w:type="dxa"/>
            <w:tcBorders>
              <w:right w:val="nil"/>
            </w:tcBorders>
            <w:shd w:val="clear" w:color="auto" w:fill="auto"/>
            <w:tcMar>
              <w:top w:w="85" w:type="dxa"/>
              <w:left w:w="85" w:type="dxa"/>
              <w:bottom w:w="85" w:type="dxa"/>
            </w:tcMar>
          </w:tcPr>
          <w:p w:rsidR="003B0BA2" w:rsidRDefault="003B0BA2" w:rsidP="003B0BA2">
            <w:pPr>
              <w:pStyle w:val="Odsekzoznamu"/>
              <w:numPr>
                <w:ilvl w:val="0"/>
                <w:numId w:val="20"/>
              </w:numPr>
              <w:spacing w:after="0"/>
              <w:ind w:left="426"/>
              <w:rPr>
                <w:b/>
                <w:noProof/>
                <w:sz w:val="20"/>
              </w:rPr>
            </w:pPr>
          </w:p>
        </w:tc>
        <w:tc>
          <w:tcPr>
            <w:tcW w:w="4588" w:type="dxa"/>
            <w:shd w:val="clear" w:color="auto" w:fill="auto"/>
            <w:tcMar>
              <w:top w:w="85" w:type="dxa"/>
              <w:left w:w="85" w:type="dxa"/>
              <w:bottom w:w="85" w:type="dxa"/>
            </w:tcMar>
          </w:tcPr>
          <w:p w:rsidR="003B0BA2" w:rsidRDefault="003B0BA2" w:rsidP="003B0BA2">
            <w:pPr>
              <w:spacing w:after="0"/>
              <w:rPr>
                <w:noProof/>
                <w:sz w:val="20"/>
              </w:rPr>
            </w:pPr>
            <w:r>
              <w:rPr>
                <w:noProof/>
                <w:sz w:val="20"/>
              </w:rPr>
              <w:t>Návrh NARIADENIE EURÓPSKEHO PARLAMENTU A RADY o zriadení systému Eurodac na porovnávanie odtlačkov prstov pre účinné uplatňovanie [nariadenia (EÚ) č. 604/2013, ktorým sa ustanovujú kritériá a mechanizmy na určenie členského štátu zodpovedného za posúdenie žiadosti o medzinárodnú ochranu podanej štátnym príslušníkom tretej krajiny alebo osobou bez štátnej príslušnosti v jednom z členských štátov, na zistenie totožnosti neoprávnene sa zdržiavajúcich štátnych príslušníkov tretích krajín alebo osôb bez štátnej príslušnosti] a o žiadostiach orgánov členských štátov na presadzovanie práva a Europolu o porovnanie s údajmi v systéme Eurodac na účely presadzovania práva (prepracované znenie)</w:t>
            </w:r>
          </w:p>
        </w:tc>
        <w:tc>
          <w:tcPr>
            <w:tcW w:w="1985" w:type="dxa"/>
            <w:tcMar>
              <w:top w:w="85" w:type="dxa"/>
              <w:left w:w="85" w:type="dxa"/>
              <w:bottom w:w="85" w:type="dxa"/>
            </w:tcMar>
          </w:tcPr>
          <w:p w:rsidR="003B0BA2" w:rsidRDefault="003B0BA2" w:rsidP="003B0BA2">
            <w:pPr>
              <w:spacing w:after="0"/>
              <w:jc w:val="left"/>
              <w:rPr>
                <w:noProof/>
                <w:sz w:val="20"/>
              </w:rPr>
            </w:pPr>
            <w:r>
              <w:rPr>
                <w:noProof/>
                <w:sz w:val="20"/>
              </w:rPr>
              <w:t>COM(2016) 272 final.</w:t>
            </w:r>
            <w:r>
              <w:rPr>
                <w:noProof/>
                <w:sz w:val="20"/>
              </w:rPr>
              <w:br/>
              <w:t>2016/0132 (COD)</w:t>
            </w:r>
            <w:r>
              <w:rPr>
                <w:noProof/>
                <w:sz w:val="20"/>
              </w:rPr>
              <w:br/>
              <w:t xml:space="preserve">4. 5. 2016 </w:t>
            </w:r>
          </w:p>
        </w:tc>
        <w:tc>
          <w:tcPr>
            <w:tcW w:w="1417" w:type="dxa"/>
          </w:tcPr>
          <w:p w:rsidR="003B0BA2" w:rsidRPr="002E5596" w:rsidRDefault="003B0BA2" w:rsidP="003B0BA2">
            <w:pPr>
              <w:spacing w:after="0"/>
              <w:jc w:val="center"/>
              <w:rPr>
                <w:b/>
                <w:sz w:val="20"/>
              </w:rPr>
            </w:pPr>
            <w:r w:rsidRPr="002E5596">
              <w:rPr>
                <w:b/>
                <w:sz w:val="20"/>
              </w:rPr>
              <w:t>MV SR</w:t>
            </w:r>
          </w:p>
        </w:tc>
        <w:tc>
          <w:tcPr>
            <w:tcW w:w="6095" w:type="dxa"/>
          </w:tcPr>
          <w:p w:rsidR="003B0BA2" w:rsidRPr="002E5596" w:rsidRDefault="003B0BA2" w:rsidP="003B0BA2">
            <w:pPr>
              <w:spacing w:after="0"/>
              <w:rPr>
                <w:sz w:val="20"/>
              </w:rPr>
            </w:pPr>
            <w:r w:rsidRPr="002E5596">
              <w:rPr>
                <w:b/>
                <w:sz w:val="20"/>
                <w:u w:val="single"/>
              </w:rPr>
              <w:t>Vysoká priorita</w:t>
            </w:r>
            <w:r>
              <w:rPr>
                <w:sz w:val="20"/>
              </w:rPr>
              <w:t xml:space="preserve"> - </w:t>
            </w:r>
            <w:r w:rsidRPr="002D7037">
              <w:rPr>
                <w:sz w:val="20"/>
              </w:rPr>
              <w:t xml:space="preserve">Návrh na posilnenie databázy na porovnávanie odtlačkov prstov EURODAC za účelom lepšieho riadenia azylového systému a potláčaniu nelegálnej migrácie. </w:t>
            </w:r>
            <w:r>
              <w:rPr>
                <w:sz w:val="20"/>
              </w:rPr>
              <w:t>Z</w:t>
            </w:r>
            <w:r w:rsidRPr="005E460E">
              <w:rPr>
                <w:sz w:val="20"/>
              </w:rPr>
              <w:t>otrváva naša pozícia s potrebou zachovania čo najdlhšej lehoty uchovávania údajov v evidenčných systémoch, min. 10 rokov</w:t>
            </w:r>
          </w:p>
          <w:p w:rsidR="003B0BA2" w:rsidRDefault="003B0BA2" w:rsidP="003B0BA2">
            <w:pPr>
              <w:spacing w:after="0"/>
              <w:rPr>
                <w:b/>
                <w:sz w:val="20"/>
              </w:rPr>
            </w:pPr>
            <w:r>
              <w:rPr>
                <w:sz w:val="20"/>
              </w:rPr>
              <w:t>Rokovania sú momentálne utlmené.</w:t>
            </w:r>
          </w:p>
        </w:tc>
      </w:tr>
      <w:tr w:rsidR="003B0BA2" w:rsidTr="00687C5F">
        <w:trPr>
          <w:cantSplit/>
        </w:trPr>
        <w:tc>
          <w:tcPr>
            <w:tcW w:w="652" w:type="dxa"/>
            <w:tcBorders>
              <w:right w:val="nil"/>
            </w:tcBorders>
            <w:shd w:val="clear" w:color="auto" w:fill="auto"/>
            <w:tcMar>
              <w:top w:w="85" w:type="dxa"/>
              <w:left w:w="85" w:type="dxa"/>
              <w:bottom w:w="85" w:type="dxa"/>
            </w:tcMar>
          </w:tcPr>
          <w:p w:rsidR="003B0BA2" w:rsidRDefault="003B0BA2" w:rsidP="003B0BA2">
            <w:pPr>
              <w:pStyle w:val="Odsekzoznamu"/>
              <w:numPr>
                <w:ilvl w:val="0"/>
                <w:numId w:val="20"/>
              </w:numPr>
              <w:spacing w:after="0"/>
              <w:ind w:left="426"/>
              <w:rPr>
                <w:b/>
                <w:noProof/>
                <w:sz w:val="20"/>
              </w:rPr>
            </w:pPr>
          </w:p>
        </w:tc>
        <w:tc>
          <w:tcPr>
            <w:tcW w:w="4588" w:type="dxa"/>
            <w:shd w:val="clear" w:color="auto" w:fill="auto"/>
            <w:tcMar>
              <w:top w:w="85" w:type="dxa"/>
              <w:left w:w="85" w:type="dxa"/>
              <w:bottom w:w="85" w:type="dxa"/>
            </w:tcMar>
          </w:tcPr>
          <w:p w:rsidR="003B0BA2" w:rsidRDefault="003B0BA2" w:rsidP="003B0BA2">
            <w:pPr>
              <w:spacing w:after="0"/>
              <w:rPr>
                <w:noProof/>
                <w:sz w:val="20"/>
              </w:rPr>
            </w:pPr>
            <w:r>
              <w:rPr>
                <w:noProof/>
                <w:sz w:val="20"/>
              </w:rPr>
              <w:t>Návrh NARIADENIE EURÓPSKEHO PARLAMENTU A RADY, ktorým sa stanovujú kritériá a mechanizmy na určenie členského štátu zodpovedného za posúdenie žiadosti o medzinárodnú ochranu podanej štátnym príslušníkom tretej krajiny alebo osobou bez štátnej príslušnosti v jednom z členských štátov (prepracované znenie)</w:t>
            </w:r>
          </w:p>
        </w:tc>
        <w:tc>
          <w:tcPr>
            <w:tcW w:w="1985" w:type="dxa"/>
            <w:tcMar>
              <w:top w:w="85" w:type="dxa"/>
              <w:left w:w="85" w:type="dxa"/>
              <w:bottom w:w="85" w:type="dxa"/>
            </w:tcMar>
          </w:tcPr>
          <w:p w:rsidR="003B0BA2" w:rsidRDefault="003B0BA2" w:rsidP="003B0BA2">
            <w:pPr>
              <w:spacing w:after="0"/>
              <w:jc w:val="left"/>
              <w:rPr>
                <w:noProof/>
                <w:sz w:val="20"/>
              </w:rPr>
            </w:pPr>
            <w:r>
              <w:rPr>
                <w:noProof/>
                <w:sz w:val="20"/>
              </w:rPr>
              <w:t>COM(2016) 270 final.</w:t>
            </w:r>
            <w:r>
              <w:rPr>
                <w:noProof/>
                <w:sz w:val="20"/>
              </w:rPr>
              <w:br/>
              <w:t>2016/0133 (COD)</w:t>
            </w:r>
            <w:r>
              <w:rPr>
                <w:noProof/>
                <w:sz w:val="20"/>
              </w:rPr>
              <w:br/>
              <w:t>4. 5. 2016</w:t>
            </w:r>
          </w:p>
        </w:tc>
        <w:tc>
          <w:tcPr>
            <w:tcW w:w="1417" w:type="dxa"/>
          </w:tcPr>
          <w:p w:rsidR="003B0BA2" w:rsidRPr="002E5596" w:rsidRDefault="003B0BA2" w:rsidP="003B0BA2">
            <w:pPr>
              <w:spacing w:after="0"/>
              <w:jc w:val="center"/>
              <w:rPr>
                <w:b/>
                <w:sz w:val="20"/>
              </w:rPr>
            </w:pPr>
            <w:r w:rsidRPr="002E5596">
              <w:rPr>
                <w:b/>
                <w:sz w:val="20"/>
              </w:rPr>
              <w:t>MV SR</w:t>
            </w:r>
          </w:p>
        </w:tc>
        <w:tc>
          <w:tcPr>
            <w:tcW w:w="6095" w:type="dxa"/>
          </w:tcPr>
          <w:p w:rsidR="003B0BA2" w:rsidRPr="002E5596" w:rsidRDefault="003B0BA2" w:rsidP="003B0BA2">
            <w:pPr>
              <w:spacing w:after="0"/>
              <w:rPr>
                <w:sz w:val="20"/>
              </w:rPr>
            </w:pPr>
            <w:r w:rsidRPr="002E5596">
              <w:rPr>
                <w:b/>
                <w:sz w:val="20"/>
                <w:u w:val="single"/>
              </w:rPr>
              <w:t>Vysoká priorita</w:t>
            </w:r>
            <w:r>
              <w:rPr>
                <w:sz w:val="20"/>
              </w:rPr>
              <w:t xml:space="preserve"> - </w:t>
            </w:r>
            <w:r w:rsidRPr="002D7037">
              <w:rPr>
                <w:sz w:val="20"/>
              </w:rPr>
              <w:t>Vzhľadom na politickú pozíciu a odmietavý postoj voči nápravnému alokačnému (prerozdeľovaciemu)</w:t>
            </w:r>
            <w:r>
              <w:rPr>
                <w:sz w:val="20"/>
              </w:rPr>
              <w:t xml:space="preserve"> mechanizmu ide o citlivý návrh, ktorý sa stretoj aj s odmietavým postojom SR.</w:t>
            </w:r>
          </w:p>
          <w:p w:rsidR="003B0BA2" w:rsidRDefault="003B0BA2" w:rsidP="003B0BA2">
            <w:pPr>
              <w:spacing w:after="0"/>
              <w:rPr>
                <w:b/>
                <w:sz w:val="20"/>
              </w:rPr>
            </w:pPr>
            <w:r>
              <w:rPr>
                <w:sz w:val="20"/>
              </w:rPr>
              <w:t xml:space="preserve">Doteraz </w:t>
            </w:r>
            <w:r w:rsidRPr="002D7037">
              <w:rPr>
                <w:sz w:val="20"/>
              </w:rPr>
              <w:t>sa nepodarilo dosiahnuť konsenzus medzi členskými štátmi v otázke rovnováhy medzi zodpovednosťou a solidaritou.</w:t>
            </w:r>
          </w:p>
          <w:p w:rsidR="003B0BA2" w:rsidRDefault="003B0BA2" w:rsidP="003B0BA2">
            <w:pPr>
              <w:spacing w:after="0"/>
              <w:rPr>
                <w:b/>
                <w:sz w:val="20"/>
              </w:rPr>
            </w:pPr>
            <w:r>
              <w:rPr>
                <w:sz w:val="20"/>
              </w:rPr>
              <w:t>Rokovania sú momentálne utlmené.</w:t>
            </w:r>
          </w:p>
        </w:tc>
      </w:tr>
      <w:tr w:rsidR="003B0BA2" w:rsidTr="00687C5F">
        <w:trPr>
          <w:cantSplit/>
        </w:trPr>
        <w:tc>
          <w:tcPr>
            <w:tcW w:w="652" w:type="dxa"/>
            <w:tcBorders>
              <w:right w:val="nil"/>
            </w:tcBorders>
            <w:shd w:val="clear" w:color="auto" w:fill="auto"/>
            <w:tcMar>
              <w:top w:w="85" w:type="dxa"/>
              <w:left w:w="85" w:type="dxa"/>
              <w:bottom w:w="85" w:type="dxa"/>
            </w:tcMar>
          </w:tcPr>
          <w:p w:rsidR="003B0BA2" w:rsidRDefault="003B0BA2" w:rsidP="003B0BA2">
            <w:pPr>
              <w:pStyle w:val="Odsekzoznamu"/>
              <w:numPr>
                <w:ilvl w:val="0"/>
                <w:numId w:val="20"/>
              </w:numPr>
              <w:spacing w:after="0"/>
              <w:ind w:left="426"/>
              <w:rPr>
                <w:b/>
                <w:noProof/>
                <w:sz w:val="20"/>
              </w:rPr>
            </w:pPr>
          </w:p>
        </w:tc>
        <w:tc>
          <w:tcPr>
            <w:tcW w:w="4588" w:type="dxa"/>
            <w:shd w:val="clear" w:color="auto" w:fill="auto"/>
            <w:tcMar>
              <w:top w:w="85" w:type="dxa"/>
              <w:left w:w="85" w:type="dxa"/>
              <w:bottom w:w="85" w:type="dxa"/>
            </w:tcMar>
          </w:tcPr>
          <w:p w:rsidR="003B0BA2" w:rsidRDefault="003B0BA2" w:rsidP="003B0BA2">
            <w:pPr>
              <w:spacing w:after="0"/>
              <w:rPr>
                <w:noProof/>
                <w:sz w:val="20"/>
              </w:rPr>
            </w:pPr>
            <w:r>
              <w:rPr>
                <w:noProof/>
                <w:sz w:val="20"/>
              </w:rPr>
              <w:t>Návrh SMERNICA EURÓPSKEHO PARLAMENTU A RADY, ktorou sa stanovujú normy pre prijímanie žiadateľov o medzinárodnú ochranu (prepracované znenie)</w:t>
            </w:r>
          </w:p>
        </w:tc>
        <w:tc>
          <w:tcPr>
            <w:tcW w:w="1985" w:type="dxa"/>
            <w:tcMar>
              <w:top w:w="85" w:type="dxa"/>
              <w:left w:w="85" w:type="dxa"/>
              <w:bottom w:w="85" w:type="dxa"/>
            </w:tcMar>
          </w:tcPr>
          <w:p w:rsidR="003B0BA2" w:rsidRDefault="003B0BA2" w:rsidP="003B0BA2">
            <w:pPr>
              <w:spacing w:after="0"/>
              <w:jc w:val="left"/>
              <w:rPr>
                <w:noProof/>
                <w:sz w:val="20"/>
              </w:rPr>
            </w:pPr>
            <w:r>
              <w:rPr>
                <w:noProof/>
                <w:sz w:val="20"/>
              </w:rPr>
              <w:t>COM(2016) 465 final.</w:t>
            </w:r>
            <w:r>
              <w:rPr>
                <w:noProof/>
                <w:sz w:val="20"/>
              </w:rPr>
              <w:br/>
              <w:t>2016/0222 (COD)</w:t>
            </w:r>
            <w:r>
              <w:rPr>
                <w:noProof/>
                <w:sz w:val="20"/>
              </w:rPr>
              <w:br/>
              <w:t>13. 7. 2016</w:t>
            </w:r>
          </w:p>
        </w:tc>
        <w:tc>
          <w:tcPr>
            <w:tcW w:w="1417" w:type="dxa"/>
          </w:tcPr>
          <w:p w:rsidR="003B0BA2" w:rsidRPr="002E5596" w:rsidRDefault="003B0BA2" w:rsidP="003B0BA2">
            <w:pPr>
              <w:spacing w:after="0"/>
              <w:jc w:val="center"/>
              <w:rPr>
                <w:b/>
                <w:sz w:val="20"/>
                <w:highlight w:val="yellow"/>
              </w:rPr>
            </w:pPr>
            <w:r w:rsidRPr="002E5596">
              <w:rPr>
                <w:b/>
                <w:sz w:val="20"/>
              </w:rPr>
              <w:t>MV SR</w:t>
            </w:r>
          </w:p>
        </w:tc>
        <w:tc>
          <w:tcPr>
            <w:tcW w:w="6095" w:type="dxa"/>
          </w:tcPr>
          <w:p w:rsidR="003B0BA2" w:rsidRPr="002E5596" w:rsidRDefault="003B0BA2" w:rsidP="003B0BA2">
            <w:pPr>
              <w:spacing w:after="0"/>
              <w:rPr>
                <w:sz w:val="20"/>
              </w:rPr>
            </w:pPr>
            <w:r w:rsidRPr="002E5596">
              <w:rPr>
                <w:b/>
                <w:sz w:val="20"/>
                <w:u w:val="single"/>
              </w:rPr>
              <w:t>Vysoká priorita</w:t>
            </w:r>
            <w:r>
              <w:rPr>
                <w:sz w:val="20"/>
              </w:rPr>
              <w:t xml:space="preserve"> - </w:t>
            </w:r>
            <w:r w:rsidRPr="002D7037">
              <w:rPr>
                <w:sz w:val="20"/>
              </w:rPr>
              <w:t>Cieľom návrhu je vyššia miera harmonizácie noriem týkajúcich sa po</w:t>
            </w:r>
            <w:r>
              <w:rPr>
                <w:sz w:val="20"/>
              </w:rPr>
              <w:t xml:space="preserve">dmienok prijímania žiadateľov </w:t>
            </w:r>
            <w:r w:rsidRPr="002D7037">
              <w:rPr>
                <w:sz w:val="20"/>
              </w:rPr>
              <w:t>medzinárodnú ochranu v celej EÚ.</w:t>
            </w:r>
            <w:r>
              <w:rPr>
                <w:sz w:val="20"/>
              </w:rPr>
              <w:t xml:space="preserve"> </w:t>
            </w:r>
            <w:r w:rsidRPr="005E460E">
              <w:rPr>
                <w:sz w:val="20"/>
              </w:rPr>
              <w:t>K dokumentu ako celku má SR stále viacero výhrad, dve sú zásadného charakteru</w:t>
            </w:r>
          </w:p>
          <w:p w:rsidR="003B0BA2" w:rsidRPr="008503AC" w:rsidRDefault="003B0BA2" w:rsidP="003B0BA2">
            <w:pPr>
              <w:spacing w:after="0"/>
              <w:rPr>
                <w:b/>
                <w:sz w:val="20"/>
                <w:highlight w:val="yellow"/>
              </w:rPr>
            </w:pPr>
            <w:r>
              <w:rPr>
                <w:sz w:val="20"/>
              </w:rPr>
              <w:t>Rokovania sú momentálne utlmené.</w:t>
            </w:r>
          </w:p>
        </w:tc>
      </w:tr>
      <w:tr w:rsidR="003B0BA2" w:rsidTr="00687C5F">
        <w:trPr>
          <w:cantSplit/>
        </w:trPr>
        <w:tc>
          <w:tcPr>
            <w:tcW w:w="652" w:type="dxa"/>
            <w:tcBorders>
              <w:right w:val="nil"/>
            </w:tcBorders>
            <w:shd w:val="clear" w:color="auto" w:fill="auto"/>
            <w:tcMar>
              <w:top w:w="85" w:type="dxa"/>
              <w:left w:w="85" w:type="dxa"/>
              <w:bottom w:w="85" w:type="dxa"/>
            </w:tcMar>
          </w:tcPr>
          <w:p w:rsidR="003B0BA2" w:rsidRDefault="003B0BA2" w:rsidP="003B0BA2">
            <w:pPr>
              <w:pStyle w:val="Odsekzoznamu"/>
              <w:numPr>
                <w:ilvl w:val="0"/>
                <w:numId w:val="20"/>
              </w:numPr>
              <w:spacing w:after="0"/>
              <w:ind w:left="426"/>
              <w:rPr>
                <w:b/>
                <w:noProof/>
                <w:sz w:val="20"/>
              </w:rPr>
            </w:pPr>
          </w:p>
        </w:tc>
        <w:tc>
          <w:tcPr>
            <w:tcW w:w="4588" w:type="dxa"/>
            <w:shd w:val="clear" w:color="auto" w:fill="auto"/>
            <w:tcMar>
              <w:top w:w="85" w:type="dxa"/>
              <w:left w:w="85" w:type="dxa"/>
              <w:bottom w:w="85" w:type="dxa"/>
            </w:tcMar>
          </w:tcPr>
          <w:p w:rsidR="003B0BA2" w:rsidRDefault="003B0BA2" w:rsidP="003B0BA2">
            <w:pPr>
              <w:spacing w:after="0"/>
              <w:rPr>
                <w:noProof/>
                <w:sz w:val="20"/>
              </w:rPr>
            </w:pPr>
            <w:r>
              <w:rPr>
                <w:noProof/>
                <w:sz w:val="20"/>
              </w:rPr>
              <w:t xml:space="preserve">Návrh NARIADENIE EURÓPSKEHO PARLAMENTU A RADY o normách pre podmienky, ktoré musia spĺňať štátni príslušníci tretej krajiny alebo osoby bez štátnej príslušnosti na poskytnutie medzinárodnej ochrany, pre jednotné postavenie utečencov alebo osôb oprávnených na doplnkovú ochranu a pre obsah poskytovanej ochrany, a ktorým sa mení smernica Rady 2003/109/ES z 25. novembra 2003, pokiaľ ide o postavenie štátnych príslušníkov tretej krajiny, ktorí sú osobami s dlhodobým pobytom </w:t>
            </w:r>
          </w:p>
        </w:tc>
        <w:tc>
          <w:tcPr>
            <w:tcW w:w="1985" w:type="dxa"/>
            <w:tcMar>
              <w:top w:w="85" w:type="dxa"/>
              <w:left w:w="85" w:type="dxa"/>
              <w:bottom w:w="85" w:type="dxa"/>
            </w:tcMar>
          </w:tcPr>
          <w:p w:rsidR="003B0BA2" w:rsidRDefault="003B0BA2" w:rsidP="003B0BA2">
            <w:pPr>
              <w:spacing w:after="0"/>
              <w:jc w:val="left"/>
              <w:rPr>
                <w:noProof/>
                <w:sz w:val="20"/>
              </w:rPr>
            </w:pPr>
            <w:r>
              <w:rPr>
                <w:noProof/>
                <w:sz w:val="20"/>
              </w:rPr>
              <w:t>COM(2016) 466 final.</w:t>
            </w:r>
            <w:r>
              <w:rPr>
                <w:noProof/>
                <w:sz w:val="20"/>
              </w:rPr>
              <w:br/>
              <w:t>2016/0223 (COD)</w:t>
            </w:r>
            <w:r>
              <w:rPr>
                <w:noProof/>
                <w:sz w:val="20"/>
              </w:rPr>
              <w:br/>
              <w:t>13. 7. 2016</w:t>
            </w:r>
          </w:p>
        </w:tc>
        <w:tc>
          <w:tcPr>
            <w:tcW w:w="1417" w:type="dxa"/>
          </w:tcPr>
          <w:p w:rsidR="003B0BA2" w:rsidRPr="002E5596" w:rsidRDefault="003B0BA2" w:rsidP="003B0BA2">
            <w:pPr>
              <w:spacing w:after="0"/>
              <w:jc w:val="center"/>
              <w:rPr>
                <w:b/>
                <w:sz w:val="20"/>
                <w:highlight w:val="yellow"/>
              </w:rPr>
            </w:pPr>
            <w:r w:rsidRPr="002E5596">
              <w:rPr>
                <w:b/>
                <w:sz w:val="20"/>
              </w:rPr>
              <w:t>MV SR</w:t>
            </w:r>
          </w:p>
        </w:tc>
        <w:tc>
          <w:tcPr>
            <w:tcW w:w="6095" w:type="dxa"/>
          </w:tcPr>
          <w:p w:rsidR="003B0BA2" w:rsidRPr="002E5596" w:rsidRDefault="003B0BA2" w:rsidP="003B0BA2">
            <w:pPr>
              <w:spacing w:after="0"/>
              <w:rPr>
                <w:sz w:val="20"/>
              </w:rPr>
            </w:pPr>
            <w:r w:rsidRPr="002E5596">
              <w:rPr>
                <w:b/>
                <w:sz w:val="20"/>
                <w:u w:val="single"/>
              </w:rPr>
              <w:t>Vysoká priorita</w:t>
            </w:r>
            <w:r>
              <w:rPr>
                <w:sz w:val="20"/>
              </w:rPr>
              <w:t xml:space="preserve"> - </w:t>
            </w:r>
            <w:r w:rsidRPr="002D7037">
              <w:rPr>
                <w:sz w:val="20"/>
              </w:rPr>
              <w:t xml:space="preserve">Za účelom lepšej harmonizácie kritérií pre uznanie medzinárodnej ochrany a obsah práv osôb, ktoré sa vzťahujú k tomuto postaveniu, nahradzuje legislatívny návrh doterajšiu tzv. Kvalifikačnú smernicu. </w:t>
            </w:r>
            <w:r>
              <w:rPr>
                <w:sz w:val="20"/>
              </w:rPr>
              <w:t xml:space="preserve">Z pohľadu SR sa </w:t>
            </w:r>
            <w:r w:rsidRPr="005E460E">
              <w:rPr>
                <w:sz w:val="20"/>
              </w:rPr>
              <w:t>neodporúča podpor</w:t>
            </w:r>
            <w:r>
              <w:rPr>
                <w:sz w:val="20"/>
              </w:rPr>
              <w:t>a</w:t>
            </w:r>
            <w:r w:rsidRPr="005E460E">
              <w:rPr>
                <w:sz w:val="20"/>
              </w:rPr>
              <w:t xml:space="preserve"> návrhu v dôsledku našich výhrad k rozšíreniu definície rodinných príslušníkov a preskúmavaniu statusu a jeho prepojeniu na procedurálne nariadenie.</w:t>
            </w:r>
            <w:r>
              <w:rPr>
                <w:sz w:val="20"/>
              </w:rPr>
              <w:t>Rokovania sú momentálne utlmené.</w:t>
            </w:r>
          </w:p>
        </w:tc>
      </w:tr>
      <w:tr w:rsidR="003B0BA2" w:rsidTr="00687C5F">
        <w:trPr>
          <w:cantSplit/>
        </w:trPr>
        <w:tc>
          <w:tcPr>
            <w:tcW w:w="652" w:type="dxa"/>
            <w:tcBorders>
              <w:right w:val="nil"/>
            </w:tcBorders>
            <w:shd w:val="clear" w:color="auto" w:fill="auto"/>
            <w:tcMar>
              <w:top w:w="85" w:type="dxa"/>
              <w:left w:w="85" w:type="dxa"/>
              <w:bottom w:w="85" w:type="dxa"/>
            </w:tcMar>
          </w:tcPr>
          <w:p w:rsidR="003B0BA2" w:rsidRDefault="003B0BA2" w:rsidP="003B0BA2">
            <w:pPr>
              <w:pStyle w:val="Odsekzoznamu"/>
              <w:numPr>
                <w:ilvl w:val="0"/>
                <w:numId w:val="20"/>
              </w:numPr>
              <w:spacing w:after="0"/>
              <w:ind w:left="426"/>
              <w:rPr>
                <w:b/>
                <w:noProof/>
                <w:sz w:val="20"/>
              </w:rPr>
            </w:pPr>
          </w:p>
        </w:tc>
        <w:tc>
          <w:tcPr>
            <w:tcW w:w="4588" w:type="dxa"/>
            <w:shd w:val="clear" w:color="auto" w:fill="auto"/>
            <w:tcMar>
              <w:top w:w="85" w:type="dxa"/>
              <w:left w:w="85" w:type="dxa"/>
              <w:bottom w:w="85" w:type="dxa"/>
            </w:tcMar>
          </w:tcPr>
          <w:p w:rsidR="003B0BA2" w:rsidRDefault="003B0BA2" w:rsidP="003B0BA2">
            <w:pPr>
              <w:spacing w:after="0"/>
              <w:rPr>
                <w:noProof/>
                <w:sz w:val="20"/>
              </w:rPr>
            </w:pPr>
            <w:r>
              <w:rPr>
                <w:noProof/>
                <w:sz w:val="20"/>
              </w:rPr>
              <w:t>Návrh NARIADENIE EURÓPSKEHO PARLAMENTU A RADY, ktorým sa stanovuje spoločné konanie o medzinárodnej ochrane v Únii a zrušuje smernica 2013/32/EÚ</w:t>
            </w:r>
          </w:p>
        </w:tc>
        <w:tc>
          <w:tcPr>
            <w:tcW w:w="1985" w:type="dxa"/>
            <w:tcMar>
              <w:top w:w="85" w:type="dxa"/>
              <w:left w:w="85" w:type="dxa"/>
              <w:bottom w:w="85" w:type="dxa"/>
            </w:tcMar>
          </w:tcPr>
          <w:p w:rsidR="003B0BA2" w:rsidRDefault="003B0BA2" w:rsidP="003B0BA2">
            <w:pPr>
              <w:spacing w:after="0"/>
              <w:jc w:val="left"/>
              <w:rPr>
                <w:noProof/>
                <w:sz w:val="20"/>
              </w:rPr>
            </w:pPr>
            <w:r>
              <w:rPr>
                <w:noProof/>
                <w:sz w:val="20"/>
              </w:rPr>
              <w:t>COM(2016) 467 final.</w:t>
            </w:r>
            <w:r>
              <w:rPr>
                <w:noProof/>
                <w:sz w:val="20"/>
              </w:rPr>
              <w:br/>
              <w:t>2016/0224 (COD)</w:t>
            </w:r>
            <w:r>
              <w:rPr>
                <w:noProof/>
                <w:sz w:val="20"/>
              </w:rPr>
              <w:br/>
              <w:t>13. 7. 2016</w:t>
            </w:r>
          </w:p>
        </w:tc>
        <w:tc>
          <w:tcPr>
            <w:tcW w:w="1417" w:type="dxa"/>
          </w:tcPr>
          <w:p w:rsidR="003B0BA2" w:rsidRPr="002E5596" w:rsidRDefault="003B0BA2" w:rsidP="003B0BA2">
            <w:pPr>
              <w:spacing w:after="0"/>
              <w:jc w:val="center"/>
              <w:rPr>
                <w:b/>
                <w:sz w:val="20"/>
              </w:rPr>
            </w:pPr>
            <w:r w:rsidRPr="002E5596">
              <w:rPr>
                <w:b/>
                <w:sz w:val="20"/>
              </w:rPr>
              <w:t>MV SR</w:t>
            </w:r>
          </w:p>
        </w:tc>
        <w:tc>
          <w:tcPr>
            <w:tcW w:w="6095" w:type="dxa"/>
          </w:tcPr>
          <w:p w:rsidR="003B0BA2" w:rsidRPr="002E5596" w:rsidRDefault="003B0BA2" w:rsidP="003B0BA2">
            <w:pPr>
              <w:spacing w:after="0"/>
              <w:rPr>
                <w:sz w:val="20"/>
              </w:rPr>
            </w:pPr>
            <w:r w:rsidRPr="002E5596">
              <w:rPr>
                <w:b/>
                <w:sz w:val="20"/>
                <w:u w:val="single"/>
              </w:rPr>
              <w:t>Vysoká priorita</w:t>
            </w:r>
            <w:r>
              <w:rPr>
                <w:sz w:val="20"/>
              </w:rPr>
              <w:t xml:space="preserve"> - </w:t>
            </w:r>
            <w:r w:rsidRPr="002D7037">
              <w:rPr>
                <w:sz w:val="20"/>
              </w:rPr>
              <w:t>Nahradením doterajšej tzv. Procedurálnej smernice má návrh prispieť k harmonizácií postupov v konaní o azyle v celej Únii.</w:t>
            </w:r>
            <w:r>
              <w:rPr>
                <w:sz w:val="20"/>
              </w:rPr>
              <w:t xml:space="preserve"> </w:t>
            </w:r>
            <w:r w:rsidRPr="002D7037">
              <w:rPr>
                <w:sz w:val="20"/>
              </w:rPr>
              <w:t>Vzhľadom na citlivosť nariadenia a jeho previazanosť s Dublinským nariadením nebola dosiahnutá zhoda na úrovni Rady.</w:t>
            </w:r>
            <w:r>
              <w:rPr>
                <w:sz w:val="20"/>
              </w:rPr>
              <w:t xml:space="preserve"> SR má k textu pripomienky.Rokovania sú momentálne utlmené.</w:t>
            </w:r>
          </w:p>
        </w:tc>
      </w:tr>
      <w:tr w:rsidR="003B0BA2" w:rsidTr="00687C5F">
        <w:trPr>
          <w:cantSplit/>
        </w:trPr>
        <w:tc>
          <w:tcPr>
            <w:tcW w:w="652" w:type="dxa"/>
            <w:tcBorders>
              <w:right w:val="nil"/>
            </w:tcBorders>
            <w:shd w:val="clear" w:color="auto" w:fill="auto"/>
            <w:tcMar>
              <w:top w:w="85" w:type="dxa"/>
              <w:left w:w="85" w:type="dxa"/>
              <w:bottom w:w="85" w:type="dxa"/>
            </w:tcMar>
          </w:tcPr>
          <w:p w:rsidR="003B0BA2" w:rsidRDefault="003B0BA2" w:rsidP="003B0BA2">
            <w:pPr>
              <w:pStyle w:val="Odsekzoznamu"/>
              <w:numPr>
                <w:ilvl w:val="0"/>
                <w:numId w:val="20"/>
              </w:numPr>
              <w:spacing w:after="0"/>
              <w:ind w:left="426"/>
              <w:rPr>
                <w:b/>
                <w:noProof/>
                <w:sz w:val="20"/>
              </w:rPr>
            </w:pPr>
          </w:p>
        </w:tc>
        <w:tc>
          <w:tcPr>
            <w:tcW w:w="4588" w:type="dxa"/>
            <w:shd w:val="clear" w:color="auto" w:fill="auto"/>
            <w:tcMar>
              <w:top w:w="85" w:type="dxa"/>
              <w:left w:w="85" w:type="dxa"/>
              <w:bottom w:w="85" w:type="dxa"/>
            </w:tcMar>
          </w:tcPr>
          <w:p w:rsidR="003B0BA2" w:rsidRDefault="003B0BA2" w:rsidP="003B0BA2">
            <w:pPr>
              <w:spacing w:after="0"/>
              <w:rPr>
                <w:noProof/>
                <w:sz w:val="20"/>
              </w:rPr>
            </w:pPr>
            <w:r>
              <w:rPr>
                <w:noProof/>
                <w:sz w:val="20"/>
              </w:rPr>
              <w:t>Návrh NARIADENIE EURÓPSKEHO PARLAMENTU A RADY, ktorým sa zriaďuje rámec Únie pre presídľovanie a ktorým sa mení nariadenie Európskeho parlamentu a Rady (EÚ) č. 516/2014</w:t>
            </w:r>
          </w:p>
        </w:tc>
        <w:tc>
          <w:tcPr>
            <w:tcW w:w="1985" w:type="dxa"/>
            <w:tcMar>
              <w:top w:w="85" w:type="dxa"/>
              <w:left w:w="85" w:type="dxa"/>
              <w:bottom w:w="85" w:type="dxa"/>
            </w:tcMar>
          </w:tcPr>
          <w:p w:rsidR="003B0BA2" w:rsidRDefault="003B0BA2" w:rsidP="003B0BA2">
            <w:pPr>
              <w:spacing w:after="0"/>
              <w:jc w:val="left"/>
              <w:rPr>
                <w:noProof/>
                <w:sz w:val="20"/>
              </w:rPr>
            </w:pPr>
            <w:r>
              <w:rPr>
                <w:noProof/>
                <w:sz w:val="20"/>
              </w:rPr>
              <w:t>COM(2016) 468 final.</w:t>
            </w:r>
            <w:r>
              <w:rPr>
                <w:noProof/>
                <w:sz w:val="20"/>
              </w:rPr>
              <w:br/>
              <w:t>2016/0225 (COD)</w:t>
            </w:r>
            <w:r>
              <w:rPr>
                <w:noProof/>
                <w:sz w:val="20"/>
              </w:rPr>
              <w:br/>
              <w:t>13. 7. 2016</w:t>
            </w:r>
          </w:p>
        </w:tc>
        <w:tc>
          <w:tcPr>
            <w:tcW w:w="1417" w:type="dxa"/>
          </w:tcPr>
          <w:p w:rsidR="003B0BA2" w:rsidRPr="002E5596" w:rsidRDefault="003B0BA2" w:rsidP="003B0BA2">
            <w:pPr>
              <w:spacing w:after="0"/>
              <w:jc w:val="center"/>
              <w:rPr>
                <w:b/>
                <w:sz w:val="20"/>
              </w:rPr>
            </w:pPr>
            <w:r w:rsidRPr="002E5596">
              <w:rPr>
                <w:b/>
                <w:sz w:val="20"/>
              </w:rPr>
              <w:t>MV SR</w:t>
            </w:r>
          </w:p>
        </w:tc>
        <w:tc>
          <w:tcPr>
            <w:tcW w:w="6095" w:type="dxa"/>
          </w:tcPr>
          <w:p w:rsidR="003B0BA2" w:rsidRPr="002E5596" w:rsidRDefault="003B0BA2" w:rsidP="003B0BA2">
            <w:pPr>
              <w:spacing w:after="0"/>
              <w:rPr>
                <w:sz w:val="20"/>
              </w:rPr>
            </w:pPr>
            <w:r w:rsidRPr="002E5596">
              <w:rPr>
                <w:b/>
                <w:sz w:val="20"/>
                <w:u w:val="single"/>
              </w:rPr>
              <w:t>Vysoká priorita</w:t>
            </w:r>
            <w:r>
              <w:rPr>
                <w:sz w:val="20"/>
              </w:rPr>
              <w:t xml:space="preserve"> - Stanovuje sa európsky rámec pre presídľovanie osôb z tretích krajín. SR presadzuje princíp dobrovoľnosti, </w:t>
            </w:r>
            <w:r w:rsidRPr="005E460E">
              <w:rPr>
                <w:sz w:val="20"/>
              </w:rPr>
              <w:t>potreb</w:t>
            </w:r>
            <w:r>
              <w:rPr>
                <w:sz w:val="20"/>
              </w:rPr>
              <w:t>u</w:t>
            </w:r>
            <w:r w:rsidRPr="005E460E">
              <w:rPr>
                <w:sz w:val="20"/>
              </w:rPr>
              <w:t xml:space="preserve"> posilnenia strategického významu presídlenia v rámci presídľovacieho nariadenia; trvá </w:t>
            </w:r>
            <w:r>
              <w:rPr>
                <w:sz w:val="20"/>
              </w:rPr>
              <w:t xml:space="preserve">na </w:t>
            </w:r>
            <w:r w:rsidRPr="005E460E">
              <w:rPr>
                <w:sz w:val="20"/>
              </w:rPr>
              <w:t>požiadavk</w:t>
            </w:r>
            <w:r>
              <w:rPr>
                <w:sz w:val="20"/>
              </w:rPr>
              <w:t>e</w:t>
            </w:r>
            <w:r w:rsidRPr="005E460E">
              <w:rPr>
                <w:sz w:val="20"/>
              </w:rPr>
              <w:t xml:space="preserve"> zachova</w:t>
            </w:r>
            <w:r>
              <w:rPr>
                <w:sz w:val="20"/>
              </w:rPr>
              <w:t>ť</w:t>
            </w:r>
            <w:r w:rsidRPr="005E460E">
              <w:rPr>
                <w:sz w:val="20"/>
              </w:rPr>
              <w:t xml:space="preserve"> nedostat</w:t>
            </w:r>
            <w:r>
              <w:rPr>
                <w:sz w:val="20"/>
              </w:rPr>
              <w:t>o</w:t>
            </w:r>
            <w:r w:rsidRPr="005E460E">
              <w:rPr>
                <w:sz w:val="20"/>
              </w:rPr>
              <w:t>k integračného potenciálu ako dôvod na vylúčenie – posledný kompromisný text nepovažujeme za dostatočný.</w:t>
            </w:r>
            <w:r>
              <w:rPr>
                <w:sz w:val="20"/>
              </w:rPr>
              <w:t>Rokovania sú momentálne utlmené.</w:t>
            </w:r>
          </w:p>
        </w:tc>
      </w:tr>
      <w:tr w:rsidR="003B0BA2" w:rsidTr="00687C5F">
        <w:trPr>
          <w:cantSplit/>
        </w:trPr>
        <w:tc>
          <w:tcPr>
            <w:tcW w:w="652" w:type="dxa"/>
            <w:tcBorders>
              <w:right w:val="nil"/>
            </w:tcBorders>
            <w:shd w:val="clear" w:color="auto" w:fill="auto"/>
            <w:tcMar>
              <w:top w:w="85" w:type="dxa"/>
              <w:left w:w="85" w:type="dxa"/>
              <w:bottom w:w="85" w:type="dxa"/>
            </w:tcMar>
          </w:tcPr>
          <w:p w:rsidR="003B0BA2" w:rsidRDefault="003B0BA2" w:rsidP="003B0BA2">
            <w:pPr>
              <w:pStyle w:val="Odsekzoznamu"/>
              <w:numPr>
                <w:ilvl w:val="0"/>
                <w:numId w:val="20"/>
              </w:numPr>
              <w:spacing w:after="0"/>
              <w:ind w:left="426"/>
              <w:rPr>
                <w:b/>
                <w:noProof/>
                <w:sz w:val="20"/>
              </w:rPr>
            </w:pPr>
          </w:p>
        </w:tc>
        <w:tc>
          <w:tcPr>
            <w:tcW w:w="4588" w:type="dxa"/>
            <w:tcBorders>
              <w:bottom w:val="single" w:sz="4" w:space="0" w:color="auto"/>
            </w:tcBorders>
            <w:shd w:val="clear" w:color="auto" w:fill="auto"/>
            <w:tcMar>
              <w:top w:w="85" w:type="dxa"/>
              <w:left w:w="85" w:type="dxa"/>
              <w:bottom w:w="85" w:type="dxa"/>
            </w:tcMar>
          </w:tcPr>
          <w:p w:rsidR="003B0BA2" w:rsidRDefault="003B0BA2" w:rsidP="003B0BA2">
            <w:pPr>
              <w:spacing w:after="0"/>
              <w:rPr>
                <w:noProof/>
                <w:sz w:val="20"/>
              </w:rPr>
            </w:pPr>
            <w:r>
              <w:rPr>
                <w:noProof/>
                <w:sz w:val="20"/>
              </w:rPr>
              <w:t>Návrh SMERNICA EURÓPSKEHO PARLAMENTU A RADY o podmienkach vstupu a pobytu štátnych príslušníkov tretích krajín na účely zamestnania, v ktorom sa vyžaduje vysoká úroveň zručností</w:t>
            </w:r>
          </w:p>
        </w:tc>
        <w:tc>
          <w:tcPr>
            <w:tcW w:w="1985" w:type="dxa"/>
            <w:tcMar>
              <w:top w:w="85" w:type="dxa"/>
              <w:left w:w="85" w:type="dxa"/>
              <w:bottom w:w="85" w:type="dxa"/>
            </w:tcMar>
          </w:tcPr>
          <w:p w:rsidR="003B0BA2" w:rsidRDefault="003B0BA2" w:rsidP="003B0BA2">
            <w:pPr>
              <w:spacing w:after="0"/>
              <w:jc w:val="left"/>
              <w:rPr>
                <w:noProof/>
                <w:sz w:val="20"/>
              </w:rPr>
            </w:pPr>
            <w:r>
              <w:rPr>
                <w:noProof/>
                <w:sz w:val="20"/>
              </w:rPr>
              <w:t>COM(2016) 378 final 2016/0176 (COD) 7. 6. 2016</w:t>
            </w:r>
          </w:p>
        </w:tc>
        <w:tc>
          <w:tcPr>
            <w:tcW w:w="1417" w:type="dxa"/>
          </w:tcPr>
          <w:p w:rsidR="003B0BA2" w:rsidRPr="002E5596" w:rsidRDefault="003B0BA2" w:rsidP="003B0BA2">
            <w:pPr>
              <w:spacing w:after="0"/>
              <w:jc w:val="center"/>
              <w:rPr>
                <w:b/>
                <w:sz w:val="20"/>
              </w:rPr>
            </w:pPr>
            <w:r w:rsidRPr="002E5596">
              <w:rPr>
                <w:b/>
                <w:sz w:val="20"/>
              </w:rPr>
              <w:t>MV SR</w:t>
            </w:r>
          </w:p>
          <w:p w:rsidR="003B0BA2" w:rsidRPr="002E5596" w:rsidRDefault="003B0BA2" w:rsidP="003B0BA2">
            <w:pPr>
              <w:spacing w:after="0"/>
              <w:jc w:val="center"/>
              <w:rPr>
                <w:b/>
                <w:sz w:val="20"/>
              </w:rPr>
            </w:pPr>
            <w:r w:rsidRPr="002E5596">
              <w:rPr>
                <w:b/>
                <w:sz w:val="20"/>
              </w:rPr>
              <w:t>MPSVR SR</w:t>
            </w:r>
          </w:p>
        </w:tc>
        <w:tc>
          <w:tcPr>
            <w:tcW w:w="6095" w:type="dxa"/>
          </w:tcPr>
          <w:p w:rsidR="003B0BA2" w:rsidRPr="002E5596" w:rsidRDefault="003B0BA2" w:rsidP="003B0BA2">
            <w:pPr>
              <w:spacing w:after="0"/>
              <w:rPr>
                <w:sz w:val="20"/>
              </w:rPr>
            </w:pPr>
            <w:r w:rsidRPr="002E5596">
              <w:rPr>
                <w:b/>
                <w:sz w:val="20"/>
                <w:u w:val="single"/>
              </w:rPr>
              <w:t>Stredná priorita</w:t>
            </w:r>
            <w:r w:rsidRPr="00C847B6">
              <w:rPr>
                <w:sz w:val="20"/>
              </w:rPr>
              <w:t xml:space="preserve"> </w:t>
            </w:r>
            <w:r>
              <w:rPr>
                <w:sz w:val="20"/>
              </w:rPr>
              <w:t xml:space="preserve">- </w:t>
            </w:r>
            <w:r w:rsidRPr="00C847B6">
              <w:rPr>
                <w:sz w:val="20"/>
              </w:rPr>
              <w:t xml:space="preserve">Stanoviská Rady EÚ, Komisie a Európskeho parlamentu sa však značne líšia. </w:t>
            </w:r>
            <w:r w:rsidRPr="003362E6">
              <w:rPr>
                <w:sz w:val="20"/>
              </w:rPr>
              <w:t>SR si uplatň</w:t>
            </w:r>
            <w:r>
              <w:rPr>
                <w:sz w:val="20"/>
              </w:rPr>
              <w:t>ovala</w:t>
            </w:r>
            <w:r w:rsidRPr="003362E6">
              <w:rPr>
                <w:sz w:val="20"/>
              </w:rPr>
              <w:t xml:space="preserve"> zásadné pripomienky k predloženému návrhu v rámci prípravných pracovných orgánov Rady EÚ.</w:t>
            </w:r>
            <w:r>
              <w:rPr>
                <w:sz w:val="20"/>
              </w:rPr>
              <w:t>Rokovania sú momentálne utlmené.</w:t>
            </w:r>
          </w:p>
        </w:tc>
      </w:tr>
      <w:tr w:rsidR="003B0BA2" w:rsidTr="00687C5F">
        <w:trPr>
          <w:cantSplit/>
        </w:trPr>
        <w:tc>
          <w:tcPr>
            <w:tcW w:w="652" w:type="dxa"/>
            <w:tcBorders>
              <w:right w:val="nil"/>
            </w:tcBorders>
            <w:shd w:val="clear" w:color="auto" w:fill="auto"/>
            <w:tcMar>
              <w:top w:w="85" w:type="dxa"/>
              <w:left w:w="85" w:type="dxa"/>
              <w:bottom w:w="85" w:type="dxa"/>
            </w:tcMar>
          </w:tcPr>
          <w:p w:rsidR="003B0BA2" w:rsidRDefault="003B0BA2" w:rsidP="003B0BA2">
            <w:pPr>
              <w:pStyle w:val="Odsekzoznamu"/>
              <w:numPr>
                <w:ilvl w:val="0"/>
                <w:numId w:val="20"/>
              </w:numPr>
              <w:spacing w:after="0"/>
              <w:ind w:left="426"/>
              <w:rPr>
                <w:b/>
                <w:noProof/>
                <w:sz w:val="20"/>
              </w:rPr>
            </w:pPr>
          </w:p>
        </w:tc>
        <w:tc>
          <w:tcPr>
            <w:tcW w:w="4588" w:type="dxa"/>
            <w:shd w:val="clear" w:color="auto" w:fill="EEECE1" w:themeFill="background2"/>
            <w:tcMar>
              <w:top w:w="85" w:type="dxa"/>
              <w:left w:w="85" w:type="dxa"/>
              <w:bottom w:w="85" w:type="dxa"/>
            </w:tcMar>
          </w:tcPr>
          <w:p w:rsidR="003B0BA2" w:rsidRDefault="003B0BA2" w:rsidP="003B0BA2">
            <w:pPr>
              <w:spacing w:after="0"/>
              <w:rPr>
                <w:noProof/>
                <w:sz w:val="20"/>
              </w:rPr>
            </w:pPr>
            <w:r>
              <w:rPr>
                <w:noProof/>
                <w:sz w:val="20"/>
              </w:rPr>
              <w:t>Návrh NARIADENIE EURÓPSKEHO PARLAMENTU A RADY, ktorým sa zriaďuje „Erasmus“: program Únie pre vzdelávanie, odbornú prípravu, mládež a šport, a ktorým sa zrušuje nariadenie (EÚ) č. 1288/2013</w:t>
            </w:r>
          </w:p>
        </w:tc>
        <w:tc>
          <w:tcPr>
            <w:tcW w:w="1985" w:type="dxa"/>
            <w:tcMar>
              <w:top w:w="85" w:type="dxa"/>
              <w:left w:w="85" w:type="dxa"/>
              <w:bottom w:w="85" w:type="dxa"/>
            </w:tcMar>
          </w:tcPr>
          <w:p w:rsidR="003B0BA2" w:rsidRDefault="003B0BA2" w:rsidP="003B0BA2">
            <w:pPr>
              <w:spacing w:after="0"/>
              <w:jc w:val="left"/>
              <w:rPr>
                <w:noProof/>
                <w:sz w:val="20"/>
              </w:rPr>
            </w:pPr>
            <w:r>
              <w:rPr>
                <w:noProof/>
                <w:sz w:val="20"/>
              </w:rPr>
              <w:t>COM(2018) 367 final.</w:t>
            </w:r>
            <w:r>
              <w:rPr>
                <w:noProof/>
                <w:sz w:val="20"/>
              </w:rPr>
              <w:br/>
              <w:t>2018/0191 (COD)</w:t>
            </w:r>
            <w:r>
              <w:rPr>
                <w:noProof/>
                <w:sz w:val="20"/>
              </w:rPr>
              <w:br/>
              <w:t>30. 5. 2018</w:t>
            </w:r>
          </w:p>
        </w:tc>
        <w:tc>
          <w:tcPr>
            <w:tcW w:w="1417" w:type="dxa"/>
          </w:tcPr>
          <w:p w:rsidR="003B0BA2" w:rsidRDefault="003B0BA2" w:rsidP="003B0BA2">
            <w:pPr>
              <w:spacing w:after="0"/>
              <w:jc w:val="left"/>
              <w:rPr>
                <w:noProof/>
                <w:sz w:val="20"/>
              </w:rPr>
            </w:pPr>
            <w:r w:rsidRPr="00D15665">
              <w:rPr>
                <w:b/>
                <w:sz w:val="20"/>
              </w:rPr>
              <w:t>MŠVVaS SR</w:t>
            </w:r>
          </w:p>
        </w:tc>
        <w:tc>
          <w:tcPr>
            <w:tcW w:w="6095" w:type="dxa"/>
          </w:tcPr>
          <w:p w:rsidR="003B0BA2" w:rsidRPr="00D15665" w:rsidRDefault="003B0BA2" w:rsidP="003B0BA2">
            <w:pPr>
              <w:spacing w:after="0"/>
              <w:rPr>
                <w:sz w:val="20"/>
              </w:rPr>
            </w:pPr>
            <w:r w:rsidRPr="002E5596">
              <w:rPr>
                <w:b/>
                <w:sz w:val="20"/>
                <w:u w:val="single"/>
              </w:rPr>
              <w:t>Stredná priorita</w:t>
            </w:r>
            <w:r>
              <w:rPr>
                <w:sz w:val="20"/>
              </w:rPr>
              <w:t xml:space="preserve"> - </w:t>
            </w:r>
            <w:r w:rsidRPr="009811C3">
              <w:rPr>
                <w:sz w:val="20"/>
              </w:rPr>
              <w:t>Vo všeobecnosti SR podporuje ciele, ktoré sa majú návrhom tohto právneho aktu dosiahnuť. K návrhu bolo na Rade pre vzdelávanie, mládež, kultúru a šport v novembri 2018 prijaté všeobecné čiastočné smerovanie. Návrh má za cieľ podporovať vzdelávanie, odborný a osobný rozvoj osôb v oblasti vzdelávania, odbornej prípravy, mládeže a športu v Európe a mimo nej, a tým prispievať k udržateľnému rastu, zamestnanosti a sociálnej súdržnosti, ako aj k</w:t>
            </w:r>
            <w:r>
              <w:rPr>
                <w:sz w:val="20"/>
              </w:rPr>
              <w:t> </w:t>
            </w:r>
            <w:r w:rsidRPr="009811C3">
              <w:rPr>
                <w:sz w:val="20"/>
              </w:rPr>
              <w:t>posilneniu</w:t>
            </w:r>
            <w:r>
              <w:rPr>
                <w:sz w:val="20"/>
              </w:rPr>
              <w:t xml:space="preserve"> </w:t>
            </w:r>
            <w:r w:rsidRPr="009811C3">
              <w:rPr>
                <w:sz w:val="20"/>
              </w:rPr>
              <w:t xml:space="preserve">európskej identity. Je dôležité včasné dosiahnutie dohody o nariadení medzi zákonodarcami, aby sa program mohol spustiť 1. 1. 2021. </w:t>
            </w:r>
          </w:p>
        </w:tc>
      </w:tr>
      <w:tr w:rsidR="003B0BA2" w:rsidTr="00687C5F">
        <w:trPr>
          <w:cantSplit/>
        </w:trPr>
        <w:tc>
          <w:tcPr>
            <w:tcW w:w="652" w:type="dxa"/>
            <w:tcBorders>
              <w:right w:val="nil"/>
            </w:tcBorders>
            <w:shd w:val="clear" w:color="auto" w:fill="auto"/>
            <w:tcMar>
              <w:top w:w="85" w:type="dxa"/>
              <w:left w:w="85" w:type="dxa"/>
              <w:bottom w:w="85" w:type="dxa"/>
            </w:tcMar>
          </w:tcPr>
          <w:p w:rsidR="003B0BA2" w:rsidRDefault="003B0BA2" w:rsidP="003B0BA2">
            <w:pPr>
              <w:pStyle w:val="Odsekzoznamu"/>
              <w:numPr>
                <w:ilvl w:val="0"/>
                <w:numId w:val="20"/>
              </w:numPr>
              <w:spacing w:after="0"/>
              <w:ind w:left="426"/>
              <w:rPr>
                <w:b/>
                <w:noProof/>
                <w:sz w:val="20"/>
              </w:rPr>
            </w:pPr>
          </w:p>
        </w:tc>
        <w:tc>
          <w:tcPr>
            <w:tcW w:w="4588" w:type="dxa"/>
            <w:shd w:val="clear" w:color="auto" w:fill="EEECE1" w:themeFill="background2"/>
            <w:tcMar>
              <w:top w:w="85" w:type="dxa"/>
              <w:left w:w="85" w:type="dxa"/>
              <w:bottom w:w="85" w:type="dxa"/>
            </w:tcMar>
          </w:tcPr>
          <w:p w:rsidR="003B0BA2" w:rsidRDefault="003B0BA2" w:rsidP="003B0BA2">
            <w:pPr>
              <w:spacing w:after="0"/>
              <w:rPr>
                <w:noProof/>
                <w:sz w:val="20"/>
              </w:rPr>
            </w:pPr>
            <w:r>
              <w:rPr>
                <w:noProof/>
                <w:sz w:val="20"/>
              </w:rPr>
              <w:t>Návrh NARIADENIE EURÓPSKEHO PARLAMENTU A RADY o Európskom inovačnom a technologickom inštitúte (prepracované znenie)</w:t>
            </w:r>
          </w:p>
        </w:tc>
        <w:tc>
          <w:tcPr>
            <w:tcW w:w="1985" w:type="dxa"/>
            <w:tcMar>
              <w:top w:w="85" w:type="dxa"/>
              <w:left w:w="85" w:type="dxa"/>
              <w:bottom w:w="85" w:type="dxa"/>
            </w:tcMar>
          </w:tcPr>
          <w:p w:rsidR="003B0BA2" w:rsidRDefault="003B0BA2" w:rsidP="003B0BA2">
            <w:pPr>
              <w:spacing w:after="0"/>
              <w:jc w:val="left"/>
              <w:rPr>
                <w:noProof/>
                <w:sz w:val="20"/>
              </w:rPr>
            </w:pPr>
            <w:r>
              <w:rPr>
                <w:noProof/>
                <w:sz w:val="20"/>
              </w:rPr>
              <w:t>COM(2019) 331 final.</w:t>
            </w:r>
            <w:r>
              <w:rPr>
                <w:noProof/>
                <w:sz w:val="20"/>
              </w:rPr>
              <w:br/>
              <w:t>2019/0151 (COD)</w:t>
            </w:r>
            <w:r>
              <w:rPr>
                <w:noProof/>
                <w:sz w:val="20"/>
              </w:rPr>
              <w:br/>
              <w:t>11. 7. 2019</w:t>
            </w:r>
          </w:p>
        </w:tc>
        <w:tc>
          <w:tcPr>
            <w:tcW w:w="1417" w:type="dxa"/>
          </w:tcPr>
          <w:p w:rsidR="003B0BA2" w:rsidRDefault="003B0BA2" w:rsidP="003B0BA2">
            <w:pPr>
              <w:spacing w:after="0"/>
              <w:jc w:val="left"/>
              <w:rPr>
                <w:noProof/>
                <w:sz w:val="20"/>
              </w:rPr>
            </w:pPr>
            <w:r w:rsidRPr="00D15665">
              <w:rPr>
                <w:b/>
                <w:sz w:val="20"/>
              </w:rPr>
              <w:t>MŠVVaS SR</w:t>
            </w:r>
          </w:p>
        </w:tc>
        <w:tc>
          <w:tcPr>
            <w:tcW w:w="6095" w:type="dxa"/>
          </w:tcPr>
          <w:p w:rsidR="003B0BA2" w:rsidRPr="00D15665" w:rsidRDefault="003B0BA2" w:rsidP="003B0BA2">
            <w:pPr>
              <w:spacing w:after="0"/>
              <w:rPr>
                <w:b/>
                <w:sz w:val="20"/>
                <w:u w:val="single"/>
              </w:rPr>
            </w:pPr>
            <w:r w:rsidRPr="00D15665">
              <w:rPr>
                <w:b/>
                <w:sz w:val="20"/>
                <w:u w:val="single"/>
              </w:rPr>
              <w:t>Stredná priorita</w:t>
            </w:r>
            <w:r w:rsidRPr="00D15665">
              <w:rPr>
                <w:b/>
                <w:sz w:val="20"/>
              </w:rPr>
              <w:t xml:space="preserve"> </w:t>
            </w:r>
            <w:r>
              <w:rPr>
                <w:b/>
                <w:sz w:val="20"/>
              </w:rPr>
              <w:t xml:space="preserve">- </w:t>
            </w:r>
            <w:r w:rsidRPr="007B2F96">
              <w:rPr>
                <w:sz w:val="20"/>
              </w:rPr>
              <w:t>Aktuálny stav rokovaní</w:t>
            </w:r>
            <w:r w:rsidRPr="00E95317">
              <w:rPr>
                <w:sz w:val="20"/>
              </w:rPr>
              <w:t>:</w:t>
            </w:r>
            <w:r w:rsidRPr="00E95317">
              <w:rPr>
                <w:color w:val="0D0D0D" w:themeColor="text1" w:themeTint="F2"/>
                <w:sz w:val="20"/>
              </w:rPr>
              <w:t xml:space="preserve"> </w:t>
            </w:r>
            <w:r>
              <w:rPr>
                <w:color w:val="0D0D0D" w:themeColor="text1" w:themeTint="F2"/>
                <w:sz w:val="20"/>
              </w:rPr>
              <w:t xml:space="preserve">K návrhu bola 29.11.2019 dosiahnutá čiastočná dohoda o všeobecnom smerovaní (PGA). </w:t>
            </w:r>
            <w:r>
              <w:rPr>
                <w:sz w:val="20"/>
              </w:rPr>
              <w:t xml:space="preserve">V otázke časovej neutrality, ktorá bola hlavným sporným bodom, bolo dohodnuté, </w:t>
            </w:r>
            <w:r w:rsidRPr="007E1CA2">
              <w:rPr>
                <w:sz w:val="20"/>
              </w:rPr>
              <w:t xml:space="preserve">že </w:t>
            </w:r>
            <w:r w:rsidRPr="007E1CA2">
              <w:rPr>
                <w:iCs/>
                <w:sz w:val="20"/>
              </w:rPr>
              <w:t xml:space="preserve">časová neutralita sa uplatňuje  s povinnosťou </w:t>
            </w:r>
            <w:r>
              <w:rPr>
                <w:iCs/>
                <w:sz w:val="20"/>
              </w:rPr>
              <w:t>EK</w:t>
            </w:r>
            <w:r w:rsidRPr="007E1CA2">
              <w:rPr>
                <w:iCs/>
                <w:sz w:val="20"/>
              </w:rPr>
              <w:t xml:space="preserve"> hodnotiť výsledky hodnotení činnosti EIT s cieľom zistiť, či je vhodné predložiť akýkoľvek návrh na zmenu a doplnenie nariadenia. Túto možnosť podporovalo aj SK.</w:t>
            </w:r>
            <w:r>
              <w:rPr>
                <w:i/>
                <w:iCs/>
                <w:szCs w:val="24"/>
              </w:rPr>
              <w:t xml:space="preserve"> </w:t>
            </w:r>
          </w:p>
          <w:p w:rsidR="003B0BA2" w:rsidRPr="00D15665" w:rsidRDefault="003B0BA2" w:rsidP="003B0BA2">
            <w:pPr>
              <w:spacing w:after="0"/>
              <w:jc w:val="left"/>
              <w:rPr>
                <w:b/>
                <w:sz w:val="20"/>
              </w:rPr>
            </w:pPr>
          </w:p>
        </w:tc>
      </w:tr>
      <w:tr w:rsidR="003B0BA2" w:rsidTr="00687C5F">
        <w:trPr>
          <w:cantSplit/>
        </w:trPr>
        <w:tc>
          <w:tcPr>
            <w:tcW w:w="652" w:type="dxa"/>
            <w:tcBorders>
              <w:right w:val="nil"/>
            </w:tcBorders>
            <w:shd w:val="clear" w:color="auto" w:fill="auto"/>
            <w:tcMar>
              <w:top w:w="85" w:type="dxa"/>
              <w:left w:w="85" w:type="dxa"/>
              <w:bottom w:w="85" w:type="dxa"/>
            </w:tcMar>
          </w:tcPr>
          <w:p w:rsidR="003B0BA2" w:rsidRDefault="003B0BA2" w:rsidP="003B0BA2">
            <w:pPr>
              <w:pStyle w:val="Odsekzoznamu"/>
              <w:numPr>
                <w:ilvl w:val="0"/>
                <w:numId w:val="20"/>
              </w:numPr>
              <w:spacing w:after="0"/>
              <w:ind w:left="426"/>
              <w:rPr>
                <w:b/>
                <w:noProof/>
                <w:sz w:val="20"/>
              </w:rPr>
            </w:pPr>
          </w:p>
        </w:tc>
        <w:tc>
          <w:tcPr>
            <w:tcW w:w="4588" w:type="dxa"/>
            <w:shd w:val="clear" w:color="auto" w:fill="EEECE1" w:themeFill="background2"/>
            <w:tcMar>
              <w:top w:w="85" w:type="dxa"/>
              <w:left w:w="85" w:type="dxa"/>
              <w:bottom w:w="85" w:type="dxa"/>
            </w:tcMar>
          </w:tcPr>
          <w:p w:rsidR="003B0BA2" w:rsidRDefault="003B0BA2" w:rsidP="003B0BA2">
            <w:pPr>
              <w:spacing w:after="0"/>
              <w:rPr>
                <w:noProof/>
                <w:sz w:val="20"/>
              </w:rPr>
            </w:pPr>
            <w:r>
              <w:rPr>
                <w:noProof/>
                <w:sz w:val="20"/>
              </w:rPr>
              <w:t>Návrh ROZHODNUTIE EURÓPSKEHO PARLAMENTU A RADY o strategickom inovačnom programe Európskeho inovačného a technologického inštitútu (EIT) na roky 2021 – 2027: Stimulácia inovačného talentu a inovačnej kapacity Európy</w:t>
            </w:r>
          </w:p>
        </w:tc>
        <w:tc>
          <w:tcPr>
            <w:tcW w:w="1985" w:type="dxa"/>
            <w:tcMar>
              <w:top w:w="85" w:type="dxa"/>
              <w:left w:w="85" w:type="dxa"/>
              <w:bottom w:w="85" w:type="dxa"/>
            </w:tcMar>
          </w:tcPr>
          <w:p w:rsidR="003B0BA2" w:rsidRDefault="003B0BA2" w:rsidP="003B0BA2">
            <w:pPr>
              <w:spacing w:after="0"/>
              <w:jc w:val="left"/>
              <w:rPr>
                <w:noProof/>
                <w:sz w:val="20"/>
              </w:rPr>
            </w:pPr>
            <w:r>
              <w:rPr>
                <w:noProof/>
                <w:sz w:val="20"/>
              </w:rPr>
              <w:t>COM(2019) 330 final.</w:t>
            </w:r>
            <w:r>
              <w:rPr>
                <w:noProof/>
                <w:sz w:val="20"/>
              </w:rPr>
              <w:br/>
              <w:t>2019/0152 (COD)</w:t>
            </w:r>
            <w:r>
              <w:rPr>
                <w:noProof/>
                <w:sz w:val="20"/>
              </w:rPr>
              <w:br/>
              <w:t>11. 7. 2019</w:t>
            </w:r>
          </w:p>
        </w:tc>
        <w:tc>
          <w:tcPr>
            <w:tcW w:w="1417" w:type="dxa"/>
          </w:tcPr>
          <w:p w:rsidR="003B0BA2" w:rsidRDefault="003B0BA2" w:rsidP="003B0BA2">
            <w:pPr>
              <w:spacing w:after="0"/>
              <w:jc w:val="left"/>
              <w:rPr>
                <w:noProof/>
                <w:sz w:val="20"/>
              </w:rPr>
            </w:pPr>
            <w:r w:rsidRPr="00D15665">
              <w:rPr>
                <w:b/>
                <w:sz w:val="20"/>
              </w:rPr>
              <w:t>MŠVVaS SR</w:t>
            </w:r>
          </w:p>
        </w:tc>
        <w:tc>
          <w:tcPr>
            <w:tcW w:w="6095" w:type="dxa"/>
          </w:tcPr>
          <w:p w:rsidR="003B0BA2" w:rsidRPr="00D15665" w:rsidRDefault="003B0BA2" w:rsidP="003B0BA2">
            <w:pPr>
              <w:spacing w:after="0"/>
              <w:rPr>
                <w:b/>
                <w:sz w:val="20"/>
                <w:u w:val="single"/>
              </w:rPr>
            </w:pPr>
            <w:r w:rsidRPr="00D15665">
              <w:rPr>
                <w:b/>
                <w:sz w:val="20"/>
                <w:u w:val="single"/>
              </w:rPr>
              <w:t>Stredná priorita</w:t>
            </w:r>
            <w:r w:rsidRPr="00D15665">
              <w:rPr>
                <w:b/>
                <w:sz w:val="20"/>
              </w:rPr>
              <w:t xml:space="preserve"> -</w:t>
            </w:r>
            <w:r>
              <w:rPr>
                <w:b/>
                <w:sz w:val="20"/>
                <w:u w:val="single"/>
              </w:rPr>
              <w:t xml:space="preserve"> </w:t>
            </w:r>
            <w:r w:rsidRPr="007B2F96">
              <w:rPr>
                <w:sz w:val="20"/>
              </w:rPr>
              <w:t>Aktuálny stav rokovaní</w:t>
            </w:r>
            <w:r w:rsidRPr="00E95317">
              <w:rPr>
                <w:sz w:val="20"/>
              </w:rPr>
              <w:t>:</w:t>
            </w:r>
            <w:r w:rsidRPr="00E95317">
              <w:rPr>
                <w:color w:val="0D0D0D" w:themeColor="text1" w:themeTint="F2"/>
                <w:sz w:val="20"/>
              </w:rPr>
              <w:t xml:space="preserve"> </w:t>
            </w:r>
            <w:r>
              <w:rPr>
                <w:color w:val="0D0D0D" w:themeColor="text1" w:themeTint="F2"/>
                <w:sz w:val="20"/>
              </w:rPr>
              <w:t>Materiál je aktuálne prerokúvaný na technickej úrovni. Cieľom HR PRES je dosiahnuť PGA na Rade ministrov 28.2.2020.</w:t>
            </w:r>
            <w:r>
              <w:rPr>
                <w:sz w:val="20"/>
              </w:rPr>
              <w:t xml:space="preserve">SR sa aktívne zapája do pripomienkovania kompromisného textu dokumentu. </w:t>
            </w:r>
          </w:p>
          <w:p w:rsidR="003B0BA2" w:rsidRPr="004A66FF" w:rsidRDefault="003B0BA2" w:rsidP="003B0BA2">
            <w:pPr>
              <w:spacing w:after="0"/>
              <w:jc w:val="left"/>
              <w:rPr>
                <w:b/>
                <w:sz w:val="20"/>
              </w:rPr>
            </w:pPr>
          </w:p>
        </w:tc>
      </w:tr>
      <w:tr w:rsidR="003B0BA2" w:rsidTr="009B5120">
        <w:trPr>
          <w:cantSplit/>
          <w:trHeight w:val="1805"/>
        </w:trPr>
        <w:tc>
          <w:tcPr>
            <w:tcW w:w="652" w:type="dxa"/>
            <w:tcBorders>
              <w:right w:val="nil"/>
            </w:tcBorders>
            <w:shd w:val="clear" w:color="auto" w:fill="auto"/>
            <w:tcMar>
              <w:top w:w="85" w:type="dxa"/>
              <w:left w:w="85" w:type="dxa"/>
              <w:bottom w:w="85" w:type="dxa"/>
            </w:tcMar>
          </w:tcPr>
          <w:p w:rsidR="003B0BA2" w:rsidRDefault="003B0BA2" w:rsidP="003B0BA2">
            <w:pPr>
              <w:pStyle w:val="Odsekzoznamu"/>
              <w:numPr>
                <w:ilvl w:val="0"/>
                <w:numId w:val="20"/>
              </w:numPr>
              <w:spacing w:after="0"/>
              <w:ind w:left="426"/>
              <w:rPr>
                <w:b/>
                <w:noProof/>
                <w:sz w:val="20"/>
              </w:rPr>
            </w:pPr>
          </w:p>
        </w:tc>
        <w:tc>
          <w:tcPr>
            <w:tcW w:w="4588" w:type="dxa"/>
            <w:shd w:val="clear" w:color="auto" w:fill="EEECE1" w:themeFill="background2"/>
            <w:tcMar>
              <w:top w:w="85" w:type="dxa"/>
              <w:left w:w="85" w:type="dxa"/>
              <w:bottom w:w="85" w:type="dxa"/>
            </w:tcMar>
          </w:tcPr>
          <w:p w:rsidR="003B0BA2" w:rsidRDefault="003B0BA2" w:rsidP="003B0BA2">
            <w:pPr>
              <w:spacing w:after="0"/>
              <w:rPr>
                <w:noProof/>
                <w:sz w:val="20"/>
              </w:rPr>
            </w:pPr>
            <w:r w:rsidRPr="003B1CF2">
              <w:rPr>
                <w:noProof/>
                <w:sz w:val="20"/>
              </w:rPr>
              <w:t>Návrh NARIADENIE EURÓPSKEHO PARLAMENTU A RADY, ktorým sa stanovuje program EÚ pre boj proti podvodom</w:t>
            </w:r>
          </w:p>
        </w:tc>
        <w:tc>
          <w:tcPr>
            <w:tcW w:w="1985" w:type="dxa"/>
            <w:tcMar>
              <w:top w:w="85" w:type="dxa"/>
              <w:left w:w="85" w:type="dxa"/>
              <w:bottom w:w="85" w:type="dxa"/>
            </w:tcMar>
          </w:tcPr>
          <w:p w:rsidR="003B0BA2" w:rsidRDefault="003B0BA2" w:rsidP="003B0BA2">
            <w:pPr>
              <w:spacing w:after="0"/>
              <w:jc w:val="left"/>
              <w:rPr>
                <w:noProof/>
                <w:sz w:val="20"/>
              </w:rPr>
            </w:pPr>
            <w:r>
              <w:rPr>
                <w:noProof/>
                <w:sz w:val="20"/>
              </w:rPr>
              <w:t>COM(2018) 386 final.</w:t>
            </w:r>
            <w:r>
              <w:rPr>
                <w:noProof/>
                <w:sz w:val="20"/>
              </w:rPr>
              <w:br/>
              <w:t>2018/0211 (COD)</w:t>
            </w:r>
            <w:r>
              <w:rPr>
                <w:noProof/>
                <w:sz w:val="20"/>
              </w:rPr>
              <w:br/>
              <w:t>30. 5. 2018</w:t>
            </w:r>
          </w:p>
        </w:tc>
        <w:tc>
          <w:tcPr>
            <w:tcW w:w="1417" w:type="dxa"/>
          </w:tcPr>
          <w:p w:rsidR="003B0BA2" w:rsidRPr="00AB20C6" w:rsidRDefault="003B0BA2" w:rsidP="003B0BA2">
            <w:pPr>
              <w:spacing w:after="0"/>
              <w:jc w:val="center"/>
              <w:rPr>
                <w:b/>
                <w:noProof/>
                <w:sz w:val="20"/>
              </w:rPr>
            </w:pPr>
            <w:r w:rsidRPr="00AB20C6">
              <w:rPr>
                <w:b/>
                <w:noProof/>
                <w:sz w:val="20"/>
              </w:rPr>
              <w:t>ÚV SR</w:t>
            </w:r>
          </w:p>
        </w:tc>
        <w:tc>
          <w:tcPr>
            <w:tcW w:w="6095" w:type="dxa"/>
          </w:tcPr>
          <w:p w:rsidR="003B0BA2" w:rsidRDefault="009B5120" w:rsidP="009B5120">
            <w:pPr>
              <w:rPr>
                <w:sz w:val="20"/>
              </w:rPr>
            </w:pPr>
            <w:r>
              <w:rPr>
                <w:b/>
                <w:bCs/>
                <w:sz w:val="20"/>
                <w:u w:val="single"/>
              </w:rPr>
              <w:t>Stredná priorita</w:t>
            </w:r>
            <w:r>
              <w:rPr>
                <w:sz w:val="20"/>
              </w:rPr>
              <w:t xml:space="preserve"> - Návrh nariadenia bol prerokovaný v rámci Rady a je naďalej pripravený na začatie trialógov s EP (zdržanie z dôvodu volieb do EP), ktoré budú prebiehať počas roka 2020. SR víta predmetný návrh nariadenia. Navrhovaný program EÚ pre boj proti podvodom na obdobie 2021 – 2027 poskytuje širokú možnosť financovania aktivít zameraných na ochranu finančných záujmov EÚ a podporu vzájomnej administratívnej pomoci medzi členskými štátmi a spoluprácu medzi členskými štátmi a Komisiou v colných a poľnohospodárskych záležitostiach.</w:t>
            </w:r>
          </w:p>
        </w:tc>
      </w:tr>
      <w:tr w:rsidR="003B0BA2" w:rsidTr="00687C5F">
        <w:trPr>
          <w:cantSplit/>
        </w:trPr>
        <w:tc>
          <w:tcPr>
            <w:tcW w:w="652" w:type="dxa"/>
            <w:tcBorders>
              <w:right w:val="nil"/>
            </w:tcBorders>
            <w:shd w:val="clear" w:color="auto" w:fill="auto"/>
            <w:tcMar>
              <w:top w:w="85" w:type="dxa"/>
              <w:left w:w="85" w:type="dxa"/>
              <w:bottom w:w="85" w:type="dxa"/>
            </w:tcMar>
          </w:tcPr>
          <w:p w:rsidR="003B0BA2" w:rsidRDefault="003B0BA2" w:rsidP="003B0BA2">
            <w:pPr>
              <w:pStyle w:val="Odsekzoznamu"/>
              <w:numPr>
                <w:ilvl w:val="0"/>
                <w:numId w:val="20"/>
              </w:numPr>
              <w:spacing w:after="0"/>
              <w:ind w:left="426"/>
              <w:rPr>
                <w:b/>
                <w:noProof/>
                <w:sz w:val="20"/>
              </w:rPr>
            </w:pPr>
          </w:p>
        </w:tc>
        <w:tc>
          <w:tcPr>
            <w:tcW w:w="4588" w:type="dxa"/>
            <w:shd w:val="clear" w:color="auto" w:fill="EEECE1" w:themeFill="background2"/>
            <w:tcMar>
              <w:top w:w="85" w:type="dxa"/>
              <w:left w:w="85" w:type="dxa"/>
              <w:bottom w:w="85" w:type="dxa"/>
            </w:tcMar>
          </w:tcPr>
          <w:p w:rsidR="003B0BA2" w:rsidRDefault="003B0BA2" w:rsidP="003B0BA2">
            <w:pPr>
              <w:spacing w:after="0"/>
              <w:rPr>
                <w:noProof/>
                <w:sz w:val="20"/>
              </w:rPr>
            </w:pPr>
            <w:r>
              <w:rPr>
                <w:noProof/>
                <w:sz w:val="20"/>
              </w:rPr>
              <w:t>Návrh NARIADENIE EURÓPSKEHO PARLAMENTU A RADY, ktorým sa zriaďuje Fond pre vnútornú bezpečnosť</w:t>
            </w:r>
          </w:p>
        </w:tc>
        <w:tc>
          <w:tcPr>
            <w:tcW w:w="1985" w:type="dxa"/>
            <w:tcMar>
              <w:top w:w="85" w:type="dxa"/>
              <w:left w:w="85" w:type="dxa"/>
              <w:bottom w:w="85" w:type="dxa"/>
            </w:tcMar>
          </w:tcPr>
          <w:p w:rsidR="003B0BA2" w:rsidRDefault="003B0BA2" w:rsidP="003B0BA2">
            <w:pPr>
              <w:spacing w:after="0"/>
              <w:jc w:val="left"/>
              <w:rPr>
                <w:noProof/>
                <w:sz w:val="20"/>
              </w:rPr>
            </w:pPr>
            <w:r>
              <w:rPr>
                <w:noProof/>
                <w:sz w:val="20"/>
              </w:rPr>
              <w:t>COM(2018) 472 final.</w:t>
            </w:r>
            <w:r>
              <w:rPr>
                <w:noProof/>
                <w:sz w:val="20"/>
              </w:rPr>
              <w:br/>
              <w:t>2018/0250 (COD)</w:t>
            </w:r>
            <w:r>
              <w:rPr>
                <w:noProof/>
                <w:sz w:val="20"/>
              </w:rPr>
              <w:br/>
              <w:t>13. 6. 2018</w:t>
            </w:r>
          </w:p>
        </w:tc>
        <w:tc>
          <w:tcPr>
            <w:tcW w:w="1417" w:type="dxa"/>
          </w:tcPr>
          <w:p w:rsidR="003B0BA2" w:rsidRPr="002C7490" w:rsidRDefault="003B0BA2" w:rsidP="003B0BA2">
            <w:pPr>
              <w:spacing w:after="0"/>
              <w:jc w:val="center"/>
              <w:rPr>
                <w:b/>
                <w:sz w:val="20"/>
                <w:highlight w:val="yellow"/>
              </w:rPr>
            </w:pPr>
            <w:r w:rsidRPr="002C7490">
              <w:rPr>
                <w:b/>
                <w:sz w:val="20"/>
              </w:rPr>
              <w:t>MV SR</w:t>
            </w:r>
          </w:p>
        </w:tc>
        <w:tc>
          <w:tcPr>
            <w:tcW w:w="6095" w:type="dxa"/>
          </w:tcPr>
          <w:p w:rsidR="003B0BA2" w:rsidRPr="002E5596" w:rsidRDefault="003B0BA2" w:rsidP="003B0BA2">
            <w:pPr>
              <w:spacing w:after="0"/>
              <w:jc w:val="left"/>
              <w:rPr>
                <w:sz w:val="20"/>
              </w:rPr>
            </w:pPr>
            <w:r w:rsidRPr="002E5596">
              <w:rPr>
                <w:b/>
                <w:sz w:val="20"/>
                <w:u w:val="single"/>
              </w:rPr>
              <w:t>Vysoká priorita</w:t>
            </w:r>
            <w:r>
              <w:rPr>
                <w:sz w:val="20"/>
              </w:rPr>
              <w:t>- SR podporila návrh, počas technických tokovaní uplatnila svoje pripomienky.</w:t>
            </w:r>
          </w:p>
          <w:p w:rsidR="003B0BA2" w:rsidRPr="008503AC" w:rsidRDefault="003B0BA2" w:rsidP="003B0BA2">
            <w:pPr>
              <w:spacing w:after="0"/>
              <w:rPr>
                <w:b/>
                <w:sz w:val="20"/>
                <w:highlight w:val="yellow"/>
              </w:rPr>
            </w:pPr>
            <w:r>
              <w:rPr>
                <w:sz w:val="20"/>
              </w:rPr>
              <w:t>Radou je schválené čiastočné všeobecné smerovanie, ktoré podporila aj SR, prebiehajú trialógy s EP.</w:t>
            </w:r>
          </w:p>
        </w:tc>
      </w:tr>
      <w:tr w:rsidR="003B0BA2" w:rsidTr="00687C5F">
        <w:trPr>
          <w:cantSplit/>
        </w:trPr>
        <w:tc>
          <w:tcPr>
            <w:tcW w:w="652" w:type="dxa"/>
            <w:tcBorders>
              <w:right w:val="nil"/>
            </w:tcBorders>
            <w:shd w:val="clear" w:color="auto" w:fill="auto"/>
            <w:tcMar>
              <w:top w:w="85" w:type="dxa"/>
              <w:left w:w="85" w:type="dxa"/>
              <w:bottom w:w="85" w:type="dxa"/>
            </w:tcMar>
          </w:tcPr>
          <w:p w:rsidR="003B0BA2" w:rsidRDefault="003B0BA2" w:rsidP="003B0BA2">
            <w:pPr>
              <w:pStyle w:val="Odsekzoznamu"/>
              <w:numPr>
                <w:ilvl w:val="0"/>
                <w:numId w:val="20"/>
              </w:numPr>
              <w:spacing w:after="0"/>
              <w:ind w:left="426"/>
              <w:rPr>
                <w:b/>
                <w:noProof/>
                <w:sz w:val="20"/>
              </w:rPr>
            </w:pPr>
          </w:p>
        </w:tc>
        <w:tc>
          <w:tcPr>
            <w:tcW w:w="4588" w:type="dxa"/>
            <w:shd w:val="clear" w:color="auto" w:fill="EEECE1" w:themeFill="background2"/>
            <w:tcMar>
              <w:top w:w="85" w:type="dxa"/>
              <w:left w:w="85" w:type="dxa"/>
              <w:bottom w:w="85" w:type="dxa"/>
            </w:tcMar>
          </w:tcPr>
          <w:p w:rsidR="003B0BA2" w:rsidRDefault="003B0BA2" w:rsidP="003B0BA2">
            <w:pPr>
              <w:spacing w:after="0"/>
              <w:rPr>
                <w:noProof/>
                <w:sz w:val="20"/>
              </w:rPr>
            </w:pPr>
            <w:r>
              <w:rPr>
                <w:noProof/>
                <w:sz w:val="20"/>
              </w:rPr>
              <w:t>Návrh NARIADENIE EURÓPSKEHO PARLAMENTU A RADY, ktorým sa zriaďuje Fond pre azyl a migráciu</w:t>
            </w:r>
          </w:p>
        </w:tc>
        <w:tc>
          <w:tcPr>
            <w:tcW w:w="1985" w:type="dxa"/>
            <w:tcMar>
              <w:top w:w="85" w:type="dxa"/>
              <w:left w:w="85" w:type="dxa"/>
              <w:bottom w:w="85" w:type="dxa"/>
            </w:tcMar>
          </w:tcPr>
          <w:p w:rsidR="003B0BA2" w:rsidRDefault="003B0BA2" w:rsidP="003B0BA2">
            <w:pPr>
              <w:spacing w:after="0"/>
              <w:jc w:val="left"/>
              <w:rPr>
                <w:noProof/>
                <w:sz w:val="20"/>
              </w:rPr>
            </w:pPr>
            <w:r>
              <w:rPr>
                <w:noProof/>
                <w:sz w:val="20"/>
              </w:rPr>
              <w:t>COM(2018) 471 final.</w:t>
            </w:r>
            <w:r>
              <w:rPr>
                <w:noProof/>
                <w:sz w:val="20"/>
              </w:rPr>
              <w:br/>
              <w:t>2018/0248 (COD)</w:t>
            </w:r>
            <w:r>
              <w:rPr>
                <w:noProof/>
                <w:sz w:val="20"/>
              </w:rPr>
              <w:br/>
              <w:t>13. 6. 2018</w:t>
            </w:r>
          </w:p>
        </w:tc>
        <w:tc>
          <w:tcPr>
            <w:tcW w:w="1417" w:type="dxa"/>
          </w:tcPr>
          <w:p w:rsidR="003B0BA2" w:rsidRPr="002C7490" w:rsidRDefault="003B0BA2" w:rsidP="003B0BA2">
            <w:pPr>
              <w:spacing w:after="0"/>
              <w:jc w:val="center"/>
              <w:rPr>
                <w:b/>
                <w:sz w:val="20"/>
                <w:highlight w:val="yellow"/>
              </w:rPr>
            </w:pPr>
            <w:r w:rsidRPr="002C7490">
              <w:rPr>
                <w:b/>
                <w:sz w:val="20"/>
              </w:rPr>
              <w:t>MV SR</w:t>
            </w:r>
          </w:p>
        </w:tc>
        <w:tc>
          <w:tcPr>
            <w:tcW w:w="6095" w:type="dxa"/>
          </w:tcPr>
          <w:p w:rsidR="003B0BA2" w:rsidRPr="002E5596" w:rsidRDefault="003B0BA2" w:rsidP="003B0BA2">
            <w:pPr>
              <w:spacing w:after="0"/>
              <w:jc w:val="left"/>
              <w:rPr>
                <w:b/>
                <w:sz w:val="20"/>
                <w:u w:val="single"/>
              </w:rPr>
            </w:pPr>
            <w:r w:rsidRPr="002E5596">
              <w:rPr>
                <w:b/>
                <w:sz w:val="20"/>
                <w:u w:val="single"/>
              </w:rPr>
              <w:t>Vysoká priorita</w:t>
            </w:r>
            <w:r w:rsidRPr="002E5596">
              <w:rPr>
                <w:b/>
                <w:sz w:val="20"/>
              </w:rPr>
              <w:t xml:space="preserve"> -</w:t>
            </w:r>
            <w:r>
              <w:rPr>
                <w:sz w:val="20"/>
              </w:rPr>
              <w:t>SR podporila návrh, počas technických tokovaní uplatnila svoje pripomienky.</w:t>
            </w:r>
          </w:p>
          <w:p w:rsidR="003B0BA2" w:rsidRPr="008503AC" w:rsidRDefault="003B0BA2" w:rsidP="003B0BA2">
            <w:pPr>
              <w:spacing w:after="0"/>
              <w:jc w:val="left"/>
              <w:rPr>
                <w:b/>
                <w:sz w:val="20"/>
                <w:highlight w:val="yellow"/>
              </w:rPr>
            </w:pPr>
            <w:r>
              <w:rPr>
                <w:sz w:val="20"/>
              </w:rPr>
              <w:t>Radou je schválené čiastočné všeobecné smerovanie, ktoré podporila aj SR, prebiehajú trialógy s EP.</w:t>
            </w:r>
          </w:p>
        </w:tc>
      </w:tr>
      <w:tr w:rsidR="003B0BA2" w:rsidTr="00687C5F">
        <w:trPr>
          <w:cantSplit/>
        </w:trPr>
        <w:tc>
          <w:tcPr>
            <w:tcW w:w="652" w:type="dxa"/>
            <w:tcBorders>
              <w:right w:val="nil"/>
            </w:tcBorders>
            <w:shd w:val="clear" w:color="auto" w:fill="auto"/>
            <w:tcMar>
              <w:top w:w="85" w:type="dxa"/>
              <w:left w:w="85" w:type="dxa"/>
              <w:bottom w:w="85" w:type="dxa"/>
            </w:tcMar>
          </w:tcPr>
          <w:p w:rsidR="003B0BA2" w:rsidRDefault="003B0BA2" w:rsidP="003B0BA2">
            <w:pPr>
              <w:pStyle w:val="Odsekzoznamu"/>
              <w:numPr>
                <w:ilvl w:val="0"/>
                <w:numId w:val="20"/>
              </w:numPr>
              <w:spacing w:after="0"/>
              <w:ind w:left="426"/>
              <w:rPr>
                <w:b/>
                <w:noProof/>
                <w:sz w:val="20"/>
              </w:rPr>
            </w:pPr>
          </w:p>
        </w:tc>
        <w:tc>
          <w:tcPr>
            <w:tcW w:w="4588" w:type="dxa"/>
            <w:shd w:val="clear" w:color="auto" w:fill="EEECE1" w:themeFill="background2"/>
            <w:tcMar>
              <w:top w:w="85" w:type="dxa"/>
              <w:left w:w="85" w:type="dxa"/>
              <w:bottom w:w="85" w:type="dxa"/>
            </w:tcMar>
          </w:tcPr>
          <w:p w:rsidR="003B0BA2" w:rsidRDefault="003B0BA2" w:rsidP="003B0BA2">
            <w:pPr>
              <w:spacing w:after="0"/>
              <w:rPr>
                <w:noProof/>
                <w:sz w:val="20"/>
              </w:rPr>
            </w:pPr>
            <w:r>
              <w:rPr>
                <w:noProof/>
                <w:sz w:val="20"/>
              </w:rPr>
              <w:t>Návrh NARIADENIE EURÓPSKEHO PARLAMENTU A RADY, ktorým sa ako súčasť Fondu pre integrované riadenie hraníc zriaďuje nástroj finančnej podpory na riadenie hraníc a víza</w:t>
            </w:r>
          </w:p>
        </w:tc>
        <w:tc>
          <w:tcPr>
            <w:tcW w:w="1985" w:type="dxa"/>
            <w:tcMar>
              <w:top w:w="85" w:type="dxa"/>
              <w:left w:w="85" w:type="dxa"/>
              <w:bottom w:w="85" w:type="dxa"/>
            </w:tcMar>
          </w:tcPr>
          <w:p w:rsidR="003B0BA2" w:rsidRDefault="003B0BA2" w:rsidP="003B0BA2">
            <w:pPr>
              <w:spacing w:after="0"/>
              <w:jc w:val="left"/>
              <w:rPr>
                <w:noProof/>
                <w:sz w:val="20"/>
              </w:rPr>
            </w:pPr>
            <w:r>
              <w:rPr>
                <w:noProof/>
                <w:sz w:val="20"/>
              </w:rPr>
              <w:t>COM(2018) 473 final.</w:t>
            </w:r>
            <w:r>
              <w:rPr>
                <w:noProof/>
                <w:sz w:val="20"/>
              </w:rPr>
              <w:br/>
              <w:t>2018/0249 (COD) 13. 6. 2018</w:t>
            </w:r>
          </w:p>
        </w:tc>
        <w:tc>
          <w:tcPr>
            <w:tcW w:w="1417" w:type="dxa"/>
          </w:tcPr>
          <w:p w:rsidR="003B0BA2" w:rsidRPr="002C7490" w:rsidRDefault="003B0BA2" w:rsidP="003B0BA2">
            <w:pPr>
              <w:spacing w:after="0"/>
              <w:jc w:val="center"/>
              <w:rPr>
                <w:b/>
                <w:sz w:val="20"/>
              </w:rPr>
            </w:pPr>
            <w:r w:rsidRPr="002C7490">
              <w:rPr>
                <w:b/>
                <w:sz w:val="20"/>
              </w:rPr>
              <w:t>MV SR</w:t>
            </w:r>
          </w:p>
        </w:tc>
        <w:tc>
          <w:tcPr>
            <w:tcW w:w="6095" w:type="dxa"/>
          </w:tcPr>
          <w:p w:rsidR="003B0BA2" w:rsidRPr="002E5596" w:rsidRDefault="003B0BA2" w:rsidP="003B0BA2">
            <w:pPr>
              <w:spacing w:after="0"/>
              <w:jc w:val="left"/>
              <w:rPr>
                <w:b/>
                <w:sz w:val="20"/>
                <w:u w:val="single"/>
              </w:rPr>
            </w:pPr>
            <w:r w:rsidRPr="002E5596">
              <w:rPr>
                <w:b/>
                <w:sz w:val="20"/>
                <w:u w:val="single"/>
              </w:rPr>
              <w:t>Vysoká priorita</w:t>
            </w:r>
            <w:r w:rsidRPr="002E5596">
              <w:rPr>
                <w:b/>
                <w:sz w:val="20"/>
              </w:rPr>
              <w:t xml:space="preserve"> -</w:t>
            </w:r>
            <w:r>
              <w:rPr>
                <w:sz w:val="20"/>
              </w:rPr>
              <w:t>SR podporila návrh, počas technických tokovaní uplatnila svoje pripomienky.Radou je schválené čiastočné všeobecné smerovanie, prebiehajú trialógy s EP.</w:t>
            </w:r>
          </w:p>
        </w:tc>
      </w:tr>
      <w:tr w:rsidR="003B0BA2" w:rsidTr="00687C5F">
        <w:trPr>
          <w:cantSplit/>
        </w:trPr>
        <w:tc>
          <w:tcPr>
            <w:tcW w:w="652" w:type="dxa"/>
            <w:tcBorders>
              <w:right w:val="nil"/>
            </w:tcBorders>
            <w:shd w:val="clear" w:color="auto" w:fill="auto"/>
            <w:tcMar>
              <w:top w:w="85" w:type="dxa"/>
              <w:left w:w="85" w:type="dxa"/>
              <w:bottom w:w="85" w:type="dxa"/>
            </w:tcMar>
          </w:tcPr>
          <w:p w:rsidR="003B0BA2" w:rsidRDefault="003B0BA2" w:rsidP="003B0BA2">
            <w:pPr>
              <w:pStyle w:val="Odsekzoznamu"/>
              <w:numPr>
                <w:ilvl w:val="0"/>
                <w:numId w:val="20"/>
              </w:numPr>
              <w:spacing w:after="0"/>
              <w:ind w:left="426"/>
              <w:rPr>
                <w:b/>
                <w:noProof/>
                <w:sz w:val="20"/>
              </w:rPr>
            </w:pPr>
          </w:p>
        </w:tc>
        <w:tc>
          <w:tcPr>
            <w:tcW w:w="4588" w:type="dxa"/>
            <w:tcBorders>
              <w:bottom w:val="single" w:sz="4" w:space="0" w:color="auto"/>
            </w:tcBorders>
            <w:shd w:val="clear" w:color="auto" w:fill="EEECE1" w:themeFill="background2"/>
            <w:tcMar>
              <w:top w:w="85" w:type="dxa"/>
              <w:left w:w="85" w:type="dxa"/>
              <w:bottom w:w="85" w:type="dxa"/>
            </w:tcMar>
          </w:tcPr>
          <w:p w:rsidR="003B0BA2" w:rsidRDefault="003B0BA2" w:rsidP="003B0BA2">
            <w:pPr>
              <w:spacing w:after="0"/>
              <w:rPr>
                <w:noProof/>
                <w:sz w:val="20"/>
              </w:rPr>
            </w:pPr>
            <w:r>
              <w:rPr>
                <w:noProof/>
                <w:sz w:val="20"/>
              </w:rPr>
              <w:t>Návrh NARIADENIE EURÓPSKEHO PARLAMENTU A RADY, ktorým sa stanovuje program Európsky zbor solidarity a zrušujú [nariadenie o Európskom zbore solidarity] a nariadenie (EÚ) č. 375/2014</w:t>
            </w:r>
          </w:p>
        </w:tc>
        <w:tc>
          <w:tcPr>
            <w:tcW w:w="1985" w:type="dxa"/>
            <w:tcMar>
              <w:top w:w="85" w:type="dxa"/>
              <w:left w:w="85" w:type="dxa"/>
              <w:bottom w:w="85" w:type="dxa"/>
            </w:tcMar>
          </w:tcPr>
          <w:p w:rsidR="003B0BA2" w:rsidRDefault="003B0BA2" w:rsidP="003B0BA2">
            <w:pPr>
              <w:spacing w:after="0"/>
              <w:jc w:val="left"/>
              <w:rPr>
                <w:noProof/>
                <w:sz w:val="20"/>
              </w:rPr>
            </w:pPr>
            <w:r>
              <w:rPr>
                <w:noProof/>
                <w:sz w:val="20"/>
              </w:rPr>
              <w:t>COM(2018) 440 final.</w:t>
            </w:r>
            <w:r>
              <w:rPr>
                <w:noProof/>
                <w:sz w:val="20"/>
              </w:rPr>
              <w:br/>
              <w:t>2018/0230 (COD)</w:t>
            </w:r>
            <w:r>
              <w:rPr>
                <w:noProof/>
                <w:sz w:val="20"/>
              </w:rPr>
              <w:br/>
              <w:t>11. 6. 2018</w:t>
            </w:r>
          </w:p>
        </w:tc>
        <w:tc>
          <w:tcPr>
            <w:tcW w:w="1417" w:type="dxa"/>
          </w:tcPr>
          <w:p w:rsidR="003B0BA2" w:rsidRPr="00D15665" w:rsidRDefault="003B0BA2" w:rsidP="003B0BA2">
            <w:pPr>
              <w:spacing w:after="0"/>
              <w:jc w:val="center"/>
              <w:rPr>
                <w:b/>
                <w:noProof/>
                <w:sz w:val="20"/>
              </w:rPr>
            </w:pPr>
            <w:r w:rsidRPr="00D15665">
              <w:rPr>
                <w:b/>
                <w:sz w:val="20"/>
              </w:rPr>
              <w:t>MŠVVaS SR</w:t>
            </w:r>
          </w:p>
        </w:tc>
        <w:tc>
          <w:tcPr>
            <w:tcW w:w="6095" w:type="dxa"/>
          </w:tcPr>
          <w:p w:rsidR="003B0BA2" w:rsidRPr="00D15665" w:rsidRDefault="003B0BA2" w:rsidP="003B0BA2">
            <w:pPr>
              <w:spacing w:after="0"/>
              <w:rPr>
                <w:b/>
                <w:sz w:val="20"/>
                <w:lang w:val="pl-PL"/>
              </w:rPr>
            </w:pPr>
            <w:r w:rsidRPr="00D15665">
              <w:rPr>
                <w:b/>
                <w:sz w:val="20"/>
                <w:u w:val="single"/>
                <w:lang w:val="pl-PL"/>
              </w:rPr>
              <w:t>Stredná priorita</w:t>
            </w:r>
            <w:r>
              <w:rPr>
                <w:sz w:val="20"/>
                <w:lang w:val="pl-PL"/>
              </w:rPr>
              <w:t xml:space="preserve"> - je to </w:t>
            </w:r>
            <w:r w:rsidRPr="002548DB">
              <w:rPr>
                <w:sz w:val="20"/>
                <w:lang w:val="pl-PL"/>
              </w:rPr>
              <w:t xml:space="preserve"> jediný program na podporu dobrovoľníctva financovaný EÚ.</w:t>
            </w:r>
            <w:r>
              <w:rPr>
                <w:sz w:val="20"/>
                <w:lang w:val="pl-PL"/>
              </w:rPr>
              <w:t xml:space="preserve"> </w:t>
            </w:r>
            <w:r w:rsidRPr="002548DB">
              <w:rPr>
                <w:sz w:val="20"/>
              </w:rPr>
              <w:t>Cieľom nariadenia stanovujúceho práv</w:t>
            </w:r>
            <w:r>
              <w:rPr>
                <w:sz w:val="20"/>
              </w:rPr>
              <w:t>ny rámec a rozpočet na roky 2021 - 2027</w:t>
            </w:r>
            <w:r w:rsidRPr="002548DB">
              <w:rPr>
                <w:sz w:val="20"/>
              </w:rPr>
              <w:t xml:space="preserve"> pre Európsky zbor solidarity je zvýšiť účasť mladých ľudí a organizácií na dostupných a vysokokvalitných činnostiach v oblasti solidarity (dobrovoľnícka činnosť, stáže, pracovné umiestnenia, iniciatívne projekty), a tým prispieť k posilňovaniu súdržnosti a solidarity v Európe, podporovaniu komunít a riešeniu spoločenských výziev. Tieto opatrenia prispejú k zlepšovaniu zručností a schopností v záujme osobného, vzdelávacieho, sociálneho, občianskeho a profesijného rozvoja mladých ľudí, ako aj ich zamestnateľnosti a uľahčia ich prechod zo vzdelávania na trh práce.  Nariadenie tiež zaistí vysokú kvalitu a následné uznávanie činností v oblasti solidarity, ako aj ich prínos k riešeniu konkrétnych neuspokojených spoločenských potrieb a posilňovaniu komunít.</w:t>
            </w:r>
          </w:p>
        </w:tc>
      </w:tr>
      <w:tr w:rsidR="003B0BA2" w:rsidTr="00687C5F">
        <w:trPr>
          <w:cantSplit/>
        </w:trPr>
        <w:tc>
          <w:tcPr>
            <w:tcW w:w="652" w:type="dxa"/>
            <w:tcBorders>
              <w:bottom w:val="single" w:sz="4" w:space="0" w:color="auto"/>
              <w:right w:val="nil"/>
            </w:tcBorders>
            <w:shd w:val="clear" w:color="auto" w:fill="auto"/>
            <w:tcMar>
              <w:top w:w="85" w:type="dxa"/>
              <w:left w:w="85" w:type="dxa"/>
              <w:bottom w:w="85" w:type="dxa"/>
            </w:tcMar>
          </w:tcPr>
          <w:p w:rsidR="003B0BA2" w:rsidRDefault="003B0BA2" w:rsidP="003B0BA2">
            <w:pPr>
              <w:pStyle w:val="Odsekzoznamu"/>
              <w:numPr>
                <w:ilvl w:val="0"/>
                <w:numId w:val="20"/>
              </w:numPr>
              <w:spacing w:after="0"/>
              <w:ind w:left="426"/>
              <w:rPr>
                <w:b/>
                <w:noProof/>
                <w:sz w:val="20"/>
              </w:rPr>
            </w:pPr>
          </w:p>
        </w:tc>
        <w:tc>
          <w:tcPr>
            <w:tcW w:w="4588" w:type="dxa"/>
            <w:tcBorders>
              <w:bottom w:val="single" w:sz="4" w:space="0" w:color="auto"/>
            </w:tcBorders>
            <w:shd w:val="clear" w:color="auto" w:fill="EEECE1" w:themeFill="background2"/>
            <w:tcMar>
              <w:top w:w="85" w:type="dxa"/>
              <w:left w:w="85" w:type="dxa"/>
              <w:bottom w:w="85" w:type="dxa"/>
            </w:tcMar>
          </w:tcPr>
          <w:p w:rsidR="003B0BA2" w:rsidRDefault="003B0BA2" w:rsidP="003B0BA2">
            <w:pPr>
              <w:spacing w:after="0"/>
              <w:rPr>
                <w:noProof/>
                <w:sz w:val="20"/>
              </w:rPr>
            </w:pPr>
            <w:r>
              <w:rPr>
                <w:noProof/>
                <w:sz w:val="20"/>
              </w:rPr>
              <w:t>Návrh NARIADENIE EURÓPSKEHO PARLAMENTU A RADY, ktorým sa ustanovuje program Kreatívna Európa (na obdobie 2021 až 2027) a ktorým sa zrušuje nariadenie (EÚ) č. 1295/2013</w:t>
            </w:r>
          </w:p>
        </w:tc>
        <w:tc>
          <w:tcPr>
            <w:tcW w:w="1985" w:type="dxa"/>
            <w:tcBorders>
              <w:bottom w:val="single" w:sz="4" w:space="0" w:color="auto"/>
            </w:tcBorders>
            <w:tcMar>
              <w:top w:w="85" w:type="dxa"/>
              <w:left w:w="85" w:type="dxa"/>
              <w:bottom w:w="85" w:type="dxa"/>
            </w:tcMar>
          </w:tcPr>
          <w:p w:rsidR="003B0BA2" w:rsidRDefault="003B0BA2" w:rsidP="003B0BA2">
            <w:pPr>
              <w:spacing w:after="0"/>
              <w:jc w:val="left"/>
              <w:rPr>
                <w:noProof/>
                <w:sz w:val="20"/>
              </w:rPr>
            </w:pPr>
            <w:r>
              <w:rPr>
                <w:noProof/>
                <w:sz w:val="20"/>
              </w:rPr>
              <w:t>COM(2018) 366 final.</w:t>
            </w:r>
            <w:r>
              <w:rPr>
                <w:noProof/>
                <w:sz w:val="20"/>
              </w:rPr>
              <w:br/>
              <w:t>2018/0190 (COD)</w:t>
            </w:r>
            <w:r>
              <w:rPr>
                <w:noProof/>
                <w:sz w:val="20"/>
              </w:rPr>
              <w:br/>
              <w:t>30. 5. 2018</w:t>
            </w:r>
          </w:p>
        </w:tc>
        <w:tc>
          <w:tcPr>
            <w:tcW w:w="1417" w:type="dxa"/>
            <w:tcBorders>
              <w:bottom w:val="single" w:sz="4" w:space="0" w:color="auto"/>
            </w:tcBorders>
          </w:tcPr>
          <w:p w:rsidR="003B0BA2" w:rsidRDefault="003B0BA2" w:rsidP="003B0BA2">
            <w:pPr>
              <w:spacing w:after="0"/>
              <w:jc w:val="center"/>
              <w:rPr>
                <w:b/>
                <w:noProof/>
                <w:sz w:val="20"/>
              </w:rPr>
            </w:pPr>
            <w:r w:rsidRPr="006F423A">
              <w:rPr>
                <w:b/>
                <w:noProof/>
                <w:sz w:val="20"/>
              </w:rPr>
              <w:t>MK SR</w:t>
            </w:r>
          </w:p>
          <w:p w:rsidR="003B0BA2" w:rsidRPr="00FE4DFD" w:rsidRDefault="003B0BA2" w:rsidP="003B0BA2">
            <w:pPr>
              <w:spacing w:after="0"/>
              <w:ind w:left="4" w:right="49"/>
              <w:jc w:val="center"/>
              <w:rPr>
                <w:b/>
                <w:sz w:val="20"/>
              </w:rPr>
            </w:pPr>
            <w:r w:rsidRPr="00FE4DFD">
              <w:rPr>
                <w:b/>
                <w:sz w:val="20"/>
              </w:rPr>
              <w:t>MZVEZ SR</w:t>
            </w:r>
          </w:p>
          <w:p w:rsidR="003B0BA2" w:rsidRPr="00FE4DFD" w:rsidRDefault="003B0BA2" w:rsidP="003B0BA2">
            <w:pPr>
              <w:spacing w:after="0"/>
              <w:ind w:left="4" w:right="49"/>
              <w:jc w:val="center"/>
              <w:rPr>
                <w:b/>
                <w:sz w:val="20"/>
              </w:rPr>
            </w:pPr>
            <w:r w:rsidRPr="00FE4DFD">
              <w:rPr>
                <w:b/>
                <w:sz w:val="20"/>
              </w:rPr>
              <w:t>MF SR</w:t>
            </w:r>
          </w:p>
          <w:p w:rsidR="003B0BA2" w:rsidRPr="00FE4DFD" w:rsidRDefault="003B0BA2" w:rsidP="003B0BA2">
            <w:pPr>
              <w:spacing w:after="0"/>
              <w:ind w:left="4" w:right="49"/>
              <w:jc w:val="center"/>
              <w:rPr>
                <w:b/>
                <w:sz w:val="20"/>
              </w:rPr>
            </w:pPr>
            <w:r w:rsidRPr="00FE4DFD">
              <w:rPr>
                <w:b/>
                <w:sz w:val="20"/>
              </w:rPr>
              <w:t>MPSVR SR</w:t>
            </w:r>
          </w:p>
          <w:p w:rsidR="003B0BA2" w:rsidRPr="006F423A" w:rsidRDefault="003B0BA2" w:rsidP="003B0BA2">
            <w:pPr>
              <w:spacing w:after="0"/>
              <w:jc w:val="center"/>
              <w:rPr>
                <w:b/>
                <w:noProof/>
                <w:sz w:val="20"/>
              </w:rPr>
            </w:pPr>
          </w:p>
        </w:tc>
        <w:tc>
          <w:tcPr>
            <w:tcW w:w="6095" w:type="dxa"/>
            <w:tcBorders>
              <w:bottom w:val="single" w:sz="4" w:space="0" w:color="auto"/>
            </w:tcBorders>
          </w:tcPr>
          <w:p w:rsidR="003B0BA2" w:rsidRPr="00D15665" w:rsidRDefault="003B0BA2" w:rsidP="003B0BA2">
            <w:pPr>
              <w:rPr>
                <w:b/>
                <w:sz w:val="20"/>
              </w:rPr>
            </w:pPr>
            <w:r>
              <w:rPr>
                <w:b/>
                <w:sz w:val="20"/>
                <w:u w:val="single"/>
              </w:rPr>
              <w:t xml:space="preserve">Stredná </w:t>
            </w:r>
            <w:r w:rsidRPr="006F1A07">
              <w:rPr>
                <w:b/>
                <w:sz w:val="20"/>
                <w:u w:val="single"/>
              </w:rPr>
              <w:t>priorita</w:t>
            </w:r>
            <w:r w:rsidRPr="006F1A07">
              <w:rPr>
                <w:sz w:val="20"/>
              </w:rPr>
              <w:t xml:space="preserve"> </w:t>
            </w:r>
            <w:r>
              <w:rPr>
                <w:sz w:val="20"/>
              </w:rPr>
              <w:t xml:space="preserve">- </w:t>
            </w:r>
            <w:r w:rsidRPr="00483413">
              <w:rPr>
                <w:sz w:val="20"/>
              </w:rPr>
              <w:t xml:space="preserve">Program Kreatívna Európa (2021 – 2027) má za cieľ posilňovať európsku kultúrnu a jazykovú rozmanitosť, kultúrne dedičstvo a tvorivosť, v záujme </w:t>
            </w:r>
            <w:r>
              <w:rPr>
                <w:sz w:val="20"/>
              </w:rPr>
              <w:t>rozvíjania</w:t>
            </w:r>
            <w:r w:rsidRPr="00483413">
              <w:rPr>
                <w:sz w:val="20"/>
              </w:rPr>
              <w:t xml:space="preserve"> európskych</w:t>
            </w:r>
            <w:r>
              <w:rPr>
                <w:sz w:val="20"/>
              </w:rPr>
              <w:t xml:space="preserve"> hodnôt</w:t>
            </w:r>
            <w:r w:rsidRPr="00483413">
              <w:rPr>
                <w:sz w:val="20"/>
              </w:rPr>
              <w:t xml:space="preserve"> a využívania ich plného potenciálu. Program  zároveň podpor</w:t>
            </w:r>
            <w:r>
              <w:rPr>
                <w:sz w:val="20"/>
              </w:rPr>
              <w:t>uje</w:t>
            </w:r>
            <w:r w:rsidRPr="00483413">
              <w:rPr>
                <w:sz w:val="20"/>
              </w:rPr>
              <w:t xml:space="preserve"> plnenie záväzkov EÚ v cieľoch udržateľného rozvoja.</w:t>
            </w:r>
            <w:r>
              <w:rPr>
                <w:sz w:val="20"/>
              </w:rPr>
              <w:t xml:space="preserve"> Projekty slovenských žiadateľov sa pravidelne zaraďujú medzi úspešné a každý rok vďaka grantovej podpore spolufinancovania vzniknú diela a podujatia z oblasti audiovizuálneho priemyslu a ďalších odvetví  </w:t>
            </w:r>
            <w:r w:rsidRPr="00483413">
              <w:rPr>
                <w:sz w:val="20"/>
              </w:rPr>
              <w:t>kultúrn</w:t>
            </w:r>
            <w:r>
              <w:rPr>
                <w:sz w:val="20"/>
              </w:rPr>
              <w:t>eho</w:t>
            </w:r>
            <w:r w:rsidRPr="00483413">
              <w:rPr>
                <w:sz w:val="20"/>
              </w:rPr>
              <w:t xml:space="preserve"> a kreatívn</w:t>
            </w:r>
            <w:r>
              <w:rPr>
                <w:sz w:val="20"/>
              </w:rPr>
              <w:t>eho</w:t>
            </w:r>
            <w:r w:rsidRPr="00483413">
              <w:rPr>
                <w:sz w:val="20"/>
              </w:rPr>
              <w:t xml:space="preserve"> sektor</w:t>
            </w:r>
            <w:r>
              <w:rPr>
                <w:sz w:val="20"/>
              </w:rPr>
              <w:t>a.</w:t>
            </w:r>
          </w:p>
        </w:tc>
      </w:tr>
      <w:tr w:rsidR="003B0BA2" w:rsidTr="00687C5F">
        <w:trPr>
          <w:cantSplit/>
        </w:trPr>
        <w:tc>
          <w:tcPr>
            <w:tcW w:w="7225" w:type="dxa"/>
            <w:gridSpan w:val="3"/>
            <w:shd w:val="clear" w:color="auto" w:fill="00ADDC" w:themeFill="accent5"/>
            <w:tcMar>
              <w:top w:w="85" w:type="dxa"/>
              <w:left w:w="85" w:type="dxa"/>
              <w:bottom w:w="85" w:type="dxa"/>
              <w:right w:w="85" w:type="dxa"/>
            </w:tcMar>
          </w:tcPr>
          <w:p w:rsidR="003B0BA2" w:rsidRDefault="003B0BA2" w:rsidP="003B0BA2">
            <w:pPr>
              <w:spacing w:before="60" w:after="60"/>
              <w:rPr>
                <w:noProof/>
                <w:sz w:val="20"/>
              </w:rPr>
            </w:pPr>
            <w:r>
              <w:rPr>
                <w:b/>
                <w:bCs/>
                <w:noProof/>
                <w:color w:val="FFFFFF" w:themeColor="background1"/>
                <w:sz w:val="20"/>
              </w:rPr>
              <w:t>Nový impulz pre európsku demokraciu</w:t>
            </w:r>
          </w:p>
        </w:tc>
        <w:tc>
          <w:tcPr>
            <w:tcW w:w="1417" w:type="dxa"/>
            <w:shd w:val="clear" w:color="auto" w:fill="00ADDC" w:themeFill="accent5"/>
          </w:tcPr>
          <w:p w:rsidR="003B0BA2" w:rsidRDefault="003B0BA2" w:rsidP="003B0BA2">
            <w:pPr>
              <w:spacing w:before="60" w:after="60"/>
              <w:rPr>
                <w:b/>
                <w:bCs/>
                <w:noProof/>
                <w:color w:val="FFFFFF" w:themeColor="background1"/>
                <w:sz w:val="20"/>
              </w:rPr>
            </w:pPr>
          </w:p>
        </w:tc>
        <w:tc>
          <w:tcPr>
            <w:tcW w:w="6095" w:type="dxa"/>
            <w:shd w:val="clear" w:color="auto" w:fill="00ADDC" w:themeFill="accent5"/>
          </w:tcPr>
          <w:p w:rsidR="003B0BA2" w:rsidRDefault="003B0BA2" w:rsidP="003B0BA2">
            <w:pPr>
              <w:spacing w:before="60" w:after="60"/>
              <w:rPr>
                <w:b/>
                <w:bCs/>
                <w:noProof/>
                <w:color w:val="FFFFFF" w:themeColor="background1"/>
                <w:sz w:val="20"/>
              </w:rPr>
            </w:pPr>
          </w:p>
        </w:tc>
      </w:tr>
      <w:tr w:rsidR="003B0BA2" w:rsidTr="00687C5F">
        <w:trPr>
          <w:cantSplit/>
        </w:trPr>
        <w:tc>
          <w:tcPr>
            <w:tcW w:w="652" w:type="dxa"/>
            <w:tcBorders>
              <w:right w:val="nil"/>
            </w:tcBorders>
            <w:shd w:val="clear" w:color="auto" w:fill="auto"/>
            <w:tcMar>
              <w:top w:w="85" w:type="dxa"/>
              <w:left w:w="85" w:type="dxa"/>
              <w:bottom w:w="85" w:type="dxa"/>
            </w:tcMar>
          </w:tcPr>
          <w:p w:rsidR="003B0BA2" w:rsidRDefault="003B0BA2" w:rsidP="003B0BA2">
            <w:pPr>
              <w:pStyle w:val="Odsekzoznamu"/>
              <w:numPr>
                <w:ilvl w:val="0"/>
                <w:numId w:val="20"/>
              </w:numPr>
              <w:spacing w:after="0"/>
              <w:ind w:left="426"/>
              <w:rPr>
                <w:b/>
                <w:noProof/>
                <w:sz w:val="20"/>
              </w:rPr>
            </w:pPr>
          </w:p>
        </w:tc>
        <w:tc>
          <w:tcPr>
            <w:tcW w:w="4588" w:type="dxa"/>
            <w:shd w:val="clear" w:color="auto" w:fill="auto"/>
            <w:tcMar>
              <w:top w:w="85" w:type="dxa"/>
              <w:left w:w="85" w:type="dxa"/>
              <w:bottom w:w="85" w:type="dxa"/>
            </w:tcMar>
          </w:tcPr>
          <w:p w:rsidR="003B0BA2" w:rsidRPr="003B1CF2" w:rsidRDefault="003B0BA2" w:rsidP="003B0BA2">
            <w:pPr>
              <w:spacing w:after="0"/>
              <w:rPr>
                <w:noProof/>
                <w:sz w:val="20"/>
              </w:rPr>
            </w:pPr>
            <w:r w:rsidRPr="003B1CF2">
              <w:rPr>
                <w:noProof/>
                <w:sz w:val="20"/>
              </w:rPr>
              <w:t>Návrh NARIADENIE EURÓPSKEHO PARLAMENTU A RADY, ktorým sa viacero právnych aktov v oblasti spravodlivosti stanovujúcich použitie regulačného postupu s kontrolou prispôsobuje článku 290 Zmluvy o fungovaní Európskej únie</w:t>
            </w:r>
            <w:r w:rsidRPr="003B1CF2">
              <w:rPr>
                <w:b/>
                <w:bCs/>
                <w:noProof/>
                <w:sz w:val="20"/>
              </w:rPr>
              <w:t xml:space="preserve"> </w:t>
            </w:r>
          </w:p>
        </w:tc>
        <w:tc>
          <w:tcPr>
            <w:tcW w:w="1985" w:type="dxa"/>
            <w:tcMar>
              <w:top w:w="85" w:type="dxa"/>
              <w:left w:w="85" w:type="dxa"/>
              <w:bottom w:w="85" w:type="dxa"/>
            </w:tcMar>
          </w:tcPr>
          <w:p w:rsidR="003B0BA2" w:rsidRPr="003B1CF2" w:rsidRDefault="003B0BA2" w:rsidP="003B0BA2">
            <w:pPr>
              <w:spacing w:after="0"/>
              <w:jc w:val="left"/>
              <w:rPr>
                <w:noProof/>
                <w:sz w:val="20"/>
              </w:rPr>
            </w:pPr>
            <w:r w:rsidRPr="003B1CF2">
              <w:rPr>
                <w:noProof/>
                <w:sz w:val="20"/>
              </w:rPr>
              <w:t>COM(2016) 798 final.</w:t>
            </w:r>
            <w:r w:rsidRPr="003B1CF2">
              <w:rPr>
                <w:noProof/>
                <w:sz w:val="20"/>
              </w:rPr>
              <w:br/>
              <w:t>2016/0399 (COD)</w:t>
            </w:r>
            <w:r w:rsidRPr="003B1CF2">
              <w:rPr>
                <w:noProof/>
                <w:sz w:val="20"/>
              </w:rPr>
              <w:br/>
              <w:t>14. 12. 2016</w:t>
            </w:r>
          </w:p>
        </w:tc>
        <w:tc>
          <w:tcPr>
            <w:tcW w:w="1417" w:type="dxa"/>
          </w:tcPr>
          <w:p w:rsidR="003B0BA2" w:rsidRPr="003B1CF2" w:rsidRDefault="00D6682E" w:rsidP="003B0BA2">
            <w:pPr>
              <w:spacing w:after="0"/>
              <w:jc w:val="center"/>
              <w:rPr>
                <w:b/>
                <w:noProof/>
                <w:sz w:val="20"/>
              </w:rPr>
            </w:pPr>
            <w:r>
              <w:rPr>
                <w:b/>
                <w:noProof/>
                <w:sz w:val="20"/>
              </w:rPr>
              <w:t>MS SR</w:t>
            </w:r>
          </w:p>
        </w:tc>
        <w:tc>
          <w:tcPr>
            <w:tcW w:w="6095" w:type="dxa"/>
          </w:tcPr>
          <w:p w:rsidR="003B0BA2" w:rsidRPr="003B0BA2" w:rsidRDefault="00D6682E" w:rsidP="003B0BA2">
            <w:pPr>
              <w:spacing w:after="0"/>
              <w:rPr>
                <w:b/>
                <w:sz w:val="20"/>
                <w:u w:val="single"/>
              </w:rPr>
            </w:pPr>
            <w:r w:rsidRPr="00D6682E">
              <w:rPr>
                <w:b/>
                <w:noProof/>
                <w:sz w:val="20"/>
                <w:u w:val="single"/>
                <w:lang w:bidi="ne-NP"/>
              </w:rPr>
              <w:t>Nízka priorita</w:t>
            </w:r>
            <w:r w:rsidRPr="00D6682E">
              <w:rPr>
                <w:noProof/>
                <w:sz w:val="20"/>
                <w:lang w:bidi="ne-NP"/>
              </w:rPr>
              <w:t xml:space="preserve"> </w:t>
            </w:r>
            <w:r w:rsidRPr="00D6682E">
              <w:rPr>
                <w:sz w:val="20"/>
                <w:lang w:bidi="ne-NP"/>
              </w:rPr>
              <w:t>– návrh sa týka zmeny spôsobu schvaľovania príloh - štandardizovaných formulárov vybraných nariadení v oblasti občianskeho práva. Navrhuje zavedenie ich prijímania formou delegovaných aktov.  SR návrh podporuje. Ako alternatívu vieme podporiť aj schvaľovanie formou vykonávacích aktov,  za predpokladu, že by išlo o postup preskúmania podľa čl. 5 komitologického nariadenia.</w:t>
            </w:r>
          </w:p>
        </w:tc>
      </w:tr>
      <w:tr w:rsidR="003B0BA2" w:rsidTr="00687C5F">
        <w:trPr>
          <w:cantSplit/>
        </w:trPr>
        <w:tc>
          <w:tcPr>
            <w:tcW w:w="652" w:type="dxa"/>
            <w:tcBorders>
              <w:right w:val="nil"/>
            </w:tcBorders>
            <w:shd w:val="clear" w:color="auto" w:fill="auto"/>
            <w:tcMar>
              <w:top w:w="85" w:type="dxa"/>
              <w:left w:w="85" w:type="dxa"/>
              <w:bottom w:w="85" w:type="dxa"/>
            </w:tcMar>
          </w:tcPr>
          <w:p w:rsidR="003B0BA2" w:rsidRDefault="003B0BA2" w:rsidP="003B0BA2">
            <w:pPr>
              <w:pStyle w:val="Odsekzoznamu"/>
              <w:numPr>
                <w:ilvl w:val="0"/>
                <w:numId w:val="20"/>
              </w:numPr>
              <w:spacing w:after="0"/>
              <w:ind w:left="426"/>
              <w:rPr>
                <w:b/>
                <w:noProof/>
                <w:sz w:val="20"/>
              </w:rPr>
            </w:pPr>
          </w:p>
        </w:tc>
        <w:tc>
          <w:tcPr>
            <w:tcW w:w="4588" w:type="dxa"/>
            <w:shd w:val="clear" w:color="auto" w:fill="auto"/>
            <w:tcMar>
              <w:top w:w="85" w:type="dxa"/>
              <w:left w:w="85" w:type="dxa"/>
              <w:bottom w:w="85" w:type="dxa"/>
            </w:tcMar>
          </w:tcPr>
          <w:p w:rsidR="003B0BA2" w:rsidRDefault="003B0BA2" w:rsidP="003B0BA2">
            <w:pPr>
              <w:spacing w:after="0"/>
              <w:rPr>
                <w:noProof/>
                <w:sz w:val="20"/>
              </w:rPr>
            </w:pPr>
            <w:r>
              <w:rPr>
                <w:noProof/>
                <w:sz w:val="20"/>
              </w:rPr>
              <w:t>Návrh SMERNICA EURÓPSKEHO PARLAMENTU A RADY o zlepšení rodovej vyváženosti medzi nevýkonnými riadiacimi pracovníkmi spoločností kótovaných na burze a súvisiacich opatreniach</w:t>
            </w:r>
          </w:p>
        </w:tc>
        <w:tc>
          <w:tcPr>
            <w:tcW w:w="1985" w:type="dxa"/>
            <w:tcMar>
              <w:top w:w="85" w:type="dxa"/>
              <w:left w:w="85" w:type="dxa"/>
              <w:bottom w:w="85" w:type="dxa"/>
            </w:tcMar>
          </w:tcPr>
          <w:p w:rsidR="003B0BA2" w:rsidRDefault="003B0BA2" w:rsidP="003B0BA2">
            <w:pPr>
              <w:spacing w:after="0"/>
              <w:jc w:val="left"/>
              <w:rPr>
                <w:noProof/>
                <w:sz w:val="20"/>
              </w:rPr>
            </w:pPr>
            <w:r>
              <w:rPr>
                <w:noProof/>
                <w:sz w:val="20"/>
              </w:rPr>
              <w:t>COM(2012) 614 final.</w:t>
            </w:r>
            <w:r>
              <w:rPr>
                <w:noProof/>
                <w:sz w:val="20"/>
              </w:rPr>
              <w:br/>
              <w:t>2012/0299 (COD)</w:t>
            </w:r>
            <w:r>
              <w:rPr>
                <w:noProof/>
                <w:sz w:val="20"/>
              </w:rPr>
              <w:br/>
              <w:t>14. 11. 2012</w:t>
            </w:r>
          </w:p>
        </w:tc>
        <w:tc>
          <w:tcPr>
            <w:tcW w:w="1417" w:type="dxa"/>
          </w:tcPr>
          <w:p w:rsidR="003B0BA2" w:rsidRDefault="003B0BA2" w:rsidP="003B0BA2">
            <w:pPr>
              <w:spacing w:after="0"/>
              <w:jc w:val="center"/>
              <w:rPr>
                <w:b/>
                <w:noProof/>
                <w:sz w:val="20"/>
              </w:rPr>
            </w:pPr>
            <w:r>
              <w:rPr>
                <w:b/>
                <w:noProof/>
                <w:sz w:val="20"/>
              </w:rPr>
              <w:t>MPSVR SR</w:t>
            </w:r>
          </w:p>
          <w:p w:rsidR="003B0BA2" w:rsidRPr="009D4C5D" w:rsidRDefault="003B0BA2" w:rsidP="003B0BA2">
            <w:pPr>
              <w:spacing w:after="0"/>
              <w:jc w:val="center"/>
              <w:rPr>
                <w:b/>
                <w:noProof/>
                <w:sz w:val="20"/>
              </w:rPr>
            </w:pPr>
            <w:r w:rsidRPr="009D4C5D">
              <w:rPr>
                <w:b/>
                <w:noProof/>
                <w:sz w:val="20"/>
              </w:rPr>
              <w:t>MS SR</w:t>
            </w:r>
          </w:p>
        </w:tc>
        <w:tc>
          <w:tcPr>
            <w:tcW w:w="6095" w:type="dxa"/>
          </w:tcPr>
          <w:p w:rsidR="003B0BA2" w:rsidRPr="00FE4DFD" w:rsidRDefault="003B0BA2" w:rsidP="003B0BA2">
            <w:pPr>
              <w:spacing w:after="0"/>
              <w:rPr>
                <w:b/>
                <w:sz w:val="20"/>
              </w:rPr>
            </w:pPr>
            <w:r w:rsidRPr="00D6682E">
              <w:rPr>
                <w:b/>
                <w:sz w:val="20"/>
                <w:u w:val="single"/>
              </w:rPr>
              <w:t>Nízka priorita</w:t>
            </w:r>
            <w:r>
              <w:rPr>
                <w:b/>
                <w:sz w:val="20"/>
              </w:rPr>
              <w:t xml:space="preserve"> - </w:t>
            </w:r>
            <w:r w:rsidRPr="007A0725">
              <w:rPr>
                <w:sz w:val="20"/>
              </w:rPr>
              <w:t>Návrh smernice o zlepšení rodovej vyváženosti v radách spoločností: Naposledy bol f</w:t>
            </w:r>
            <w:r>
              <w:rPr>
                <w:sz w:val="20"/>
              </w:rPr>
              <w:t>ile na rokovaní Rady EPSCO dňa 10</w:t>
            </w:r>
            <w:r w:rsidRPr="007A0725">
              <w:rPr>
                <w:sz w:val="20"/>
              </w:rPr>
              <w:t>.12.2020 ako správa o pokroku v rokovaniach. Smernica je v Rade však dlhodobo zablokovaná. Predpokladá sa predloženie návrhu počas HR PRES.Komisárka pre rovnosť p. H. Dalli považuje prijatie tejto smernice za nevyhnutné v boji s paradoxom, kedy ženy majú slabšie zastúpenie v radách spoločností napriek ich vyššej vzdelanostnej úrovni. Podľa komisárky, smernica nestanovuje kvóty, ale kvantifikovateľné ciele.</w:t>
            </w:r>
          </w:p>
        </w:tc>
      </w:tr>
      <w:tr w:rsidR="003B0BA2" w:rsidTr="00687C5F">
        <w:trPr>
          <w:cantSplit/>
        </w:trPr>
        <w:tc>
          <w:tcPr>
            <w:tcW w:w="652" w:type="dxa"/>
            <w:tcBorders>
              <w:right w:val="nil"/>
            </w:tcBorders>
            <w:shd w:val="clear" w:color="auto" w:fill="auto"/>
            <w:tcMar>
              <w:top w:w="85" w:type="dxa"/>
              <w:left w:w="85" w:type="dxa"/>
              <w:bottom w:w="85" w:type="dxa"/>
            </w:tcMar>
          </w:tcPr>
          <w:p w:rsidR="003B0BA2" w:rsidRDefault="003B0BA2" w:rsidP="003B0BA2">
            <w:pPr>
              <w:pStyle w:val="Odsekzoznamu"/>
              <w:numPr>
                <w:ilvl w:val="0"/>
                <w:numId w:val="20"/>
              </w:numPr>
              <w:spacing w:after="0"/>
              <w:ind w:left="426"/>
              <w:rPr>
                <w:b/>
                <w:noProof/>
                <w:sz w:val="20"/>
              </w:rPr>
            </w:pPr>
          </w:p>
        </w:tc>
        <w:tc>
          <w:tcPr>
            <w:tcW w:w="4588" w:type="dxa"/>
            <w:shd w:val="clear" w:color="auto" w:fill="auto"/>
            <w:tcMar>
              <w:top w:w="85" w:type="dxa"/>
              <w:left w:w="85" w:type="dxa"/>
              <w:bottom w:w="85" w:type="dxa"/>
            </w:tcMar>
          </w:tcPr>
          <w:p w:rsidR="003B0BA2" w:rsidRPr="003B1CF2" w:rsidRDefault="003B0BA2" w:rsidP="00D6682E">
            <w:pPr>
              <w:spacing w:after="0"/>
              <w:rPr>
                <w:noProof/>
                <w:sz w:val="20"/>
              </w:rPr>
            </w:pPr>
            <w:r w:rsidRPr="003B1CF2">
              <w:rPr>
                <w:noProof/>
                <w:sz w:val="20"/>
              </w:rPr>
              <w:t>Návrh NARIADENIE EURÓPSKEHO PARLAMENTU A RADY, ktorým sa viacero právnych aktov v oblasti stanovujúcich použitie regulačného postupu s kontrolou prispôsobuje článku 290 a 291 Zmluvy o fungovaní Európskej únie</w:t>
            </w:r>
          </w:p>
        </w:tc>
        <w:tc>
          <w:tcPr>
            <w:tcW w:w="1985" w:type="dxa"/>
            <w:tcMar>
              <w:top w:w="85" w:type="dxa"/>
              <w:left w:w="85" w:type="dxa"/>
              <w:bottom w:w="85" w:type="dxa"/>
            </w:tcMar>
          </w:tcPr>
          <w:p w:rsidR="003B0BA2" w:rsidRPr="003B1CF2" w:rsidRDefault="003B0BA2" w:rsidP="003B0BA2">
            <w:pPr>
              <w:spacing w:after="0"/>
              <w:jc w:val="left"/>
              <w:rPr>
                <w:noProof/>
                <w:sz w:val="20"/>
              </w:rPr>
            </w:pPr>
            <w:r w:rsidRPr="003B1CF2">
              <w:rPr>
                <w:noProof/>
                <w:sz w:val="20"/>
              </w:rPr>
              <w:t>COM(2016) 799 final.</w:t>
            </w:r>
            <w:r w:rsidRPr="003B1CF2">
              <w:rPr>
                <w:noProof/>
                <w:sz w:val="20"/>
              </w:rPr>
              <w:br/>
              <w:t>2016/0400 B(COD)</w:t>
            </w:r>
            <w:r w:rsidRPr="003B1CF2">
              <w:rPr>
                <w:noProof/>
                <w:sz w:val="20"/>
              </w:rPr>
              <w:br/>
              <w:t xml:space="preserve">14. 12. 2016 </w:t>
            </w:r>
          </w:p>
        </w:tc>
        <w:tc>
          <w:tcPr>
            <w:tcW w:w="1417" w:type="dxa"/>
          </w:tcPr>
          <w:p w:rsidR="003B0BA2" w:rsidRPr="00AB20C6" w:rsidRDefault="003B0BA2" w:rsidP="003B0BA2">
            <w:pPr>
              <w:spacing w:after="0"/>
              <w:jc w:val="center"/>
              <w:rPr>
                <w:b/>
                <w:noProof/>
                <w:sz w:val="20"/>
              </w:rPr>
            </w:pPr>
            <w:r w:rsidRPr="00AB20C6">
              <w:rPr>
                <w:b/>
                <w:noProof/>
                <w:sz w:val="20"/>
              </w:rPr>
              <w:t>MZVEZ SR</w:t>
            </w:r>
          </w:p>
        </w:tc>
        <w:tc>
          <w:tcPr>
            <w:tcW w:w="6095" w:type="dxa"/>
          </w:tcPr>
          <w:p w:rsidR="003B0BA2" w:rsidRDefault="00D6682E" w:rsidP="00D6682E">
            <w:pPr>
              <w:spacing w:after="0"/>
              <w:rPr>
                <w:sz w:val="20"/>
              </w:rPr>
            </w:pPr>
            <w:r w:rsidRPr="00D6682E">
              <w:rPr>
                <w:sz w:val="20"/>
              </w:rPr>
              <w:t>Legislatívny akt bol už schválený 20. júna 2019. Z pohľadu SR ide o nižšiu dôležitosť, keďže predmetným omnibusom sa nemení obsah jednotlivých aktov, ale len adaptujú komitologické procesy na systém nastavený Lisabonskou zmluvou</w:t>
            </w:r>
          </w:p>
        </w:tc>
      </w:tr>
      <w:tr w:rsidR="003B0BA2" w:rsidTr="00687C5F">
        <w:trPr>
          <w:cantSplit/>
        </w:trPr>
        <w:tc>
          <w:tcPr>
            <w:tcW w:w="652" w:type="dxa"/>
            <w:tcBorders>
              <w:right w:val="nil"/>
            </w:tcBorders>
            <w:shd w:val="clear" w:color="auto" w:fill="auto"/>
            <w:tcMar>
              <w:top w:w="85" w:type="dxa"/>
              <w:left w:w="85" w:type="dxa"/>
              <w:bottom w:w="85" w:type="dxa"/>
            </w:tcMar>
          </w:tcPr>
          <w:p w:rsidR="003B0BA2" w:rsidRDefault="003B0BA2" w:rsidP="003B0BA2">
            <w:pPr>
              <w:pStyle w:val="Odsekzoznamu"/>
              <w:numPr>
                <w:ilvl w:val="0"/>
                <w:numId w:val="20"/>
              </w:numPr>
              <w:spacing w:after="0"/>
              <w:ind w:left="426"/>
              <w:rPr>
                <w:b/>
                <w:noProof/>
                <w:sz w:val="20"/>
              </w:rPr>
            </w:pPr>
          </w:p>
        </w:tc>
        <w:tc>
          <w:tcPr>
            <w:tcW w:w="4588" w:type="dxa"/>
            <w:shd w:val="clear" w:color="auto" w:fill="auto"/>
            <w:tcMar>
              <w:top w:w="85" w:type="dxa"/>
              <w:left w:w="85" w:type="dxa"/>
              <w:bottom w:w="85" w:type="dxa"/>
            </w:tcMar>
          </w:tcPr>
          <w:p w:rsidR="003B0BA2" w:rsidRDefault="003B0BA2" w:rsidP="003B0BA2">
            <w:pPr>
              <w:spacing w:after="0"/>
              <w:rPr>
                <w:noProof/>
                <w:sz w:val="20"/>
              </w:rPr>
            </w:pPr>
            <w:r>
              <w:rPr>
                <w:noProof/>
                <w:sz w:val="20"/>
              </w:rPr>
              <w:t>Návrh SMERNICA EURÓPSKEHO PARLAMENTU A RADY o žalobách v zastúpení na ochranu kolektívnych záujmov spotrebiteľov a o zrušení smernice 2009/22/ES</w:t>
            </w:r>
          </w:p>
        </w:tc>
        <w:tc>
          <w:tcPr>
            <w:tcW w:w="1985" w:type="dxa"/>
            <w:tcMar>
              <w:top w:w="85" w:type="dxa"/>
              <w:left w:w="85" w:type="dxa"/>
              <w:bottom w:w="85" w:type="dxa"/>
            </w:tcMar>
          </w:tcPr>
          <w:p w:rsidR="003B0BA2" w:rsidRDefault="003B0BA2" w:rsidP="003B0BA2">
            <w:pPr>
              <w:spacing w:after="0"/>
              <w:jc w:val="left"/>
              <w:rPr>
                <w:noProof/>
                <w:sz w:val="20"/>
              </w:rPr>
            </w:pPr>
            <w:r>
              <w:rPr>
                <w:noProof/>
                <w:sz w:val="20"/>
              </w:rPr>
              <w:t>COM(2018) 184 final.</w:t>
            </w:r>
            <w:r>
              <w:rPr>
                <w:noProof/>
                <w:sz w:val="20"/>
              </w:rPr>
              <w:br/>
              <w:t>2018/0089 (COD)</w:t>
            </w:r>
            <w:r>
              <w:rPr>
                <w:noProof/>
                <w:sz w:val="20"/>
              </w:rPr>
              <w:br/>
              <w:t>12. 4. 2018</w:t>
            </w:r>
          </w:p>
        </w:tc>
        <w:tc>
          <w:tcPr>
            <w:tcW w:w="1417" w:type="dxa"/>
          </w:tcPr>
          <w:p w:rsidR="003B0BA2" w:rsidRPr="006F1A07" w:rsidRDefault="003B0BA2" w:rsidP="003B0BA2">
            <w:pPr>
              <w:spacing w:after="0"/>
              <w:jc w:val="center"/>
              <w:rPr>
                <w:b/>
                <w:noProof/>
                <w:sz w:val="20"/>
              </w:rPr>
            </w:pPr>
            <w:r w:rsidRPr="006F1A07">
              <w:rPr>
                <w:b/>
                <w:noProof/>
                <w:sz w:val="20"/>
              </w:rPr>
              <w:t>MH SR</w:t>
            </w:r>
          </w:p>
          <w:p w:rsidR="003B0BA2" w:rsidRPr="006F1A07" w:rsidRDefault="003B0BA2" w:rsidP="003B0BA2">
            <w:pPr>
              <w:spacing w:after="0"/>
              <w:jc w:val="center"/>
              <w:rPr>
                <w:b/>
                <w:noProof/>
                <w:sz w:val="20"/>
              </w:rPr>
            </w:pPr>
            <w:r w:rsidRPr="006F1A07">
              <w:rPr>
                <w:b/>
                <w:noProof/>
                <w:sz w:val="20"/>
              </w:rPr>
              <w:t>MS SR</w:t>
            </w:r>
          </w:p>
        </w:tc>
        <w:tc>
          <w:tcPr>
            <w:tcW w:w="6095" w:type="dxa"/>
          </w:tcPr>
          <w:p w:rsidR="003B0BA2" w:rsidRPr="006F1A07" w:rsidRDefault="003B0BA2" w:rsidP="003B0BA2">
            <w:pPr>
              <w:spacing w:after="0"/>
              <w:rPr>
                <w:sz w:val="20"/>
                <w:highlight w:val="yellow"/>
              </w:rPr>
            </w:pPr>
            <w:r w:rsidRPr="006F1A07">
              <w:rPr>
                <w:b/>
                <w:sz w:val="20"/>
                <w:u w:val="single"/>
              </w:rPr>
              <w:t>Vysoká priorita</w:t>
            </w:r>
            <w:r w:rsidRPr="006F1A07">
              <w:rPr>
                <w:sz w:val="20"/>
              </w:rPr>
              <w:t xml:space="preserve"> - SR podporuje prijatie predmetného návrhu smernice, keďže v súčasnosti neexistuje mechanizmus kolektívnych žalôb, prostredníctvom ktorých by sa spotrebitelia mohli domáhať svojich nárokov voči obchodníkovi. Cieľom  návrhu smernice je zvýšiť vymožiteľnosť kolektívnych práv spotrebiteľov prostredníctvom posilnenia presadzovania práva. Návrhom sa nahrádza smernica o súdnych príkazoch na ochranu spotrebiteľských záujmov, modernizujú sa jej ustanovenia a podstatne sa rozširuje rozsah jej pôsobnosti.V súčasnosti prebiehajú trialógy s EP.</w:t>
            </w:r>
          </w:p>
        </w:tc>
      </w:tr>
      <w:tr w:rsidR="003B0BA2" w:rsidTr="00687C5F">
        <w:trPr>
          <w:cantSplit/>
        </w:trPr>
        <w:tc>
          <w:tcPr>
            <w:tcW w:w="652" w:type="dxa"/>
            <w:tcBorders>
              <w:right w:val="nil"/>
            </w:tcBorders>
            <w:shd w:val="clear" w:color="auto" w:fill="auto"/>
            <w:tcMar>
              <w:top w:w="85" w:type="dxa"/>
              <w:left w:w="85" w:type="dxa"/>
              <w:bottom w:w="85" w:type="dxa"/>
            </w:tcMar>
          </w:tcPr>
          <w:p w:rsidR="003B0BA2" w:rsidRDefault="003B0BA2" w:rsidP="003B0BA2">
            <w:pPr>
              <w:pStyle w:val="Odsekzoznamu"/>
              <w:numPr>
                <w:ilvl w:val="0"/>
                <w:numId w:val="20"/>
              </w:numPr>
              <w:spacing w:after="0"/>
              <w:ind w:left="426"/>
              <w:rPr>
                <w:b/>
                <w:noProof/>
                <w:sz w:val="20"/>
              </w:rPr>
            </w:pPr>
          </w:p>
        </w:tc>
        <w:tc>
          <w:tcPr>
            <w:tcW w:w="4588" w:type="dxa"/>
            <w:tcBorders>
              <w:bottom w:val="single" w:sz="4" w:space="0" w:color="auto"/>
            </w:tcBorders>
            <w:shd w:val="clear" w:color="auto" w:fill="auto"/>
            <w:tcMar>
              <w:top w:w="85" w:type="dxa"/>
              <w:left w:w="85" w:type="dxa"/>
              <w:bottom w:w="85" w:type="dxa"/>
            </w:tcMar>
          </w:tcPr>
          <w:p w:rsidR="003B0BA2" w:rsidRDefault="003B0BA2" w:rsidP="003B0BA2">
            <w:pPr>
              <w:spacing w:after="0"/>
              <w:rPr>
                <w:noProof/>
                <w:sz w:val="20"/>
              </w:rPr>
            </w:pPr>
            <w:r>
              <w:rPr>
                <w:noProof/>
                <w:sz w:val="20"/>
              </w:rPr>
              <w:t>Návrh na SMERNICU RADY o vykonávaní zásady rovnakého zaobchádzania s osobami bez ohľadu na náboženské vyznanie alebo vieru, zdravotné postihnutie, vek alebo sexuálnu orientáciu</w:t>
            </w:r>
          </w:p>
        </w:tc>
        <w:tc>
          <w:tcPr>
            <w:tcW w:w="1985" w:type="dxa"/>
            <w:tcMar>
              <w:top w:w="85" w:type="dxa"/>
              <w:left w:w="85" w:type="dxa"/>
              <w:bottom w:w="85" w:type="dxa"/>
            </w:tcMar>
          </w:tcPr>
          <w:p w:rsidR="003B0BA2" w:rsidRDefault="003B0BA2" w:rsidP="003B0BA2">
            <w:pPr>
              <w:spacing w:after="0"/>
              <w:jc w:val="left"/>
              <w:rPr>
                <w:noProof/>
                <w:sz w:val="20"/>
              </w:rPr>
            </w:pPr>
            <w:r>
              <w:rPr>
                <w:noProof/>
                <w:sz w:val="20"/>
              </w:rPr>
              <w:t>COM(2008) 426 final.</w:t>
            </w:r>
            <w:r>
              <w:rPr>
                <w:noProof/>
                <w:sz w:val="20"/>
              </w:rPr>
              <w:br/>
              <w:t>2008/0140 (NLE)</w:t>
            </w:r>
            <w:r>
              <w:rPr>
                <w:noProof/>
                <w:sz w:val="20"/>
              </w:rPr>
              <w:br/>
              <w:t>2. 7. 2008</w:t>
            </w:r>
          </w:p>
        </w:tc>
        <w:tc>
          <w:tcPr>
            <w:tcW w:w="1417" w:type="dxa"/>
          </w:tcPr>
          <w:p w:rsidR="003B0BA2" w:rsidRDefault="003B0BA2" w:rsidP="003B0BA2">
            <w:pPr>
              <w:spacing w:after="0"/>
              <w:jc w:val="center"/>
              <w:rPr>
                <w:b/>
                <w:noProof/>
                <w:sz w:val="20"/>
              </w:rPr>
            </w:pPr>
            <w:r>
              <w:rPr>
                <w:b/>
                <w:noProof/>
                <w:sz w:val="20"/>
              </w:rPr>
              <w:t>MPSVR SR</w:t>
            </w:r>
          </w:p>
          <w:p w:rsidR="003B0BA2" w:rsidRDefault="003B0BA2" w:rsidP="003B0BA2">
            <w:pPr>
              <w:spacing w:after="0"/>
              <w:jc w:val="center"/>
              <w:rPr>
                <w:noProof/>
                <w:sz w:val="20"/>
              </w:rPr>
            </w:pPr>
            <w:r w:rsidRPr="009D4C5D">
              <w:rPr>
                <w:b/>
                <w:noProof/>
                <w:sz w:val="20"/>
              </w:rPr>
              <w:t>MS SR</w:t>
            </w:r>
          </w:p>
        </w:tc>
        <w:tc>
          <w:tcPr>
            <w:tcW w:w="6095" w:type="dxa"/>
          </w:tcPr>
          <w:p w:rsidR="003B0BA2" w:rsidRDefault="003B0BA2" w:rsidP="003B0BA2">
            <w:pPr>
              <w:pStyle w:val="Textpoznmkypodiarou"/>
              <w:ind w:left="0" w:firstLine="0"/>
            </w:pPr>
            <w:r w:rsidRPr="00FE4DFD">
              <w:rPr>
                <w:b/>
                <w:u w:val="single"/>
              </w:rPr>
              <w:t>Stredná priorita</w:t>
            </w:r>
            <w:r>
              <w:t xml:space="preserve"> - </w:t>
            </w:r>
            <w:r w:rsidRPr="006D2D35">
              <w:t>Cieľom návrhu smernice je rozšíriť ochranu pred diskrimináciou na základe náboženského vyznania alebo viery, zdravotného postihnutia, veku alebo sexuálnej orientácie na oblasti mimo zamestnania ako: sociálna ochrana vrátane sociálneho zabezpečenia a zdravotnej starostlivosti; sociálne výhody; vzdelávanie a prístup k tovarom a službám vrátane bývania.</w:t>
            </w:r>
            <w:r w:rsidRPr="001D7100">
              <w:t>Na prijatie smernice sa vzťahuje článok 19 Z</w:t>
            </w:r>
            <w:r>
              <w:t xml:space="preserve">FEÚ </w:t>
            </w:r>
            <w:r w:rsidRPr="001D7100">
              <w:t xml:space="preserve">a z toho dôvodu je potrebné jednomyseľné rozhodnutie Rady (ČŠ) a </w:t>
            </w:r>
            <w:r w:rsidRPr="001D7100">
              <w:rPr>
                <w:i/>
                <w:iCs/>
              </w:rPr>
              <w:t>súhlas</w:t>
            </w:r>
            <w:r w:rsidRPr="001D7100">
              <w:t xml:space="preserve"> Európskeho parlamentu, ktorý ho už vyjadril v apríli 2009.Väčšina ČŠ </w:t>
            </w:r>
            <w:r>
              <w:t xml:space="preserve">aj SR </w:t>
            </w:r>
            <w:r w:rsidRPr="001D7100">
              <w:t xml:space="preserve">(okrem CZ a DE) sa pozitívne vyjadrujú k návrhu smernice. Nemecký a český odmietavý postoj je založený na nedostatočnom zhodnotení reálnych dopadov finančných výdavkov, porušením princípov subsidiarity a proporcionality a istým </w:t>
            </w:r>
            <w:r w:rsidRPr="001D7100">
              <w:rPr>
                <w:bCs/>
              </w:rPr>
              <w:t>zásahom do niektorých vnútroštátnych právomocí z európskej úrovne</w:t>
            </w:r>
            <w:r w:rsidRPr="001D7100">
              <w:t xml:space="preserve">. </w:t>
            </w:r>
            <w:r>
              <w:t xml:space="preserve">File bol naposledy diskutovaný na Rade </w:t>
            </w:r>
            <w:r w:rsidRPr="001D7100">
              <w:t xml:space="preserve">EPSCO </w:t>
            </w:r>
            <w:r>
              <w:t>dňa 10.12.2020 vo formáte správy</w:t>
            </w:r>
            <w:r w:rsidRPr="001D7100">
              <w:t xml:space="preserve"> o pokroku. Smernica je nateraz v Rade dlhodobo zablokovaná. Nakoľko na prijatie smernice sa vyžaduje jednomyseľnosť, je nemožné sa </w:t>
            </w:r>
            <w:r>
              <w:t xml:space="preserve">na </w:t>
            </w:r>
            <w:r w:rsidRPr="001D7100">
              <w:t>nej konsenzuálne dohodnúť</w:t>
            </w:r>
            <w:r>
              <w:t>.</w:t>
            </w:r>
          </w:p>
        </w:tc>
      </w:tr>
      <w:tr w:rsidR="003B0BA2" w:rsidTr="00687C5F">
        <w:trPr>
          <w:cantSplit/>
        </w:trPr>
        <w:tc>
          <w:tcPr>
            <w:tcW w:w="652" w:type="dxa"/>
            <w:tcBorders>
              <w:right w:val="nil"/>
            </w:tcBorders>
            <w:shd w:val="clear" w:color="auto" w:fill="auto"/>
            <w:tcMar>
              <w:top w:w="85" w:type="dxa"/>
              <w:left w:w="85" w:type="dxa"/>
              <w:bottom w:w="85" w:type="dxa"/>
            </w:tcMar>
          </w:tcPr>
          <w:p w:rsidR="003B0BA2" w:rsidRDefault="003B0BA2" w:rsidP="003B0BA2">
            <w:pPr>
              <w:pStyle w:val="Odsekzoznamu"/>
              <w:numPr>
                <w:ilvl w:val="0"/>
                <w:numId w:val="20"/>
              </w:numPr>
              <w:spacing w:after="0"/>
              <w:ind w:left="426"/>
              <w:rPr>
                <w:b/>
                <w:noProof/>
                <w:sz w:val="20"/>
              </w:rPr>
            </w:pPr>
          </w:p>
        </w:tc>
        <w:tc>
          <w:tcPr>
            <w:tcW w:w="4588" w:type="dxa"/>
            <w:tcBorders>
              <w:bottom w:val="single" w:sz="4" w:space="0" w:color="auto"/>
            </w:tcBorders>
            <w:shd w:val="clear" w:color="auto" w:fill="auto"/>
            <w:tcMar>
              <w:top w:w="85" w:type="dxa"/>
              <w:left w:w="85" w:type="dxa"/>
              <w:bottom w:w="85" w:type="dxa"/>
            </w:tcMar>
          </w:tcPr>
          <w:p w:rsidR="003B0BA2" w:rsidRPr="003B1CF2" w:rsidRDefault="003B0BA2" w:rsidP="003B0BA2">
            <w:pPr>
              <w:spacing w:after="0"/>
              <w:rPr>
                <w:noProof/>
                <w:sz w:val="20"/>
              </w:rPr>
            </w:pPr>
            <w:r w:rsidRPr="003B1CF2">
              <w:rPr>
                <w:noProof/>
                <w:sz w:val="20"/>
              </w:rPr>
              <w:t>Návrh NARIADENIE EURÓPSKEHO PARLAMENTU A RADY, ktorým sa mení nariadenie (EÚ) č. 182/2011, ktorým sa ustanovujú pravidlá a všeobecné zásady mechanizmu, na základe ktorého členské štáty kontrolujú vykonávanie vykonávacích právomocí Komisie</w:t>
            </w:r>
          </w:p>
        </w:tc>
        <w:tc>
          <w:tcPr>
            <w:tcW w:w="1985" w:type="dxa"/>
            <w:tcMar>
              <w:top w:w="85" w:type="dxa"/>
              <w:left w:w="85" w:type="dxa"/>
              <w:bottom w:w="85" w:type="dxa"/>
            </w:tcMar>
          </w:tcPr>
          <w:p w:rsidR="003B0BA2" w:rsidRPr="003B1CF2" w:rsidRDefault="003B0BA2" w:rsidP="003B0BA2">
            <w:pPr>
              <w:spacing w:after="0"/>
              <w:jc w:val="left"/>
              <w:rPr>
                <w:noProof/>
                <w:sz w:val="20"/>
              </w:rPr>
            </w:pPr>
            <w:r w:rsidRPr="003B1CF2">
              <w:rPr>
                <w:noProof/>
                <w:sz w:val="20"/>
              </w:rPr>
              <w:t>COM(2017) 85 final.</w:t>
            </w:r>
            <w:r w:rsidRPr="003B1CF2">
              <w:rPr>
                <w:noProof/>
                <w:sz w:val="20"/>
              </w:rPr>
              <w:br/>
              <w:t>2017/0035 (COD)</w:t>
            </w:r>
          </w:p>
          <w:p w:rsidR="003B0BA2" w:rsidRPr="003B1CF2" w:rsidRDefault="003B0BA2" w:rsidP="003B0BA2">
            <w:pPr>
              <w:spacing w:after="0"/>
              <w:jc w:val="left"/>
              <w:rPr>
                <w:noProof/>
                <w:sz w:val="20"/>
              </w:rPr>
            </w:pPr>
            <w:r w:rsidRPr="003B1CF2">
              <w:rPr>
                <w:noProof/>
                <w:sz w:val="20"/>
              </w:rPr>
              <w:t>14. 2. 2017</w:t>
            </w:r>
          </w:p>
          <w:p w:rsidR="003B0BA2" w:rsidRPr="003B1CF2" w:rsidRDefault="003B0BA2" w:rsidP="003B0BA2">
            <w:pPr>
              <w:spacing w:after="0"/>
              <w:jc w:val="left"/>
              <w:rPr>
                <w:noProof/>
                <w:sz w:val="20"/>
              </w:rPr>
            </w:pPr>
          </w:p>
        </w:tc>
        <w:tc>
          <w:tcPr>
            <w:tcW w:w="1417" w:type="dxa"/>
          </w:tcPr>
          <w:p w:rsidR="003B0BA2" w:rsidRPr="008A2FAC" w:rsidRDefault="003B0BA2" w:rsidP="003B0BA2">
            <w:pPr>
              <w:spacing w:after="0"/>
              <w:jc w:val="center"/>
              <w:rPr>
                <w:b/>
                <w:noProof/>
                <w:sz w:val="20"/>
              </w:rPr>
            </w:pPr>
            <w:r w:rsidRPr="00E87849">
              <w:rPr>
                <w:b/>
                <w:sz w:val="20"/>
              </w:rPr>
              <w:t>MZVEZ SR</w:t>
            </w:r>
            <w:r w:rsidRPr="008A2FAC">
              <w:rPr>
                <w:b/>
                <w:noProof/>
                <w:color w:val="FF0000"/>
                <w:sz w:val="20"/>
              </w:rPr>
              <w:t xml:space="preserve"> </w:t>
            </w:r>
          </w:p>
        </w:tc>
        <w:tc>
          <w:tcPr>
            <w:tcW w:w="6095" w:type="dxa"/>
          </w:tcPr>
          <w:p w:rsidR="003B0BA2" w:rsidRPr="008A2FAC" w:rsidRDefault="003B0BA2" w:rsidP="003B0BA2">
            <w:pPr>
              <w:spacing w:after="0"/>
              <w:jc w:val="left"/>
              <w:rPr>
                <w:noProof/>
                <w:sz w:val="20"/>
              </w:rPr>
            </w:pPr>
            <w:r w:rsidRPr="008A2FAC">
              <w:rPr>
                <w:b/>
                <w:noProof/>
                <w:sz w:val="20"/>
                <w:u w:val="single"/>
              </w:rPr>
              <w:t xml:space="preserve">Stredná priorita </w:t>
            </w:r>
            <w:r>
              <w:rPr>
                <w:noProof/>
                <w:sz w:val="20"/>
              </w:rPr>
              <w:t>– SR vníma dôležitosť adekvátneho mechanizmu na kontrolu vykonávacích právomocí EK.</w:t>
            </w:r>
          </w:p>
        </w:tc>
      </w:tr>
      <w:tr w:rsidR="003B0BA2" w:rsidTr="00687C5F">
        <w:trPr>
          <w:cantSplit/>
        </w:trPr>
        <w:tc>
          <w:tcPr>
            <w:tcW w:w="652" w:type="dxa"/>
            <w:tcBorders>
              <w:right w:val="nil"/>
            </w:tcBorders>
            <w:shd w:val="clear" w:color="auto" w:fill="auto"/>
            <w:tcMar>
              <w:top w:w="85" w:type="dxa"/>
              <w:left w:w="85" w:type="dxa"/>
              <w:bottom w:w="85" w:type="dxa"/>
            </w:tcMar>
          </w:tcPr>
          <w:p w:rsidR="003B0BA2" w:rsidRDefault="003B0BA2" w:rsidP="003B0BA2">
            <w:pPr>
              <w:pStyle w:val="Odsekzoznamu"/>
              <w:numPr>
                <w:ilvl w:val="0"/>
                <w:numId w:val="20"/>
              </w:numPr>
              <w:spacing w:after="0"/>
              <w:ind w:left="426"/>
              <w:rPr>
                <w:b/>
                <w:noProof/>
                <w:sz w:val="20"/>
              </w:rPr>
            </w:pPr>
          </w:p>
        </w:tc>
        <w:tc>
          <w:tcPr>
            <w:tcW w:w="4588" w:type="dxa"/>
            <w:tcBorders>
              <w:bottom w:val="single" w:sz="4" w:space="0" w:color="auto"/>
            </w:tcBorders>
            <w:shd w:val="clear" w:color="auto" w:fill="auto"/>
            <w:tcMar>
              <w:top w:w="85" w:type="dxa"/>
              <w:left w:w="85" w:type="dxa"/>
              <w:bottom w:w="85" w:type="dxa"/>
            </w:tcMar>
          </w:tcPr>
          <w:p w:rsidR="003B0BA2" w:rsidRDefault="003B0BA2" w:rsidP="003B0BA2">
            <w:pPr>
              <w:spacing w:after="0"/>
              <w:rPr>
                <w:noProof/>
                <w:sz w:val="20"/>
              </w:rPr>
            </w:pPr>
            <w:r>
              <w:rPr>
                <w:noProof/>
                <w:sz w:val="20"/>
              </w:rPr>
              <w:t>Návrh NARIADENIE EURÓPSKEHO PARLAMENTU A RADY, ktorým sa stanovujú podmienky prístupu do iných informačných systémov EÚ a ktorým sa mení nariadenie (EÚ) 2018/1862 a nariadenie (EÚ) rrrr/xxx [ECRIS-TCN]</w:t>
            </w:r>
          </w:p>
        </w:tc>
        <w:tc>
          <w:tcPr>
            <w:tcW w:w="1985" w:type="dxa"/>
            <w:tcMar>
              <w:top w:w="85" w:type="dxa"/>
              <w:left w:w="85" w:type="dxa"/>
              <w:bottom w:w="85" w:type="dxa"/>
            </w:tcMar>
          </w:tcPr>
          <w:p w:rsidR="003B0BA2" w:rsidRDefault="003B0BA2" w:rsidP="003B0BA2">
            <w:pPr>
              <w:spacing w:after="0"/>
              <w:jc w:val="left"/>
              <w:rPr>
                <w:noProof/>
                <w:sz w:val="20"/>
              </w:rPr>
            </w:pPr>
            <w:r>
              <w:rPr>
                <w:noProof/>
                <w:sz w:val="20"/>
              </w:rPr>
              <w:t>COM(2019) 3 final.</w:t>
            </w:r>
            <w:r>
              <w:rPr>
                <w:noProof/>
                <w:sz w:val="20"/>
              </w:rPr>
              <w:br/>
              <w:t>2019/0001 (COD)</w:t>
            </w:r>
            <w:r>
              <w:rPr>
                <w:noProof/>
                <w:sz w:val="20"/>
              </w:rPr>
              <w:br/>
              <w:t>7. 1. 2019</w:t>
            </w:r>
          </w:p>
        </w:tc>
        <w:tc>
          <w:tcPr>
            <w:tcW w:w="1417" w:type="dxa"/>
          </w:tcPr>
          <w:p w:rsidR="003B0BA2" w:rsidRPr="002E5596" w:rsidRDefault="003B0BA2" w:rsidP="003B0BA2">
            <w:pPr>
              <w:spacing w:after="0"/>
              <w:jc w:val="center"/>
              <w:rPr>
                <w:b/>
                <w:sz w:val="20"/>
              </w:rPr>
            </w:pPr>
            <w:r w:rsidRPr="002E5596">
              <w:rPr>
                <w:b/>
                <w:sz w:val="20"/>
              </w:rPr>
              <w:t>MV SR</w:t>
            </w:r>
          </w:p>
        </w:tc>
        <w:tc>
          <w:tcPr>
            <w:tcW w:w="6095" w:type="dxa"/>
          </w:tcPr>
          <w:p w:rsidR="003B0BA2" w:rsidRPr="002E5596" w:rsidRDefault="003B0BA2" w:rsidP="003B0BA2">
            <w:pPr>
              <w:spacing w:after="0"/>
              <w:rPr>
                <w:sz w:val="20"/>
              </w:rPr>
            </w:pPr>
            <w:r w:rsidRPr="002E5596">
              <w:rPr>
                <w:b/>
                <w:sz w:val="20"/>
                <w:u w:val="single"/>
              </w:rPr>
              <w:t>Stredná priorita</w:t>
            </w:r>
            <w:r>
              <w:rPr>
                <w:sz w:val="20"/>
              </w:rPr>
              <w:t xml:space="preserve"> - </w:t>
            </w:r>
            <w:r w:rsidRPr="001D08FB">
              <w:rPr>
                <w:sz w:val="20"/>
              </w:rPr>
              <w:t>Cieľom tohto návrhu je preto stanoviť technické zmeny potrebné na plne funkčné zriadenie systému ETIAS prostredníctvom zmeny právnych aktov systémov informačných technológií EÚ, v ktorých systém ETIAS vyhľadáva.</w:t>
            </w:r>
            <w:r>
              <w:rPr>
                <w:sz w:val="20"/>
              </w:rPr>
              <w:t xml:space="preserve"> SR nemala k návrhu pripomienky.Rada v júli 2019 schválila všeobecné smerovanie aj s podporou SR.</w:t>
            </w:r>
          </w:p>
        </w:tc>
      </w:tr>
      <w:tr w:rsidR="003B0BA2" w:rsidTr="00687C5F">
        <w:trPr>
          <w:cantSplit/>
        </w:trPr>
        <w:tc>
          <w:tcPr>
            <w:tcW w:w="652" w:type="dxa"/>
            <w:tcBorders>
              <w:right w:val="nil"/>
            </w:tcBorders>
            <w:shd w:val="clear" w:color="auto" w:fill="auto"/>
            <w:tcMar>
              <w:top w:w="85" w:type="dxa"/>
              <w:left w:w="85" w:type="dxa"/>
              <w:bottom w:w="85" w:type="dxa"/>
            </w:tcMar>
          </w:tcPr>
          <w:p w:rsidR="003B0BA2" w:rsidRDefault="003B0BA2" w:rsidP="003B0BA2">
            <w:pPr>
              <w:pStyle w:val="Odsekzoznamu"/>
              <w:numPr>
                <w:ilvl w:val="0"/>
                <w:numId w:val="20"/>
              </w:numPr>
              <w:spacing w:after="0"/>
              <w:ind w:left="426"/>
              <w:rPr>
                <w:b/>
                <w:noProof/>
                <w:sz w:val="20"/>
              </w:rPr>
            </w:pPr>
          </w:p>
        </w:tc>
        <w:tc>
          <w:tcPr>
            <w:tcW w:w="4588" w:type="dxa"/>
            <w:tcBorders>
              <w:bottom w:val="single" w:sz="4" w:space="0" w:color="auto"/>
            </w:tcBorders>
            <w:shd w:val="clear" w:color="auto" w:fill="auto"/>
            <w:tcMar>
              <w:top w:w="85" w:type="dxa"/>
              <w:left w:w="85" w:type="dxa"/>
              <w:bottom w:w="85" w:type="dxa"/>
            </w:tcMar>
          </w:tcPr>
          <w:p w:rsidR="003B0BA2" w:rsidRDefault="003B0BA2" w:rsidP="003B0BA2">
            <w:pPr>
              <w:spacing w:after="0"/>
              <w:rPr>
                <w:noProof/>
                <w:sz w:val="20"/>
              </w:rPr>
            </w:pPr>
            <w:r>
              <w:rPr>
                <w:noProof/>
                <w:sz w:val="20"/>
              </w:rPr>
              <w:t>Návrh NARIADENIE EURÓPSKEHO PARLAMENTU A RADY o rozhodnom práve pre účinky postúpenia pohľadávok na tretie strany</w:t>
            </w:r>
          </w:p>
        </w:tc>
        <w:tc>
          <w:tcPr>
            <w:tcW w:w="1985" w:type="dxa"/>
            <w:tcMar>
              <w:top w:w="85" w:type="dxa"/>
              <w:left w:w="85" w:type="dxa"/>
              <w:bottom w:w="85" w:type="dxa"/>
            </w:tcMar>
          </w:tcPr>
          <w:p w:rsidR="003B0BA2" w:rsidRDefault="003B0BA2" w:rsidP="003B0BA2">
            <w:pPr>
              <w:spacing w:after="0"/>
              <w:jc w:val="left"/>
              <w:rPr>
                <w:noProof/>
                <w:sz w:val="20"/>
              </w:rPr>
            </w:pPr>
            <w:r>
              <w:rPr>
                <w:noProof/>
                <w:sz w:val="20"/>
              </w:rPr>
              <w:t>COM(2018) 96 final.</w:t>
            </w:r>
            <w:r>
              <w:rPr>
                <w:noProof/>
                <w:sz w:val="20"/>
              </w:rPr>
              <w:br/>
              <w:t>2018/0044 (COD)</w:t>
            </w:r>
            <w:r>
              <w:rPr>
                <w:noProof/>
                <w:sz w:val="20"/>
              </w:rPr>
              <w:br/>
              <w:t>12. 3. 2016</w:t>
            </w:r>
          </w:p>
        </w:tc>
        <w:tc>
          <w:tcPr>
            <w:tcW w:w="1417" w:type="dxa"/>
          </w:tcPr>
          <w:p w:rsidR="003B0BA2" w:rsidRPr="009D4C5D" w:rsidRDefault="003B0BA2" w:rsidP="003B0BA2">
            <w:pPr>
              <w:spacing w:after="0"/>
              <w:jc w:val="center"/>
              <w:rPr>
                <w:b/>
                <w:noProof/>
                <w:sz w:val="20"/>
              </w:rPr>
            </w:pPr>
            <w:r w:rsidRPr="009D4C5D">
              <w:rPr>
                <w:b/>
                <w:noProof/>
                <w:sz w:val="20"/>
              </w:rPr>
              <w:t>MS SR</w:t>
            </w:r>
          </w:p>
        </w:tc>
        <w:tc>
          <w:tcPr>
            <w:tcW w:w="6095" w:type="dxa"/>
          </w:tcPr>
          <w:p w:rsidR="003B0BA2" w:rsidRPr="00376F18" w:rsidRDefault="003B0BA2" w:rsidP="003B0BA2">
            <w:pPr>
              <w:spacing w:after="0"/>
              <w:jc w:val="left"/>
              <w:rPr>
                <w:b/>
                <w:sz w:val="20"/>
              </w:rPr>
            </w:pPr>
            <w:r w:rsidRPr="009D4C5D">
              <w:rPr>
                <w:b/>
                <w:sz w:val="20"/>
                <w:u w:val="single"/>
              </w:rPr>
              <w:t>Stredná priorita</w:t>
            </w:r>
            <w:r>
              <w:rPr>
                <w:sz w:val="20"/>
              </w:rPr>
              <w:t xml:space="preserve"> - SR</w:t>
            </w:r>
            <w:r w:rsidRPr="00376F18">
              <w:rPr>
                <w:sz w:val="20"/>
              </w:rPr>
              <w:t xml:space="preserve"> podporuje ciele návrhu a bude sa snažiť o efektívne rokovanie v pracovnej skupine Rady, ktoré by sa malo obnoviťv I. polroku 2020.</w:t>
            </w:r>
          </w:p>
        </w:tc>
      </w:tr>
      <w:tr w:rsidR="003B0BA2" w:rsidTr="00687C5F">
        <w:trPr>
          <w:cantSplit/>
        </w:trPr>
        <w:tc>
          <w:tcPr>
            <w:tcW w:w="652" w:type="dxa"/>
            <w:tcBorders>
              <w:right w:val="nil"/>
            </w:tcBorders>
            <w:shd w:val="clear" w:color="auto" w:fill="auto"/>
            <w:tcMar>
              <w:top w:w="85" w:type="dxa"/>
              <w:left w:w="85" w:type="dxa"/>
              <w:bottom w:w="85" w:type="dxa"/>
            </w:tcMar>
          </w:tcPr>
          <w:p w:rsidR="003B0BA2" w:rsidRDefault="003B0BA2" w:rsidP="003B0BA2">
            <w:pPr>
              <w:pStyle w:val="Odsekzoznamu"/>
              <w:numPr>
                <w:ilvl w:val="0"/>
                <w:numId w:val="20"/>
              </w:numPr>
              <w:spacing w:after="0"/>
              <w:ind w:left="426"/>
              <w:rPr>
                <w:b/>
                <w:noProof/>
                <w:sz w:val="20"/>
              </w:rPr>
            </w:pPr>
          </w:p>
        </w:tc>
        <w:tc>
          <w:tcPr>
            <w:tcW w:w="4588" w:type="dxa"/>
            <w:tcBorders>
              <w:bottom w:val="single" w:sz="4" w:space="0" w:color="auto"/>
            </w:tcBorders>
            <w:shd w:val="clear" w:color="auto" w:fill="auto"/>
            <w:tcMar>
              <w:top w:w="85" w:type="dxa"/>
              <w:left w:w="85" w:type="dxa"/>
              <w:bottom w:w="85" w:type="dxa"/>
            </w:tcMar>
          </w:tcPr>
          <w:p w:rsidR="003B0BA2" w:rsidRDefault="003B0BA2" w:rsidP="003B0BA2">
            <w:pPr>
              <w:spacing w:after="0"/>
              <w:rPr>
                <w:noProof/>
                <w:sz w:val="20"/>
              </w:rPr>
            </w:pPr>
            <w:r>
              <w:rPr>
                <w:noProof/>
                <w:sz w:val="20"/>
              </w:rPr>
              <w:t>Návrh SMERNICA EURÓPSKEHO PARLAMENTU A RADY, ktorou sa stanovujú harmonizované pravidlá určovania právnych zástupcov na účely zhromažďovania dôkazov v trestnom konaní</w:t>
            </w:r>
          </w:p>
        </w:tc>
        <w:tc>
          <w:tcPr>
            <w:tcW w:w="1985" w:type="dxa"/>
            <w:tcMar>
              <w:top w:w="85" w:type="dxa"/>
              <w:left w:w="85" w:type="dxa"/>
              <w:bottom w:w="85" w:type="dxa"/>
            </w:tcMar>
          </w:tcPr>
          <w:p w:rsidR="003B0BA2" w:rsidRDefault="003B0BA2" w:rsidP="003B0BA2">
            <w:pPr>
              <w:spacing w:after="0"/>
              <w:jc w:val="left"/>
              <w:rPr>
                <w:noProof/>
                <w:sz w:val="20"/>
              </w:rPr>
            </w:pPr>
            <w:r>
              <w:rPr>
                <w:noProof/>
                <w:sz w:val="20"/>
              </w:rPr>
              <w:t>COM(2018) 226 final.</w:t>
            </w:r>
            <w:r>
              <w:rPr>
                <w:noProof/>
                <w:sz w:val="20"/>
              </w:rPr>
              <w:br/>
              <w:t>2018/0107 (COD) 18. 4. 2018</w:t>
            </w:r>
          </w:p>
        </w:tc>
        <w:tc>
          <w:tcPr>
            <w:tcW w:w="1417" w:type="dxa"/>
          </w:tcPr>
          <w:p w:rsidR="003B0BA2" w:rsidRPr="009D4C5D" w:rsidRDefault="003B0BA2" w:rsidP="003B0BA2">
            <w:pPr>
              <w:spacing w:after="0"/>
              <w:jc w:val="center"/>
              <w:rPr>
                <w:b/>
                <w:noProof/>
                <w:sz w:val="20"/>
              </w:rPr>
            </w:pPr>
            <w:r w:rsidRPr="009D4C5D">
              <w:rPr>
                <w:b/>
                <w:noProof/>
                <w:sz w:val="20"/>
              </w:rPr>
              <w:t>MS SR</w:t>
            </w:r>
          </w:p>
        </w:tc>
        <w:tc>
          <w:tcPr>
            <w:tcW w:w="6095" w:type="dxa"/>
          </w:tcPr>
          <w:p w:rsidR="003B0BA2" w:rsidRPr="009D4C5D" w:rsidRDefault="003B0BA2" w:rsidP="003B0BA2">
            <w:pPr>
              <w:spacing w:after="0"/>
              <w:rPr>
                <w:b/>
                <w:sz w:val="20"/>
                <w:u w:val="single"/>
              </w:rPr>
            </w:pPr>
            <w:r w:rsidRPr="009D4C5D">
              <w:rPr>
                <w:b/>
                <w:sz w:val="20"/>
                <w:u w:val="single"/>
              </w:rPr>
              <w:t>Vysoká priorita</w:t>
            </w:r>
            <w:r w:rsidRPr="009D4C5D">
              <w:rPr>
                <w:b/>
                <w:sz w:val="20"/>
              </w:rPr>
              <w:t xml:space="preserve"> -</w:t>
            </w:r>
            <w:r>
              <w:rPr>
                <w:b/>
                <w:sz w:val="20"/>
                <w:u w:val="single"/>
              </w:rPr>
              <w:t xml:space="preserve"> </w:t>
            </w:r>
            <w:r>
              <w:rPr>
                <w:sz w:val="20"/>
              </w:rPr>
              <w:t>SR</w:t>
            </w:r>
            <w:r w:rsidRPr="00376F18">
              <w:rPr>
                <w:spacing w:val="8"/>
                <w:sz w:val="20"/>
              </w:rPr>
              <w:t xml:space="preserve"> </w:t>
            </w:r>
            <w:r w:rsidRPr="00376F18">
              <w:rPr>
                <w:sz w:val="20"/>
              </w:rPr>
              <w:t>podporuje</w:t>
            </w:r>
            <w:r w:rsidRPr="00376F18">
              <w:rPr>
                <w:spacing w:val="8"/>
                <w:sz w:val="20"/>
              </w:rPr>
              <w:t xml:space="preserve"> </w:t>
            </w:r>
            <w:r w:rsidRPr="00376F18">
              <w:rPr>
                <w:sz w:val="20"/>
              </w:rPr>
              <w:t>ciele</w:t>
            </w:r>
            <w:r w:rsidRPr="00376F18">
              <w:rPr>
                <w:spacing w:val="8"/>
                <w:sz w:val="20"/>
              </w:rPr>
              <w:t xml:space="preserve"> </w:t>
            </w:r>
            <w:r w:rsidRPr="00376F18">
              <w:rPr>
                <w:sz w:val="20"/>
              </w:rPr>
              <w:t>návrhu</w:t>
            </w:r>
            <w:r w:rsidRPr="00376F18">
              <w:rPr>
                <w:spacing w:val="8"/>
                <w:sz w:val="20"/>
              </w:rPr>
              <w:t xml:space="preserve"> </w:t>
            </w:r>
            <w:r w:rsidRPr="00376F18">
              <w:rPr>
                <w:sz w:val="20"/>
              </w:rPr>
              <w:t>a dosiahnutie</w:t>
            </w:r>
            <w:r w:rsidRPr="00376F18">
              <w:rPr>
                <w:spacing w:val="8"/>
                <w:sz w:val="20"/>
              </w:rPr>
              <w:t xml:space="preserve"> </w:t>
            </w:r>
            <w:r w:rsidRPr="00376F18">
              <w:rPr>
                <w:sz w:val="20"/>
              </w:rPr>
              <w:t>dohody</w:t>
            </w:r>
            <w:r w:rsidRPr="00376F18">
              <w:rPr>
                <w:spacing w:val="8"/>
                <w:sz w:val="20"/>
              </w:rPr>
              <w:t xml:space="preserve"> </w:t>
            </w:r>
            <w:r w:rsidRPr="00376F18">
              <w:rPr>
                <w:sz w:val="20"/>
              </w:rPr>
              <w:t xml:space="preserve">s EP. SK je za prijatie riešenia, ktoré zefektívni doterajšiu spoluprácu za predpokladu dodržania adekvátnych záruk. </w:t>
            </w:r>
          </w:p>
        </w:tc>
      </w:tr>
      <w:tr w:rsidR="003B0BA2" w:rsidTr="00687C5F">
        <w:trPr>
          <w:cantSplit/>
        </w:trPr>
        <w:tc>
          <w:tcPr>
            <w:tcW w:w="652" w:type="dxa"/>
            <w:tcBorders>
              <w:right w:val="nil"/>
            </w:tcBorders>
            <w:shd w:val="clear" w:color="auto" w:fill="auto"/>
            <w:tcMar>
              <w:top w:w="85" w:type="dxa"/>
              <w:left w:w="85" w:type="dxa"/>
              <w:bottom w:w="85" w:type="dxa"/>
            </w:tcMar>
          </w:tcPr>
          <w:p w:rsidR="003B0BA2" w:rsidRDefault="003B0BA2" w:rsidP="003B0BA2">
            <w:pPr>
              <w:pStyle w:val="Odsekzoznamu"/>
              <w:numPr>
                <w:ilvl w:val="0"/>
                <w:numId w:val="20"/>
              </w:numPr>
              <w:spacing w:after="0"/>
              <w:ind w:left="426"/>
              <w:rPr>
                <w:b/>
                <w:noProof/>
                <w:sz w:val="20"/>
              </w:rPr>
            </w:pPr>
          </w:p>
        </w:tc>
        <w:tc>
          <w:tcPr>
            <w:tcW w:w="4588" w:type="dxa"/>
            <w:tcBorders>
              <w:bottom w:val="single" w:sz="4" w:space="0" w:color="auto"/>
            </w:tcBorders>
            <w:shd w:val="clear" w:color="auto" w:fill="auto"/>
            <w:tcMar>
              <w:top w:w="85" w:type="dxa"/>
              <w:left w:w="85" w:type="dxa"/>
              <w:bottom w:w="85" w:type="dxa"/>
            </w:tcMar>
          </w:tcPr>
          <w:p w:rsidR="003B0BA2" w:rsidRDefault="003B0BA2" w:rsidP="003B0BA2">
            <w:pPr>
              <w:spacing w:after="0"/>
              <w:rPr>
                <w:noProof/>
                <w:sz w:val="20"/>
              </w:rPr>
            </w:pPr>
            <w:r>
              <w:rPr>
                <w:noProof/>
                <w:sz w:val="20"/>
              </w:rPr>
              <w:t>Návrh NARIADENIE EURÓPSKEHO PARLAMENTU A RADY o európskom príkaze na predloženie a uchovanie elektronických dôkazov v trestných veciach</w:t>
            </w:r>
          </w:p>
        </w:tc>
        <w:tc>
          <w:tcPr>
            <w:tcW w:w="1985" w:type="dxa"/>
            <w:tcMar>
              <w:top w:w="85" w:type="dxa"/>
              <w:left w:w="85" w:type="dxa"/>
              <w:bottom w:w="85" w:type="dxa"/>
            </w:tcMar>
          </w:tcPr>
          <w:p w:rsidR="003B0BA2" w:rsidRDefault="003B0BA2" w:rsidP="003B0BA2">
            <w:pPr>
              <w:spacing w:after="0"/>
              <w:jc w:val="left"/>
              <w:rPr>
                <w:noProof/>
                <w:sz w:val="20"/>
              </w:rPr>
            </w:pPr>
            <w:r>
              <w:rPr>
                <w:noProof/>
                <w:sz w:val="20"/>
              </w:rPr>
              <w:t>COM(2018) 225 final.</w:t>
            </w:r>
            <w:r>
              <w:rPr>
                <w:noProof/>
                <w:sz w:val="20"/>
              </w:rPr>
              <w:br/>
              <w:t>2018/0108 (COD) 18. 4. 2018</w:t>
            </w:r>
          </w:p>
        </w:tc>
        <w:tc>
          <w:tcPr>
            <w:tcW w:w="1417" w:type="dxa"/>
          </w:tcPr>
          <w:p w:rsidR="003B0BA2" w:rsidRPr="009D4C5D" w:rsidRDefault="003B0BA2" w:rsidP="003B0BA2">
            <w:pPr>
              <w:spacing w:after="0"/>
              <w:jc w:val="center"/>
              <w:rPr>
                <w:b/>
                <w:noProof/>
                <w:sz w:val="20"/>
              </w:rPr>
            </w:pPr>
            <w:r w:rsidRPr="009D4C5D">
              <w:rPr>
                <w:b/>
                <w:noProof/>
                <w:sz w:val="20"/>
              </w:rPr>
              <w:t>MS SR</w:t>
            </w:r>
          </w:p>
        </w:tc>
        <w:tc>
          <w:tcPr>
            <w:tcW w:w="6095" w:type="dxa"/>
          </w:tcPr>
          <w:p w:rsidR="003B0BA2" w:rsidRPr="009D4C5D" w:rsidRDefault="003B0BA2" w:rsidP="003B0BA2">
            <w:pPr>
              <w:spacing w:after="0"/>
              <w:rPr>
                <w:b/>
                <w:sz w:val="20"/>
                <w:u w:val="single"/>
              </w:rPr>
            </w:pPr>
            <w:r w:rsidRPr="009D4C5D">
              <w:rPr>
                <w:b/>
                <w:sz w:val="20"/>
                <w:u w:val="single"/>
              </w:rPr>
              <w:t>Vysoká priorita</w:t>
            </w:r>
            <w:r>
              <w:rPr>
                <w:b/>
                <w:sz w:val="20"/>
                <w:u w:val="single"/>
              </w:rPr>
              <w:t xml:space="preserve"> </w:t>
            </w:r>
            <w:r w:rsidRPr="009D4C5D">
              <w:rPr>
                <w:b/>
                <w:sz w:val="20"/>
              </w:rPr>
              <w:t xml:space="preserve">- </w:t>
            </w:r>
            <w:r>
              <w:rPr>
                <w:sz w:val="20"/>
              </w:rPr>
              <w:t>SR</w:t>
            </w:r>
            <w:r w:rsidRPr="00376F18">
              <w:rPr>
                <w:spacing w:val="8"/>
                <w:sz w:val="20"/>
              </w:rPr>
              <w:t xml:space="preserve"> </w:t>
            </w:r>
            <w:r w:rsidRPr="00376F18">
              <w:rPr>
                <w:sz w:val="20"/>
              </w:rPr>
              <w:t>podporuje</w:t>
            </w:r>
            <w:r w:rsidRPr="00376F18">
              <w:rPr>
                <w:spacing w:val="8"/>
                <w:sz w:val="20"/>
              </w:rPr>
              <w:t xml:space="preserve"> </w:t>
            </w:r>
            <w:r w:rsidRPr="00376F18">
              <w:rPr>
                <w:sz w:val="20"/>
              </w:rPr>
              <w:t>ciele</w:t>
            </w:r>
            <w:r w:rsidRPr="00376F18">
              <w:rPr>
                <w:spacing w:val="8"/>
                <w:sz w:val="20"/>
              </w:rPr>
              <w:t xml:space="preserve"> </w:t>
            </w:r>
            <w:r w:rsidRPr="00376F18">
              <w:rPr>
                <w:sz w:val="20"/>
              </w:rPr>
              <w:t>návrhu</w:t>
            </w:r>
            <w:r w:rsidRPr="00376F18">
              <w:rPr>
                <w:spacing w:val="8"/>
                <w:sz w:val="20"/>
              </w:rPr>
              <w:t xml:space="preserve"> </w:t>
            </w:r>
            <w:r w:rsidRPr="00376F18">
              <w:rPr>
                <w:sz w:val="20"/>
              </w:rPr>
              <w:t>a dosiahnutie</w:t>
            </w:r>
            <w:r w:rsidRPr="00376F18">
              <w:rPr>
                <w:spacing w:val="8"/>
                <w:sz w:val="20"/>
              </w:rPr>
              <w:t xml:space="preserve"> </w:t>
            </w:r>
            <w:r w:rsidRPr="00376F18">
              <w:rPr>
                <w:sz w:val="20"/>
              </w:rPr>
              <w:t>dohody</w:t>
            </w:r>
            <w:r w:rsidRPr="00376F18">
              <w:rPr>
                <w:spacing w:val="8"/>
                <w:sz w:val="20"/>
              </w:rPr>
              <w:t xml:space="preserve"> </w:t>
            </w:r>
            <w:r w:rsidRPr="00376F18">
              <w:rPr>
                <w:sz w:val="20"/>
              </w:rPr>
              <w:t>s EP.</w:t>
            </w:r>
          </w:p>
        </w:tc>
      </w:tr>
      <w:tr w:rsidR="003B0BA2" w:rsidTr="00687C5F">
        <w:trPr>
          <w:cantSplit/>
        </w:trPr>
        <w:tc>
          <w:tcPr>
            <w:tcW w:w="652" w:type="dxa"/>
            <w:tcBorders>
              <w:right w:val="nil"/>
            </w:tcBorders>
            <w:shd w:val="clear" w:color="auto" w:fill="auto"/>
            <w:tcMar>
              <w:top w:w="85" w:type="dxa"/>
              <w:left w:w="85" w:type="dxa"/>
              <w:bottom w:w="85" w:type="dxa"/>
            </w:tcMar>
          </w:tcPr>
          <w:p w:rsidR="003B0BA2" w:rsidRDefault="003B0BA2" w:rsidP="003B0BA2">
            <w:pPr>
              <w:pStyle w:val="Odsekzoznamu"/>
              <w:numPr>
                <w:ilvl w:val="0"/>
                <w:numId w:val="20"/>
              </w:numPr>
              <w:spacing w:after="0"/>
              <w:ind w:left="426"/>
              <w:rPr>
                <w:b/>
                <w:noProof/>
                <w:sz w:val="20"/>
              </w:rPr>
            </w:pPr>
          </w:p>
        </w:tc>
        <w:tc>
          <w:tcPr>
            <w:tcW w:w="4588" w:type="dxa"/>
            <w:tcBorders>
              <w:bottom w:val="single" w:sz="4" w:space="0" w:color="auto"/>
            </w:tcBorders>
            <w:shd w:val="clear" w:color="auto" w:fill="auto"/>
            <w:tcMar>
              <w:top w:w="85" w:type="dxa"/>
              <w:left w:w="85" w:type="dxa"/>
              <w:bottom w:w="85" w:type="dxa"/>
            </w:tcMar>
          </w:tcPr>
          <w:p w:rsidR="003B0BA2" w:rsidRDefault="003B0BA2" w:rsidP="003B0BA2">
            <w:pPr>
              <w:spacing w:after="0"/>
              <w:rPr>
                <w:noProof/>
                <w:sz w:val="20"/>
              </w:rPr>
            </w:pPr>
            <w:r>
              <w:rPr>
                <w:noProof/>
                <w:sz w:val="20"/>
              </w:rPr>
              <w:t>Návrh NARIADENIE EURÓPSKEHO PARLAMENTU A RADY, ktorým sa mení nariadenie Európskeho parlamentu a Rady (ES) č. 1393/2007 o doručovaní súdnych a mimosúdnych písomností v občianskych a obchodných veciach v členských štátoch („doručovanie písomností“)</w:t>
            </w:r>
          </w:p>
        </w:tc>
        <w:tc>
          <w:tcPr>
            <w:tcW w:w="1985" w:type="dxa"/>
            <w:tcMar>
              <w:top w:w="85" w:type="dxa"/>
              <w:left w:w="85" w:type="dxa"/>
              <w:bottom w:w="85" w:type="dxa"/>
            </w:tcMar>
          </w:tcPr>
          <w:p w:rsidR="003B0BA2" w:rsidRDefault="003B0BA2" w:rsidP="003B0BA2">
            <w:pPr>
              <w:spacing w:after="0"/>
              <w:jc w:val="left"/>
              <w:rPr>
                <w:noProof/>
                <w:sz w:val="20"/>
              </w:rPr>
            </w:pPr>
            <w:r>
              <w:rPr>
                <w:noProof/>
                <w:sz w:val="20"/>
              </w:rPr>
              <w:t>COM(2018) 379 final.</w:t>
            </w:r>
            <w:r>
              <w:rPr>
                <w:noProof/>
                <w:sz w:val="20"/>
              </w:rPr>
              <w:br/>
              <w:t>2018/0204 (COD)</w:t>
            </w:r>
            <w:r>
              <w:rPr>
                <w:noProof/>
                <w:sz w:val="20"/>
              </w:rPr>
              <w:br/>
              <w:t>31. 5. 2018</w:t>
            </w:r>
          </w:p>
        </w:tc>
        <w:tc>
          <w:tcPr>
            <w:tcW w:w="1417" w:type="dxa"/>
          </w:tcPr>
          <w:p w:rsidR="003B0BA2" w:rsidRPr="009D4C5D" w:rsidRDefault="003B0BA2" w:rsidP="003B0BA2">
            <w:pPr>
              <w:spacing w:after="0"/>
              <w:jc w:val="center"/>
              <w:rPr>
                <w:b/>
                <w:noProof/>
                <w:sz w:val="20"/>
              </w:rPr>
            </w:pPr>
            <w:r w:rsidRPr="009D4C5D">
              <w:rPr>
                <w:b/>
                <w:noProof/>
                <w:sz w:val="20"/>
              </w:rPr>
              <w:t>MS SR</w:t>
            </w:r>
          </w:p>
        </w:tc>
        <w:tc>
          <w:tcPr>
            <w:tcW w:w="6095" w:type="dxa"/>
          </w:tcPr>
          <w:p w:rsidR="003B0BA2" w:rsidRPr="009D4C5D" w:rsidRDefault="003B0BA2" w:rsidP="003B0BA2">
            <w:pPr>
              <w:spacing w:after="0"/>
              <w:rPr>
                <w:b/>
                <w:sz w:val="20"/>
                <w:u w:val="single"/>
              </w:rPr>
            </w:pPr>
            <w:r w:rsidRPr="009D4C5D">
              <w:rPr>
                <w:b/>
                <w:sz w:val="20"/>
                <w:u w:val="single"/>
              </w:rPr>
              <w:t>Stredná priorita</w:t>
            </w:r>
            <w:r w:rsidRPr="009D4C5D">
              <w:rPr>
                <w:b/>
                <w:sz w:val="20"/>
              </w:rPr>
              <w:t xml:space="preserve"> -</w:t>
            </w:r>
            <w:r>
              <w:rPr>
                <w:b/>
                <w:sz w:val="20"/>
                <w:u w:val="single"/>
              </w:rPr>
              <w:t xml:space="preserve"> </w:t>
            </w:r>
            <w:r>
              <w:rPr>
                <w:sz w:val="20"/>
              </w:rPr>
              <w:t xml:space="preserve">SR podporuje ciele návrhu a dosiahnutie dohody s EP v trialógoch, ktoré sa začali v januári 2020. </w:t>
            </w:r>
          </w:p>
        </w:tc>
      </w:tr>
      <w:tr w:rsidR="003B0BA2" w:rsidTr="00687C5F">
        <w:trPr>
          <w:cantSplit/>
        </w:trPr>
        <w:tc>
          <w:tcPr>
            <w:tcW w:w="652" w:type="dxa"/>
            <w:tcBorders>
              <w:right w:val="nil"/>
            </w:tcBorders>
            <w:shd w:val="clear" w:color="auto" w:fill="auto"/>
            <w:tcMar>
              <w:top w:w="85" w:type="dxa"/>
              <w:left w:w="85" w:type="dxa"/>
              <w:bottom w:w="85" w:type="dxa"/>
            </w:tcMar>
          </w:tcPr>
          <w:p w:rsidR="003B0BA2" w:rsidRDefault="003B0BA2" w:rsidP="003B0BA2">
            <w:pPr>
              <w:pStyle w:val="Odsekzoznamu"/>
              <w:numPr>
                <w:ilvl w:val="0"/>
                <w:numId w:val="20"/>
              </w:numPr>
              <w:spacing w:after="0"/>
              <w:ind w:left="426"/>
              <w:rPr>
                <w:b/>
                <w:noProof/>
                <w:sz w:val="20"/>
              </w:rPr>
            </w:pPr>
          </w:p>
        </w:tc>
        <w:tc>
          <w:tcPr>
            <w:tcW w:w="4588" w:type="dxa"/>
            <w:tcBorders>
              <w:bottom w:val="single" w:sz="4" w:space="0" w:color="auto"/>
            </w:tcBorders>
            <w:shd w:val="clear" w:color="auto" w:fill="auto"/>
            <w:tcMar>
              <w:top w:w="85" w:type="dxa"/>
              <w:left w:w="85" w:type="dxa"/>
              <w:bottom w:w="85" w:type="dxa"/>
            </w:tcMar>
          </w:tcPr>
          <w:p w:rsidR="003B0BA2" w:rsidRDefault="003B0BA2" w:rsidP="003B0BA2">
            <w:pPr>
              <w:spacing w:after="0"/>
              <w:rPr>
                <w:noProof/>
                <w:sz w:val="20"/>
              </w:rPr>
            </w:pPr>
            <w:r>
              <w:rPr>
                <w:noProof/>
                <w:sz w:val="20"/>
              </w:rPr>
              <w:t>Návrh NARIADENIE EURÓPSKEHO PARLAMENTU A RADY, ktorým sa mení nariadenie Rady (ES) č. 1206/2001 z 28. mája 2001 o spolupráci medzi súdmi členských štátov pri vykonávaní dôkazov v občianskych a obchodných veciach</w:t>
            </w:r>
          </w:p>
        </w:tc>
        <w:tc>
          <w:tcPr>
            <w:tcW w:w="1985" w:type="dxa"/>
            <w:tcMar>
              <w:top w:w="85" w:type="dxa"/>
              <w:left w:w="85" w:type="dxa"/>
              <w:bottom w:w="85" w:type="dxa"/>
            </w:tcMar>
          </w:tcPr>
          <w:p w:rsidR="003B0BA2" w:rsidRDefault="003B0BA2" w:rsidP="003B0BA2">
            <w:pPr>
              <w:spacing w:after="0"/>
              <w:jc w:val="left"/>
              <w:rPr>
                <w:noProof/>
                <w:sz w:val="20"/>
              </w:rPr>
            </w:pPr>
            <w:r>
              <w:rPr>
                <w:noProof/>
                <w:sz w:val="20"/>
              </w:rPr>
              <w:t>COM(2018) 378 final.</w:t>
            </w:r>
            <w:r>
              <w:rPr>
                <w:noProof/>
                <w:sz w:val="20"/>
              </w:rPr>
              <w:br/>
              <w:t>2018/0203 (COD) 31. 5. 2018</w:t>
            </w:r>
          </w:p>
        </w:tc>
        <w:tc>
          <w:tcPr>
            <w:tcW w:w="1417" w:type="dxa"/>
          </w:tcPr>
          <w:p w:rsidR="003B0BA2" w:rsidRPr="009D4C5D" w:rsidRDefault="003B0BA2" w:rsidP="003B0BA2">
            <w:pPr>
              <w:spacing w:after="0"/>
              <w:jc w:val="center"/>
              <w:rPr>
                <w:b/>
                <w:noProof/>
                <w:sz w:val="20"/>
              </w:rPr>
            </w:pPr>
            <w:r w:rsidRPr="009D4C5D">
              <w:rPr>
                <w:b/>
                <w:noProof/>
                <w:sz w:val="20"/>
              </w:rPr>
              <w:t>MS SR</w:t>
            </w:r>
          </w:p>
        </w:tc>
        <w:tc>
          <w:tcPr>
            <w:tcW w:w="6095" w:type="dxa"/>
          </w:tcPr>
          <w:p w:rsidR="003B0BA2" w:rsidRPr="009D4C5D" w:rsidRDefault="003B0BA2" w:rsidP="003B0BA2">
            <w:pPr>
              <w:spacing w:after="0"/>
              <w:rPr>
                <w:b/>
                <w:sz w:val="20"/>
                <w:u w:val="single"/>
              </w:rPr>
            </w:pPr>
            <w:r w:rsidRPr="009D4C5D">
              <w:rPr>
                <w:b/>
                <w:sz w:val="20"/>
                <w:u w:val="single"/>
              </w:rPr>
              <w:t>Stredná priorita</w:t>
            </w:r>
            <w:r w:rsidRPr="009D4C5D">
              <w:rPr>
                <w:b/>
                <w:sz w:val="20"/>
              </w:rPr>
              <w:t xml:space="preserve"> -</w:t>
            </w:r>
            <w:r>
              <w:rPr>
                <w:b/>
                <w:sz w:val="20"/>
                <w:u w:val="single"/>
              </w:rPr>
              <w:t xml:space="preserve"> </w:t>
            </w:r>
            <w:r>
              <w:rPr>
                <w:sz w:val="20"/>
              </w:rPr>
              <w:t xml:space="preserve">SR podporuje ciele návrhu a dosiahnutie dohody EP v trialógoch, ktoré sa začali v januári 2020. </w:t>
            </w:r>
          </w:p>
        </w:tc>
      </w:tr>
      <w:tr w:rsidR="003B0BA2" w:rsidTr="00687C5F">
        <w:trPr>
          <w:cantSplit/>
          <w:trHeight w:val="3614"/>
        </w:trPr>
        <w:tc>
          <w:tcPr>
            <w:tcW w:w="652" w:type="dxa"/>
            <w:tcBorders>
              <w:right w:val="nil"/>
            </w:tcBorders>
            <w:shd w:val="clear" w:color="auto" w:fill="auto"/>
            <w:tcMar>
              <w:top w:w="85" w:type="dxa"/>
              <w:left w:w="85" w:type="dxa"/>
              <w:bottom w:w="85" w:type="dxa"/>
            </w:tcMar>
          </w:tcPr>
          <w:p w:rsidR="003B0BA2" w:rsidRDefault="003B0BA2" w:rsidP="003B0BA2">
            <w:pPr>
              <w:pStyle w:val="Odsekzoznamu"/>
              <w:numPr>
                <w:ilvl w:val="0"/>
                <w:numId w:val="20"/>
              </w:numPr>
              <w:spacing w:after="0"/>
              <w:ind w:left="426"/>
              <w:rPr>
                <w:b/>
                <w:noProof/>
                <w:sz w:val="20"/>
              </w:rPr>
            </w:pPr>
          </w:p>
        </w:tc>
        <w:tc>
          <w:tcPr>
            <w:tcW w:w="4588" w:type="dxa"/>
            <w:shd w:val="clear" w:color="auto" w:fill="EEECE1" w:themeFill="background2"/>
            <w:tcMar>
              <w:top w:w="85" w:type="dxa"/>
              <w:left w:w="85" w:type="dxa"/>
              <w:bottom w:w="85" w:type="dxa"/>
            </w:tcMar>
          </w:tcPr>
          <w:p w:rsidR="003B0BA2" w:rsidRPr="003B1CF2" w:rsidRDefault="003B0BA2" w:rsidP="003B0BA2">
            <w:pPr>
              <w:spacing w:after="0"/>
              <w:rPr>
                <w:noProof/>
                <w:sz w:val="20"/>
              </w:rPr>
            </w:pPr>
            <w:r w:rsidRPr="003B1CF2">
              <w:rPr>
                <w:noProof/>
                <w:sz w:val="20"/>
              </w:rPr>
              <w:t>Návrh NARIADENIE EURÓPSKEHO PARLAMENTU A RADY o ochrane rozpočtu Únie v prípade všeobecných nedostatkov v oblasti dodržiavania zásady právneho štátu v členských štátoch</w:t>
            </w:r>
          </w:p>
        </w:tc>
        <w:tc>
          <w:tcPr>
            <w:tcW w:w="1985" w:type="dxa"/>
            <w:tcMar>
              <w:top w:w="85" w:type="dxa"/>
              <w:left w:w="85" w:type="dxa"/>
              <w:bottom w:w="85" w:type="dxa"/>
            </w:tcMar>
          </w:tcPr>
          <w:p w:rsidR="003B0BA2" w:rsidRPr="003B1CF2" w:rsidRDefault="003B0BA2" w:rsidP="003B0BA2">
            <w:pPr>
              <w:spacing w:after="0"/>
              <w:jc w:val="left"/>
              <w:rPr>
                <w:noProof/>
                <w:sz w:val="20"/>
              </w:rPr>
            </w:pPr>
            <w:r w:rsidRPr="003B1CF2">
              <w:rPr>
                <w:noProof/>
                <w:sz w:val="20"/>
              </w:rPr>
              <w:t>COM(2018) 324 final.</w:t>
            </w:r>
            <w:r w:rsidRPr="003B1CF2">
              <w:rPr>
                <w:noProof/>
                <w:sz w:val="20"/>
              </w:rPr>
              <w:br/>
              <w:t>2018/0136 (COD)</w:t>
            </w:r>
            <w:r w:rsidRPr="003B1CF2">
              <w:rPr>
                <w:noProof/>
                <w:sz w:val="20"/>
              </w:rPr>
              <w:br/>
              <w:t>3. 5. 2018</w:t>
            </w:r>
          </w:p>
        </w:tc>
        <w:tc>
          <w:tcPr>
            <w:tcW w:w="1417" w:type="dxa"/>
          </w:tcPr>
          <w:p w:rsidR="003B0BA2" w:rsidRDefault="003B0BA2" w:rsidP="003B0BA2">
            <w:pPr>
              <w:spacing w:after="0"/>
              <w:jc w:val="center"/>
              <w:rPr>
                <w:b/>
                <w:noProof/>
                <w:sz w:val="20"/>
              </w:rPr>
            </w:pPr>
            <w:r>
              <w:rPr>
                <w:b/>
                <w:noProof/>
                <w:sz w:val="20"/>
              </w:rPr>
              <w:t>MZVEZ SR</w:t>
            </w:r>
          </w:p>
          <w:p w:rsidR="003B0BA2" w:rsidRDefault="003B0BA2" w:rsidP="003B0BA2">
            <w:pPr>
              <w:spacing w:after="0"/>
              <w:jc w:val="center"/>
              <w:rPr>
                <w:b/>
                <w:noProof/>
                <w:sz w:val="20"/>
              </w:rPr>
            </w:pPr>
            <w:r w:rsidRPr="009D4C5D">
              <w:rPr>
                <w:b/>
                <w:noProof/>
                <w:sz w:val="20"/>
              </w:rPr>
              <w:t>MS SR</w:t>
            </w:r>
          </w:p>
          <w:p w:rsidR="003B0BA2" w:rsidRPr="009D4C5D" w:rsidRDefault="003B0BA2" w:rsidP="003B0BA2">
            <w:pPr>
              <w:spacing w:after="0"/>
              <w:jc w:val="center"/>
              <w:rPr>
                <w:b/>
                <w:noProof/>
                <w:sz w:val="20"/>
              </w:rPr>
            </w:pPr>
            <w:r>
              <w:rPr>
                <w:b/>
                <w:noProof/>
                <w:sz w:val="20"/>
              </w:rPr>
              <w:t>MF SR</w:t>
            </w:r>
          </w:p>
        </w:tc>
        <w:tc>
          <w:tcPr>
            <w:tcW w:w="6095" w:type="dxa"/>
          </w:tcPr>
          <w:p w:rsidR="003B0BA2" w:rsidRPr="00687C5F" w:rsidRDefault="003B0BA2" w:rsidP="003B0BA2">
            <w:pPr>
              <w:rPr>
                <w:b/>
                <w:sz w:val="20"/>
                <w:u w:val="single"/>
              </w:rPr>
            </w:pPr>
            <w:r w:rsidRPr="00687C5F">
              <w:rPr>
                <w:b/>
                <w:sz w:val="20"/>
                <w:u w:val="single"/>
              </w:rPr>
              <w:t>Vysoká priorita</w:t>
            </w:r>
            <w:r w:rsidRPr="00687C5F">
              <w:rPr>
                <w:b/>
                <w:sz w:val="20"/>
              </w:rPr>
              <w:t xml:space="preserve"> - </w:t>
            </w:r>
            <w:r>
              <w:rPr>
                <w:color w:val="000000"/>
                <w:sz w:val="20"/>
              </w:rPr>
              <w:t>Podľa</w:t>
            </w:r>
            <w:r>
              <w:rPr>
                <w:color w:val="000000"/>
                <w:spacing w:val="115"/>
                <w:sz w:val="20"/>
              </w:rPr>
              <w:t xml:space="preserve"> </w:t>
            </w:r>
            <w:r>
              <w:rPr>
                <w:color w:val="000000"/>
                <w:sz w:val="20"/>
              </w:rPr>
              <w:t>Európskej</w:t>
            </w:r>
            <w:r>
              <w:rPr>
                <w:color w:val="000000"/>
                <w:spacing w:val="115"/>
                <w:sz w:val="20"/>
              </w:rPr>
              <w:t xml:space="preserve"> </w:t>
            </w:r>
            <w:r>
              <w:rPr>
                <w:color w:val="000000"/>
                <w:sz w:val="20"/>
              </w:rPr>
              <w:t>komisie</w:t>
            </w:r>
            <w:r>
              <w:rPr>
                <w:color w:val="000000"/>
                <w:spacing w:val="115"/>
                <w:sz w:val="20"/>
              </w:rPr>
              <w:t xml:space="preserve"> </w:t>
            </w:r>
            <w:r>
              <w:rPr>
                <w:color w:val="000000"/>
                <w:sz w:val="20"/>
              </w:rPr>
              <w:t>(EK)</w:t>
            </w:r>
            <w:r>
              <w:rPr>
                <w:color w:val="000000"/>
                <w:spacing w:val="115"/>
                <w:sz w:val="20"/>
              </w:rPr>
              <w:t xml:space="preserve"> </w:t>
            </w:r>
            <w:r>
              <w:rPr>
                <w:color w:val="000000"/>
                <w:sz w:val="20"/>
              </w:rPr>
              <w:t>je</w:t>
            </w:r>
            <w:r>
              <w:rPr>
                <w:color w:val="000000"/>
                <w:spacing w:val="115"/>
                <w:sz w:val="20"/>
              </w:rPr>
              <w:t xml:space="preserve"> </w:t>
            </w:r>
            <w:r>
              <w:rPr>
                <w:color w:val="000000"/>
                <w:sz w:val="20"/>
              </w:rPr>
              <w:t>cieľom</w:t>
            </w:r>
            <w:r>
              <w:rPr>
                <w:color w:val="000000"/>
                <w:spacing w:val="115"/>
                <w:sz w:val="20"/>
              </w:rPr>
              <w:t xml:space="preserve"> </w:t>
            </w:r>
            <w:r>
              <w:rPr>
                <w:color w:val="000000"/>
                <w:sz w:val="20"/>
              </w:rPr>
              <w:t>predkladaného</w:t>
            </w:r>
            <w:r>
              <w:rPr>
                <w:color w:val="000000"/>
                <w:spacing w:val="115"/>
                <w:sz w:val="20"/>
              </w:rPr>
              <w:t xml:space="preserve"> </w:t>
            </w:r>
            <w:r>
              <w:rPr>
                <w:color w:val="000000"/>
                <w:sz w:val="20"/>
              </w:rPr>
              <w:t>návrhu legislatívneho</w:t>
            </w:r>
            <w:r>
              <w:rPr>
                <w:color w:val="000000"/>
                <w:spacing w:val="-2"/>
                <w:sz w:val="20"/>
              </w:rPr>
              <w:t xml:space="preserve"> </w:t>
            </w:r>
            <w:r>
              <w:rPr>
                <w:color w:val="000000"/>
                <w:sz w:val="20"/>
              </w:rPr>
              <w:t>aktu</w:t>
            </w:r>
            <w:r>
              <w:rPr>
                <w:color w:val="000000"/>
                <w:spacing w:val="-2"/>
                <w:sz w:val="20"/>
              </w:rPr>
              <w:t xml:space="preserve"> </w:t>
            </w:r>
            <w:r>
              <w:rPr>
                <w:color w:val="000000"/>
                <w:sz w:val="20"/>
              </w:rPr>
              <w:t>vytvoriť</w:t>
            </w:r>
            <w:r>
              <w:rPr>
                <w:color w:val="000000"/>
                <w:spacing w:val="-2"/>
                <w:sz w:val="20"/>
              </w:rPr>
              <w:t xml:space="preserve"> </w:t>
            </w:r>
            <w:r>
              <w:rPr>
                <w:color w:val="000000"/>
                <w:sz w:val="20"/>
              </w:rPr>
              <w:t>prepojenie</w:t>
            </w:r>
            <w:r>
              <w:rPr>
                <w:color w:val="000000"/>
                <w:spacing w:val="-2"/>
                <w:sz w:val="20"/>
              </w:rPr>
              <w:t xml:space="preserve"> </w:t>
            </w:r>
            <w:r>
              <w:rPr>
                <w:color w:val="000000"/>
                <w:sz w:val="20"/>
              </w:rPr>
              <w:t>medzi</w:t>
            </w:r>
            <w:r>
              <w:rPr>
                <w:color w:val="000000"/>
                <w:spacing w:val="-2"/>
                <w:sz w:val="20"/>
              </w:rPr>
              <w:t xml:space="preserve"> </w:t>
            </w:r>
            <w:r>
              <w:rPr>
                <w:color w:val="000000"/>
                <w:sz w:val="20"/>
              </w:rPr>
              <w:t>výdavkami</w:t>
            </w:r>
            <w:r>
              <w:rPr>
                <w:color w:val="000000"/>
                <w:spacing w:val="-2"/>
                <w:sz w:val="20"/>
              </w:rPr>
              <w:t xml:space="preserve"> </w:t>
            </w:r>
            <w:r>
              <w:rPr>
                <w:color w:val="000000"/>
                <w:sz w:val="20"/>
              </w:rPr>
              <w:t>z rozpočtu</w:t>
            </w:r>
            <w:r>
              <w:rPr>
                <w:color w:val="000000"/>
                <w:spacing w:val="-2"/>
                <w:sz w:val="20"/>
              </w:rPr>
              <w:t xml:space="preserve"> </w:t>
            </w:r>
            <w:r>
              <w:rPr>
                <w:color w:val="000000"/>
                <w:sz w:val="20"/>
              </w:rPr>
              <w:t>EÚ</w:t>
            </w:r>
            <w:r>
              <w:rPr>
                <w:color w:val="000000"/>
                <w:spacing w:val="-2"/>
                <w:sz w:val="20"/>
              </w:rPr>
              <w:t xml:space="preserve"> </w:t>
            </w:r>
            <w:r>
              <w:rPr>
                <w:color w:val="000000"/>
                <w:sz w:val="20"/>
              </w:rPr>
              <w:t>a účinným</w:t>
            </w:r>
            <w:r>
              <w:rPr>
                <w:color w:val="000000"/>
                <w:spacing w:val="97"/>
                <w:sz w:val="20"/>
              </w:rPr>
              <w:t xml:space="preserve"> </w:t>
            </w:r>
            <w:r>
              <w:rPr>
                <w:color w:val="000000"/>
                <w:sz w:val="20"/>
              </w:rPr>
              <w:t>dodržiavaním</w:t>
            </w:r>
            <w:r>
              <w:rPr>
                <w:color w:val="000000"/>
                <w:spacing w:val="97"/>
                <w:sz w:val="20"/>
              </w:rPr>
              <w:t xml:space="preserve"> </w:t>
            </w:r>
            <w:r>
              <w:rPr>
                <w:color w:val="000000"/>
                <w:sz w:val="20"/>
              </w:rPr>
              <w:t>zásady</w:t>
            </w:r>
            <w:r>
              <w:rPr>
                <w:color w:val="000000"/>
                <w:spacing w:val="97"/>
                <w:sz w:val="20"/>
              </w:rPr>
              <w:t xml:space="preserve"> </w:t>
            </w:r>
            <w:r>
              <w:rPr>
                <w:color w:val="000000"/>
                <w:sz w:val="20"/>
              </w:rPr>
              <w:t>právneho</w:t>
            </w:r>
            <w:r>
              <w:rPr>
                <w:color w:val="000000"/>
                <w:spacing w:val="97"/>
                <w:sz w:val="20"/>
              </w:rPr>
              <w:t xml:space="preserve"> </w:t>
            </w:r>
            <w:r>
              <w:rPr>
                <w:color w:val="000000"/>
                <w:sz w:val="20"/>
              </w:rPr>
              <w:t>štátu,</w:t>
            </w:r>
            <w:r>
              <w:rPr>
                <w:color w:val="000000"/>
                <w:spacing w:val="97"/>
                <w:sz w:val="20"/>
              </w:rPr>
              <w:t xml:space="preserve"> </w:t>
            </w:r>
            <w:r>
              <w:rPr>
                <w:color w:val="000000"/>
                <w:sz w:val="20"/>
              </w:rPr>
              <w:t>pričom</w:t>
            </w:r>
            <w:r>
              <w:rPr>
                <w:color w:val="000000"/>
                <w:spacing w:val="97"/>
                <w:sz w:val="20"/>
              </w:rPr>
              <w:t xml:space="preserve"> </w:t>
            </w:r>
            <w:r>
              <w:rPr>
                <w:color w:val="000000"/>
                <w:sz w:val="20"/>
              </w:rPr>
              <w:t>by</w:t>
            </w:r>
            <w:r>
              <w:rPr>
                <w:color w:val="000000"/>
                <w:spacing w:val="97"/>
                <w:sz w:val="20"/>
              </w:rPr>
              <w:t xml:space="preserve"> </w:t>
            </w:r>
            <w:r>
              <w:rPr>
                <w:color w:val="000000"/>
                <w:sz w:val="20"/>
              </w:rPr>
              <w:t>sa</w:t>
            </w:r>
            <w:r>
              <w:rPr>
                <w:color w:val="000000"/>
                <w:spacing w:val="97"/>
                <w:sz w:val="20"/>
              </w:rPr>
              <w:t xml:space="preserve"> </w:t>
            </w:r>
            <w:r>
              <w:rPr>
                <w:color w:val="000000"/>
                <w:sz w:val="20"/>
              </w:rPr>
              <w:t>mal vytvoriť</w:t>
            </w:r>
            <w:r>
              <w:rPr>
                <w:color w:val="000000"/>
                <w:spacing w:val="-7"/>
                <w:sz w:val="20"/>
              </w:rPr>
              <w:t xml:space="preserve"> </w:t>
            </w:r>
            <w:r>
              <w:rPr>
                <w:color w:val="000000"/>
                <w:sz w:val="20"/>
              </w:rPr>
              <w:t> paralelný</w:t>
            </w:r>
            <w:r>
              <w:rPr>
                <w:color w:val="000000"/>
                <w:spacing w:val="-7"/>
                <w:sz w:val="20"/>
              </w:rPr>
              <w:t xml:space="preserve"> </w:t>
            </w:r>
            <w:r>
              <w:rPr>
                <w:color w:val="000000"/>
                <w:sz w:val="20"/>
              </w:rPr>
              <w:t>prevenčný</w:t>
            </w:r>
            <w:r>
              <w:rPr>
                <w:color w:val="000000"/>
                <w:spacing w:val="-7"/>
                <w:sz w:val="20"/>
              </w:rPr>
              <w:t xml:space="preserve"> </w:t>
            </w:r>
            <w:r>
              <w:rPr>
                <w:color w:val="000000"/>
                <w:sz w:val="20"/>
              </w:rPr>
              <w:t>mechanizmus</w:t>
            </w:r>
            <w:r>
              <w:rPr>
                <w:color w:val="000000"/>
                <w:spacing w:val="-7"/>
                <w:sz w:val="20"/>
              </w:rPr>
              <w:t xml:space="preserve"> </w:t>
            </w:r>
            <w:r>
              <w:rPr>
                <w:color w:val="000000"/>
                <w:sz w:val="20"/>
              </w:rPr>
              <w:t>postihujúci</w:t>
            </w:r>
            <w:r>
              <w:rPr>
                <w:color w:val="000000"/>
                <w:spacing w:val="-7"/>
                <w:sz w:val="20"/>
              </w:rPr>
              <w:t xml:space="preserve"> </w:t>
            </w:r>
            <w:r>
              <w:rPr>
                <w:color w:val="000000"/>
                <w:sz w:val="20"/>
              </w:rPr>
              <w:t>prípady</w:t>
            </w:r>
            <w:r>
              <w:rPr>
                <w:color w:val="000000"/>
                <w:spacing w:val="-7"/>
                <w:sz w:val="20"/>
              </w:rPr>
              <w:t xml:space="preserve"> </w:t>
            </w:r>
            <w:r>
              <w:rPr>
                <w:color w:val="000000"/>
                <w:sz w:val="20"/>
              </w:rPr>
              <w:t>porušenia princípu</w:t>
            </w:r>
            <w:r>
              <w:rPr>
                <w:color w:val="000000"/>
                <w:spacing w:val="7"/>
                <w:sz w:val="20"/>
              </w:rPr>
              <w:t xml:space="preserve"> </w:t>
            </w:r>
            <w:r>
              <w:rPr>
                <w:color w:val="000000"/>
                <w:sz w:val="20"/>
              </w:rPr>
              <w:t>právneho</w:t>
            </w:r>
            <w:r>
              <w:rPr>
                <w:color w:val="000000"/>
                <w:spacing w:val="7"/>
                <w:sz w:val="20"/>
              </w:rPr>
              <w:t xml:space="preserve"> </w:t>
            </w:r>
            <w:r>
              <w:rPr>
                <w:color w:val="000000"/>
                <w:sz w:val="20"/>
              </w:rPr>
              <w:t>štátu.</w:t>
            </w:r>
            <w:r>
              <w:rPr>
                <w:color w:val="000000"/>
                <w:spacing w:val="7"/>
                <w:sz w:val="20"/>
              </w:rPr>
              <w:t xml:space="preserve"> </w:t>
            </w:r>
            <w:r>
              <w:rPr>
                <w:color w:val="000000"/>
                <w:sz w:val="20"/>
              </w:rPr>
              <w:t>Návrh</w:t>
            </w:r>
            <w:r>
              <w:rPr>
                <w:color w:val="000000"/>
                <w:spacing w:val="7"/>
                <w:sz w:val="20"/>
              </w:rPr>
              <w:t xml:space="preserve"> </w:t>
            </w:r>
            <w:r>
              <w:rPr>
                <w:color w:val="000000"/>
                <w:sz w:val="20"/>
              </w:rPr>
              <w:t>legislatívneho</w:t>
            </w:r>
            <w:r>
              <w:rPr>
                <w:color w:val="000000"/>
                <w:spacing w:val="7"/>
                <w:sz w:val="20"/>
              </w:rPr>
              <w:t xml:space="preserve"> </w:t>
            </w:r>
            <w:r>
              <w:rPr>
                <w:color w:val="000000"/>
                <w:sz w:val="20"/>
              </w:rPr>
              <w:t>aktu</w:t>
            </w:r>
            <w:r>
              <w:rPr>
                <w:color w:val="000000"/>
                <w:spacing w:val="7"/>
                <w:sz w:val="20"/>
              </w:rPr>
              <w:t xml:space="preserve"> </w:t>
            </w:r>
            <w:r>
              <w:rPr>
                <w:color w:val="000000"/>
                <w:sz w:val="20"/>
              </w:rPr>
              <w:t>je</w:t>
            </w:r>
            <w:r>
              <w:rPr>
                <w:color w:val="000000"/>
                <w:spacing w:val="7"/>
                <w:sz w:val="20"/>
              </w:rPr>
              <w:t xml:space="preserve"> </w:t>
            </w:r>
            <w:r>
              <w:rPr>
                <w:color w:val="000000"/>
                <w:sz w:val="20"/>
              </w:rPr>
              <w:t>však</w:t>
            </w:r>
            <w:r>
              <w:rPr>
                <w:color w:val="000000"/>
                <w:spacing w:val="7"/>
                <w:sz w:val="20"/>
              </w:rPr>
              <w:t xml:space="preserve"> </w:t>
            </w:r>
            <w:r>
              <w:rPr>
                <w:color w:val="000000"/>
                <w:sz w:val="20"/>
              </w:rPr>
              <w:t>problematický kvôli</w:t>
            </w:r>
            <w:r>
              <w:rPr>
                <w:color w:val="000000"/>
                <w:spacing w:val="-1"/>
                <w:sz w:val="20"/>
              </w:rPr>
              <w:t xml:space="preserve"> </w:t>
            </w:r>
            <w:r>
              <w:rPr>
                <w:color w:val="000000"/>
                <w:sz w:val="20"/>
              </w:rPr>
              <w:t>možnej</w:t>
            </w:r>
            <w:r>
              <w:rPr>
                <w:color w:val="000000"/>
                <w:spacing w:val="-1"/>
                <w:sz w:val="20"/>
              </w:rPr>
              <w:t xml:space="preserve"> </w:t>
            </w:r>
            <w:r>
              <w:rPr>
                <w:color w:val="000000"/>
                <w:sz w:val="20"/>
              </w:rPr>
              <w:t>absencii</w:t>
            </w:r>
            <w:r>
              <w:rPr>
                <w:color w:val="000000"/>
                <w:spacing w:val="-1"/>
                <w:sz w:val="20"/>
              </w:rPr>
              <w:t xml:space="preserve"> </w:t>
            </w:r>
            <w:r>
              <w:rPr>
                <w:color w:val="000000"/>
                <w:sz w:val="20"/>
              </w:rPr>
              <w:t>adekvátneho</w:t>
            </w:r>
            <w:r>
              <w:rPr>
                <w:color w:val="000000"/>
                <w:spacing w:val="-1"/>
                <w:sz w:val="20"/>
              </w:rPr>
              <w:t xml:space="preserve"> </w:t>
            </w:r>
            <w:r>
              <w:rPr>
                <w:color w:val="000000"/>
                <w:sz w:val="20"/>
              </w:rPr>
              <w:t>právneho</w:t>
            </w:r>
            <w:r>
              <w:rPr>
                <w:color w:val="000000"/>
                <w:spacing w:val="-1"/>
                <w:sz w:val="20"/>
              </w:rPr>
              <w:t xml:space="preserve"> </w:t>
            </w:r>
            <w:r>
              <w:rPr>
                <w:color w:val="000000"/>
                <w:sz w:val="20"/>
              </w:rPr>
              <w:t>základu</w:t>
            </w:r>
            <w:r>
              <w:rPr>
                <w:color w:val="000000"/>
                <w:spacing w:val="-1"/>
                <w:sz w:val="20"/>
              </w:rPr>
              <w:t xml:space="preserve"> </w:t>
            </w:r>
            <w:r>
              <w:rPr>
                <w:color w:val="000000"/>
                <w:sz w:val="20"/>
              </w:rPr>
              <w:t>a</w:t>
            </w:r>
            <w:r>
              <w:rPr>
                <w:color w:val="000000"/>
                <w:spacing w:val="-1"/>
                <w:sz w:val="20"/>
              </w:rPr>
              <w:t xml:space="preserve"> </w:t>
            </w:r>
            <w:r>
              <w:rPr>
                <w:color w:val="000000"/>
                <w:sz w:val="20"/>
              </w:rPr>
              <w:t>možnému</w:t>
            </w:r>
            <w:r>
              <w:rPr>
                <w:color w:val="000000"/>
                <w:spacing w:val="-1"/>
                <w:sz w:val="20"/>
              </w:rPr>
              <w:t xml:space="preserve"> </w:t>
            </w:r>
            <w:r>
              <w:rPr>
                <w:color w:val="000000"/>
                <w:sz w:val="20"/>
              </w:rPr>
              <w:t>rozporu (resp.</w:t>
            </w:r>
            <w:r>
              <w:rPr>
                <w:color w:val="000000"/>
                <w:spacing w:val="2"/>
                <w:sz w:val="20"/>
              </w:rPr>
              <w:t xml:space="preserve"> </w:t>
            </w:r>
            <w:r>
              <w:rPr>
                <w:color w:val="000000"/>
                <w:sz w:val="20"/>
              </w:rPr>
              <w:t>obchádzaniu)</w:t>
            </w:r>
            <w:r>
              <w:rPr>
                <w:color w:val="000000"/>
                <w:spacing w:val="2"/>
                <w:sz w:val="20"/>
              </w:rPr>
              <w:t xml:space="preserve"> </w:t>
            </w:r>
            <w:r>
              <w:rPr>
                <w:color w:val="000000"/>
                <w:sz w:val="20"/>
              </w:rPr>
              <w:t>s</w:t>
            </w:r>
            <w:r>
              <w:rPr>
                <w:color w:val="000000"/>
                <w:spacing w:val="2"/>
                <w:sz w:val="20"/>
              </w:rPr>
              <w:t xml:space="preserve"> </w:t>
            </w:r>
            <w:r>
              <w:rPr>
                <w:color w:val="000000"/>
                <w:sz w:val="20"/>
              </w:rPr>
              <w:t>čl.</w:t>
            </w:r>
            <w:r>
              <w:rPr>
                <w:color w:val="000000"/>
                <w:spacing w:val="2"/>
                <w:sz w:val="20"/>
              </w:rPr>
              <w:t xml:space="preserve"> </w:t>
            </w:r>
            <w:r>
              <w:rPr>
                <w:color w:val="000000"/>
                <w:sz w:val="20"/>
              </w:rPr>
              <w:t>7</w:t>
            </w:r>
            <w:r>
              <w:rPr>
                <w:color w:val="000000"/>
                <w:spacing w:val="2"/>
                <w:sz w:val="20"/>
              </w:rPr>
              <w:t xml:space="preserve"> </w:t>
            </w:r>
            <w:r>
              <w:rPr>
                <w:color w:val="000000"/>
                <w:sz w:val="20"/>
              </w:rPr>
              <w:t>ZEÚ.</w:t>
            </w:r>
            <w:r>
              <w:rPr>
                <w:color w:val="000000"/>
                <w:spacing w:val="2"/>
                <w:sz w:val="20"/>
              </w:rPr>
              <w:t xml:space="preserve"> </w:t>
            </w:r>
            <w:r>
              <w:rPr>
                <w:color w:val="000000"/>
                <w:sz w:val="20"/>
              </w:rPr>
              <w:t>Na</w:t>
            </w:r>
            <w:r>
              <w:rPr>
                <w:color w:val="000000"/>
                <w:spacing w:val="2"/>
                <w:sz w:val="20"/>
              </w:rPr>
              <w:t xml:space="preserve"> </w:t>
            </w:r>
            <w:r>
              <w:rPr>
                <w:color w:val="000000"/>
                <w:sz w:val="20"/>
              </w:rPr>
              <w:t>druhej</w:t>
            </w:r>
            <w:r>
              <w:rPr>
                <w:color w:val="000000"/>
                <w:spacing w:val="2"/>
                <w:sz w:val="20"/>
              </w:rPr>
              <w:t xml:space="preserve"> </w:t>
            </w:r>
            <w:r>
              <w:rPr>
                <w:color w:val="000000"/>
                <w:sz w:val="20"/>
              </w:rPr>
              <w:t>strane,</w:t>
            </w:r>
            <w:r>
              <w:rPr>
                <w:color w:val="000000"/>
                <w:spacing w:val="2"/>
                <w:sz w:val="20"/>
              </w:rPr>
              <w:t xml:space="preserve"> </w:t>
            </w:r>
            <w:r>
              <w:rPr>
                <w:color w:val="000000"/>
                <w:sz w:val="20"/>
              </w:rPr>
              <w:t>obdobný</w:t>
            </w:r>
            <w:r>
              <w:rPr>
                <w:color w:val="000000"/>
                <w:spacing w:val="2"/>
                <w:sz w:val="20"/>
              </w:rPr>
              <w:t xml:space="preserve"> </w:t>
            </w:r>
            <w:r>
              <w:rPr>
                <w:color w:val="000000"/>
                <w:sz w:val="20"/>
              </w:rPr>
              <w:t>mechanizmus by mohol byť akceptovateľný, ak by rešpektoval rámec daný právom EÚ. SR</w:t>
            </w:r>
            <w:r>
              <w:rPr>
                <w:color w:val="000000"/>
                <w:spacing w:val="4"/>
                <w:sz w:val="20"/>
              </w:rPr>
              <w:t xml:space="preserve"> </w:t>
            </w:r>
            <w:r>
              <w:rPr>
                <w:color w:val="000000"/>
                <w:sz w:val="20"/>
              </w:rPr>
              <w:t>nie</w:t>
            </w:r>
            <w:r>
              <w:rPr>
                <w:color w:val="000000"/>
                <w:spacing w:val="4"/>
                <w:sz w:val="20"/>
              </w:rPr>
              <w:t xml:space="preserve"> </w:t>
            </w:r>
            <w:r>
              <w:rPr>
                <w:color w:val="000000"/>
                <w:sz w:val="20"/>
              </w:rPr>
              <w:t>je</w:t>
            </w:r>
            <w:r>
              <w:rPr>
                <w:color w:val="000000"/>
                <w:spacing w:val="4"/>
                <w:sz w:val="20"/>
              </w:rPr>
              <w:t xml:space="preserve"> </w:t>
            </w:r>
            <w:r>
              <w:rPr>
                <w:color w:val="000000"/>
                <w:sz w:val="20"/>
              </w:rPr>
              <w:t>principiálne</w:t>
            </w:r>
            <w:r>
              <w:rPr>
                <w:color w:val="000000"/>
                <w:spacing w:val="4"/>
                <w:sz w:val="20"/>
              </w:rPr>
              <w:t xml:space="preserve"> </w:t>
            </w:r>
            <w:r>
              <w:rPr>
                <w:color w:val="000000"/>
                <w:sz w:val="20"/>
              </w:rPr>
              <w:t>proti</w:t>
            </w:r>
            <w:r>
              <w:rPr>
                <w:color w:val="000000"/>
                <w:spacing w:val="4"/>
                <w:sz w:val="20"/>
              </w:rPr>
              <w:t xml:space="preserve"> </w:t>
            </w:r>
            <w:r>
              <w:rPr>
                <w:color w:val="000000"/>
                <w:sz w:val="20"/>
              </w:rPr>
              <w:t>tomuto</w:t>
            </w:r>
            <w:r>
              <w:rPr>
                <w:color w:val="000000"/>
                <w:spacing w:val="4"/>
                <w:sz w:val="20"/>
              </w:rPr>
              <w:t xml:space="preserve"> </w:t>
            </w:r>
            <w:r>
              <w:rPr>
                <w:color w:val="000000"/>
                <w:sz w:val="20"/>
              </w:rPr>
              <w:t>mechanizmu,</w:t>
            </w:r>
            <w:r>
              <w:rPr>
                <w:color w:val="000000"/>
                <w:spacing w:val="4"/>
                <w:sz w:val="20"/>
              </w:rPr>
              <w:t xml:space="preserve"> </w:t>
            </w:r>
            <w:r>
              <w:rPr>
                <w:color w:val="000000"/>
                <w:sz w:val="20"/>
              </w:rPr>
              <w:t>no</w:t>
            </w:r>
            <w:r>
              <w:rPr>
                <w:color w:val="000000"/>
                <w:spacing w:val="4"/>
                <w:sz w:val="20"/>
              </w:rPr>
              <w:t xml:space="preserve"> </w:t>
            </w:r>
            <w:r>
              <w:rPr>
                <w:color w:val="000000"/>
                <w:sz w:val="20"/>
              </w:rPr>
              <w:t>bude</w:t>
            </w:r>
            <w:r>
              <w:rPr>
                <w:color w:val="000000"/>
                <w:spacing w:val="4"/>
                <w:sz w:val="20"/>
              </w:rPr>
              <w:t xml:space="preserve"> </w:t>
            </w:r>
            <w:r>
              <w:rPr>
                <w:color w:val="000000"/>
                <w:sz w:val="20"/>
              </w:rPr>
              <w:t>potrebná</w:t>
            </w:r>
            <w:r>
              <w:rPr>
                <w:color w:val="000000"/>
                <w:spacing w:val="4"/>
                <w:sz w:val="20"/>
              </w:rPr>
              <w:t xml:space="preserve"> </w:t>
            </w:r>
            <w:r>
              <w:rPr>
                <w:color w:val="000000"/>
                <w:sz w:val="20"/>
              </w:rPr>
              <w:t>ďalšia diskusia najmä v oblastiach právneho základu navrhovaného mechanizmu a</w:t>
            </w:r>
            <w:r>
              <w:rPr>
                <w:color w:val="000000"/>
                <w:spacing w:val="-11"/>
                <w:sz w:val="20"/>
              </w:rPr>
              <w:t xml:space="preserve"> </w:t>
            </w:r>
            <w:r>
              <w:rPr>
                <w:color w:val="000000"/>
                <w:sz w:val="20"/>
              </w:rPr>
              <w:t>zlučiteľnosti</w:t>
            </w:r>
            <w:r>
              <w:rPr>
                <w:color w:val="000000"/>
                <w:spacing w:val="-11"/>
                <w:sz w:val="20"/>
              </w:rPr>
              <w:t xml:space="preserve"> </w:t>
            </w:r>
            <w:r>
              <w:rPr>
                <w:color w:val="000000"/>
                <w:sz w:val="20"/>
              </w:rPr>
              <w:t>navrhovaného</w:t>
            </w:r>
            <w:r>
              <w:rPr>
                <w:color w:val="000000"/>
                <w:spacing w:val="-11"/>
                <w:sz w:val="20"/>
              </w:rPr>
              <w:t xml:space="preserve"> </w:t>
            </w:r>
            <w:r>
              <w:rPr>
                <w:color w:val="000000"/>
                <w:sz w:val="20"/>
              </w:rPr>
              <w:t>mechanizmu</w:t>
            </w:r>
            <w:r>
              <w:rPr>
                <w:color w:val="000000"/>
                <w:spacing w:val="-11"/>
                <w:sz w:val="20"/>
              </w:rPr>
              <w:t xml:space="preserve"> </w:t>
            </w:r>
            <w:r>
              <w:rPr>
                <w:color w:val="000000"/>
                <w:sz w:val="20"/>
              </w:rPr>
              <w:t>s</w:t>
            </w:r>
            <w:r>
              <w:rPr>
                <w:color w:val="000000"/>
                <w:spacing w:val="-11"/>
                <w:sz w:val="20"/>
              </w:rPr>
              <w:t xml:space="preserve"> </w:t>
            </w:r>
            <w:r>
              <w:rPr>
                <w:color w:val="000000"/>
                <w:sz w:val="20"/>
              </w:rPr>
              <w:t>existujúcimi</w:t>
            </w:r>
            <w:r>
              <w:rPr>
                <w:color w:val="000000"/>
                <w:spacing w:val="-11"/>
                <w:sz w:val="20"/>
              </w:rPr>
              <w:t xml:space="preserve"> </w:t>
            </w:r>
            <w:r>
              <w:rPr>
                <w:color w:val="000000"/>
                <w:sz w:val="20"/>
              </w:rPr>
              <w:t>zmluvami,</w:t>
            </w:r>
            <w:r>
              <w:rPr>
                <w:color w:val="000000"/>
                <w:spacing w:val="-11"/>
                <w:sz w:val="20"/>
              </w:rPr>
              <w:t xml:space="preserve"> </w:t>
            </w:r>
            <w:r>
              <w:rPr>
                <w:color w:val="000000"/>
                <w:sz w:val="20"/>
              </w:rPr>
              <w:t>najmä s článkom</w:t>
            </w:r>
            <w:r>
              <w:rPr>
                <w:color w:val="000000"/>
                <w:spacing w:val="-2"/>
                <w:sz w:val="20"/>
              </w:rPr>
              <w:t xml:space="preserve"> </w:t>
            </w:r>
            <w:r>
              <w:rPr>
                <w:color w:val="000000"/>
                <w:sz w:val="20"/>
              </w:rPr>
              <w:t>7</w:t>
            </w:r>
            <w:r>
              <w:rPr>
                <w:color w:val="000000"/>
                <w:spacing w:val="-2"/>
                <w:sz w:val="20"/>
              </w:rPr>
              <w:t xml:space="preserve"> </w:t>
            </w:r>
            <w:r>
              <w:rPr>
                <w:color w:val="000000"/>
                <w:sz w:val="20"/>
              </w:rPr>
              <w:t>ZEÚ.</w:t>
            </w:r>
            <w:r>
              <w:rPr>
                <w:color w:val="000000"/>
                <w:spacing w:val="-2"/>
                <w:sz w:val="20"/>
              </w:rPr>
              <w:t xml:space="preserve"> </w:t>
            </w:r>
            <w:r>
              <w:rPr>
                <w:color w:val="000000"/>
                <w:sz w:val="20"/>
              </w:rPr>
              <w:t>Rovnako</w:t>
            </w:r>
            <w:r>
              <w:rPr>
                <w:color w:val="000000"/>
                <w:spacing w:val="-2"/>
                <w:sz w:val="20"/>
              </w:rPr>
              <w:t xml:space="preserve"> </w:t>
            </w:r>
            <w:r>
              <w:rPr>
                <w:color w:val="000000"/>
                <w:sz w:val="20"/>
              </w:rPr>
              <w:t>je</w:t>
            </w:r>
            <w:r>
              <w:rPr>
                <w:color w:val="000000"/>
                <w:spacing w:val="-2"/>
                <w:sz w:val="20"/>
              </w:rPr>
              <w:t xml:space="preserve"> </w:t>
            </w:r>
            <w:r>
              <w:rPr>
                <w:color w:val="000000"/>
                <w:sz w:val="20"/>
              </w:rPr>
              <w:t>dôležité,</w:t>
            </w:r>
            <w:r>
              <w:rPr>
                <w:color w:val="000000"/>
                <w:spacing w:val="-2"/>
                <w:sz w:val="20"/>
              </w:rPr>
              <w:t xml:space="preserve"> </w:t>
            </w:r>
            <w:r>
              <w:rPr>
                <w:color w:val="000000"/>
                <w:sz w:val="20"/>
              </w:rPr>
              <w:t>aby</w:t>
            </w:r>
            <w:r>
              <w:rPr>
                <w:color w:val="000000"/>
                <w:spacing w:val="-2"/>
                <w:sz w:val="20"/>
              </w:rPr>
              <w:t xml:space="preserve"> </w:t>
            </w:r>
            <w:r>
              <w:rPr>
                <w:color w:val="000000"/>
                <w:sz w:val="20"/>
              </w:rPr>
              <w:t>návrh</w:t>
            </w:r>
            <w:r>
              <w:rPr>
                <w:color w:val="000000"/>
                <w:spacing w:val="-2"/>
                <w:sz w:val="20"/>
              </w:rPr>
              <w:t xml:space="preserve"> </w:t>
            </w:r>
            <w:r>
              <w:rPr>
                <w:color w:val="000000"/>
                <w:sz w:val="20"/>
              </w:rPr>
              <w:t>obsahoval</w:t>
            </w:r>
            <w:r>
              <w:rPr>
                <w:color w:val="000000"/>
                <w:spacing w:val="-2"/>
                <w:sz w:val="20"/>
              </w:rPr>
              <w:t xml:space="preserve"> </w:t>
            </w:r>
            <w:r>
              <w:rPr>
                <w:color w:val="000000"/>
                <w:sz w:val="20"/>
              </w:rPr>
              <w:t>jasné,</w:t>
            </w:r>
            <w:r>
              <w:rPr>
                <w:color w:val="000000"/>
                <w:spacing w:val="-2"/>
                <w:sz w:val="20"/>
              </w:rPr>
              <w:t xml:space="preserve"> </w:t>
            </w:r>
            <w:r>
              <w:rPr>
                <w:color w:val="000000"/>
                <w:sz w:val="20"/>
              </w:rPr>
              <w:t>presné a úplné kritériá pri posudzovaní dodržiavania zásady právneho štátu.</w:t>
            </w:r>
          </w:p>
        </w:tc>
      </w:tr>
      <w:tr w:rsidR="003B0BA2" w:rsidTr="00687C5F">
        <w:trPr>
          <w:cantSplit/>
        </w:trPr>
        <w:tc>
          <w:tcPr>
            <w:tcW w:w="652" w:type="dxa"/>
            <w:tcBorders>
              <w:right w:val="nil"/>
            </w:tcBorders>
            <w:shd w:val="clear" w:color="auto" w:fill="auto"/>
            <w:tcMar>
              <w:top w:w="85" w:type="dxa"/>
              <w:left w:w="85" w:type="dxa"/>
              <w:bottom w:w="85" w:type="dxa"/>
            </w:tcMar>
          </w:tcPr>
          <w:p w:rsidR="003B0BA2" w:rsidRDefault="003B0BA2" w:rsidP="003B0BA2">
            <w:pPr>
              <w:pStyle w:val="Odsekzoznamu"/>
              <w:numPr>
                <w:ilvl w:val="0"/>
                <w:numId w:val="20"/>
              </w:numPr>
              <w:spacing w:after="0"/>
              <w:ind w:left="426"/>
              <w:rPr>
                <w:b/>
                <w:noProof/>
                <w:sz w:val="20"/>
              </w:rPr>
            </w:pPr>
          </w:p>
        </w:tc>
        <w:tc>
          <w:tcPr>
            <w:tcW w:w="4588" w:type="dxa"/>
            <w:shd w:val="clear" w:color="auto" w:fill="EEECE1" w:themeFill="background2"/>
            <w:tcMar>
              <w:top w:w="85" w:type="dxa"/>
              <w:left w:w="85" w:type="dxa"/>
              <w:bottom w:w="85" w:type="dxa"/>
            </w:tcMar>
          </w:tcPr>
          <w:p w:rsidR="003B0BA2" w:rsidRDefault="003B0BA2" w:rsidP="003B0BA2">
            <w:pPr>
              <w:spacing w:after="0"/>
              <w:rPr>
                <w:noProof/>
                <w:sz w:val="20"/>
              </w:rPr>
            </w:pPr>
            <w:r>
              <w:rPr>
                <w:noProof/>
                <w:sz w:val="20"/>
              </w:rPr>
              <w:t>Návrh NARIADENIE EURÓPSKEHO PARLAMENTU A RADY, ktorým sa zriaďuje program Práva a hodnoty</w:t>
            </w:r>
          </w:p>
        </w:tc>
        <w:tc>
          <w:tcPr>
            <w:tcW w:w="1985" w:type="dxa"/>
            <w:tcMar>
              <w:top w:w="85" w:type="dxa"/>
              <w:left w:w="85" w:type="dxa"/>
              <w:bottom w:w="85" w:type="dxa"/>
            </w:tcMar>
          </w:tcPr>
          <w:p w:rsidR="003B0BA2" w:rsidRDefault="003B0BA2" w:rsidP="003B0BA2">
            <w:pPr>
              <w:spacing w:after="0"/>
              <w:jc w:val="left"/>
              <w:rPr>
                <w:noProof/>
                <w:sz w:val="20"/>
              </w:rPr>
            </w:pPr>
            <w:r>
              <w:rPr>
                <w:noProof/>
                <w:sz w:val="20"/>
              </w:rPr>
              <w:t>COM(2018) 383 final.</w:t>
            </w:r>
            <w:r>
              <w:rPr>
                <w:noProof/>
                <w:sz w:val="20"/>
              </w:rPr>
              <w:br/>
              <w:t>2018/0207 (COD)</w:t>
            </w:r>
            <w:r>
              <w:rPr>
                <w:noProof/>
                <w:sz w:val="20"/>
              </w:rPr>
              <w:br/>
              <w:t>30. 5. 2018</w:t>
            </w:r>
          </w:p>
        </w:tc>
        <w:tc>
          <w:tcPr>
            <w:tcW w:w="1417" w:type="dxa"/>
          </w:tcPr>
          <w:p w:rsidR="003B0BA2" w:rsidRPr="00DD1577" w:rsidRDefault="003B0BA2" w:rsidP="003B0BA2">
            <w:pPr>
              <w:spacing w:after="0"/>
              <w:jc w:val="center"/>
              <w:rPr>
                <w:b/>
                <w:noProof/>
                <w:sz w:val="20"/>
              </w:rPr>
            </w:pPr>
            <w:r w:rsidRPr="00DD1577">
              <w:rPr>
                <w:b/>
                <w:noProof/>
                <w:sz w:val="20"/>
              </w:rPr>
              <w:t>MS SR</w:t>
            </w:r>
          </w:p>
        </w:tc>
        <w:tc>
          <w:tcPr>
            <w:tcW w:w="6095" w:type="dxa"/>
          </w:tcPr>
          <w:p w:rsidR="003B0BA2" w:rsidRPr="00DD1577" w:rsidRDefault="003B0BA2" w:rsidP="003B0BA2">
            <w:pPr>
              <w:spacing w:after="0"/>
              <w:jc w:val="left"/>
              <w:rPr>
                <w:b/>
                <w:sz w:val="20"/>
              </w:rPr>
            </w:pPr>
            <w:r w:rsidRPr="00DD1577">
              <w:rPr>
                <w:b/>
                <w:sz w:val="20"/>
                <w:u w:val="single"/>
              </w:rPr>
              <w:t>Stredná priorita</w:t>
            </w:r>
            <w:r>
              <w:rPr>
                <w:sz w:val="20"/>
              </w:rPr>
              <w:t xml:space="preserve"> - SR podporuje ciele návrhu.</w:t>
            </w:r>
          </w:p>
        </w:tc>
      </w:tr>
      <w:tr w:rsidR="003B0BA2" w:rsidTr="00687C5F">
        <w:trPr>
          <w:cantSplit/>
        </w:trPr>
        <w:tc>
          <w:tcPr>
            <w:tcW w:w="652" w:type="dxa"/>
            <w:tcBorders>
              <w:right w:val="nil"/>
            </w:tcBorders>
            <w:shd w:val="clear" w:color="auto" w:fill="auto"/>
            <w:tcMar>
              <w:top w:w="85" w:type="dxa"/>
              <w:left w:w="85" w:type="dxa"/>
              <w:bottom w:w="85" w:type="dxa"/>
            </w:tcMar>
          </w:tcPr>
          <w:p w:rsidR="003B0BA2" w:rsidRDefault="003B0BA2" w:rsidP="003B0BA2">
            <w:pPr>
              <w:pStyle w:val="Odsekzoznamu"/>
              <w:numPr>
                <w:ilvl w:val="0"/>
                <w:numId w:val="20"/>
              </w:numPr>
              <w:spacing w:after="0"/>
              <w:ind w:left="426"/>
              <w:rPr>
                <w:b/>
                <w:noProof/>
                <w:sz w:val="20"/>
              </w:rPr>
            </w:pPr>
          </w:p>
        </w:tc>
        <w:tc>
          <w:tcPr>
            <w:tcW w:w="4588" w:type="dxa"/>
            <w:shd w:val="clear" w:color="auto" w:fill="EEECE1" w:themeFill="background2"/>
            <w:tcMar>
              <w:top w:w="85" w:type="dxa"/>
              <w:left w:w="85" w:type="dxa"/>
              <w:bottom w:w="85" w:type="dxa"/>
            </w:tcMar>
          </w:tcPr>
          <w:p w:rsidR="003B0BA2" w:rsidRDefault="003B0BA2" w:rsidP="003B0BA2">
            <w:pPr>
              <w:spacing w:after="0"/>
              <w:rPr>
                <w:noProof/>
                <w:sz w:val="20"/>
              </w:rPr>
            </w:pPr>
            <w:r>
              <w:rPr>
                <w:noProof/>
                <w:sz w:val="20"/>
              </w:rPr>
              <w:t>Návrh NARIADENIE EURÓPSKEHO PARLAMENTU A RADY, ktorým sa zriaďuje program Spravodlivosť</w:t>
            </w:r>
          </w:p>
        </w:tc>
        <w:tc>
          <w:tcPr>
            <w:tcW w:w="1985" w:type="dxa"/>
            <w:tcMar>
              <w:top w:w="85" w:type="dxa"/>
              <w:left w:w="85" w:type="dxa"/>
              <w:bottom w:w="85" w:type="dxa"/>
            </w:tcMar>
          </w:tcPr>
          <w:p w:rsidR="003B0BA2" w:rsidRDefault="003B0BA2" w:rsidP="003B0BA2">
            <w:pPr>
              <w:spacing w:after="0"/>
              <w:jc w:val="left"/>
              <w:rPr>
                <w:noProof/>
                <w:sz w:val="20"/>
              </w:rPr>
            </w:pPr>
            <w:r>
              <w:rPr>
                <w:noProof/>
                <w:sz w:val="20"/>
              </w:rPr>
              <w:t>COM(2018) 384 final.</w:t>
            </w:r>
            <w:r>
              <w:rPr>
                <w:noProof/>
                <w:sz w:val="20"/>
              </w:rPr>
              <w:br/>
              <w:t>2018/0208 (COD)</w:t>
            </w:r>
            <w:r>
              <w:rPr>
                <w:noProof/>
                <w:sz w:val="20"/>
              </w:rPr>
              <w:br/>
              <w:t>30. 5. 2018</w:t>
            </w:r>
          </w:p>
        </w:tc>
        <w:tc>
          <w:tcPr>
            <w:tcW w:w="1417" w:type="dxa"/>
          </w:tcPr>
          <w:p w:rsidR="003B0BA2" w:rsidRPr="00DD1577" w:rsidRDefault="003B0BA2" w:rsidP="003B0BA2">
            <w:pPr>
              <w:spacing w:after="0"/>
              <w:jc w:val="center"/>
              <w:rPr>
                <w:b/>
                <w:noProof/>
                <w:sz w:val="20"/>
              </w:rPr>
            </w:pPr>
            <w:r w:rsidRPr="00DD1577">
              <w:rPr>
                <w:b/>
                <w:noProof/>
                <w:sz w:val="20"/>
              </w:rPr>
              <w:t>MS SR</w:t>
            </w:r>
          </w:p>
        </w:tc>
        <w:tc>
          <w:tcPr>
            <w:tcW w:w="6095" w:type="dxa"/>
          </w:tcPr>
          <w:p w:rsidR="003B0BA2" w:rsidRDefault="003B0BA2" w:rsidP="003B0BA2">
            <w:pPr>
              <w:spacing w:after="0"/>
              <w:jc w:val="left"/>
              <w:rPr>
                <w:noProof/>
                <w:sz w:val="20"/>
              </w:rPr>
            </w:pPr>
            <w:r w:rsidRPr="00DD1577">
              <w:rPr>
                <w:b/>
                <w:sz w:val="20"/>
                <w:u w:val="single"/>
              </w:rPr>
              <w:t>Stredná priorita</w:t>
            </w:r>
            <w:r>
              <w:rPr>
                <w:sz w:val="20"/>
              </w:rPr>
              <w:t xml:space="preserve"> - SR podporuje ciele návrhu.</w:t>
            </w:r>
          </w:p>
        </w:tc>
      </w:tr>
    </w:tbl>
    <w:p w:rsidR="00E87849" w:rsidRDefault="00E87849" w:rsidP="005A0B42">
      <w:pPr>
        <w:spacing w:after="0"/>
        <w:rPr>
          <w:noProof/>
        </w:rPr>
      </w:pPr>
    </w:p>
    <w:p w:rsidR="00687C5F" w:rsidRDefault="00687C5F" w:rsidP="005A0B42">
      <w:pPr>
        <w:spacing w:after="0"/>
        <w:rPr>
          <w:noProof/>
        </w:rPr>
      </w:pPr>
    </w:p>
    <w:p w:rsidR="00687C5F" w:rsidRDefault="00687C5F" w:rsidP="005A0B42">
      <w:pPr>
        <w:spacing w:after="0"/>
        <w:rPr>
          <w:noProof/>
        </w:rPr>
      </w:pPr>
    </w:p>
    <w:p w:rsidR="00687C5F" w:rsidRDefault="00687C5F" w:rsidP="005A0B42">
      <w:pPr>
        <w:spacing w:after="0"/>
        <w:rPr>
          <w:noProof/>
        </w:rPr>
      </w:pPr>
    </w:p>
    <w:p w:rsidR="00687C5F" w:rsidRDefault="00687C5F" w:rsidP="005A0B42">
      <w:pPr>
        <w:spacing w:after="0"/>
        <w:rPr>
          <w:noProof/>
        </w:rPr>
      </w:pPr>
    </w:p>
    <w:p w:rsidR="00687C5F" w:rsidRDefault="00687C5F" w:rsidP="005A0B42">
      <w:pPr>
        <w:spacing w:after="0"/>
        <w:rPr>
          <w:noProof/>
        </w:rPr>
      </w:pPr>
    </w:p>
    <w:p w:rsidR="00C65B36" w:rsidRDefault="00C65B36" w:rsidP="005A0B42">
      <w:pPr>
        <w:spacing w:after="0"/>
        <w:rPr>
          <w:noProof/>
        </w:rPr>
      </w:pPr>
    </w:p>
    <w:p w:rsidR="00C65B36" w:rsidRDefault="00C65B36" w:rsidP="005A0B42">
      <w:pPr>
        <w:spacing w:after="0"/>
        <w:rPr>
          <w:noProof/>
        </w:rPr>
      </w:pPr>
    </w:p>
    <w:p w:rsidR="00C65B36" w:rsidRDefault="00C65B36" w:rsidP="005A0B42">
      <w:pPr>
        <w:spacing w:after="0"/>
        <w:rPr>
          <w:noProof/>
        </w:rPr>
      </w:pPr>
    </w:p>
    <w:p w:rsidR="00C65B36" w:rsidRDefault="00C65B36" w:rsidP="005A0B42">
      <w:pPr>
        <w:spacing w:after="0"/>
        <w:rPr>
          <w:noProof/>
        </w:rPr>
      </w:pPr>
    </w:p>
    <w:p w:rsidR="00C65B36" w:rsidRDefault="00C65B36" w:rsidP="005A0B42">
      <w:pPr>
        <w:spacing w:after="0"/>
        <w:rPr>
          <w:noProof/>
        </w:rPr>
      </w:pPr>
    </w:p>
    <w:p w:rsidR="00C65B36" w:rsidRDefault="00C65B36" w:rsidP="005A0B42">
      <w:pPr>
        <w:spacing w:after="0"/>
        <w:rPr>
          <w:noProof/>
        </w:rPr>
      </w:pPr>
    </w:p>
    <w:p w:rsidR="00C65B36" w:rsidRDefault="00C65B36" w:rsidP="005A0B42">
      <w:pPr>
        <w:spacing w:after="0"/>
        <w:rPr>
          <w:noProof/>
        </w:rPr>
      </w:pPr>
    </w:p>
    <w:p w:rsidR="00C65B36" w:rsidRDefault="00C65B36" w:rsidP="005A0B42">
      <w:pPr>
        <w:spacing w:after="0"/>
        <w:rPr>
          <w:noProof/>
        </w:rPr>
      </w:pPr>
    </w:p>
    <w:p w:rsidR="00C65B36" w:rsidRDefault="00C65B36" w:rsidP="005A0B42">
      <w:pPr>
        <w:spacing w:after="0"/>
        <w:rPr>
          <w:noProof/>
        </w:rPr>
      </w:pPr>
    </w:p>
    <w:p w:rsidR="00C65B36" w:rsidRDefault="00C65B36" w:rsidP="005A0B42">
      <w:pPr>
        <w:spacing w:after="0"/>
        <w:rPr>
          <w:noProof/>
        </w:rPr>
      </w:pPr>
    </w:p>
    <w:p w:rsidR="00C65B36" w:rsidRDefault="00C65B36" w:rsidP="005A0B42">
      <w:pPr>
        <w:spacing w:after="0"/>
        <w:rPr>
          <w:noProof/>
        </w:rPr>
      </w:pPr>
    </w:p>
    <w:p w:rsidR="00C65B36" w:rsidRDefault="00C65B36" w:rsidP="005A0B42">
      <w:pPr>
        <w:spacing w:after="0"/>
        <w:rPr>
          <w:noProof/>
        </w:rPr>
      </w:pPr>
    </w:p>
    <w:p w:rsidR="00C65B36" w:rsidRDefault="00C65B36" w:rsidP="005A0B42">
      <w:pPr>
        <w:spacing w:after="0"/>
        <w:rPr>
          <w:noProof/>
        </w:rPr>
      </w:pPr>
    </w:p>
    <w:p w:rsidR="00C65B36" w:rsidRDefault="00C65B36" w:rsidP="005A0B42">
      <w:pPr>
        <w:spacing w:after="0"/>
        <w:rPr>
          <w:noProof/>
        </w:rPr>
      </w:pPr>
    </w:p>
    <w:p w:rsidR="00C65B36" w:rsidRDefault="00C65B36" w:rsidP="005A0B42">
      <w:pPr>
        <w:spacing w:after="0"/>
        <w:rPr>
          <w:noProof/>
        </w:rPr>
      </w:pPr>
    </w:p>
    <w:p w:rsidR="00C65B36" w:rsidRDefault="00C65B36" w:rsidP="005A0B42">
      <w:pPr>
        <w:spacing w:after="0"/>
        <w:rPr>
          <w:noProof/>
        </w:rPr>
      </w:pPr>
    </w:p>
    <w:p w:rsidR="00C65B36" w:rsidRDefault="00C65B36" w:rsidP="005A0B42">
      <w:pPr>
        <w:spacing w:after="0"/>
        <w:rPr>
          <w:noProof/>
        </w:rPr>
      </w:pPr>
    </w:p>
    <w:p w:rsidR="00C65B36" w:rsidRDefault="00C65B36" w:rsidP="005A0B42">
      <w:pPr>
        <w:spacing w:after="0"/>
        <w:rPr>
          <w:noProof/>
        </w:rPr>
      </w:pPr>
    </w:p>
    <w:p w:rsidR="00687C5F" w:rsidRDefault="00687C5F" w:rsidP="005A0B42">
      <w:pPr>
        <w:spacing w:after="0"/>
        <w:rPr>
          <w:noProof/>
        </w:rPr>
      </w:pPr>
    </w:p>
    <w:p w:rsidR="00687C5F" w:rsidRDefault="00687C5F" w:rsidP="005A0B42">
      <w:pPr>
        <w:spacing w:after="0"/>
        <w:rPr>
          <w:noProof/>
        </w:rPr>
      </w:pPr>
    </w:p>
    <w:p w:rsidR="00687C5F" w:rsidRDefault="00687C5F" w:rsidP="005A0B42">
      <w:pPr>
        <w:spacing w:after="0"/>
        <w:rPr>
          <w:noProof/>
        </w:rPr>
      </w:pPr>
    </w:p>
    <w:p w:rsidR="00737F57" w:rsidRDefault="00B675B3" w:rsidP="005A0B42">
      <w:pPr>
        <w:spacing w:after="0"/>
        <w:rPr>
          <w:b/>
          <w:noProof/>
          <w:sz w:val="28"/>
          <w:szCs w:val="28"/>
          <w:u w:val="single"/>
        </w:rPr>
      </w:pPr>
      <w:r>
        <w:rPr>
          <w:noProof/>
        </w:rPr>
        <w:br w:type="textWrapping" w:clear="all"/>
      </w:r>
      <w:r>
        <w:rPr>
          <w:b/>
          <w:bCs/>
          <w:noProof/>
          <w:sz w:val="28"/>
          <w:szCs w:val="28"/>
          <w:u w:val="single"/>
        </w:rPr>
        <w:t>Príloha IV: Späťvzaté právne predpisy</w:t>
      </w:r>
      <w:r>
        <w:rPr>
          <w:rStyle w:val="Odkaznapoznmkupodiarou"/>
          <w:b/>
          <w:bCs/>
          <w:noProof/>
          <w:sz w:val="28"/>
          <w:szCs w:val="28"/>
          <w:u w:val="single"/>
        </w:rPr>
        <w:footnoteReference w:id="4"/>
      </w:r>
    </w:p>
    <w:tbl>
      <w:tblPr>
        <w:tblStyle w:val="Mriekatabuky"/>
        <w:tblW w:w="14738" w:type="dxa"/>
        <w:tblLayout w:type="fixed"/>
        <w:tblCellMar>
          <w:top w:w="57" w:type="dxa"/>
          <w:left w:w="85" w:type="dxa"/>
          <w:bottom w:w="57" w:type="dxa"/>
          <w:right w:w="85" w:type="dxa"/>
        </w:tblCellMar>
        <w:tblLook w:val="04A0" w:firstRow="1" w:lastRow="0" w:firstColumn="1" w:lastColumn="0" w:noHBand="0" w:noVBand="1"/>
      </w:tblPr>
      <w:tblGrid>
        <w:gridCol w:w="511"/>
        <w:gridCol w:w="1752"/>
        <w:gridCol w:w="4253"/>
        <w:gridCol w:w="3544"/>
        <w:gridCol w:w="1275"/>
        <w:gridCol w:w="3403"/>
      </w:tblGrid>
      <w:tr w:rsidR="003227AF" w:rsidTr="009D7E3B">
        <w:trPr>
          <w:cantSplit/>
          <w:tblHeader/>
        </w:trPr>
        <w:tc>
          <w:tcPr>
            <w:tcW w:w="511" w:type="dxa"/>
            <w:tcBorders>
              <w:top w:val="single" w:sz="4" w:space="0" w:color="auto"/>
              <w:left w:val="single" w:sz="4" w:space="0" w:color="auto"/>
              <w:bottom w:val="single" w:sz="4" w:space="0" w:color="auto"/>
              <w:right w:val="nil"/>
            </w:tcBorders>
            <w:shd w:val="clear" w:color="auto" w:fill="99CCFF"/>
            <w:tcMar>
              <w:top w:w="85" w:type="dxa"/>
              <w:bottom w:w="85" w:type="dxa"/>
              <w:right w:w="85" w:type="dxa"/>
            </w:tcMar>
          </w:tcPr>
          <w:p w:rsidR="003227AF" w:rsidRDefault="003227AF" w:rsidP="003227AF">
            <w:pPr>
              <w:spacing w:before="60" w:after="60"/>
              <w:rPr>
                <w:b/>
                <w:bCs/>
                <w:noProof/>
                <w:sz w:val="20"/>
              </w:rPr>
            </w:pPr>
            <w:r>
              <w:rPr>
                <w:b/>
                <w:bCs/>
                <w:noProof/>
                <w:sz w:val="20"/>
              </w:rPr>
              <w:t>Č.</w:t>
            </w:r>
          </w:p>
        </w:tc>
        <w:tc>
          <w:tcPr>
            <w:tcW w:w="1752" w:type="dxa"/>
            <w:tcBorders>
              <w:top w:val="single" w:sz="4" w:space="0" w:color="auto"/>
              <w:left w:val="single" w:sz="4" w:space="0" w:color="auto"/>
              <w:bottom w:val="single" w:sz="4" w:space="0" w:color="auto"/>
              <w:right w:val="single" w:sz="4" w:space="0" w:color="auto"/>
            </w:tcBorders>
            <w:shd w:val="clear" w:color="auto" w:fill="99CCFF"/>
            <w:tcMar>
              <w:top w:w="85" w:type="dxa"/>
              <w:bottom w:w="85" w:type="dxa"/>
              <w:right w:w="85" w:type="dxa"/>
            </w:tcMar>
          </w:tcPr>
          <w:p w:rsidR="003227AF" w:rsidRDefault="003227AF" w:rsidP="003227AF">
            <w:pPr>
              <w:spacing w:before="60" w:after="60"/>
              <w:jc w:val="center"/>
              <w:rPr>
                <w:b/>
                <w:bCs/>
                <w:noProof/>
                <w:sz w:val="20"/>
              </w:rPr>
            </w:pPr>
            <w:r>
              <w:rPr>
                <w:b/>
                <w:bCs/>
                <w:noProof/>
                <w:sz w:val="20"/>
              </w:rPr>
              <w:t>Odkazy</w:t>
            </w:r>
          </w:p>
        </w:tc>
        <w:tc>
          <w:tcPr>
            <w:tcW w:w="4253" w:type="dxa"/>
            <w:tcBorders>
              <w:top w:val="single" w:sz="4" w:space="0" w:color="auto"/>
              <w:left w:val="single" w:sz="4" w:space="0" w:color="auto"/>
              <w:bottom w:val="single" w:sz="4" w:space="0" w:color="auto"/>
              <w:right w:val="single" w:sz="4" w:space="0" w:color="auto"/>
            </w:tcBorders>
            <w:shd w:val="clear" w:color="auto" w:fill="99CCFF"/>
            <w:tcMar>
              <w:top w:w="85" w:type="dxa"/>
              <w:bottom w:w="85" w:type="dxa"/>
              <w:right w:w="85" w:type="dxa"/>
            </w:tcMar>
          </w:tcPr>
          <w:p w:rsidR="003227AF" w:rsidRDefault="003227AF" w:rsidP="003227AF">
            <w:pPr>
              <w:spacing w:before="60" w:after="60"/>
              <w:jc w:val="center"/>
              <w:rPr>
                <w:b/>
                <w:bCs/>
                <w:noProof/>
                <w:sz w:val="20"/>
              </w:rPr>
            </w:pPr>
            <w:r>
              <w:rPr>
                <w:b/>
                <w:bCs/>
                <w:noProof/>
                <w:sz w:val="20"/>
              </w:rPr>
              <w:t>Názov</w:t>
            </w:r>
          </w:p>
        </w:tc>
        <w:tc>
          <w:tcPr>
            <w:tcW w:w="3544" w:type="dxa"/>
            <w:tcBorders>
              <w:top w:val="single" w:sz="4" w:space="0" w:color="auto"/>
              <w:left w:val="single" w:sz="4" w:space="0" w:color="auto"/>
              <w:bottom w:val="single" w:sz="4" w:space="0" w:color="auto"/>
              <w:right w:val="single" w:sz="4" w:space="0" w:color="auto"/>
            </w:tcBorders>
            <w:shd w:val="clear" w:color="auto" w:fill="99CCFF"/>
            <w:tcMar>
              <w:top w:w="85" w:type="dxa"/>
              <w:bottom w:w="85" w:type="dxa"/>
              <w:right w:w="85" w:type="dxa"/>
            </w:tcMar>
          </w:tcPr>
          <w:p w:rsidR="003227AF" w:rsidRDefault="003227AF" w:rsidP="003227AF">
            <w:pPr>
              <w:spacing w:before="60" w:after="60"/>
              <w:jc w:val="center"/>
              <w:rPr>
                <w:b/>
                <w:bCs/>
                <w:noProof/>
                <w:sz w:val="20"/>
              </w:rPr>
            </w:pPr>
            <w:r>
              <w:rPr>
                <w:b/>
                <w:bCs/>
                <w:noProof/>
                <w:sz w:val="20"/>
              </w:rPr>
              <w:t>Dôvod stiahnutia</w:t>
            </w:r>
          </w:p>
        </w:tc>
        <w:tc>
          <w:tcPr>
            <w:tcW w:w="1275" w:type="dxa"/>
            <w:tcBorders>
              <w:top w:val="single" w:sz="4" w:space="0" w:color="auto"/>
              <w:left w:val="single" w:sz="4" w:space="0" w:color="auto"/>
              <w:bottom w:val="single" w:sz="4" w:space="0" w:color="auto"/>
              <w:right w:val="single" w:sz="4" w:space="0" w:color="auto"/>
            </w:tcBorders>
            <w:shd w:val="clear" w:color="auto" w:fill="99CCFF"/>
          </w:tcPr>
          <w:p w:rsidR="003227AF" w:rsidRDefault="003227AF" w:rsidP="003227AF">
            <w:pPr>
              <w:keepNext/>
              <w:spacing w:after="0" w:line="276" w:lineRule="auto"/>
              <w:jc w:val="center"/>
              <w:rPr>
                <w:b/>
                <w:noProof/>
                <w:sz w:val="20"/>
              </w:rPr>
            </w:pPr>
            <w:r>
              <w:rPr>
                <w:b/>
                <w:noProof/>
                <w:sz w:val="20"/>
              </w:rPr>
              <w:t>Gestor</w:t>
            </w:r>
          </w:p>
        </w:tc>
        <w:tc>
          <w:tcPr>
            <w:tcW w:w="3403" w:type="dxa"/>
            <w:tcBorders>
              <w:top w:val="single" w:sz="4" w:space="0" w:color="auto"/>
              <w:left w:val="single" w:sz="4" w:space="0" w:color="auto"/>
              <w:bottom w:val="single" w:sz="4" w:space="0" w:color="auto"/>
              <w:right w:val="single" w:sz="4" w:space="0" w:color="auto"/>
            </w:tcBorders>
            <w:shd w:val="clear" w:color="auto" w:fill="99CCFF"/>
          </w:tcPr>
          <w:p w:rsidR="003227AF" w:rsidRDefault="003227AF" w:rsidP="003227AF">
            <w:pPr>
              <w:keepNext/>
              <w:spacing w:after="0" w:line="276" w:lineRule="auto"/>
              <w:jc w:val="center"/>
              <w:rPr>
                <w:b/>
                <w:noProof/>
                <w:sz w:val="20"/>
              </w:rPr>
            </w:pPr>
            <w:r w:rsidRPr="003227AF">
              <w:rPr>
                <w:b/>
                <w:bCs/>
                <w:noProof/>
                <w:sz w:val="20"/>
              </w:rPr>
              <w:t>Stupeň priority a pozíciu SR</w:t>
            </w:r>
          </w:p>
        </w:tc>
      </w:tr>
      <w:tr w:rsidR="003227AF" w:rsidTr="009D7E3B">
        <w:trPr>
          <w:cantSplit/>
        </w:trPr>
        <w:tc>
          <w:tcPr>
            <w:tcW w:w="10060" w:type="dxa"/>
            <w:gridSpan w:val="4"/>
            <w:tcBorders>
              <w:top w:val="single" w:sz="4" w:space="0" w:color="auto"/>
              <w:left w:val="single" w:sz="4" w:space="0" w:color="auto"/>
              <w:bottom w:val="single" w:sz="4" w:space="0" w:color="auto"/>
            </w:tcBorders>
            <w:shd w:val="clear" w:color="auto" w:fill="9ACA3C" w:themeFill="accent1"/>
            <w:tcMar>
              <w:top w:w="85" w:type="dxa"/>
              <w:bottom w:w="85" w:type="dxa"/>
              <w:right w:w="85" w:type="dxa"/>
            </w:tcMar>
          </w:tcPr>
          <w:p w:rsidR="003227AF" w:rsidRDefault="003227AF" w:rsidP="003227AF">
            <w:pPr>
              <w:keepNext/>
              <w:spacing w:before="60" w:after="60"/>
              <w:rPr>
                <w:noProof/>
                <w:sz w:val="20"/>
              </w:rPr>
            </w:pPr>
            <w:r>
              <w:rPr>
                <w:b/>
                <w:bCs/>
                <w:noProof/>
                <w:color w:val="FFFFFF" w:themeColor="background1"/>
                <w:sz w:val="20"/>
              </w:rPr>
              <w:t>Európsky ekologický dohovor</w:t>
            </w:r>
          </w:p>
        </w:tc>
        <w:tc>
          <w:tcPr>
            <w:tcW w:w="1275" w:type="dxa"/>
            <w:tcBorders>
              <w:top w:val="single" w:sz="4" w:space="0" w:color="auto"/>
              <w:left w:val="single" w:sz="4" w:space="0" w:color="auto"/>
              <w:bottom w:val="single" w:sz="4" w:space="0" w:color="auto"/>
            </w:tcBorders>
            <w:shd w:val="clear" w:color="auto" w:fill="9ACA3C" w:themeFill="accent1"/>
          </w:tcPr>
          <w:p w:rsidR="003227AF" w:rsidRDefault="003227AF" w:rsidP="003227AF">
            <w:pPr>
              <w:keepNext/>
              <w:spacing w:before="60" w:after="60"/>
              <w:rPr>
                <w:b/>
                <w:bCs/>
                <w:noProof/>
                <w:color w:val="FFFFFF" w:themeColor="background1"/>
                <w:sz w:val="20"/>
              </w:rPr>
            </w:pPr>
          </w:p>
        </w:tc>
        <w:tc>
          <w:tcPr>
            <w:tcW w:w="3403" w:type="dxa"/>
            <w:tcBorders>
              <w:top w:val="single" w:sz="4" w:space="0" w:color="auto"/>
              <w:left w:val="single" w:sz="4" w:space="0" w:color="auto"/>
              <w:bottom w:val="single" w:sz="4" w:space="0" w:color="auto"/>
            </w:tcBorders>
            <w:shd w:val="clear" w:color="auto" w:fill="9ACA3C" w:themeFill="accent1"/>
          </w:tcPr>
          <w:p w:rsidR="003227AF" w:rsidRDefault="003227AF" w:rsidP="003227AF">
            <w:pPr>
              <w:keepNext/>
              <w:spacing w:before="60" w:after="60"/>
              <w:rPr>
                <w:b/>
                <w:bCs/>
                <w:noProof/>
                <w:color w:val="FFFFFF" w:themeColor="background1"/>
                <w:sz w:val="20"/>
              </w:rPr>
            </w:pPr>
          </w:p>
        </w:tc>
      </w:tr>
      <w:tr w:rsidR="003227AF" w:rsidTr="009D7E3B">
        <w:trPr>
          <w:cantSplit/>
        </w:trPr>
        <w:tc>
          <w:tcPr>
            <w:tcW w:w="511" w:type="dxa"/>
            <w:tcBorders>
              <w:right w:val="nil"/>
            </w:tcBorders>
            <w:shd w:val="clear" w:color="auto" w:fill="auto"/>
            <w:tcMar>
              <w:top w:w="85" w:type="dxa"/>
              <w:bottom w:w="85" w:type="dxa"/>
              <w:right w:w="108" w:type="dxa"/>
            </w:tcMar>
          </w:tcPr>
          <w:p w:rsidR="003227AF" w:rsidRDefault="003227AF" w:rsidP="003227AF">
            <w:pPr>
              <w:pStyle w:val="Odsekzoznamu"/>
              <w:numPr>
                <w:ilvl w:val="0"/>
                <w:numId w:val="21"/>
              </w:numPr>
              <w:spacing w:after="0"/>
              <w:ind w:left="426"/>
              <w:rPr>
                <w:noProof/>
                <w:sz w:val="20"/>
              </w:rPr>
            </w:pPr>
          </w:p>
        </w:tc>
        <w:tc>
          <w:tcPr>
            <w:tcW w:w="1752" w:type="dxa"/>
            <w:tcMar>
              <w:top w:w="85" w:type="dxa"/>
              <w:bottom w:w="85" w:type="dxa"/>
              <w:right w:w="108" w:type="dxa"/>
            </w:tcMar>
          </w:tcPr>
          <w:p w:rsidR="003227AF" w:rsidRDefault="003227AF" w:rsidP="003227AF">
            <w:pPr>
              <w:spacing w:after="0"/>
              <w:jc w:val="left"/>
              <w:rPr>
                <w:noProof/>
                <w:sz w:val="20"/>
              </w:rPr>
            </w:pPr>
            <w:r>
              <w:rPr>
                <w:noProof/>
                <w:sz w:val="20"/>
              </w:rPr>
              <w:t>COM(2017) 826 final.</w:t>
            </w:r>
          </w:p>
          <w:p w:rsidR="003227AF" w:rsidRDefault="003227AF" w:rsidP="003227AF">
            <w:pPr>
              <w:spacing w:after="0"/>
              <w:rPr>
                <w:noProof/>
                <w:sz w:val="20"/>
              </w:rPr>
            </w:pPr>
            <w:r>
              <w:rPr>
                <w:noProof/>
                <w:sz w:val="20"/>
              </w:rPr>
              <w:t>2017/0336 (COD)</w:t>
            </w:r>
          </w:p>
        </w:tc>
        <w:tc>
          <w:tcPr>
            <w:tcW w:w="4253" w:type="dxa"/>
            <w:shd w:val="clear" w:color="auto" w:fill="auto"/>
            <w:tcMar>
              <w:top w:w="85" w:type="dxa"/>
              <w:bottom w:w="85" w:type="dxa"/>
              <w:right w:w="108" w:type="dxa"/>
            </w:tcMar>
          </w:tcPr>
          <w:p w:rsidR="003227AF" w:rsidRDefault="003227AF" w:rsidP="003227AF">
            <w:pPr>
              <w:spacing w:after="0"/>
              <w:rPr>
                <w:noProof/>
                <w:sz w:val="20"/>
              </w:rPr>
            </w:pPr>
            <w:r>
              <w:rPr>
                <w:noProof/>
                <w:sz w:val="20"/>
              </w:rPr>
              <w:t>Návrh NARIADENIE EURÓPSKEHO PARLAMENTU A RADY, ktorým sa mení nariadenie Európskeho parlamentu a Rady (EÚ) č. 1303/2013 zo 17. decembra 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 pokiaľ ide o podporu štrukturálnych reforiem v členských štátoch</w:t>
            </w:r>
          </w:p>
        </w:tc>
        <w:tc>
          <w:tcPr>
            <w:tcW w:w="3544" w:type="dxa"/>
            <w:tcMar>
              <w:top w:w="85" w:type="dxa"/>
              <w:bottom w:w="85" w:type="dxa"/>
              <w:right w:w="108" w:type="dxa"/>
            </w:tcMar>
          </w:tcPr>
          <w:p w:rsidR="003227AF" w:rsidRDefault="003227AF" w:rsidP="003227AF">
            <w:pPr>
              <w:spacing w:after="0"/>
              <w:jc w:val="left"/>
              <w:rPr>
                <w:noProof/>
                <w:sz w:val="20"/>
              </w:rPr>
            </w:pPr>
            <w:r>
              <w:rPr>
                <w:noProof/>
                <w:sz w:val="20"/>
              </w:rPr>
              <w:t>Zastarané: návrh sa vzťahuje na rozpočtové obdobie 2014 – 2020 a v súčasnosti už nie je potrebný.</w:t>
            </w:r>
          </w:p>
        </w:tc>
        <w:tc>
          <w:tcPr>
            <w:tcW w:w="1275" w:type="dxa"/>
          </w:tcPr>
          <w:p w:rsidR="003227AF" w:rsidRPr="00FF586F" w:rsidRDefault="003227AF" w:rsidP="003227AF">
            <w:pPr>
              <w:spacing w:after="0"/>
              <w:ind w:left="4"/>
              <w:jc w:val="center"/>
              <w:rPr>
                <w:b/>
                <w:sz w:val="20"/>
              </w:rPr>
            </w:pPr>
            <w:r w:rsidRPr="00FF586F">
              <w:rPr>
                <w:b/>
                <w:sz w:val="20"/>
              </w:rPr>
              <w:t>ÚPVII</w:t>
            </w:r>
          </w:p>
          <w:p w:rsidR="003227AF" w:rsidRPr="0031398B" w:rsidRDefault="003227AF" w:rsidP="003227AF">
            <w:pPr>
              <w:spacing w:after="0"/>
              <w:ind w:left="4"/>
              <w:jc w:val="center"/>
              <w:rPr>
                <w:sz w:val="20"/>
              </w:rPr>
            </w:pPr>
            <w:r w:rsidRPr="00FF586F">
              <w:rPr>
                <w:b/>
                <w:sz w:val="20"/>
              </w:rPr>
              <w:t>MF SR</w:t>
            </w:r>
          </w:p>
        </w:tc>
        <w:tc>
          <w:tcPr>
            <w:tcW w:w="3403" w:type="dxa"/>
          </w:tcPr>
          <w:p w:rsidR="003227AF" w:rsidRPr="00FF586F" w:rsidRDefault="003227AF" w:rsidP="003227AF">
            <w:pPr>
              <w:spacing w:after="0"/>
              <w:ind w:left="4"/>
              <w:rPr>
                <w:sz w:val="20"/>
              </w:rPr>
            </w:pPr>
            <w:r w:rsidRPr="00FF586F">
              <w:rPr>
                <w:b/>
                <w:sz w:val="20"/>
                <w:u w:val="single"/>
              </w:rPr>
              <w:t>Nízka priorita</w:t>
            </w:r>
            <w:r>
              <w:rPr>
                <w:sz w:val="20"/>
              </w:rPr>
              <w:t xml:space="preserve"> </w:t>
            </w:r>
            <w:r w:rsidRPr="00FF586F">
              <w:rPr>
                <w:sz w:val="20"/>
              </w:rPr>
              <w:t>- Návrh tohto nariadenia EÚ bol predmetom rokovania na Pracovnej skupine Rady pre štrukturálne opatrenia (SMWP). ÚPVII vypracovalo predbežné stanovisko SR k tomuto návrhu nariadenia EÚ s nižšou dôležitosťou.</w:t>
            </w:r>
          </w:p>
        </w:tc>
      </w:tr>
      <w:tr w:rsidR="003227AF" w:rsidTr="009D7E3B">
        <w:trPr>
          <w:cantSplit/>
        </w:trPr>
        <w:tc>
          <w:tcPr>
            <w:tcW w:w="511" w:type="dxa"/>
            <w:tcBorders>
              <w:right w:val="nil"/>
            </w:tcBorders>
            <w:shd w:val="clear" w:color="auto" w:fill="auto"/>
            <w:tcMar>
              <w:top w:w="85" w:type="dxa"/>
              <w:bottom w:w="85" w:type="dxa"/>
              <w:right w:w="108" w:type="dxa"/>
            </w:tcMar>
          </w:tcPr>
          <w:p w:rsidR="003227AF" w:rsidRDefault="003227AF" w:rsidP="003227AF">
            <w:pPr>
              <w:pStyle w:val="Odsekzoznamu"/>
              <w:numPr>
                <w:ilvl w:val="0"/>
                <w:numId w:val="21"/>
              </w:numPr>
              <w:spacing w:after="0"/>
              <w:ind w:left="426"/>
              <w:rPr>
                <w:noProof/>
                <w:sz w:val="20"/>
              </w:rPr>
            </w:pPr>
          </w:p>
        </w:tc>
        <w:tc>
          <w:tcPr>
            <w:tcW w:w="1752" w:type="dxa"/>
            <w:tcMar>
              <w:top w:w="85" w:type="dxa"/>
              <w:bottom w:w="85" w:type="dxa"/>
              <w:right w:w="108" w:type="dxa"/>
            </w:tcMar>
          </w:tcPr>
          <w:p w:rsidR="003227AF" w:rsidRDefault="003227AF" w:rsidP="003227AF">
            <w:pPr>
              <w:spacing w:after="0"/>
              <w:jc w:val="left"/>
              <w:rPr>
                <w:noProof/>
                <w:sz w:val="20"/>
              </w:rPr>
            </w:pPr>
            <w:r>
              <w:rPr>
                <w:noProof/>
                <w:sz w:val="20"/>
              </w:rPr>
              <w:t>COM(2017) 97 final.</w:t>
            </w:r>
            <w:r>
              <w:rPr>
                <w:noProof/>
                <w:sz w:val="20"/>
              </w:rPr>
              <w:br/>
              <w:t>2017/0043 (COD)</w:t>
            </w:r>
          </w:p>
        </w:tc>
        <w:tc>
          <w:tcPr>
            <w:tcW w:w="4253" w:type="dxa"/>
            <w:shd w:val="clear" w:color="auto" w:fill="auto"/>
            <w:tcMar>
              <w:top w:w="85" w:type="dxa"/>
              <w:bottom w:w="85" w:type="dxa"/>
              <w:right w:w="108" w:type="dxa"/>
            </w:tcMar>
          </w:tcPr>
          <w:p w:rsidR="003227AF" w:rsidRDefault="003227AF" w:rsidP="003227AF">
            <w:pPr>
              <w:spacing w:after="0"/>
              <w:rPr>
                <w:noProof/>
                <w:sz w:val="20"/>
              </w:rPr>
            </w:pPr>
            <w:r>
              <w:rPr>
                <w:noProof/>
                <w:sz w:val="20"/>
              </w:rPr>
              <w:t>Návrh NARIADENIE EURÓPSKEHO PARLAMENTU A RADY, ktorým sa stanovuje viacročný plán pre populácie malých pelagických druhov v Jadranskom mori a rybolov týchto druhov</w:t>
            </w:r>
          </w:p>
        </w:tc>
        <w:tc>
          <w:tcPr>
            <w:tcW w:w="3544" w:type="dxa"/>
            <w:tcMar>
              <w:top w:w="85" w:type="dxa"/>
              <w:bottom w:w="85" w:type="dxa"/>
              <w:right w:w="108" w:type="dxa"/>
            </w:tcMar>
          </w:tcPr>
          <w:p w:rsidR="003227AF" w:rsidRDefault="003227AF" w:rsidP="003227AF">
            <w:pPr>
              <w:spacing w:after="0"/>
              <w:jc w:val="left"/>
              <w:rPr>
                <w:noProof/>
                <w:sz w:val="20"/>
              </w:rPr>
            </w:pPr>
            <w:r>
              <w:rPr>
                <w:noProof/>
                <w:sz w:val="20"/>
              </w:rPr>
              <w:t>Žiadne vyhliadky na dosiahnutie dohody: rozsah pôsobnosti návrhu čiastočne pokryli medzinárodné dohody a niekoľko navrhnutých zmien zasahuje do návrhu do tej miery, že bránia v dosiahnutí jeho cieľov.</w:t>
            </w:r>
          </w:p>
        </w:tc>
        <w:tc>
          <w:tcPr>
            <w:tcW w:w="1275" w:type="dxa"/>
          </w:tcPr>
          <w:p w:rsidR="003227AF" w:rsidRPr="00BE055A" w:rsidRDefault="003227AF" w:rsidP="003227AF">
            <w:pPr>
              <w:spacing w:after="0"/>
              <w:ind w:left="4" w:right="2"/>
              <w:jc w:val="center"/>
              <w:rPr>
                <w:b/>
                <w:sz w:val="20"/>
              </w:rPr>
            </w:pPr>
            <w:r w:rsidRPr="00BE055A">
              <w:rPr>
                <w:b/>
                <w:sz w:val="20"/>
              </w:rPr>
              <w:t>MPRV SR</w:t>
            </w:r>
          </w:p>
        </w:tc>
        <w:tc>
          <w:tcPr>
            <w:tcW w:w="3403" w:type="dxa"/>
          </w:tcPr>
          <w:p w:rsidR="003227AF" w:rsidRPr="00BE055A" w:rsidRDefault="003227AF" w:rsidP="003227AF">
            <w:pPr>
              <w:spacing w:after="0"/>
              <w:ind w:left="4" w:right="2"/>
              <w:jc w:val="left"/>
              <w:rPr>
                <w:b/>
                <w:sz w:val="20"/>
                <w:u w:val="single"/>
              </w:rPr>
            </w:pPr>
            <w:r>
              <w:rPr>
                <w:b/>
                <w:sz w:val="20"/>
                <w:u w:val="single"/>
              </w:rPr>
              <w:t>Nízka priorita</w:t>
            </w:r>
            <w:r w:rsidRPr="00BE055A">
              <w:rPr>
                <w:b/>
                <w:sz w:val="20"/>
              </w:rPr>
              <w:t xml:space="preserve"> - </w:t>
            </w:r>
            <w:r>
              <w:rPr>
                <w:sz w:val="20"/>
              </w:rPr>
              <w:t xml:space="preserve">Nariadením sa </w:t>
            </w:r>
            <w:r w:rsidRPr="00DD29BB">
              <w:rPr>
                <w:sz w:val="20"/>
              </w:rPr>
              <w:t>st</w:t>
            </w:r>
            <w:r>
              <w:rPr>
                <w:sz w:val="20"/>
              </w:rPr>
              <w:t>anovuje viacročný plán riadenia</w:t>
            </w:r>
            <w:r w:rsidRPr="00DD29BB">
              <w:rPr>
                <w:sz w:val="20"/>
              </w:rPr>
              <w:t>pelagiských druhov rýb v Jadranskom mori.</w:t>
            </w:r>
          </w:p>
        </w:tc>
      </w:tr>
      <w:tr w:rsidR="003227AF" w:rsidTr="009D7E3B">
        <w:trPr>
          <w:cantSplit/>
        </w:trPr>
        <w:tc>
          <w:tcPr>
            <w:tcW w:w="511" w:type="dxa"/>
            <w:tcBorders>
              <w:right w:val="nil"/>
            </w:tcBorders>
            <w:shd w:val="clear" w:color="auto" w:fill="auto"/>
            <w:tcMar>
              <w:top w:w="85" w:type="dxa"/>
              <w:bottom w:w="85" w:type="dxa"/>
              <w:right w:w="108" w:type="dxa"/>
            </w:tcMar>
          </w:tcPr>
          <w:p w:rsidR="003227AF" w:rsidRDefault="003227AF" w:rsidP="003227AF">
            <w:pPr>
              <w:pStyle w:val="Odsekzoznamu"/>
              <w:numPr>
                <w:ilvl w:val="0"/>
                <w:numId w:val="21"/>
              </w:numPr>
              <w:spacing w:after="0"/>
              <w:ind w:left="426"/>
              <w:rPr>
                <w:noProof/>
                <w:sz w:val="20"/>
              </w:rPr>
            </w:pPr>
          </w:p>
        </w:tc>
        <w:tc>
          <w:tcPr>
            <w:tcW w:w="1752" w:type="dxa"/>
            <w:tcMar>
              <w:top w:w="85" w:type="dxa"/>
              <w:bottom w:w="85" w:type="dxa"/>
              <w:right w:w="108" w:type="dxa"/>
            </w:tcMar>
          </w:tcPr>
          <w:p w:rsidR="003227AF" w:rsidRDefault="003227AF" w:rsidP="003227AF">
            <w:pPr>
              <w:spacing w:after="0"/>
              <w:jc w:val="left"/>
              <w:rPr>
                <w:noProof/>
                <w:sz w:val="20"/>
              </w:rPr>
            </w:pPr>
            <w:r>
              <w:rPr>
                <w:noProof/>
                <w:sz w:val="20"/>
              </w:rPr>
              <w:t>COM(2014) 265 final.</w:t>
            </w:r>
            <w:r>
              <w:rPr>
                <w:noProof/>
                <w:sz w:val="20"/>
              </w:rPr>
              <w:br/>
              <w:t>2014/0138 (COD)</w:t>
            </w:r>
          </w:p>
        </w:tc>
        <w:tc>
          <w:tcPr>
            <w:tcW w:w="4253" w:type="dxa"/>
            <w:shd w:val="clear" w:color="auto" w:fill="auto"/>
            <w:tcMar>
              <w:top w:w="85" w:type="dxa"/>
              <w:bottom w:w="85" w:type="dxa"/>
              <w:right w:w="108" w:type="dxa"/>
            </w:tcMar>
          </w:tcPr>
          <w:p w:rsidR="003227AF" w:rsidRDefault="003227AF" w:rsidP="003227AF">
            <w:pPr>
              <w:spacing w:after="0"/>
              <w:rPr>
                <w:noProof/>
                <w:sz w:val="20"/>
              </w:rPr>
            </w:pPr>
            <w:r>
              <w:rPr>
                <w:noProof/>
                <w:sz w:val="20"/>
              </w:rPr>
              <w:t>Návrh NARIADENIE EURÓPSKEHO PARLAMENTU A RADY, ktorým sa stanovuje zákaz používania unášaných sietí a ktorým sa menia nariadenia Rady (ES) č. 850/98, (ES) č. 812/2004, (ES) č. 2187/2005 a (ES) č. 1967/2006 a zrušuje nariadenie Rady (ES) č. 894/97</w:t>
            </w:r>
          </w:p>
        </w:tc>
        <w:tc>
          <w:tcPr>
            <w:tcW w:w="3544" w:type="dxa"/>
            <w:tcMar>
              <w:top w:w="85" w:type="dxa"/>
              <w:bottom w:w="85" w:type="dxa"/>
              <w:right w:w="108" w:type="dxa"/>
            </w:tcMar>
          </w:tcPr>
          <w:p w:rsidR="003227AF" w:rsidRDefault="003227AF" w:rsidP="003227AF">
            <w:pPr>
              <w:spacing w:after="0"/>
              <w:jc w:val="left"/>
              <w:rPr>
                <w:noProof/>
                <w:sz w:val="20"/>
              </w:rPr>
            </w:pPr>
            <w:r>
              <w:rPr>
                <w:noProof/>
                <w:sz w:val="20"/>
              </w:rPr>
              <w:t xml:space="preserve">Zastarané: niekoľko prvkov pokrylo nové nariadenie o technických opatreniach [nariadenie (EÚ) 2019/1241 o zachovaní rybolovných zdrojov a ochrane morských ekosystémov prostredníctvom technických opatrení]. Navyše spoluzákonodarcovia nedosiahli niekoľko rokov žiadny pokrok. </w:t>
            </w:r>
          </w:p>
        </w:tc>
        <w:tc>
          <w:tcPr>
            <w:tcW w:w="1275" w:type="dxa"/>
          </w:tcPr>
          <w:p w:rsidR="003227AF" w:rsidRPr="00BE055A" w:rsidRDefault="003227AF" w:rsidP="003227AF">
            <w:pPr>
              <w:spacing w:after="0"/>
              <w:ind w:left="4"/>
              <w:jc w:val="center"/>
              <w:rPr>
                <w:b/>
                <w:sz w:val="20"/>
              </w:rPr>
            </w:pPr>
            <w:r w:rsidRPr="00BE055A">
              <w:rPr>
                <w:b/>
                <w:sz w:val="20"/>
              </w:rPr>
              <w:t>MPRV SR</w:t>
            </w:r>
          </w:p>
        </w:tc>
        <w:tc>
          <w:tcPr>
            <w:tcW w:w="3403" w:type="dxa"/>
          </w:tcPr>
          <w:p w:rsidR="003227AF" w:rsidRDefault="003227AF" w:rsidP="003227AF">
            <w:pPr>
              <w:spacing w:after="0"/>
              <w:ind w:left="4"/>
              <w:rPr>
                <w:b/>
                <w:sz w:val="20"/>
              </w:rPr>
            </w:pPr>
            <w:r w:rsidRPr="00BE055A">
              <w:rPr>
                <w:b/>
                <w:sz w:val="20"/>
              </w:rPr>
              <w:t>Nízka priorita</w:t>
            </w:r>
            <w:r>
              <w:rPr>
                <w:sz w:val="20"/>
              </w:rPr>
              <w:t xml:space="preserve"> - </w:t>
            </w:r>
            <w:r w:rsidRPr="00DD29BB">
              <w:rPr>
                <w:sz w:val="20"/>
              </w:rPr>
              <w:t>Nariadenie je obsolétne. Nové nariadenie o technických opatreniach v rybolove určuje povinnosti z nariadenia 850/98. Nariadenie sa týka štátov, ktoré sa aktívne podieľajú na rybolove.</w:t>
            </w:r>
          </w:p>
        </w:tc>
      </w:tr>
      <w:tr w:rsidR="003227AF" w:rsidTr="009D7E3B">
        <w:trPr>
          <w:cantSplit/>
        </w:trPr>
        <w:tc>
          <w:tcPr>
            <w:tcW w:w="511" w:type="dxa"/>
            <w:tcBorders>
              <w:right w:val="nil"/>
            </w:tcBorders>
            <w:shd w:val="clear" w:color="auto" w:fill="auto"/>
            <w:tcMar>
              <w:top w:w="85" w:type="dxa"/>
              <w:bottom w:w="85" w:type="dxa"/>
              <w:right w:w="108" w:type="dxa"/>
            </w:tcMar>
          </w:tcPr>
          <w:p w:rsidR="003227AF" w:rsidRDefault="003227AF" w:rsidP="003227AF">
            <w:pPr>
              <w:pStyle w:val="Odsekzoznamu"/>
              <w:numPr>
                <w:ilvl w:val="0"/>
                <w:numId w:val="21"/>
              </w:numPr>
              <w:spacing w:after="0"/>
              <w:ind w:left="426"/>
              <w:rPr>
                <w:noProof/>
                <w:sz w:val="20"/>
              </w:rPr>
            </w:pPr>
          </w:p>
        </w:tc>
        <w:tc>
          <w:tcPr>
            <w:tcW w:w="1752" w:type="dxa"/>
            <w:tcMar>
              <w:top w:w="85" w:type="dxa"/>
              <w:bottom w:w="85" w:type="dxa"/>
              <w:right w:w="108" w:type="dxa"/>
            </w:tcMar>
          </w:tcPr>
          <w:p w:rsidR="003227AF" w:rsidRDefault="003227AF" w:rsidP="003227AF">
            <w:pPr>
              <w:spacing w:after="0"/>
              <w:jc w:val="left"/>
              <w:rPr>
                <w:noProof/>
                <w:sz w:val="20"/>
              </w:rPr>
            </w:pPr>
            <w:r>
              <w:rPr>
                <w:noProof/>
                <w:sz w:val="20"/>
              </w:rPr>
              <w:t>COM(2012) 332 final.</w:t>
            </w:r>
            <w:r>
              <w:rPr>
                <w:noProof/>
                <w:sz w:val="20"/>
              </w:rPr>
              <w:br/>
              <w:t>2012/0162 (COD)</w:t>
            </w:r>
          </w:p>
        </w:tc>
        <w:tc>
          <w:tcPr>
            <w:tcW w:w="4253" w:type="dxa"/>
            <w:shd w:val="clear" w:color="auto" w:fill="auto"/>
            <w:tcMar>
              <w:top w:w="85" w:type="dxa"/>
              <w:bottom w:w="85" w:type="dxa"/>
              <w:right w:w="108" w:type="dxa"/>
            </w:tcMar>
          </w:tcPr>
          <w:p w:rsidR="003227AF" w:rsidRDefault="003227AF" w:rsidP="003227AF">
            <w:pPr>
              <w:spacing w:after="0"/>
              <w:rPr>
                <w:noProof/>
                <w:sz w:val="20"/>
              </w:rPr>
            </w:pPr>
            <w:r>
              <w:rPr>
                <w:noProof/>
                <w:sz w:val="20"/>
              </w:rPr>
              <w:t>Návrh NARIADENIE EURÓPSKEHO PARLAMENTU A RADY, ktorým sa mení a dopĺňa nariadenie Rady (ES) č. 1005/2008, ktorým sa ustanovuje systém Spoločenstva na zabraňovanie nezákonnému, nenahlásenému a neregulovanému rybolovu, na odrádzanie od neho a jeho odstránenie</w:t>
            </w:r>
          </w:p>
        </w:tc>
        <w:tc>
          <w:tcPr>
            <w:tcW w:w="3544" w:type="dxa"/>
            <w:tcMar>
              <w:top w:w="85" w:type="dxa"/>
              <w:bottom w:w="85" w:type="dxa"/>
              <w:right w:w="108" w:type="dxa"/>
            </w:tcMar>
          </w:tcPr>
          <w:p w:rsidR="003227AF" w:rsidRDefault="003227AF" w:rsidP="003227AF">
            <w:pPr>
              <w:spacing w:after="0"/>
              <w:jc w:val="left"/>
              <w:rPr>
                <w:noProof/>
                <w:sz w:val="20"/>
              </w:rPr>
            </w:pPr>
            <w:r>
              <w:rPr>
                <w:noProof/>
                <w:sz w:val="20"/>
              </w:rPr>
              <w:t>Zastarané: hlavné prvky tohto návrhu medzičasom pokryli iné návrhy [napr. návrh Komisie na nové nariadenie o kontrole rybolovu, COM(2018) 368], ktoré už boli prijaté alebo sú predmetom rokovaní.</w:t>
            </w:r>
          </w:p>
        </w:tc>
        <w:tc>
          <w:tcPr>
            <w:tcW w:w="1275" w:type="dxa"/>
          </w:tcPr>
          <w:p w:rsidR="003227AF" w:rsidRPr="00BE055A" w:rsidRDefault="003227AF" w:rsidP="003227AF">
            <w:pPr>
              <w:spacing w:after="0"/>
              <w:ind w:left="4"/>
              <w:jc w:val="center"/>
              <w:rPr>
                <w:b/>
                <w:sz w:val="20"/>
              </w:rPr>
            </w:pPr>
            <w:r w:rsidRPr="00BE055A">
              <w:rPr>
                <w:b/>
                <w:sz w:val="20"/>
              </w:rPr>
              <w:t>MPRV SR</w:t>
            </w:r>
          </w:p>
        </w:tc>
        <w:tc>
          <w:tcPr>
            <w:tcW w:w="3403" w:type="dxa"/>
          </w:tcPr>
          <w:p w:rsidR="003227AF" w:rsidRDefault="003227AF" w:rsidP="003227AF">
            <w:pPr>
              <w:spacing w:after="0"/>
              <w:ind w:left="4"/>
              <w:rPr>
                <w:b/>
                <w:sz w:val="20"/>
              </w:rPr>
            </w:pPr>
            <w:r w:rsidRPr="00BE055A">
              <w:rPr>
                <w:b/>
                <w:sz w:val="20"/>
                <w:u w:val="single"/>
              </w:rPr>
              <w:t>Stredná priorita</w:t>
            </w:r>
            <w:r>
              <w:rPr>
                <w:sz w:val="20"/>
              </w:rPr>
              <w:t xml:space="preserve"> - </w:t>
            </w:r>
            <w:r w:rsidRPr="00DD29BB">
              <w:rPr>
                <w:sz w:val="20"/>
              </w:rPr>
              <w:t>Priorita v oblasti vysledovateľnosti produktov rybolovu a akvakultúry. Kontroly vykonávané prostredníctvom Štátnej veterinárnej a potravinovej správy SR.</w:t>
            </w:r>
          </w:p>
        </w:tc>
      </w:tr>
      <w:tr w:rsidR="003227AF" w:rsidTr="009D7E3B">
        <w:trPr>
          <w:cantSplit/>
        </w:trPr>
        <w:tc>
          <w:tcPr>
            <w:tcW w:w="511" w:type="dxa"/>
            <w:tcBorders>
              <w:bottom w:val="single" w:sz="4" w:space="0" w:color="auto"/>
              <w:right w:val="nil"/>
            </w:tcBorders>
            <w:shd w:val="clear" w:color="auto" w:fill="auto"/>
            <w:tcMar>
              <w:top w:w="85" w:type="dxa"/>
              <w:bottom w:w="85" w:type="dxa"/>
              <w:right w:w="108" w:type="dxa"/>
            </w:tcMar>
          </w:tcPr>
          <w:p w:rsidR="003227AF" w:rsidRDefault="003227AF" w:rsidP="003227AF">
            <w:pPr>
              <w:pStyle w:val="Odsekzoznamu"/>
              <w:numPr>
                <w:ilvl w:val="0"/>
                <w:numId w:val="21"/>
              </w:numPr>
              <w:spacing w:after="0"/>
              <w:ind w:left="426"/>
              <w:rPr>
                <w:noProof/>
                <w:sz w:val="20"/>
              </w:rPr>
            </w:pPr>
          </w:p>
        </w:tc>
        <w:tc>
          <w:tcPr>
            <w:tcW w:w="1752" w:type="dxa"/>
            <w:tcBorders>
              <w:bottom w:val="single" w:sz="4" w:space="0" w:color="auto"/>
            </w:tcBorders>
            <w:tcMar>
              <w:top w:w="85" w:type="dxa"/>
              <w:bottom w:w="85" w:type="dxa"/>
              <w:right w:w="108" w:type="dxa"/>
            </w:tcMar>
          </w:tcPr>
          <w:p w:rsidR="003227AF" w:rsidRDefault="003227AF" w:rsidP="003227AF">
            <w:pPr>
              <w:spacing w:after="0"/>
              <w:jc w:val="left"/>
              <w:rPr>
                <w:noProof/>
                <w:sz w:val="20"/>
              </w:rPr>
            </w:pPr>
            <w:r>
              <w:rPr>
                <w:noProof/>
                <w:sz w:val="20"/>
              </w:rPr>
              <w:t>COM(2012) 413 final.</w:t>
            </w:r>
            <w:r>
              <w:rPr>
                <w:noProof/>
                <w:sz w:val="20"/>
              </w:rPr>
              <w:br/>
              <w:t>2012/0201 (COD)</w:t>
            </w:r>
          </w:p>
        </w:tc>
        <w:tc>
          <w:tcPr>
            <w:tcW w:w="4253" w:type="dxa"/>
            <w:tcBorders>
              <w:bottom w:val="single" w:sz="4" w:space="0" w:color="auto"/>
            </w:tcBorders>
            <w:shd w:val="clear" w:color="auto" w:fill="auto"/>
            <w:tcMar>
              <w:top w:w="85" w:type="dxa"/>
              <w:bottom w:w="85" w:type="dxa"/>
              <w:right w:w="108" w:type="dxa"/>
            </w:tcMar>
          </w:tcPr>
          <w:p w:rsidR="003227AF" w:rsidRDefault="003227AF" w:rsidP="003227AF">
            <w:pPr>
              <w:spacing w:after="0"/>
              <w:rPr>
                <w:noProof/>
                <w:sz w:val="20"/>
              </w:rPr>
            </w:pPr>
            <w:r>
              <w:rPr>
                <w:noProof/>
                <w:sz w:val="20"/>
              </w:rPr>
              <w:t>Návrh NARIADENIE EURÓPSKEHO PARLAMENTU A RADY, ktorým sa mení a dopĺňa nariadenie Rady (ES) č. 1100/2007, ktorým sa ustanovujú opatrenia na obnovu populácie úhora európskeho</w:t>
            </w:r>
          </w:p>
        </w:tc>
        <w:tc>
          <w:tcPr>
            <w:tcW w:w="3544" w:type="dxa"/>
            <w:tcBorders>
              <w:bottom w:val="single" w:sz="4" w:space="0" w:color="auto"/>
            </w:tcBorders>
            <w:tcMar>
              <w:top w:w="85" w:type="dxa"/>
              <w:bottom w:w="85" w:type="dxa"/>
              <w:right w:w="108" w:type="dxa"/>
            </w:tcMar>
          </w:tcPr>
          <w:p w:rsidR="003227AF" w:rsidRDefault="003227AF" w:rsidP="003227AF">
            <w:pPr>
              <w:spacing w:after="0"/>
              <w:jc w:val="left"/>
              <w:rPr>
                <w:noProof/>
                <w:sz w:val="20"/>
              </w:rPr>
            </w:pPr>
            <w:r>
              <w:rPr>
                <w:noProof/>
                <w:sz w:val="20"/>
              </w:rPr>
              <w:t>Zastarané: od roku 2012 sa stav populácie úhora zmenil: Medzičasom pokryli hlavné prvky tohto návrhu iné právne predpisy, napr. tie, ktoré stanovujú rybolovné možnosti v podobe ročného celkového povoleného výlovu a kvót.</w:t>
            </w:r>
          </w:p>
        </w:tc>
        <w:tc>
          <w:tcPr>
            <w:tcW w:w="1275" w:type="dxa"/>
            <w:tcBorders>
              <w:bottom w:val="single" w:sz="4" w:space="0" w:color="auto"/>
            </w:tcBorders>
          </w:tcPr>
          <w:p w:rsidR="003227AF" w:rsidRPr="00BE055A" w:rsidRDefault="003227AF" w:rsidP="003227AF">
            <w:pPr>
              <w:spacing w:after="0"/>
              <w:ind w:left="4" w:right="29"/>
              <w:jc w:val="center"/>
              <w:rPr>
                <w:b/>
                <w:sz w:val="20"/>
              </w:rPr>
            </w:pPr>
            <w:r w:rsidRPr="00BE055A">
              <w:rPr>
                <w:b/>
                <w:sz w:val="20"/>
              </w:rPr>
              <w:t>MPRV SR</w:t>
            </w:r>
          </w:p>
        </w:tc>
        <w:tc>
          <w:tcPr>
            <w:tcW w:w="3403" w:type="dxa"/>
            <w:tcBorders>
              <w:bottom w:val="single" w:sz="4" w:space="0" w:color="auto"/>
            </w:tcBorders>
          </w:tcPr>
          <w:p w:rsidR="003227AF" w:rsidRDefault="003227AF" w:rsidP="003227AF">
            <w:pPr>
              <w:spacing w:after="0"/>
              <w:ind w:left="4" w:right="29"/>
              <w:rPr>
                <w:b/>
                <w:sz w:val="20"/>
              </w:rPr>
            </w:pPr>
            <w:r w:rsidRPr="00BE055A">
              <w:rPr>
                <w:b/>
                <w:sz w:val="20"/>
                <w:u w:val="single"/>
              </w:rPr>
              <w:t>Nízka priorita</w:t>
            </w:r>
            <w:r>
              <w:rPr>
                <w:sz w:val="20"/>
              </w:rPr>
              <w:t xml:space="preserve"> - </w:t>
            </w:r>
            <w:r w:rsidRPr="00DD29BB">
              <w:rPr>
                <w:sz w:val="20"/>
              </w:rPr>
              <w:t>SR bola z plánu obnovy populácii úhora európskeho vyňatá z dôvodu, že sa táto populácia na území SR prirodzene nevyskytuje.</w:t>
            </w:r>
          </w:p>
        </w:tc>
      </w:tr>
      <w:tr w:rsidR="003227AF" w:rsidTr="009D7E3B">
        <w:trPr>
          <w:cantSplit/>
        </w:trPr>
        <w:tc>
          <w:tcPr>
            <w:tcW w:w="511" w:type="dxa"/>
            <w:tcBorders>
              <w:bottom w:val="single" w:sz="4" w:space="0" w:color="auto"/>
              <w:right w:val="nil"/>
            </w:tcBorders>
            <w:shd w:val="clear" w:color="auto" w:fill="auto"/>
            <w:tcMar>
              <w:top w:w="85" w:type="dxa"/>
              <w:bottom w:w="85" w:type="dxa"/>
              <w:right w:w="108" w:type="dxa"/>
            </w:tcMar>
          </w:tcPr>
          <w:p w:rsidR="003227AF" w:rsidRDefault="003227AF" w:rsidP="003227AF">
            <w:pPr>
              <w:pStyle w:val="Odsekzoznamu"/>
              <w:numPr>
                <w:ilvl w:val="0"/>
                <w:numId w:val="21"/>
              </w:numPr>
              <w:spacing w:after="0"/>
              <w:ind w:left="426"/>
              <w:rPr>
                <w:noProof/>
                <w:sz w:val="20"/>
              </w:rPr>
            </w:pPr>
          </w:p>
        </w:tc>
        <w:tc>
          <w:tcPr>
            <w:tcW w:w="1752" w:type="dxa"/>
            <w:tcBorders>
              <w:bottom w:val="single" w:sz="4" w:space="0" w:color="auto"/>
            </w:tcBorders>
            <w:tcMar>
              <w:top w:w="85" w:type="dxa"/>
              <w:bottom w:w="85" w:type="dxa"/>
              <w:right w:w="108" w:type="dxa"/>
            </w:tcMar>
          </w:tcPr>
          <w:p w:rsidR="003227AF" w:rsidRDefault="003227AF" w:rsidP="003227AF">
            <w:pPr>
              <w:jc w:val="left"/>
              <w:rPr>
                <w:noProof/>
                <w:sz w:val="20"/>
              </w:rPr>
            </w:pPr>
            <w:r>
              <w:rPr>
                <w:noProof/>
                <w:sz w:val="20"/>
              </w:rPr>
              <w:t>COM(2012) 432 final.</w:t>
            </w:r>
            <w:r>
              <w:rPr>
                <w:noProof/>
                <w:sz w:val="20"/>
              </w:rPr>
              <w:br/>
              <w:t>2012/0208 (COD)</w:t>
            </w:r>
          </w:p>
        </w:tc>
        <w:tc>
          <w:tcPr>
            <w:tcW w:w="4253" w:type="dxa"/>
            <w:tcBorders>
              <w:bottom w:val="single" w:sz="4" w:space="0" w:color="auto"/>
            </w:tcBorders>
            <w:shd w:val="clear" w:color="auto" w:fill="auto"/>
            <w:tcMar>
              <w:top w:w="85" w:type="dxa"/>
              <w:bottom w:w="85" w:type="dxa"/>
              <w:right w:w="108" w:type="dxa"/>
            </w:tcMar>
          </w:tcPr>
          <w:p w:rsidR="003227AF" w:rsidRDefault="003227AF" w:rsidP="003227AF">
            <w:pPr>
              <w:spacing w:after="0"/>
              <w:rPr>
                <w:noProof/>
                <w:sz w:val="20"/>
              </w:rPr>
            </w:pPr>
            <w:r>
              <w:rPr>
                <w:noProof/>
                <w:sz w:val="20"/>
              </w:rPr>
              <w:t>Návrh NARIADENIE EURÓPSKEHO PARLAMENTU A RADY, ktorým sa mení a dopĺňa nariadenie Rady (ES) č. 850/98 o zachovaní zdrojov rybolovu prostredníctvom technických opatrení na ochranu mláďat morských organizmov</w:t>
            </w:r>
          </w:p>
        </w:tc>
        <w:tc>
          <w:tcPr>
            <w:tcW w:w="3544" w:type="dxa"/>
            <w:tcBorders>
              <w:bottom w:val="single" w:sz="4" w:space="0" w:color="auto"/>
            </w:tcBorders>
            <w:tcMar>
              <w:top w:w="85" w:type="dxa"/>
              <w:bottom w:w="85" w:type="dxa"/>
              <w:right w:w="108" w:type="dxa"/>
            </w:tcMar>
          </w:tcPr>
          <w:p w:rsidR="003227AF" w:rsidRDefault="003227AF" w:rsidP="003227AF">
            <w:pPr>
              <w:spacing w:after="0"/>
              <w:jc w:val="left"/>
              <w:rPr>
                <w:noProof/>
                <w:sz w:val="20"/>
              </w:rPr>
            </w:pPr>
            <w:r>
              <w:rPr>
                <w:noProof/>
                <w:sz w:val="20"/>
              </w:rPr>
              <w:t xml:space="preserve">Zastarané: niekoľko prvkov pokrylo nové nariadenie o technických opatreniach [nariadenie (EÚ) 2019/1241 o zachovaní rybolovných zdrojov a ochrane morských ekosystémov prostredníctvom technických opatrení]. </w:t>
            </w:r>
          </w:p>
        </w:tc>
        <w:tc>
          <w:tcPr>
            <w:tcW w:w="1275" w:type="dxa"/>
            <w:tcBorders>
              <w:bottom w:val="single" w:sz="4" w:space="0" w:color="auto"/>
            </w:tcBorders>
          </w:tcPr>
          <w:p w:rsidR="003227AF" w:rsidRPr="00BE055A" w:rsidRDefault="003227AF" w:rsidP="003227AF">
            <w:pPr>
              <w:spacing w:after="0"/>
              <w:ind w:left="4"/>
              <w:jc w:val="center"/>
              <w:rPr>
                <w:b/>
                <w:sz w:val="20"/>
              </w:rPr>
            </w:pPr>
            <w:r w:rsidRPr="00BE055A">
              <w:rPr>
                <w:b/>
                <w:sz w:val="20"/>
              </w:rPr>
              <w:t>MPRV SR</w:t>
            </w:r>
          </w:p>
        </w:tc>
        <w:tc>
          <w:tcPr>
            <w:tcW w:w="3403" w:type="dxa"/>
            <w:tcBorders>
              <w:bottom w:val="single" w:sz="4" w:space="0" w:color="auto"/>
            </w:tcBorders>
          </w:tcPr>
          <w:p w:rsidR="003227AF" w:rsidRDefault="003227AF" w:rsidP="003227AF">
            <w:pPr>
              <w:spacing w:after="0"/>
              <w:ind w:left="4"/>
              <w:rPr>
                <w:b/>
                <w:sz w:val="20"/>
              </w:rPr>
            </w:pPr>
            <w:r w:rsidRPr="00BE055A">
              <w:rPr>
                <w:b/>
                <w:sz w:val="20"/>
                <w:u w:val="single"/>
              </w:rPr>
              <w:t>Nízka priorita</w:t>
            </w:r>
            <w:r>
              <w:rPr>
                <w:sz w:val="20"/>
              </w:rPr>
              <w:t xml:space="preserve"> - </w:t>
            </w:r>
            <w:r w:rsidRPr="00DD29BB">
              <w:rPr>
                <w:sz w:val="20"/>
              </w:rPr>
              <w:t>Nariadenie je obsolétne. Nové nariadenie o technických opatreniach v rybolove určuje povinnosti z nariadenia 850/98. Nariadenie sa týka štátov, ktoré sa aktívne podieľajú na rybolove.</w:t>
            </w:r>
          </w:p>
        </w:tc>
      </w:tr>
      <w:tr w:rsidR="003227AF" w:rsidTr="009D7E3B">
        <w:trPr>
          <w:cantSplit/>
        </w:trPr>
        <w:tc>
          <w:tcPr>
            <w:tcW w:w="511" w:type="dxa"/>
            <w:tcBorders>
              <w:bottom w:val="single" w:sz="4" w:space="0" w:color="auto"/>
              <w:right w:val="nil"/>
            </w:tcBorders>
            <w:shd w:val="clear" w:color="auto" w:fill="auto"/>
            <w:tcMar>
              <w:top w:w="85" w:type="dxa"/>
              <w:bottom w:w="85" w:type="dxa"/>
              <w:right w:w="108" w:type="dxa"/>
            </w:tcMar>
          </w:tcPr>
          <w:p w:rsidR="003227AF" w:rsidRDefault="003227AF" w:rsidP="003227AF">
            <w:pPr>
              <w:pStyle w:val="Odsekzoznamu"/>
              <w:numPr>
                <w:ilvl w:val="0"/>
                <w:numId w:val="21"/>
              </w:numPr>
              <w:spacing w:after="0"/>
              <w:ind w:left="426"/>
              <w:rPr>
                <w:noProof/>
                <w:sz w:val="20"/>
              </w:rPr>
            </w:pPr>
          </w:p>
        </w:tc>
        <w:tc>
          <w:tcPr>
            <w:tcW w:w="1752" w:type="dxa"/>
            <w:tcBorders>
              <w:bottom w:val="single" w:sz="4" w:space="0" w:color="auto"/>
            </w:tcBorders>
            <w:tcMar>
              <w:top w:w="85" w:type="dxa"/>
              <w:bottom w:w="85" w:type="dxa"/>
              <w:right w:w="108" w:type="dxa"/>
            </w:tcMar>
          </w:tcPr>
          <w:p w:rsidR="003227AF" w:rsidRDefault="003227AF" w:rsidP="003227AF">
            <w:pPr>
              <w:rPr>
                <w:noProof/>
                <w:sz w:val="20"/>
              </w:rPr>
            </w:pPr>
            <w:r>
              <w:rPr>
                <w:noProof/>
                <w:sz w:val="20"/>
              </w:rPr>
              <w:t>KOM(2011) 470 v konečnom znení.</w:t>
            </w:r>
            <w:r>
              <w:rPr>
                <w:noProof/>
                <w:sz w:val="20"/>
              </w:rPr>
              <w:br/>
              <w:t>2011/0206 (COD)</w:t>
            </w:r>
          </w:p>
        </w:tc>
        <w:tc>
          <w:tcPr>
            <w:tcW w:w="4253" w:type="dxa"/>
            <w:tcBorders>
              <w:bottom w:val="single" w:sz="4" w:space="0" w:color="auto"/>
            </w:tcBorders>
            <w:shd w:val="clear" w:color="auto" w:fill="auto"/>
            <w:tcMar>
              <w:top w:w="85" w:type="dxa"/>
              <w:bottom w:w="85" w:type="dxa"/>
              <w:right w:w="108" w:type="dxa"/>
            </w:tcMar>
          </w:tcPr>
          <w:p w:rsidR="003227AF" w:rsidRDefault="003227AF" w:rsidP="003227AF">
            <w:pPr>
              <w:spacing w:after="0"/>
              <w:rPr>
                <w:noProof/>
                <w:sz w:val="20"/>
              </w:rPr>
            </w:pPr>
            <w:r>
              <w:rPr>
                <w:noProof/>
                <w:sz w:val="20"/>
              </w:rPr>
              <w:t>Návrh NARIADENIE EURÓPSKEHO PARLAMENTU A RADY, ktorým sa ustanovuje viacročný plán pre populáciu lososa obyčajného v Baltskom mori a pre rybolov zameraný na túto populáciu rýb</w:t>
            </w:r>
          </w:p>
        </w:tc>
        <w:tc>
          <w:tcPr>
            <w:tcW w:w="3544" w:type="dxa"/>
            <w:tcBorders>
              <w:bottom w:val="single" w:sz="4" w:space="0" w:color="auto"/>
            </w:tcBorders>
            <w:tcMar>
              <w:top w:w="85" w:type="dxa"/>
              <w:bottom w:w="85" w:type="dxa"/>
              <w:right w:w="108" w:type="dxa"/>
            </w:tcMar>
          </w:tcPr>
          <w:p w:rsidR="003227AF" w:rsidRDefault="003227AF" w:rsidP="003227AF">
            <w:pPr>
              <w:spacing w:after="0"/>
              <w:jc w:val="left"/>
              <w:rPr>
                <w:noProof/>
                <w:sz w:val="20"/>
              </w:rPr>
            </w:pPr>
            <w:r>
              <w:rPr>
                <w:noProof/>
                <w:sz w:val="20"/>
              </w:rPr>
              <w:t>Zastarané: medzičasom bol pre Baltické more prijatý celkový viacročný plán [nariadenie (EÚ) 2016/1139, ktorým sa ustanovuje viacročný plán pre populácie tresky škvrnitej, sleďa atlantického a šproty severnej v Baltskom mori a pre rybolov využívajúci tieto populácie].</w:t>
            </w:r>
          </w:p>
        </w:tc>
        <w:tc>
          <w:tcPr>
            <w:tcW w:w="1275" w:type="dxa"/>
            <w:tcBorders>
              <w:bottom w:val="single" w:sz="4" w:space="0" w:color="auto"/>
            </w:tcBorders>
          </w:tcPr>
          <w:p w:rsidR="003227AF" w:rsidRPr="00BE055A" w:rsidRDefault="003227AF" w:rsidP="003227AF">
            <w:pPr>
              <w:spacing w:after="0"/>
              <w:ind w:left="4"/>
              <w:jc w:val="center"/>
              <w:rPr>
                <w:b/>
                <w:sz w:val="20"/>
              </w:rPr>
            </w:pPr>
            <w:r w:rsidRPr="00BE055A">
              <w:rPr>
                <w:b/>
                <w:sz w:val="20"/>
              </w:rPr>
              <w:t>MPRV SR</w:t>
            </w:r>
          </w:p>
        </w:tc>
        <w:tc>
          <w:tcPr>
            <w:tcW w:w="3403" w:type="dxa"/>
            <w:tcBorders>
              <w:bottom w:val="single" w:sz="4" w:space="0" w:color="auto"/>
            </w:tcBorders>
          </w:tcPr>
          <w:p w:rsidR="003227AF" w:rsidRPr="00BE055A" w:rsidRDefault="003227AF" w:rsidP="003227AF">
            <w:pPr>
              <w:spacing w:after="0"/>
              <w:ind w:left="4"/>
              <w:rPr>
                <w:b/>
                <w:sz w:val="20"/>
                <w:u w:val="single"/>
              </w:rPr>
            </w:pPr>
            <w:r w:rsidRPr="00BE055A">
              <w:rPr>
                <w:b/>
                <w:sz w:val="20"/>
                <w:u w:val="single"/>
              </w:rPr>
              <w:t>Nízka priorita</w:t>
            </w:r>
            <w:r w:rsidRPr="00BE055A">
              <w:rPr>
                <w:b/>
                <w:sz w:val="20"/>
              </w:rPr>
              <w:t xml:space="preserve">- </w:t>
            </w:r>
            <w:r w:rsidRPr="00DD29BB">
              <w:rPr>
                <w:sz w:val="20"/>
              </w:rPr>
              <w:t>Nariadenie stanovuje viacročný plán pre riadenie populácie lososa v Baltskom mori.</w:t>
            </w:r>
          </w:p>
        </w:tc>
      </w:tr>
      <w:tr w:rsidR="003227AF" w:rsidTr="009D7E3B">
        <w:trPr>
          <w:cantSplit/>
        </w:trPr>
        <w:tc>
          <w:tcPr>
            <w:tcW w:w="511" w:type="dxa"/>
            <w:tcBorders>
              <w:bottom w:val="single" w:sz="4" w:space="0" w:color="auto"/>
              <w:right w:val="nil"/>
            </w:tcBorders>
            <w:shd w:val="clear" w:color="auto" w:fill="auto"/>
            <w:tcMar>
              <w:top w:w="85" w:type="dxa"/>
              <w:bottom w:w="85" w:type="dxa"/>
              <w:right w:w="108" w:type="dxa"/>
            </w:tcMar>
          </w:tcPr>
          <w:p w:rsidR="003227AF" w:rsidRDefault="003227AF" w:rsidP="003227AF">
            <w:pPr>
              <w:pStyle w:val="Odsekzoznamu"/>
              <w:numPr>
                <w:ilvl w:val="0"/>
                <w:numId w:val="21"/>
              </w:numPr>
              <w:spacing w:after="0"/>
              <w:ind w:left="426"/>
              <w:rPr>
                <w:noProof/>
                <w:sz w:val="20"/>
              </w:rPr>
            </w:pPr>
          </w:p>
        </w:tc>
        <w:tc>
          <w:tcPr>
            <w:tcW w:w="1752" w:type="dxa"/>
            <w:tcBorders>
              <w:bottom w:val="single" w:sz="4" w:space="0" w:color="auto"/>
            </w:tcBorders>
            <w:tcMar>
              <w:top w:w="85" w:type="dxa"/>
              <w:bottom w:w="85" w:type="dxa"/>
              <w:right w:w="108" w:type="dxa"/>
            </w:tcMar>
          </w:tcPr>
          <w:p w:rsidR="003227AF" w:rsidRDefault="003227AF" w:rsidP="003227AF">
            <w:pPr>
              <w:jc w:val="left"/>
              <w:rPr>
                <w:noProof/>
                <w:sz w:val="20"/>
              </w:rPr>
            </w:pPr>
            <w:r>
              <w:rPr>
                <w:noProof/>
                <w:sz w:val="20"/>
              </w:rPr>
              <w:t>KOM(2011) 479 v konečnom znení.</w:t>
            </w:r>
            <w:r>
              <w:rPr>
                <w:noProof/>
                <w:sz w:val="20"/>
              </w:rPr>
              <w:br/>
              <w:t>2011/0218 (COD)</w:t>
            </w:r>
          </w:p>
        </w:tc>
        <w:tc>
          <w:tcPr>
            <w:tcW w:w="4253" w:type="dxa"/>
            <w:tcBorders>
              <w:bottom w:val="single" w:sz="4" w:space="0" w:color="auto"/>
            </w:tcBorders>
            <w:shd w:val="clear" w:color="auto" w:fill="auto"/>
            <w:tcMar>
              <w:top w:w="85" w:type="dxa"/>
              <w:bottom w:w="85" w:type="dxa"/>
              <w:right w:w="108" w:type="dxa"/>
            </w:tcMar>
          </w:tcPr>
          <w:p w:rsidR="003227AF" w:rsidRDefault="003227AF" w:rsidP="003227AF">
            <w:pPr>
              <w:spacing w:after="0"/>
              <w:rPr>
                <w:noProof/>
                <w:sz w:val="20"/>
              </w:rPr>
            </w:pPr>
            <w:r>
              <w:rPr>
                <w:noProof/>
                <w:sz w:val="20"/>
              </w:rPr>
              <w:t>Návrh NARIADENIE EURÓPSKEHO PARLAMENTU A RADY, ktorým sa mení a dopĺňa nariadenie Rady (ES) č. 1967/2006 o riadiacich opatreniach pre trvalo udržateľné využívanie zdrojov rybného hospodárstva v Stredozemnom mori</w:t>
            </w:r>
          </w:p>
        </w:tc>
        <w:tc>
          <w:tcPr>
            <w:tcW w:w="3544" w:type="dxa"/>
            <w:tcBorders>
              <w:bottom w:val="single" w:sz="4" w:space="0" w:color="auto"/>
            </w:tcBorders>
            <w:tcMar>
              <w:top w:w="85" w:type="dxa"/>
              <w:bottom w:w="85" w:type="dxa"/>
              <w:right w:w="108" w:type="dxa"/>
            </w:tcMar>
          </w:tcPr>
          <w:p w:rsidR="003227AF" w:rsidRDefault="003227AF" w:rsidP="003227AF">
            <w:pPr>
              <w:spacing w:after="0"/>
              <w:jc w:val="left"/>
              <w:rPr>
                <w:noProof/>
                <w:sz w:val="20"/>
              </w:rPr>
            </w:pPr>
            <w:r>
              <w:rPr>
                <w:noProof/>
                <w:sz w:val="20"/>
              </w:rPr>
              <w:t>Zastarané: medzičasom pokryli hlavné prvky tohto návrhu iné právne predpisy,</w:t>
            </w:r>
            <w:r>
              <w:rPr>
                <w:noProof/>
              </w:rPr>
              <w:t xml:space="preserve"> </w:t>
            </w:r>
            <w:r>
              <w:rPr>
                <w:noProof/>
                <w:sz w:val="20"/>
              </w:rPr>
              <w:t xml:space="preserve">napr. nariadenie Európskeho parlamentu a Rady (EÚ) 2019/1022, ktorým sa ustanovuje viacročný plán pre rybolov populácií žijúcich pri morskom dne v západnej časti Stredozemného mora a ktorým sa mení nariadenie (EÚ) č. 508/2014. </w:t>
            </w:r>
          </w:p>
        </w:tc>
        <w:tc>
          <w:tcPr>
            <w:tcW w:w="1275" w:type="dxa"/>
            <w:tcBorders>
              <w:bottom w:val="single" w:sz="4" w:space="0" w:color="auto"/>
            </w:tcBorders>
          </w:tcPr>
          <w:p w:rsidR="003227AF" w:rsidRPr="00BE055A" w:rsidRDefault="003227AF" w:rsidP="003227AF">
            <w:pPr>
              <w:spacing w:after="0"/>
              <w:ind w:left="4"/>
              <w:jc w:val="center"/>
              <w:rPr>
                <w:b/>
                <w:sz w:val="20"/>
              </w:rPr>
            </w:pPr>
            <w:r w:rsidRPr="00BE055A">
              <w:rPr>
                <w:b/>
                <w:sz w:val="20"/>
              </w:rPr>
              <w:t>MPRV SR</w:t>
            </w:r>
          </w:p>
        </w:tc>
        <w:tc>
          <w:tcPr>
            <w:tcW w:w="3403" w:type="dxa"/>
            <w:tcBorders>
              <w:bottom w:val="single" w:sz="4" w:space="0" w:color="auto"/>
            </w:tcBorders>
          </w:tcPr>
          <w:p w:rsidR="003227AF" w:rsidRDefault="003227AF" w:rsidP="003227AF">
            <w:pPr>
              <w:spacing w:after="0"/>
              <w:ind w:left="4"/>
              <w:rPr>
                <w:b/>
                <w:sz w:val="20"/>
              </w:rPr>
            </w:pPr>
            <w:r w:rsidRPr="00BE055A">
              <w:rPr>
                <w:b/>
                <w:sz w:val="20"/>
                <w:u w:val="single"/>
              </w:rPr>
              <w:t>Nízka priorita</w:t>
            </w:r>
            <w:r>
              <w:rPr>
                <w:sz w:val="20"/>
              </w:rPr>
              <w:t xml:space="preserve"> - </w:t>
            </w:r>
            <w:r w:rsidRPr="00DD29BB">
              <w:rPr>
                <w:sz w:val="20"/>
              </w:rPr>
              <w:t xml:space="preserve">Nariadenie stanovuje opatrenia riadenia a udržateľného využívania rybolovných zdrojov v Stredozemnom mori.  </w:t>
            </w:r>
          </w:p>
        </w:tc>
      </w:tr>
      <w:tr w:rsidR="003227AF" w:rsidTr="009D7E3B">
        <w:trPr>
          <w:cantSplit/>
        </w:trPr>
        <w:tc>
          <w:tcPr>
            <w:tcW w:w="511" w:type="dxa"/>
            <w:tcBorders>
              <w:bottom w:val="single" w:sz="4" w:space="0" w:color="auto"/>
              <w:right w:val="nil"/>
            </w:tcBorders>
            <w:shd w:val="clear" w:color="auto" w:fill="auto"/>
            <w:tcMar>
              <w:top w:w="85" w:type="dxa"/>
              <w:bottom w:w="85" w:type="dxa"/>
              <w:right w:w="108" w:type="dxa"/>
            </w:tcMar>
          </w:tcPr>
          <w:p w:rsidR="003227AF" w:rsidRDefault="003227AF" w:rsidP="003227AF">
            <w:pPr>
              <w:pStyle w:val="Odsekzoznamu"/>
              <w:numPr>
                <w:ilvl w:val="0"/>
                <w:numId w:val="21"/>
              </w:numPr>
              <w:spacing w:after="0"/>
              <w:ind w:left="426"/>
              <w:rPr>
                <w:noProof/>
                <w:sz w:val="20"/>
              </w:rPr>
            </w:pPr>
          </w:p>
        </w:tc>
        <w:tc>
          <w:tcPr>
            <w:tcW w:w="1752" w:type="dxa"/>
            <w:tcBorders>
              <w:bottom w:val="single" w:sz="4" w:space="0" w:color="auto"/>
            </w:tcBorders>
            <w:tcMar>
              <w:top w:w="85" w:type="dxa"/>
              <w:bottom w:w="85" w:type="dxa"/>
              <w:right w:w="108" w:type="dxa"/>
            </w:tcMar>
          </w:tcPr>
          <w:p w:rsidR="003227AF" w:rsidRPr="003B1CF2" w:rsidRDefault="003227AF" w:rsidP="003227AF">
            <w:pPr>
              <w:jc w:val="left"/>
              <w:rPr>
                <w:noProof/>
                <w:sz w:val="20"/>
              </w:rPr>
            </w:pPr>
            <w:r w:rsidRPr="003B1CF2">
              <w:rPr>
                <w:noProof/>
                <w:sz w:val="20"/>
              </w:rPr>
              <w:t>COM(2013) 892 final.</w:t>
            </w:r>
            <w:r w:rsidRPr="003B1CF2">
              <w:rPr>
                <w:noProof/>
                <w:sz w:val="20"/>
              </w:rPr>
              <w:br/>
              <w:t>2013/0433 (COD)</w:t>
            </w:r>
          </w:p>
        </w:tc>
        <w:tc>
          <w:tcPr>
            <w:tcW w:w="4253" w:type="dxa"/>
            <w:tcBorders>
              <w:bottom w:val="single" w:sz="4" w:space="0" w:color="auto"/>
            </w:tcBorders>
            <w:shd w:val="clear" w:color="auto" w:fill="auto"/>
            <w:tcMar>
              <w:top w:w="85" w:type="dxa"/>
              <w:bottom w:w="85" w:type="dxa"/>
              <w:right w:w="108" w:type="dxa"/>
            </w:tcMar>
          </w:tcPr>
          <w:p w:rsidR="003227AF" w:rsidRPr="003B1CF2" w:rsidRDefault="003227AF" w:rsidP="003227AF">
            <w:pPr>
              <w:spacing w:after="0"/>
              <w:rPr>
                <w:noProof/>
                <w:sz w:val="20"/>
              </w:rPr>
            </w:pPr>
            <w:r w:rsidRPr="003B1CF2">
              <w:rPr>
                <w:noProof/>
                <w:sz w:val="20"/>
              </w:rPr>
              <w:t>Návrh SMERNICA EURÓPSKEHO PARLAMENTU A RADY o klonovaní hovädzieho dobytka, ošípaných, oviec, kôz a koní chovaných a rozmnožovaných na hospodárske účely</w:t>
            </w:r>
          </w:p>
        </w:tc>
        <w:tc>
          <w:tcPr>
            <w:tcW w:w="3544" w:type="dxa"/>
            <w:tcBorders>
              <w:bottom w:val="single" w:sz="4" w:space="0" w:color="auto"/>
            </w:tcBorders>
            <w:tcMar>
              <w:top w:w="85" w:type="dxa"/>
              <w:bottom w:w="85" w:type="dxa"/>
              <w:right w:w="108" w:type="dxa"/>
            </w:tcMar>
          </w:tcPr>
          <w:p w:rsidR="003227AF" w:rsidRPr="003B1CF2" w:rsidRDefault="003227AF" w:rsidP="003227AF">
            <w:pPr>
              <w:spacing w:after="0"/>
              <w:jc w:val="left"/>
              <w:rPr>
                <w:noProof/>
                <w:sz w:val="20"/>
              </w:rPr>
            </w:pPr>
            <w:r w:rsidRPr="003B1CF2">
              <w:rPr>
                <w:noProof/>
                <w:sz w:val="20"/>
              </w:rPr>
              <w:t>Žiadne vyhliadky na dosiahnutie dohody: od roku 2015 nedosiahli spoluzákonodarcovia žiadny pokrok a ani do budúcna to nie je pravdepodobné.</w:t>
            </w:r>
          </w:p>
        </w:tc>
        <w:tc>
          <w:tcPr>
            <w:tcW w:w="1275" w:type="dxa"/>
            <w:tcBorders>
              <w:bottom w:val="single" w:sz="4" w:space="0" w:color="auto"/>
            </w:tcBorders>
          </w:tcPr>
          <w:p w:rsidR="003227AF" w:rsidRPr="00A27C5A" w:rsidRDefault="00A27C5A" w:rsidP="00A026B9">
            <w:pPr>
              <w:spacing w:after="0"/>
              <w:jc w:val="center"/>
              <w:rPr>
                <w:b/>
                <w:noProof/>
                <w:sz w:val="20"/>
              </w:rPr>
            </w:pPr>
            <w:r w:rsidRPr="00A27C5A">
              <w:rPr>
                <w:b/>
                <w:noProof/>
                <w:sz w:val="20"/>
              </w:rPr>
              <w:t>MPRV SR</w:t>
            </w:r>
          </w:p>
        </w:tc>
        <w:tc>
          <w:tcPr>
            <w:tcW w:w="3403" w:type="dxa"/>
            <w:tcBorders>
              <w:bottom w:val="single" w:sz="4" w:space="0" w:color="auto"/>
            </w:tcBorders>
          </w:tcPr>
          <w:p w:rsidR="003227AF" w:rsidRDefault="00A27C5A" w:rsidP="00A27C5A">
            <w:pPr>
              <w:spacing w:after="0"/>
              <w:rPr>
                <w:noProof/>
                <w:sz w:val="20"/>
              </w:rPr>
            </w:pPr>
            <w:r w:rsidRPr="00A27C5A">
              <w:rPr>
                <w:b/>
                <w:noProof/>
                <w:sz w:val="20"/>
                <w:u w:val="single"/>
              </w:rPr>
              <w:t>Nízka priorita</w:t>
            </w:r>
            <w:r>
              <w:rPr>
                <w:noProof/>
                <w:sz w:val="20"/>
                <w:u w:val="single"/>
              </w:rPr>
              <w:t xml:space="preserve"> - </w:t>
            </w:r>
            <w:r>
              <w:rPr>
                <w:noProof/>
                <w:sz w:val="20"/>
              </w:rPr>
              <w:t>Vo všeobecnosti možno povedať,  že diskusia je na mŕtvom bode – sú tu určité návrhy ale  prevláda názor medzi ČŠ že Diskusia  nie je potrebná – spotrebitelia to nechcú, chovatelia nepotrebujú, negatívny dopad na zvieratá a matky klonov + máme množstvo problémov (otvorených otázok)  k téme na úrovni rady ( ČŠ) – viď vyššie  - to je podstata diskusie, ktorá aj zbytočne prebieha.</w:t>
            </w:r>
          </w:p>
        </w:tc>
      </w:tr>
      <w:tr w:rsidR="003227AF" w:rsidTr="009D7E3B">
        <w:trPr>
          <w:cantSplit/>
        </w:trPr>
        <w:tc>
          <w:tcPr>
            <w:tcW w:w="511" w:type="dxa"/>
            <w:tcBorders>
              <w:bottom w:val="single" w:sz="4" w:space="0" w:color="auto"/>
              <w:right w:val="nil"/>
            </w:tcBorders>
            <w:shd w:val="clear" w:color="auto" w:fill="auto"/>
            <w:tcMar>
              <w:top w:w="85" w:type="dxa"/>
              <w:bottom w:w="85" w:type="dxa"/>
              <w:right w:w="108" w:type="dxa"/>
            </w:tcMar>
          </w:tcPr>
          <w:p w:rsidR="003227AF" w:rsidRDefault="003227AF" w:rsidP="003227AF">
            <w:pPr>
              <w:pStyle w:val="Odsekzoznamu"/>
              <w:numPr>
                <w:ilvl w:val="0"/>
                <w:numId w:val="21"/>
              </w:numPr>
              <w:spacing w:after="0"/>
              <w:ind w:left="426"/>
              <w:rPr>
                <w:noProof/>
                <w:sz w:val="20"/>
              </w:rPr>
            </w:pPr>
          </w:p>
        </w:tc>
        <w:tc>
          <w:tcPr>
            <w:tcW w:w="1752" w:type="dxa"/>
            <w:tcBorders>
              <w:bottom w:val="single" w:sz="4" w:space="0" w:color="auto"/>
            </w:tcBorders>
            <w:tcMar>
              <w:top w:w="85" w:type="dxa"/>
              <w:bottom w:w="85" w:type="dxa"/>
              <w:right w:w="108" w:type="dxa"/>
            </w:tcMar>
          </w:tcPr>
          <w:p w:rsidR="003227AF" w:rsidRDefault="003227AF" w:rsidP="003227AF">
            <w:pPr>
              <w:jc w:val="left"/>
              <w:rPr>
                <w:noProof/>
                <w:sz w:val="20"/>
              </w:rPr>
            </w:pPr>
            <w:r>
              <w:rPr>
                <w:noProof/>
                <w:sz w:val="20"/>
              </w:rPr>
              <w:t>COM(2013) 893 final.</w:t>
            </w:r>
            <w:r>
              <w:rPr>
                <w:noProof/>
                <w:sz w:val="20"/>
              </w:rPr>
              <w:br/>
              <w:t>2013/0434 (APP)</w:t>
            </w:r>
          </w:p>
        </w:tc>
        <w:tc>
          <w:tcPr>
            <w:tcW w:w="4253" w:type="dxa"/>
            <w:tcBorders>
              <w:bottom w:val="single" w:sz="4" w:space="0" w:color="auto"/>
            </w:tcBorders>
            <w:shd w:val="clear" w:color="auto" w:fill="auto"/>
            <w:tcMar>
              <w:top w:w="85" w:type="dxa"/>
              <w:bottom w:w="85" w:type="dxa"/>
              <w:right w:w="108" w:type="dxa"/>
            </w:tcMar>
          </w:tcPr>
          <w:p w:rsidR="003227AF" w:rsidRDefault="003227AF" w:rsidP="003227AF">
            <w:pPr>
              <w:spacing w:after="0"/>
              <w:rPr>
                <w:noProof/>
                <w:sz w:val="20"/>
              </w:rPr>
            </w:pPr>
            <w:r>
              <w:rPr>
                <w:noProof/>
                <w:sz w:val="20"/>
              </w:rPr>
              <w:t>Návrh SMERNICA RADY o uvádzaní potravín z klonov zvierat na trh</w:t>
            </w:r>
          </w:p>
        </w:tc>
        <w:tc>
          <w:tcPr>
            <w:tcW w:w="3544" w:type="dxa"/>
            <w:tcBorders>
              <w:bottom w:val="single" w:sz="4" w:space="0" w:color="auto"/>
            </w:tcBorders>
            <w:tcMar>
              <w:top w:w="85" w:type="dxa"/>
              <w:bottom w:w="85" w:type="dxa"/>
              <w:right w:w="108" w:type="dxa"/>
            </w:tcMar>
          </w:tcPr>
          <w:p w:rsidR="003227AF" w:rsidRDefault="003227AF" w:rsidP="003227AF">
            <w:pPr>
              <w:spacing w:after="0"/>
              <w:jc w:val="left"/>
              <w:rPr>
                <w:noProof/>
                <w:sz w:val="20"/>
              </w:rPr>
            </w:pPr>
            <w:r>
              <w:rPr>
                <w:noProof/>
                <w:sz w:val="20"/>
              </w:rPr>
              <w:t>Žiadne vyhliadky na dosiahnutie dohody: od roku 2015 nedosiahli spoluzákonodarcovia žiadny pokrok a ani do budúcna to nie je pravdepodobné.</w:t>
            </w:r>
          </w:p>
        </w:tc>
        <w:tc>
          <w:tcPr>
            <w:tcW w:w="1275" w:type="dxa"/>
            <w:tcBorders>
              <w:bottom w:val="single" w:sz="4" w:space="0" w:color="auto"/>
            </w:tcBorders>
          </w:tcPr>
          <w:p w:rsidR="003227AF" w:rsidRPr="00FE2A32" w:rsidRDefault="0053502C" w:rsidP="003227AF">
            <w:pPr>
              <w:spacing w:after="0"/>
              <w:jc w:val="center"/>
              <w:rPr>
                <w:b/>
                <w:noProof/>
                <w:sz w:val="20"/>
              </w:rPr>
            </w:pPr>
            <w:r w:rsidRPr="00A27C5A">
              <w:rPr>
                <w:b/>
                <w:noProof/>
                <w:sz w:val="20"/>
              </w:rPr>
              <w:t>MPRV SR</w:t>
            </w:r>
          </w:p>
        </w:tc>
        <w:tc>
          <w:tcPr>
            <w:tcW w:w="3403" w:type="dxa"/>
            <w:tcBorders>
              <w:bottom w:val="single" w:sz="4" w:space="0" w:color="auto"/>
            </w:tcBorders>
          </w:tcPr>
          <w:p w:rsidR="003227AF" w:rsidRDefault="0053502C" w:rsidP="003227AF">
            <w:pPr>
              <w:spacing w:after="0"/>
              <w:jc w:val="left"/>
              <w:rPr>
                <w:noProof/>
                <w:sz w:val="20"/>
              </w:rPr>
            </w:pPr>
            <w:r w:rsidRPr="0053502C">
              <w:rPr>
                <w:b/>
                <w:noProof/>
                <w:sz w:val="20"/>
                <w:u w:val="single"/>
              </w:rPr>
              <w:t>Nízka priorita</w:t>
            </w:r>
            <w:r>
              <w:rPr>
                <w:noProof/>
                <w:sz w:val="20"/>
              </w:rPr>
              <w:t xml:space="preserve"> – Slovensko podporuje späťvzatie návrhu smernice.</w:t>
            </w:r>
          </w:p>
        </w:tc>
      </w:tr>
      <w:tr w:rsidR="003227AF" w:rsidTr="009D7E3B">
        <w:trPr>
          <w:cantSplit/>
        </w:trPr>
        <w:tc>
          <w:tcPr>
            <w:tcW w:w="511" w:type="dxa"/>
            <w:tcBorders>
              <w:bottom w:val="single" w:sz="4" w:space="0" w:color="auto"/>
              <w:right w:val="nil"/>
            </w:tcBorders>
            <w:shd w:val="clear" w:color="auto" w:fill="auto"/>
            <w:tcMar>
              <w:top w:w="85" w:type="dxa"/>
              <w:bottom w:w="85" w:type="dxa"/>
              <w:right w:w="108" w:type="dxa"/>
            </w:tcMar>
          </w:tcPr>
          <w:p w:rsidR="003227AF" w:rsidRDefault="003227AF" w:rsidP="003227AF">
            <w:pPr>
              <w:pStyle w:val="Odsekzoznamu"/>
              <w:numPr>
                <w:ilvl w:val="0"/>
                <w:numId w:val="21"/>
              </w:numPr>
              <w:spacing w:after="0"/>
              <w:ind w:left="426"/>
              <w:rPr>
                <w:noProof/>
                <w:sz w:val="20"/>
              </w:rPr>
            </w:pPr>
          </w:p>
        </w:tc>
        <w:tc>
          <w:tcPr>
            <w:tcW w:w="1752" w:type="dxa"/>
            <w:tcBorders>
              <w:bottom w:val="single" w:sz="4" w:space="0" w:color="auto"/>
            </w:tcBorders>
            <w:tcMar>
              <w:top w:w="85" w:type="dxa"/>
              <w:bottom w:w="85" w:type="dxa"/>
              <w:right w:w="108" w:type="dxa"/>
            </w:tcMar>
          </w:tcPr>
          <w:p w:rsidR="003227AF" w:rsidRDefault="003227AF" w:rsidP="003227AF">
            <w:pPr>
              <w:jc w:val="left"/>
              <w:rPr>
                <w:noProof/>
                <w:sz w:val="20"/>
              </w:rPr>
            </w:pPr>
            <w:r>
              <w:rPr>
                <w:noProof/>
                <w:sz w:val="20"/>
              </w:rPr>
              <w:t>COM(2017) 648 final.</w:t>
            </w:r>
            <w:r>
              <w:rPr>
                <w:noProof/>
                <w:sz w:val="20"/>
              </w:rPr>
              <w:br/>
              <w:t>2017/0290 (COD)</w:t>
            </w:r>
          </w:p>
        </w:tc>
        <w:tc>
          <w:tcPr>
            <w:tcW w:w="4253" w:type="dxa"/>
            <w:tcBorders>
              <w:bottom w:val="single" w:sz="4" w:space="0" w:color="auto"/>
            </w:tcBorders>
            <w:shd w:val="clear" w:color="auto" w:fill="auto"/>
            <w:tcMar>
              <w:top w:w="85" w:type="dxa"/>
              <w:bottom w:w="85" w:type="dxa"/>
              <w:right w:w="108" w:type="dxa"/>
            </w:tcMar>
          </w:tcPr>
          <w:p w:rsidR="003227AF" w:rsidRDefault="003227AF" w:rsidP="003227AF">
            <w:pPr>
              <w:spacing w:after="0"/>
              <w:rPr>
                <w:noProof/>
                <w:sz w:val="20"/>
              </w:rPr>
            </w:pPr>
            <w:r>
              <w:rPr>
                <w:noProof/>
                <w:sz w:val="20"/>
              </w:rPr>
              <w:t>Návrh SMERNICA EURÓPSKEHO PARLAMENTU A RADY, ktorou sa mení smernica 92/106/EHS o stanovení spoločných pravidiel pre určité typy kombinovanej dopravy tovaru medzi členskými štátmi</w:t>
            </w:r>
          </w:p>
        </w:tc>
        <w:tc>
          <w:tcPr>
            <w:tcW w:w="3544" w:type="dxa"/>
            <w:tcBorders>
              <w:bottom w:val="single" w:sz="4" w:space="0" w:color="auto"/>
            </w:tcBorders>
            <w:tcMar>
              <w:top w:w="85" w:type="dxa"/>
              <w:bottom w:w="85" w:type="dxa"/>
              <w:right w:w="108" w:type="dxa"/>
            </w:tcMar>
          </w:tcPr>
          <w:p w:rsidR="003227AF" w:rsidRDefault="003227AF" w:rsidP="003227AF">
            <w:pPr>
              <w:spacing w:after="0"/>
              <w:jc w:val="left"/>
              <w:rPr>
                <w:noProof/>
                <w:sz w:val="20"/>
              </w:rPr>
            </w:pPr>
            <w:r>
              <w:rPr>
                <w:noProof/>
                <w:sz w:val="20"/>
              </w:rPr>
              <w:t>Žiadne vyhliadky na dosiahnutie dohody: niekoľko navrhnutých zmien zasahuje do návrhu do tej miery, že bránia v dosiahnutí jeho cieľov. Okrem toho keďže v zmysle Európskeho ekologického dohovoru treba zvýšiť podiel udržateľných druhov dopravy na celkovej doprave, vyžaduje si to silnejšiu podporu multimodálnych riešení, a preto je súčasný návrh nedostatočný.</w:t>
            </w:r>
          </w:p>
        </w:tc>
        <w:tc>
          <w:tcPr>
            <w:tcW w:w="1275" w:type="dxa"/>
            <w:tcBorders>
              <w:bottom w:val="single" w:sz="4" w:space="0" w:color="auto"/>
            </w:tcBorders>
          </w:tcPr>
          <w:p w:rsidR="003227AF" w:rsidRPr="00FE2A32" w:rsidRDefault="003227AF" w:rsidP="00A026B9">
            <w:pPr>
              <w:spacing w:after="0"/>
              <w:ind w:left="4"/>
              <w:jc w:val="center"/>
              <w:rPr>
                <w:b/>
                <w:sz w:val="20"/>
              </w:rPr>
            </w:pPr>
            <w:r w:rsidRPr="00FE2A32">
              <w:rPr>
                <w:b/>
                <w:sz w:val="20"/>
              </w:rPr>
              <w:t>MDV SR</w:t>
            </w:r>
          </w:p>
        </w:tc>
        <w:tc>
          <w:tcPr>
            <w:tcW w:w="3403" w:type="dxa"/>
            <w:tcBorders>
              <w:bottom w:val="single" w:sz="4" w:space="0" w:color="auto"/>
            </w:tcBorders>
          </w:tcPr>
          <w:p w:rsidR="003227AF" w:rsidRPr="00FE2A32" w:rsidRDefault="003227AF" w:rsidP="003227AF">
            <w:pPr>
              <w:spacing w:after="0"/>
              <w:ind w:left="4"/>
              <w:rPr>
                <w:b/>
                <w:sz w:val="20"/>
                <w:u w:val="single"/>
              </w:rPr>
            </w:pPr>
            <w:r w:rsidRPr="00FE2A32">
              <w:rPr>
                <w:b/>
                <w:sz w:val="20"/>
                <w:u w:val="single"/>
              </w:rPr>
              <w:t>Vysoká priorita</w:t>
            </w:r>
            <w:r w:rsidRPr="00FE2A32">
              <w:rPr>
                <w:sz w:val="20"/>
              </w:rPr>
              <w:t xml:space="preserve"> -</w:t>
            </w:r>
            <w:r w:rsidRPr="00FE2A32">
              <w:rPr>
                <w:b/>
                <w:sz w:val="20"/>
              </w:rPr>
              <w:t xml:space="preserve"> </w:t>
            </w:r>
            <w:r>
              <w:rPr>
                <w:sz w:val="20"/>
              </w:rPr>
              <w:t>J</w:t>
            </w:r>
            <w:r w:rsidRPr="00411F72">
              <w:rPr>
                <w:sz w:val="20"/>
              </w:rPr>
              <w:t>ediný právny nástroj na úrovni EÚ, ktorý môže priamo stimulovať intermodálnu dopravu, a teda aj presun z cestnej nákladnej dopravy na energeticky efektívnejšie druhy dopravy</w:t>
            </w:r>
            <w:r>
              <w:rPr>
                <w:sz w:val="20"/>
              </w:rPr>
              <w:t>.Pre SR boli dôležité ustanovenia o povinnosti investovať do prekladiskových zariadení. SR má platné rozhodnutie o štátnej pomoci, ktoré neumožnilo vybudovať sieť štyroch intermodálnych terminálov. SR by preto nebola v pozícii implementovať ustanovenia o investíciách. Vzhľadom na zmeny oproti pôvodnému návrhu sa EK v súvislosti s EGD rozhodla návrh stiahnuť, pretože by dostatočne nespĺňal vytýčené ciele. Je preto potrebné počkať na nový návrh smernice.</w:t>
            </w:r>
          </w:p>
        </w:tc>
      </w:tr>
      <w:tr w:rsidR="003227AF" w:rsidTr="009D7E3B">
        <w:trPr>
          <w:cantSplit/>
        </w:trPr>
        <w:tc>
          <w:tcPr>
            <w:tcW w:w="511" w:type="dxa"/>
            <w:tcBorders>
              <w:bottom w:val="single" w:sz="4" w:space="0" w:color="auto"/>
              <w:right w:val="nil"/>
            </w:tcBorders>
            <w:shd w:val="clear" w:color="auto" w:fill="auto"/>
            <w:tcMar>
              <w:top w:w="85" w:type="dxa"/>
              <w:bottom w:w="85" w:type="dxa"/>
              <w:right w:w="108" w:type="dxa"/>
            </w:tcMar>
          </w:tcPr>
          <w:p w:rsidR="003227AF" w:rsidRDefault="003227AF" w:rsidP="003227AF">
            <w:pPr>
              <w:pStyle w:val="Odsekzoznamu"/>
              <w:numPr>
                <w:ilvl w:val="0"/>
                <w:numId w:val="21"/>
              </w:numPr>
              <w:spacing w:after="0"/>
              <w:ind w:left="426"/>
              <w:rPr>
                <w:noProof/>
                <w:sz w:val="20"/>
              </w:rPr>
            </w:pPr>
          </w:p>
        </w:tc>
        <w:tc>
          <w:tcPr>
            <w:tcW w:w="1752" w:type="dxa"/>
            <w:tcBorders>
              <w:bottom w:val="single" w:sz="4" w:space="0" w:color="auto"/>
            </w:tcBorders>
            <w:tcMar>
              <w:top w:w="85" w:type="dxa"/>
              <w:bottom w:w="85" w:type="dxa"/>
              <w:right w:w="108" w:type="dxa"/>
            </w:tcMar>
          </w:tcPr>
          <w:p w:rsidR="003227AF" w:rsidRPr="003B1CF2" w:rsidRDefault="003227AF" w:rsidP="003227AF">
            <w:pPr>
              <w:spacing w:after="0"/>
              <w:jc w:val="left"/>
              <w:rPr>
                <w:noProof/>
                <w:sz w:val="20"/>
              </w:rPr>
            </w:pPr>
            <w:r w:rsidRPr="003B1CF2">
              <w:rPr>
                <w:noProof/>
                <w:sz w:val="20"/>
              </w:rPr>
              <w:t>COM(2013) 20 final.</w:t>
            </w:r>
            <w:r w:rsidRPr="003B1CF2">
              <w:rPr>
                <w:noProof/>
                <w:sz w:val="20"/>
              </w:rPr>
              <w:br/>
              <w:t>2013/0011 (NLE)</w:t>
            </w:r>
            <w:r w:rsidRPr="003B1CF2">
              <w:rPr>
                <w:noProof/>
                <w:sz w:val="20"/>
              </w:rPr>
              <w:br/>
            </w:r>
          </w:p>
        </w:tc>
        <w:tc>
          <w:tcPr>
            <w:tcW w:w="4253" w:type="dxa"/>
            <w:tcBorders>
              <w:bottom w:val="single" w:sz="4" w:space="0" w:color="auto"/>
            </w:tcBorders>
            <w:shd w:val="clear" w:color="auto" w:fill="auto"/>
            <w:tcMar>
              <w:top w:w="85" w:type="dxa"/>
              <w:bottom w:w="85" w:type="dxa"/>
              <w:right w:w="108" w:type="dxa"/>
            </w:tcMar>
          </w:tcPr>
          <w:p w:rsidR="003227AF" w:rsidRPr="003B1CF2" w:rsidRDefault="003227AF" w:rsidP="003227AF">
            <w:pPr>
              <w:spacing w:after="0"/>
              <w:rPr>
                <w:noProof/>
                <w:sz w:val="20"/>
              </w:rPr>
            </w:pPr>
            <w:r w:rsidRPr="003B1CF2">
              <w:rPr>
                <w:noProof/>
                <w:sz w:val="20"/>
              </w:rPr>
              <w:t>Návrh ROZHODNUTIE RADY o predložení žiadostí v mene Európskej únie týkajúcich sa nových položiek v prílohe VIII alebo IX k Bazilejskému dohovoru o riadení pohybov nebezpečných odpadov cez hranice štátov a ich zneškodňovaní</w:t>
            </w:r>
          </w:p>
        </w:tc>
        <w:tc>
          <w:tcPr>
            <w:tcW w:w="3544" w:type="dxa"/>
            <w:tcBorders>
              <w:bottom w:val="single" w:sz="4" w:space="0" w:color="auto"/>
            </w:tcBorders>
            <w:tcMar>
              <w:top w:w="85" w:type="dxa"/>
              <w:bottom w:w="85" w:type="dxa"/>
              <w:right w:w="108" w:type="dxa"/>
            </w:tcMar>
          </w:tcPr>
          <w:p w:rsidR="003227AF" w:rsidRPr="003B1CF2" w:rsidRDefault="003227AF" w:rsidP="003227AF">
            <w:pPr>
              <w:spacing w:after="0"/>
              <w:jc w:val="left"/>
              <w:rPr>
                <w:noProof/>
                <w:sz w:val="20"/>
              </w:rPr>
            </w:pPr>
            <w:r w:rsidRPr="003B1CF2">
              <w:rPr>
                <w:noProof/>
                <w:sz w:val="20"/>
              </w:rPr>
              <w:t>Zastarané: návrh nebol prijatý pred stretnutím, na ktoré bol určený.</w:t>
            </w:r>
          </w:p>
        </w:tc>
        <w:tc>
          <w:tcPr>
            <w:tcW w:w="1275" w:type="dxa"/>
            <w:tcBorders>
              <w:bottom w:val="single" w:sz="4" w:space="0" w:color="auto"/>
            </w:tcBorders>
          </w:tcPr>
          <w:p w:rsidR="003227AF" w:rsidRPr="009D7A34" w:rsidRDefault="009D7A34" w:rsidP="009D7A34">
            <w:pPr>
              <w:spacing w:after="0"/>
              <w:jc w:val="center"/>
              <w:rPr>
                <w:b/>
                <w:noProof/>
                <w:sz w:val="20"/>
              </w:rPr>
            </w:pPr>
            <w:r w:rsidRPr="009D7A34">
              <w:rPr>
                <w:b/>
                <w:noProof/>
                <w:sz w:val="20"/>
              </w:rPr>
              <w:t>MŽP SR</w:t>
            </w:r>
          </w:p>
        </w:tc>
        <w:tc>
          <w:tcPr>
            <w:tcW w:w="3403" w:type="dxa"/>
            <w:tcBorders>
              <w:bottom w:val="single" w:sz="4" w:space="0" w:color="auto"/>
            </w:tcBorders>
          </w:tcPr>
          <w:p w:rsidR="003227AF" w:rsidRDefault="003227AF" w:rsidP="003227AF">
            <w:pPr>
              <w:spacing w:after="0"/>
              <w:jc w:val="left"/>
              <w:rPr>
                <w:noProof/>
                <w:sz w:val="20"/>
              </w:rPr>
            </w:pPr>
          </w:p>
        </w:tc>
      </w:tr>
      <w:tr w:rsidR="003227AF" w:rsidTr="009D7E3B">
        <w:trPr>
          <w:cantSplit/>
        </w:trPr>
        <w:tc>
          <w:tcPr>
            <w:tcW w:w="511" w:type="dxa"/>
            <w:tcBorders>
              <w:bottom w:val="single" w:sz="4" w:space="0" w:color="auto"/>
              <w:right w:val="nil"/>
            </w:tcBorders>
            <w:shd w:val="clear" w:color="auto" w:fill="auto"/>
            <w:tcMar>
              <w:top w:w="85" w:type="dxa"/>
              <w:bottom w:w="85" w:type="dxa"/>
              <w:right w:w="108" w:type="dxa"/>
            </w:tcMar>
          </w:tcPr>
          <w:p w:rsidR="003227AF" w:rsidRDefault="003227AF" w:rsidP="003227AF">
            <w:pPr>
              <w:pStyle w:val="Odsekzoznamu"/>
              <w:numPr>
                <w:ilvl w:val="0"/>
                <w:numId w:val="21"/>
              </w:numPr>
              <w:spacing w:after="0"/>
              <w:ind w:left="426"/>
              <w:rPr>
                <w:noProof/>
                <w:sz w:val="20"/>
              </w:rPr>
            </w:pPr>
          </w:p>
        </w:tc>
        <w:tc>
          <w:tcPr>
            <w:tcW w:w="1752" w:type="dxa"/>
            <w:tcBorders>
              <w:bottom w:val="single" w:sz="4" w:space="0" w:color="auto"/>
            </w:tcBorders>
            <w:tcMar>
              <w:top w:w="85" w:type="dxa"/>
              <w:bottom w:w="85" w:type="dxa"/>
              <w:right w:w="108" w:type="dxa"/>
            </w:tcMar>
          </w:tcPr>
          <w:p w:rsidR="003227AF" w:rsidRPr="003B1CF2" w:rsidRDefault="003227AF" w:rsidP="003227AF">
            <w:pPr>
              <w:spacing w:after="0"/>
              <w:jc w:val="left"/>
              <w:rPr>
                <w:noProof/>
                <w:sz w:val="20"/>
              </w:rPr>
            </w:pPr>
            <w:r w:rsidRPr="003B1CF2">
              <w:rPr>
                <w:noProof/>
                <w:sz w:val="20"/>
              </w:rPr>
              <w:t>COM(2018) 731 final.</w:t>
            </w:r>
            <w:r w:rsidRPr="003B1CF2">
              <w:rPr>
                <w:noProof/>
                <w:sz w:val="20"/>
              </w:rPr>
              <w:br/>
              <w:t>2018/0379 (NLE)</w:t>
            </w:r>
            <w:r w:rsidRPr="003B1CF2">
              <w:rPr>
                <w:noProof/>
                <w:sz w:val="20"/>
              </w:rPr>
              <w:br/>
            </w:r>
          </w:p>
        </w:tc>
        <w:tc>
          <w:tcPr>
            <w:tcW w:w="4253" w:type="dxa"/>
            <w:tcBorders>
              <w:bottom w:val="single" w:sz="4" w:space="0" w:color="auto"/>
            </w:tcBorders>
            <w:shd w:val="clear" w:color="auto" w:fill="auto"/>
            <w:tcMar>
              <w:top w:w="85" w:type="dxa"/>
              <w:bottom w:w="85" w:type="dxa"/>
              <w:right w:w="108" w:type="dxa"/>
            </w:tcMar>
          </w:tcPr>
          <w:p w:rsidR="003227AF" w:rsidRPr="003B1CF2" w:rsidRDefault="003227AF" w:rsidP="003227AF">
            <w:pPr>
              <w:spacing w:after="0"/>
              <w:jc w:val="left"/>
              <w:rPr>
                <w:noProof/>
                <w:sz w:val="20"/>
              </w:rPr>
            </w:pPr>
            <w:r w:rsidRPr="003B1CF2">
              <w:rPr>
                <w:noProof/>
                <w:sz w:val="20"/>
              </w:rPr>
              <w:t>Návrh ROZHODNUTIE RADY o pozícii, ktorá sa má zaujať v mene Európskej únie na tridsiatom ôsmom zasadnutí Stáleho výboru pre Dohovor o ochrane európskych voľne žijúcich organizmov a prírodných stanovíšť, so zreteľom na zmeny prílohy II a III</w:t>
            </w:r>
          </w:p>
        </w:tc>
        <w:tc>
          <w:tcPr>
            <w:tcW w:w="3544" w:type="dxa"/>
            <w:tcBorders>
              <w:bottom w:val="single" w:sz="4" w:space="0" w:color="auto"/>
            </w:tcBorders>
            <w:tcMar>
              <w:top w:w="85" w:type="dxa"/>
              <w:bottom w:w="85" w:type="dxa"/>
              <w:right w:w="108" w:type="dxa"/>
            </w:tcMar>
          </w:tcPr>
          <w:p w:rsidR="003227AF" w:rsidRPr="003B1CF2" w:rsidRDefault="003227AF" w:rsidP="003227AF">
            <w:pPr>
              <w:spacing w:after="0"/>
              <w:jc w:val="left"/>
              <w:rPr>
                <w:noProof/>
                <w:sz w:val="20"/>
              </w:rPr>
            </w:pPr>
            <w:r w:rsidRPr="003B1CF2">
              <w:rPr>
                <w:noProof/>
                <w:sz w:val="20"/>
              </w:rPr>
              <w:t xml:space="preserve">Zastarané: návrh nebol prijatý pred stretnutím, na ktoré bol určený.  </w:t>
            </w:r>
          </w:p>
        </w:tc>
        <w:tc>
          <w:tcPr>
            <w:tcW w:w="1275" w:type="dxa"/>
            <w:tcBorders>
              <w:bottom w:val="single" w:sz="4" w:space="0" w:color="auto"/>
            </w:tcBorders>
          </w:tcPr>
          <w:p w:rsidR="003227AF" w:rsidRPr="00F02333" w:rsidRDefault="00F02333" w:rsidP="00F02333">
            <w:pPr>
              <w:spacing w:after="0"/>
              <w:jc w:val="center"/>
              <w:rPr>
                <w:b/>
                <w:noProof/>
                <w:sz w:val="20"/>
              </w:rPr>
            </w:pPr>
            <w:r w:rsidRPr="00F02333">
              <w:rPr>
                <w:b/>
                <w:noProof/>
                <w:sz w:val="20"/>
              </w:rPr>
              <w:t>MŽP SR</w:t>
            </w:r>
          </w:p>
        </w:tc>
        <w:tc>
          <w:tcPr>
            <w:tcW w:w="3403" w:type="dxa"/>
            <w:tcBorders>
              <w:bottom w:val="single" w:sz="4" w:space="0" w:color="auto"/>
            </w:tcBorders>
          </w:tcPr>
          <w:p w:rsidR="003227AF" w:rsidRDefault="00D44BCA" w:rsidP="00D44BCA">
            <w:pPr>
              <w:spacing w:after="0"/>
              <w:rPr>
                <w:noProof/>
                <w:sz w:val="20"/>
              </w:rPr>
            </w:pPr>
            <w:r w:rsidRPr="00D44BCA">
              <w:rPr>
                <w:b/>
                <w:noProof/>
                <w:sz w:val="20"/>
                <w:u w:val="single"/>
              </w:rPr>
              <w:t>Vysoká priorita</w:t>
            </w:r>
            <w:r>
              <w:rPr>
                <w:noProof/>
                <w:sz w:val="20"/>
              </w:rPr>
              <w:t xml:space="preserve"> – vzhľadom na citlivosť témy regulácie populácie vlka dravého je potrebné uvedenému venovať zvýšenú pozornosť. Pre druh bernikla bielolíca nie je areálovým štátom, návrh na zníženie ochrany druhu však koliduje s jeho zaradením v Prílohe I Smernice EÚ o vtákoch.Slovensko podporuje stiahnutie návrhuTento návrh sa týka rozhodnutia, ktorým sa stanovuje pozícia, ktorá sa mala prijať v mene Únie vzhľadom na tridsiate ôsme výročné zasadnutie Stáleho výboru pre Dohovor o ochrane európskych voľne žijúcich organizmov a prírodných stanovíšť, ktorý sa konal 27. až 30. novembra 2018 vo francúzskom Štrasburgu, v súvislosti s plánovaným prijatím rozhodnutia Stálym výborom o dvoch zmenách týkajúcich sa prílohy II a prílohy III k dohovoru – presunutie druhov vlk dravý a bernikla bielolíca z prílohy II do prílohy II dohovoru, čo by znamenalo zníženie ich ochrany.</w:t>
            </w:r>
          </w:p>
        </w:tc>
      </w:tr>
      <w:tr w:rsidR="003227AF" w:rsidTr="009D7E3B">
        <w:trPr>
          <w:cantSplit/>
        </w:trPr>
        <w:tc>
          <w:tcPr>
            <w:tcW w:w="511" w:type="dxa"/>
            <w:tcBorders>
              <w:bottom w:val="single" w:sz="4" w:space="0" w:color="auto"/>
              <w:right w:val="nil"/>
            </w:tcBorders>
            <w:shd w:val="clear" w:color="auto" w:fill="auto"/>
            <w:tcMar>
              <w:top w:w="85" w:type="dxa"/>
              <w:bottom w:w="85" w:type="dxa"/>
              <w:right w:w="108" w:type="dxa"/>
            </w:tcMar>
          </w:tcPr>
          <w:p w:rsidR="003227AF" w:rsidRDefault="003227AF" w:rsidP="003227AF">
            <w:pPr>
              <w:pStyle w:val="Odsekzoznamu"/>
              <w:numPr>
                <w:ilvl w:val="0"/>
                <w:numId w:val="21"/>
              </w:numPr>
              <w:spacing w:after="0"/>
              <w:ind w:left="426"/>
              <w:rPr>
                <w:noProof/>
                <w:sz w:val="20"/>
              </w:rPr>
            </w:pPr>
          </w:p>
        </w:tc>
        <w:tc>
          <w:tcPr>
            <w:tcW w:w="1752" w:type="dxa"/>
            <w:tcBorders>
              <w:bottom w:val="single" w:sz="4" w:space="0" w:color="auto"/>
            </w:tcBorders>
            <w:tcMar>
              <w:top w:w="85" w:type="dxa"/>
              <w:bottom w:w="85" w:type="dxa"/>
              <w:right w:w="108" w:type="dxa"/>
            </w:tcMar>
          </w:tcPr>
          <w:p w:rsidR="003227AF" w:rsidRPr="003B1CF2" w:rsidRDefault="003227AF" w:rsidP="003227AF">
            <w:pPr>
              <w:spacing w:after="0"/>
              <w:jc w:val="left"/>
              <w:rPr>
                <w:noProof/>
                <w:sz w:val="20"/>
              </w:rPr>
            </w:pPr>
            <w:r w:rsidRPr="003B1CF2">
              <w:rPr>
                <w:noProof/>
                <w:sz w:val="20"/>
              </w:rPr>
              <w:t>COM(2019) 494 final.</w:t>
            </w:r>
            <w:r w:rsidRPr="003B1CF2">
              <w:rPr>
                <w:noProof/>
                <w:sz w:val="20"/>
              </w:rPr>
              <w:br/>
              <w:t>2019/0241 (NLE)</w:t>
            </w:r>
          </w:p>
        </w:tc>
        <w:tc>
          <w:tcPr>
            <w:tcW w:w="4253" w:type="dxa"/>
            <w:tcBorders>
              <w:bottom w:val="single" w:sz="4" w:space="0" w:color="auto"/>
            </w:tcBorders>
            <w:shd w:val="clear" w:color="auto" w:fill="auto"/>
            <w:tcMar>
              <w:top w:w="85" w:type="dxa"/>
              <w:bottom w:w="85" w:type="dxa"/>
              <w:right w:w="108" w:type="dxa"/>
            </w:tcMar>
          </w:tcPr>
          <w:p w:rsidR="003227AF" w:rsidRPr="003B1CF2" w:rsidRDefault="003227AF" w:rsidP="003227AF">
            <w:pPr>
              <w:spacing w:after="0"/>
              <w:jc w:val="left"/>
              <w:rPr>
                <w:noProof/>
                <w:sz w:val="20"/>
              </w:rPr>
            </w:pPr>
            <w:r w:rsidRPr="003B1CF2">
              <w:rPr>
                <w:noProof/>
                <w:sz w:val="20"/>
              </w:rPr>
              <w:t>Návrh ROZHODNUTIE RADY o pozícii, ktorá sa má zaujať v mene Európskej únie na tridsiatom deviatom zasadnutí stáleho výboru Dohovoru o ochrane európskych voľne žijúcich organizmov a prírodných stanovíšť v súvislosti so zmenami prílohy II a prílohy III k uvedenému dohovoru</w:t>
            </w:r>
          </w:p>
        </w:tc>
        <w:tc>
          <w:tcPr>
            <w:tcW w:w="3544" w:type="dxa"/>
            <w:tcBorders>
              <w:bottom w:val="single" w:sz="4" w:space="0" w:color="auto"/>
            </w:tcBorders>
            <w:tcMar>
              <w:top w:w="85" w:type="dxa"/>
              <w:bottom w:w="85" w:type="dxa"/>
              <w:right w:w="108" w:type="dxa"/>
            </w:tcMar>
          </w:tcPr>
          <w:p w:rsidR="003227AF" w:rsidRPr="003B1CF2" w:rsidRDefault="003227AF" w:rsidP="003227AF">
            <w:pPr>
              <w:spacing w:after="0"/>
              <w:jc w:val="left"/>
              <w:rPr>
                <w:noProof/>
                <w:sz w:val="20"/>
              </w:rPr>
            </w:pPr>
            <w:r w:rsidRPr="003B1CF2">
              <w:rPr>
                <w:noProof/>
                <w:sz w:val="20"/>
              </w:rPr>
              <w:t>Zastarané: návrh nebol prijatý pred stretnutím, na ktoré bol určený.</w:t>
            </w:r>
          </w:p>
        </w:tc>
        <w:tc>
          <w:tcPr>
            <w:tcW w:w="1275" w:type="dxa"/>
            <w:tcBorders>
              <w:bottom w:val="single" w:sz="4" w:space="0" w:color="auto"/>
            </w:tcBorders>
          </w:tcPr>
          <w:p w:rsidR="003227AF" w:rsidRDefault="00D44BCA" w:rsidP="009D7A34">
            <w:pPr>
              <w:spacing w:after="0"/>
              <w:jc w:val="center"/>
              <w:rPr>
                <w:noProof/>
                <w:sz w:val="20"/>
              </w:rPr>
            </w:pPr>
            <w:r w:rsidRPr="00D44BCA">
              <w:rPr>
                <w:b/>
                <w:noProof/>
                <w:sz w:val="20"/>
              </w:rPr>
              <w:t>MŽP SR</w:t>
            </w:r>
          </w:p>
        </w:tc>
        <w:tc>
          <w:tcPr>
            <w:tcW w:w="3403" w:type="dxa"/>
            <w:tcBorders>
              <w:bottom w:val="single" w:sz="4" w:space="0" w:color="auto"/>
            </w:tcBorders>
          </w:tcPr>
          <w:p w:rsidR="003227AF" w:rsidRDefault="00D44BCA" w:rsidP="00D44BCA">
            <w:pPr>
              <w:spacing w:after="0"/>
              <w:rPr>
                <w:noProof/>
                <w:sz w:val="20"/>
              </w:rPr>
            </w:pPr>
            <w:r w:rsidRPr="00D44BCA">
              <w:rPr>
                <w:b/>
                <w:noProof/>
                <w:sz w:val="20"/>
                <w:u w:val="single"/>
              </w:rPr>
              <w:t>Stredná priorita</w:t>
            </w:r>
            <w:r>
              <w:rPr>
                <w:noProof/>
                <w:sz w:val="20"/>
              </w:rPr>
              <w:t xml:space="preserve"> – pre druh bernikla bielolíca nie je areálovým štátom, návrh na zníženie ochrany druhu však koliduje s jeho zaradením v Prílohe I Smernice EÚ o vtákoch.Tento návrh sa týka rozhodnutia, ktorým sa stanovuje pozícia, ktorá sa má zaujať vmene Únie na tridsiatom deviatom výročnom zasadnutí stáleho výboru Dohovoru oochrane európskych voľne žijúcich organizmov a prírodných stanovíšť, ktoré sa konalo 3. až 6. decembra 2019 vo francúzskom Štrasburgu v súvislosti s plánovaným prijatím rozhodnutia stálym výborom o zmenách týkajúcich sa prílohy II aprílohy III k dohovoru – presunutie druhu brnikla bielolíca z prílohy II do prílohy III dohovoru, čo znamenalo zníženie jeho ochrany. </w:t>
            </w:r>
          </w:p>
        </w:tc>
      </w:tr>
      <w:tr w:rsidR="003227AF" w:rsidTr="009D7E3B">
        <w:trPr>
          <w:cantSplit/>
          <w:trHeight w:val="15"/>
        </w:trPr>
        <w:tc>
          <w:tcPr>
            <w:tcW w:w="511" w:type="dxa"/>
            <w:tcBorders>
              <w:bottom w:val="single" w:sz="4" w:space="0" w:color="auto"/>
              <w:right w:val="nil"/>
            </w:tcBorders>
            <w:shd w:val="clear" w:color="auto" w:fill="auto"/>
            <w:tcMar>
              <w:top w:w="85" w:type="dxa"/>
              <w:bottom w:w="85" w:type="dxa"/>
              <w:right w:w="108" w:type="dxa"/>
            </w:tcMar>
          </w:tcPr>
          <w:p w:rsidR="003227AF" w:rsidRDefault="003227AF" w:rsidP="003227AF">
            <w:pPr>
              <w:pStyle w:val="Odsekzoznamu"/>
              <w:numPr>
                <w:ilvl w:val="0"/>
                <w:numId w:val="21"/>
              </w:numPr>
              <w:spacing w:after="0"/>
              <w:ind w:left="426"/>
              <w:rPr>
                <w:noProof/>
                <w:sz w:val="20"/>
              </w:rPr>
            </w:pPr>
          </w:p>
        </w:tc>
        <w:tc>
          <w:tcPr>
            <w:tcW w:w="1752" w:type="dxa"/>
            <w:tcBorders>
              <w:bottom w:val="single" w:sz="4" w:space="0" w:color="auto"/>
            </w:tcBorders>
            <w:tcMar>
              <w:top w:w="85" w:type="dxa"/>
              <w:bottom w:w="85" w:type="dxa"/>
              <w:right w:w="108" w:type="dxa"/>
            </w:tcMar>
          </w:tcPr>
          <w:p w:rsidR="003227AF" w:rsidRPr="003B1CF2" w:rsidRDefault="003227AF" w:rsidP="003227AF">
            <w:pPr>
              <w:spacing w:after="0"/>
              <w:jc w:val="left"/>
              <w:rPr>
                <w:noProof/>
                <w:sz w:val="20"/>
              </w:rPr>
            </w:pPr>
            <w:r w:rsidRPr="003B1CF2">
              <w:rPr>
                <w:noProof/>
                <w:sz w:val="20"/>
              </w:rPr>
              <w:t>KOM(2009) 585 v konečnom znení.</w:t>
            </w:r>
            <w:r w:rsidRPr="003B1CF2">
              <w:rPr>
                <w:noProof/>
                <w:sz w:val="20"/>
              </w:rPr>
              <w:br/>
              <w:t>26. 10. 2009</w:t>
            </w:r>
          </w:p>
        </w:tc>
        <w:tc>
          <w:tcPr>
            <w:tcW w:w="4253" w:type="dxa"/>
            <w:tcBorders>
              <w:bottom w:val="single" w:sz="4" w:space="0" w:color="auto"/>
            </w:tcBorders>
            <w:shd w:val="clear" w:color="auto" w:fill="auto"/>
            <w:tcMar>
              <w:top w:w="85" w:type="dxa"/>
              <w:bottom w:w="85" w:type="dxa"/>
              <w:right w:w="108" w:type="dxa"/>
            </w:tcMar>
          </w:tcPr>
          <w:p w:rsidR="003227AF" w:rsidRPr="003B1CF2" w:rsidRDefault="003227AF" w:rsidP="003227AF">
            <w:pPr>
              <w:spacing w:after="0"/>
              <w:jc w:val="left"/>
              <w:rPr>
                <w:noProof/>
                <w:sz w:val="20"/>
              </w:rPr>
            </w:pPr>
            <w:r w:rsidRPr="003B1CF2">
              <w:rPr>
                <w:noProof/>
                <w:sz w:val="20"/>
              </w:rPr>
              <w:t>Návrh rozhodnutia Rady, ktorým sa ustanovuje pozícia, ktorá sa má v mene Európskeho spoločenstva zaujať, pokiaľ ide o návrhy na zmenu a doplnenie príloh II a III k protokolu týkajúcemu sa osobitne chránených oblastí a biologickej diverzity v Stredozemnom mori k Dohovoru o ochrane morského prostredia a pobrežných oblastí Stredozemného mora (Barcelonský dohovor) na šestnástom zasadnutí zmluvných strán</w:t>
            </w:r>
          </w:p>
        </w:tc>
        <w:tc>
          <w:tcPr>
            <w:tcW w:w="3544" w:type="dxa"/>
            <w:tcBorders>
              <w:bottom w:val="single" w:sz="4" w:space="0" w:color="auto"/>
            </w:tcBorders>
            <w:tcMar>
              <w:top w:w="85" w:type="dxa"/>
              <w:bottom w:w="85" w:type="dxa"/>
              <w:right w:w="108" w:type="dxa"/>
            </w:tcMar>
          </w:tcPr>
          <w:p w:rsidR="003227AF" w:rsidRPr="003B1CF2" w:rsidRDefault="003227AF" w:rsidP="003227AF">
            <w:pPr>
              <w:spacing w:after="0"/>
              <w:jc w:val="left"/>
              <w:rPr>
                <w:noProof/>
                <w:sz w:val="20"/>
              </w:rPr>
            </w:pPr>
            <w:r w:rsidRPr="003B1CF2">
              <w:rPr>
                <w:noProof/>
                <w:sz w:val="20"/>
              </w:rPr>
              <w:t>Zastarané: návrh nebol prijatý pred stretnutím, na ktoré bol určený.</w:t>
            </w:r>
          </w:p>
        </w:tc>
        <w:tc>
          <w:tcPr>
            <w:tcW w:w="1275" w:type="dxa"/>
            <w:tcBorders>
              <w:bottom w:val="single" w:sz="4" w:space="0" w:color="auto"/>
            </w:tcBorders>
          </w:tcPr>
          <w:p w:rsidR="003227AF" w:rsidRPr="00D44BCA" w:rsidRDefault="00D44BCA" w:rsidP="00D44BCA">
            <w:pPr>
              <w:spacing w:after="0"/>
              <w:jc w:val="center"/>
              <w:rPr>
                <w:b/>
                <w:noProof/>
                <w:sz w:val="20"/>
              </w:rPr>
            </w:pPr>
            <w:r w:rsidRPr="00D44BCA">
              <w:rPr>
                <w:b/>
                <w:noProof/>
                <w:sz w:val="20"/>
              </w:rPr>
              <w:t>MŽP SR</w:t>
            </w:r>
          </w:p>
        </w:tc>
        <w:tc>
          <w:tcPr>
            <w:tcW w:w="3403" w:type="dxa"/>
            <w:tcBorders>
              <w:bottom w:val="single" w:sz="4" w:space="0" w:color="auto"/>
            </w:tcBorders>
          </w:tcPr>
          <w:p w:rsidR="003227AF" w:rsidRDefault="00D44BCA" w:rsidP="00D44BCA">
            <w:pPr>
              <w:spacing w:after="0"/>
              <w:rPr>
                <w:sz w:val="20"/>
              </w:rPr>
            </w:pPr>
            <w:r w:rsidRPr="00D44BCA">
              <w:rPr>
                <w:b/>
                <w:sz w:val="20"/>
                <w:u w:val="single"/>
              </w:rPr>
              <w:t>Nízka priorita</w:t>
            </w:r>
            <w:r w:rsidRPr="00D44BCA">
              <w:rPr>
                <w:sz w:val="20"/>
              </w:rPr>
              <w:t xml:space="preserve"> - SR z pozície vnútrozemského ČŠ podporuje uvedené ambície.Tento návrh sa týka poverernia a splnomocnenia Komisie vo veci  podpory  úpravy  názvov  niektorých  druhov  na  zozname   druhov   v   prílohách   II   a   III   k protokolu, ako aj vo veci podpory doplnenia druhov uvedených v bode 2 jediného článku tohto rozhodnutia do prílohy II a doplnenia druhov uvedených v bode 3 jediného článku tohto rozhodnutia do prílohy III.</w:t>
            </w:r>
          </w:p>
        </w:tc>
      </w:tr>
      <w:tr w:rsidR="003227AF" w:rsidTr="009D7E3B">
        <w:trPr>
          <w:cantSplit/>
        </w:trPr>
        <w:tc>
          <w:tcPr>
            <w:tcW w:w="10060" w:type="dxa"/>
            <w:gridSpan w:val="4"/>
            <w:shd w:val="clear" w:color="auto" w:fill="18BAA8" w:themeFill="accent2"/>
            <w:tcMar>
              <w:top w:w="85" w:type="dxa"/>
              <w:bottom w:w="85" w:type="dxa"/>
              <w:right w:w="85" w:type="dxa"/>
            </w:tcMar>
          </w:tcPr>
          <w:p w:rsidR="003227AF" w:rsidRDefault="003227AF" w:rsidP="003227AF">
            <w:pPr>
              <w:keepNext/>
              <w:spacing w:before="60" w:after="60"/>
              <w:rPr>
                <w:noProof/>
                <w:sz w:val="20"/>
              </w:rPr>
            </w:pPr>
            <w:r>
              <w:rPr>
                <w:b/>
                <w:bCs/>
                <w:noProof/>
                <w:color w:val="FFFFFF" w:themeColor="background1"/>
                <w:sz w:val="20"/>
              </w:rPr>
              <w:t>Európa pripravená na digitálny vek</w:t>
            </w:r>
          </w:p>
        </w:tc>
        <w:tc>
          <w:tcPr>
            <w:tcW w:w="1275" w:type="dxa"/>
            <w:shd w:val="clear" w:color="auto" w:fill="18BAA8" w:themeFill="accent2"/>
          </w:tcPr>
          <w:p w:rsidR="003227AF" w:rsidRDefault="003227AF" w:rsidP="003227AF">
            <w:pPr>
              <w:keepNext/>
              <w:spacing w:before="60" w:after="60"/>
              <w:rPr>
                <w:b/>
                <w:bCs/>
                <w:noProof/>
                <w:color w:val="FFFFFF" w:themeColor="background1"/>
                <w:sz w:val="20"/>
              </w:rPr>
            </w:pPr>
          </w:p>
        </w:tc>
        <w:tc>
          <w:tcPr>
            <w:tcW w:w="3403" w:type="dxa"/>
            <w:shd w:val="clear" w:color="auto" w:fill="18BAA8" w:themeFill="accent2"/>
          </w:tcPr>
          <w:p w:rsidR="003227AF" w:rsidRDefault="003227AF" w:rsidP="003227AF">
            <w:pPr>
              <w:keepNext/>
              <w:spacing w:before="60" w:after="60"/>
              <w:rPr>
                <w:b/>
                <w:bCs/>
                <w:noProof/>
                <w:color w:val="FFFFFF" w:themeColor="background1"/>
                <w:sz w:val="20"/>
              </w:rPr>
            </w:pPr>
          </w:p>
        </w:tc>
      </w:tr>
      <w:tr w:rsidR="003227AF" w:rsidTr="009D7E3B">
        <w:trPr>
          <w:cantSplit/>
        </w:trPr>
        <w:tc>
          <w:tcPr>
            <w:tcW w:w="511" w:type="dxa"/>
            <w:tcBorders>
              <w:right w:val="nil"/>
            </w:tcBorders>
            <w:shd w:val="clear" w:color="auto" w:fill="auto"/>
            <w:tcMar>
              <w:top w:w="85" w:type="dxa"/>
              <w:bottom w:w="85" w:type="dxa"/>
              <w:right w:w="108" w:type="dxa"/>
            </w:tcMar>
          </w:tcPr>
          <w:p w:rsidR="003227AF" w:rsidRDefault="003227AF" w:rsidP="003227AF">
            <w:pPr>
              <w:pStyle w:val="Odsekzoznamu"/>
              <w:numPr>
                <w:ilvl w:val="0"/>
                <w:numId w:val="21"/>
              </w:numPr>
              <w:spacing w:after="0"/>
              <w:ind w:left="426"/>
              <w:rPr>
                <w:noProof/>
                <w:sz w:val="20"/>
              </w:rPr>
            </w:pPr>
          </w:p>
        </w:tc>
        <w:tc>
          <w:tcPr>
            <w:tcW w:w="1752" w:type="dxa"/>
            <w:tcMar>
              <w:top w:w="85" w:type="dxa"/>
              <w:bottom w:w="85" w:type="dxa"/>
              <w:right w:w="108" w:type="dxa"/>
            </w:tcMar>
          </w:tcPr>
          <w:p w:rsidR="003227AF" w:rsidRDefault="003227AF" w:rsidP="003227AF">
            <w:pPr>
              <w:jc w:val="left"/>
              <w:rPr>
                <w:noProof/>
                <w:sz w:val="20"/>
              </w:rPr>
            </w:pPr>
            <w:r>
              <w:rPr>
                <w:noProof/>
                <w:sz w:val="20"/>
              </w:rPr>
              <w:t>COM(2017) 257 final.</w:t>
            </w:r>
            <w:r>
              <w:rPr>
                <w:noProof/>
                <w:sz w:val="20"/>
              </w:rPr>
              <w:br/>
              <w:t>2017/0087 (COD)</w:t>
            </w:r>
          </w:p>
        </w:tc>
        <w:tc>
          <w:tcPr>
            <w:tcW w:w="4253" w:type="dxa"/>
            <w:shd w:val="clear" w:color="auto" w:fill="auto"/>
            <w:tcMar>
              <w:top w:w="85" w:type="dxa"/>
              <w:bottom w:w="85" w:type="dxa"/>
              <w:right w:w="108" w:type="dxa"/>
            </w:tcMar>
          </w:tcPr>
          <w:p w:rsidR="003227AF" w:rsidRDefault="003227AF" w:rsidP="003227AF">
            <w:pPr>
              <w:spacing w:after="0"/>
              <w:rPr>
                <w:noProof/>
                <w:sz w:val="20"/>
              </w:rPr>
            </w:pPr>
            <w:r>
              <w:rPr>
                <w:noProof/>
                <w:sz w:val="20"/>
              </w:rPr>
              <w:t>Návrh NARIADENIE EURÓPSKEHO PARLAMENTU A RADY o stanovení podmienok a postupu, na základe ktorých môže Komisia požiadať podniky a združenia podnikov o poskytnutie informácií týkajúcich sa vnútorného trhu a súvisiacich oblastí</w:t>
            </w:r>
          </w:p>
        </w:tc>
        <w:tc>
          <w:tcPr>
            <w:tcW w:w="3544" w:type="dxa"/>
            <w:tcMar>
              <w:top w:w="85" w:type="dxa"/>
              <w:bottom w:w="85" w:type="dxa"/>
              <w:right w:w="108" w:type="dxa"/>
            </w:tcMar>
          </w:tcPr>
          <w:p w:rsidR="003227AF" w:rsidRDefault="003227AF" w:rsidP="003227AF">
            <w:pPr>
              <w:spacing w:after="0"/>
              <w:jc w:val="left"/>
              <w:rPr>
                <w:noProof/>
                <w:sz w:val="20"/>
                <w:highlight w:val="yellow"/>
              </w:rPr>
            </w:pPr>
            <w:r>
              <w:rPr>
                <w:noProof/>
                <w:sz w:val="20"/>
              </w:rPr>
              <w:t xml:space="preserve">Žiadne vyhliadky na dosiahnutie dohody: diskusie v Rade sa od marca 2018 zastavili. </w:t>
            </w:r>
          </w:p>
        </w:tc>
        <w:tc>
          <w:tcPr>
            <w:tcW w:w="1275" w:type="dxa"/>
          </w:tcPr>
          <w:p w:rsidR="003227AF" w:rsidRPr="000F3FD5" w:rsidRDefault="003227AF" w:rsidP="003227AF">
            <w:pPr>
              <w:spacing w:after="0"/>
              <w:jc w:val="center"/>
              <w:rPr>
                <w:b/>
                <w:noProof/>
                <w:sz w:val="20"/>
              </w:rPr>
            </w:pPr>
            <w:r w:rsidRPr="000F3FD5">
              <w:rPr>
                <w:b/>
                <w:noProof/>
                <w:sz w:val="20"/>
              </w:rPr>
              <w:t>MH SR</w:t>
            </w:r>
          </w:p>
        </w:tc>
        <w:tc>
          <w:tcPr>
            <w:tcW w:w="3403" w:type="dxa"/>
          </w:tcPr>
          <w:p w:rsidR="003227AF" w:rsidRDefault="003227AF" w:rsidP="003227AF">
            <w:pPr>
              <w:spacing w:after="0"/>
              <w:rPr>
                <w:noProof/>
                <w:sz w:val="20"/>
              </w:rPr>
            </w:pPr>
            <w:r>
              <w:rPr>
                <w:sz w:val="20"/>
              </w:rPr>
              <w:t>SR súhlasí so stiahnutím návrhu vzhľadom na značne rozdielne názory medzi ČŠ. SR malo o návrhu pochybnosti a výhrady.</w:t>
            </w:r>
          </w:p>
        </w:tc>
      </w:tr>
      <w:tr w:rsidR="003227AF" w:rsidTr="009D7E3B">
        <w:trPr>
          <w:cantSplit/>
        </w:trPr>
        <w:tc>
          <w:tcPr>
            <w:tcW w:w="511" w:type="dxa"/>
            <w:tcBorders>
              <w:right w:val="nil"/>
            </w:tcBorders>
            <w:shd w:val="clear" w:color="auto" w:fill="auto"/>
            <w:tcMar>
              <w:top w:w="85" w:type="dxa"/>
              <w:bottom w:w="85" w:type="dxa"/>
              <w:right w:w="108" w:type="dxa"/>
            </w:tcMar>
          </w:tcPr>
          <w:p w:rsidR="003227AF" w:rsidRDefault="003227AF" w:rsidP="003227AF">
            <w:pPr>
              <w:pStyle w:val="Odsekzoznamu"/>
              <w:numPr>
                <w:ilvl w:val="0"/>
                <w:numId w:val="21"/>
              </w:numPr>
              <w:spacing w:after="0"/>
              <w:ind w:left="426"/>
              <w:rPr>
                <w:noProof/>
                <w:sz w:val="20"/>
              </w:rPr>
            </w:pPr>
          </w:p>
        </w:tc>
        <w:tc>
          <w:tcPr>
            <w:tcW w:w="1752" w:type="dxa"/>
            <w:tcMar>
              <w:top w:w="85" w:type="dxa"/>
              <w:bottom w:w="85" w:type="dxa"/>
              <w:right w:w="108" w:type="dxa"/>
            </w:tcMar>
          </w:tcPr>
          <w:p w:rsidR="003227AF" w:rsidRDefault="003227AF" w:rsidP="003227AF">
            <w:pPr>
              <w:jc w:val="left"/>
              <w:rPr>
                <w:noProof/>
                <w:sz w:val="20"/>
              </w:rPr>
            </w:pPr>
            <w:r>
              <w:rPr>
                <w:noProof/>
                <w:sz w:val="20"/>
              </w:rPr>
              <w:t>COM(2014) 28 final.</w:t>
            </w:r>
            <w:r>
              <w:rPr>
                <w:noProof/>
                <w:sz w:val="20"/>
              </w:rPr>
              <w:br/>
              <w:t>2014/0012 (COD)</w:t>
            </w:r>
          </w:p>
        </w:tc>
        <w:tc>
          <w:tcPr>
            <w:tcW w:w="4253" w:type="dxa"/>
            <w:shd w:val="clear" w:color="auto" w:fill="auto"/>
            <w:tcMar>
              <w:top w:w="85" w:type="dxa"/>
              <w:bottom w:w="85" w:type="dxa"/>
              <w:right w:w="108" w:type="dxa"/>
            </w:tcMar>
          </w:tcPr>
          <w:p w:rsidR="003227AF" w:rsidRDefault="003227AF" w:rsidP="003227AF">
            <w:pPr>
              <w:spacing w:after="0"/>
              <w:rPr>
                <w:noProof/>
                <w:sz w:val="20"/>
              </w:rPr>
            </w:pPr>
            <w:r>
              <w:rPr>
                <w:noProof/>
                <w:sz w:val="20"/>
              </w:rPr>
              <w:t>Návrh NARIADENIE EURÓPSKEHO PARLAMENTU A RADY, ktorým sa mení nariadenie (ES) č. 715/2007 a nariadenie (ES) č. 595/2009, pokiaľ ide o zníženie emisií znečisťujúcich látok z cestných vozidiel</w:t>
            </w:r>
          </w:p>
        </w:tc>
        <w:tc>
          <w:tcPr>
            <w:tcW w:w="3544" w:type="dxa"/>
            <w:tcMar>
              <w:top w:w="85" w:type="dxa"/>
              <w:bottom w:w="85" w:type="dxa"/>
              <w:right w:w="108" w:type="dxa"/>
            </w:tcMar>
          </w:tcPr>
          <w:p w:rsidR="003227AF" w:rsidRDefault="003227AF" w:rsidP="003227AF">
            <w:pPr>
              <w:spacing w:after="0"/>
              <w:jc w:val="left"/>
              <w:rPr>
                <w:noProof/>
                <w:sz w:val="20"/>
              </w:rPr>
            </w:pPr>
            <w:r>
              <w:rPr>
                <w:noProof/>
                <w:sz w:val="20"/>
              </w:rPr>
              <w:t>Zastarané: obsah návrhu prevažne pokryli iné súbory právnych predpisov (napr. ustanovenia zamerané na informácie o opravách a údržbe upravené v nariadení 2018/858), ktoré boli medzičasom prijaté alebo ktoré ešte neboli schválené [COM(2019) 208 – ešte neschválené]. Očakáva sa, že niektoré ďalšie aspekty komplexnejšie pokryje nový návrh o emisných normách EURO 7.</w:t>
            </w:r>
          </w:p>
        </w:tc>
        <w:tc>
          <w:tcPr>
            <w:tcW w:w="1275" w:type="dxa"/>
          </w:tcPr>
          <w:p w:rsidR="003227AF" w:rsidRDefault="003227AF" w:rsidP="00A026B9">
            <w:pPr>
              <w:spacing w:after="0"/>
              <w:ind w:left="4"/>
              <w:jc w:val="center"/>
              <w:rPr>
                <w:b/>
                <w:sz w:val="20"/>
              </w:rPr>
            </w:pPr>
            <w:r>
              <w:rPr>
                <w:b/>
                <w:sz w:val="20"/>
              </w:rPr>
              <w:t>MDV SR</w:t>
            </w:r>
          </w:p>
        </w:tc>
        <w:tc>
          <w:tcPr>
            <w:tcW w:w="3403" w:type="dxa"/>
          </w:tcPr>
          <w:p w:rsidR="003227AF" w:rsidRPr="00FE2A32" w:rsidRDefault="003227AF" w:rsidP="003227AF">
            <w:pPr>
              <w:spacing w:after="0"/>
              <w:ind w:left="4"/>
              <w:rPr>
                <w:b/>
                <w:sz w:val="20"/>
                <w:u w:val="single"/>
              </w:rPr>
            </w:pPr>
            <w:r w:rsidRPr="00FE2A32">
              <w:rPr>
                <w:b/>
                <w:sz w:val="20"/>
                <w:u w:val="single"/>
              </w:rPr>
              <w:t>Nízka priorita</w:t>
            </w:r>
            <w:r w:rsidRPr="00FE2A32">
              <w:rPr>
                <w:b/>
                <w:sz w:val="20"/>
              </w:rPr>
              <w:t xml:space="preserve"> -</w:t>
            </w:r>
            <w:r>
              <w:rPr>
                <w:b/>
                <w:sz w:val="20"/>
                <w:u w:val="single"/>
              </w:rPr>
              <w:t xml:space="preserve"> </w:t>
            </w:r>
            <w:r>
              <w:rPr>
                <w:sz w:val="20"/>
              </w:rPr>
              <w:t xml:space="preserve">Návrh už viac nie je relevantný, keďže daná legislatíva je zahrnutá v iných právnych aktoch EÚ.  </w:t>
            </w:r>
          </w:p>
        </w:tc>
      </w:tr>
      <w:tr w:rsidR="003227AF" w:rsidTr="009D7E3B">
        <w:trPr>
          <w:cantSplit/>
        </w:trPr>
        <w:tc>
          <w:tcPr>
            <w:tcW w:w="511" w:type="dxa"/>
            <w:tcBorders>
              <w:bottom w:val="single" w:sz="4" w:space="0" w:color="auto"/>
              <w:right w:val="nil"/>
            </w:tcBorders>
            <w:shd w:val="clear" w:color="auto" w:fill="auto"/>
            <w:tcMar>
              <w:top w:w="85" w:type="dxa"/>
              <w:bottom w:w="85" w:type="dxa"/>
              <w:right w:w="108" w:type="dxa"/>
            </w:tcMar>
          </w:tcPr>
          <w:p w:rsidR="003227AF" w:rsidRDefault="003227AF" w:rsidP="003227AF">
            <w:pPr>
              <w:pStyle w:val="Odsekzoznamu"/>
              <w:numPr>
                <w:ilvl w:val="0"/>
                <w:numId w:val="21"/>
              </w:numPr>
              <w:spacing w:after="0"/>
              <w:ind w:left="426"/>
              <w:rPr>
                <w:noProof/>
                <w:sz w:val="20"/>
              </w:rPr>
            </w:pPr>
          </w:p>
        </w:tc>
        <w:tc>
          <w:tcPr>
            <w:tcW w:w="1752" w:type="dxa"/>
            <w:tcBorders>
              <w:bottom w:val="single" w:sz="4" w:space="0" w:color="auto"/>
            </w:tcBorders>
            <w:tcMar>
              <w:top w:w="85" w:type="dxa"/>
              <w:bottom w:w="85" w:type="dxa"/>
              <w:right w:w="108" w:type="dxa"/>
            </w:tcMar>
          </w:tcPr>
          <w:p w:rsidR="003227AF" w:rsidRDefault="003227AF" w:rsidP="003227AF">
            <w:pPr>
              <w:jc w:val="left"/>
              <w:rPr>
                <w:noProof/>
                <w:sz w:val="20"/>
              </w:rPr>
            </w:pPr>
            <w:r>
              <w:rPr>
                <w:noProof/>
                <w:sz w:val="20"/>
              </w:rPr>
              <w:t>COM(2013) 75 final.</w:t>
            </w:r>
            <w:r>
              <w:rPr>
                <w:noProof/>
                <w:sz w:val="20"/>
              </w:rPr>
              <w:br/>
              <w:t>2013/0048 (COD)</w:t>
            </w:r>
          </w:p>
        </w:tc>
        <w:tc>
          <w:tcPr>
            <w:tcW w:w="4253" w:type="dxa"/>
            <w:tcBorders>
              <w:bottom w:val="single" w:sz="4" w:space="0" w:color="auto"/>
            </w:tcBorders>
            <w:shd w:val="clear" w:color="auto" w:fill="auto"/>
            <w:tcMar>
              <w:top w:w="85" w:type="dxa"/>
              <w:bottom w:w="85" w:type="dxa"/>
              <w:right w:w="108" w:type="dxa"/>
            </w:tcMar>
          </w:tcPr>
          <w:p w:rsidR="003227AF" w:rsidRDefault="003227AF" w:rsidP="003227AF">
            <w:pPr>
              <w:spacing w:after="0"/>
              <w:rPr>
                <w:noProof/>
                <w:sz w:val="20"/>
              </w:rPr>
            </w:pPr>
            <w:r>
              <w:rPr>
                <w:noProof/>
                <w:sz w:val="20"/>
              </w:rPr>
              <w:t>Návrh NARIADENIE EURÓPSKEHO PARLAMENTU A RADY o dohľade nad trhom výrobkov, ktorým sa menia smernice Rady 89/686/EHS a 93/15/EHS, ako aj smernice 94/9/ES, 94/25/ES, 95/16/ES, 97/23/ES, 1999/5/ES, 2000/9/ES, 2000/14/ES, 2001/95/ES, 2004/108/ES, 2006/42/ES, 2006/95/ES, 2007/23/ES, 2008/57/ES, 2009/48/ES, 2009/105/ES 2009/142/ES 2011/65/EÚ, nariadenie Európskeho parlamentu a Rady (EÚ) č. 305/2011, nariadenie Európskeho parlamentu a Rady (ES) č. 764/2008 a nariadenie Európskeho parlamentu a Rady (ES) č. 765/2008.</w:t>
            </w:r>
          </w:p>
        </w:tc>
        <w:tc>
          <w:tcPr>
            <w:tcW w:w="3544" w:type="dxa"/>
            <w:tcBorders>
              <w:bottom w:val="single" w:sz="4" w:space="0" w:color="auto"/>
            </w:tcBorders>
            <w:tcMar>
              <w:top w:w="85" w:type="dxa"/>
              <w:bottom w:w="85" w:type="dxa"/>
              <w:right w:w="108" w:type="dxa"/>
            </w:tcMar>
          </w:tcPr>
          <w:p w:rsidR="003227AF" w:rsidRDefault="003227AF" w:rsidP="003227AF">
            <w:pPr>
              <w:spacing w:after="0"/>
              <w:jc w:val="left"/>
              <w:rPr>
                <w:noProof/>
                <w:sz w:val="20"/>
              </w:rPr>
            </w:pPr>
            <w:r>
              <w:rPr>
                <w:noProof/>
                <w:sz w:val="20"/>
              </w:rPr>
              <w:t>Zastarané: prijatím nariadenia o dohľade nad trhom a presadzovaní práva [nariadenie (EÚ) 2019/1020] sa tento návrh stal zastaraným a nadbytočným.</w:t>
            </w:r>
          </w:p>
        </w:tc>
        <w:tc>
          <w:tcPr>
            <w:tcW w:w="1275" w:type="dxa"/>
            <w:tcBorders>
              <w:bottom w:val="single" w:sz="4" w:space="0" w:color="auto"/>
            </w:tcBorders>
          </w:tcPr>
          <w:p w:rsidR="003227AF" w:rsidRPr="006F1A07" w:rsidRDefault="003227AF" w:rsidP="003227AF">
            <w:pPr>
              <w:spacing w:after="0"/>
              <w:jc w:val="center"/>
              <w:rPr>
                <w:b/>
                <w:noProof/>
                <w:sz w:val="20"/>
              </w:rPr>
            </w:pPr>
            <w:r w:rsidRPr="006F1A07">
              <w:rPr>
                <w:b/>
                <w:noProof/>
                <w:sz w:val="20"/>
              </w:rPr>
              <w:t>MH SR</w:t>
            </w:r>
          </w:p>
        </w:tc>
        <w:tc>
          <w:tcPr>
            <w:tcW w:w="3403" w:type="dxa"/>
            <w:tcBorders>
              <w:bottom w:val="single" w:sz="4" w:space="0" w:color="auto"/>
            </w:tcBorders>
          </w:tcPr>
          <w:p w:rsidR="003227AF" w:rsidRDefault="003227AF" w:rsidP="003227AF">
            <w:pPr>
              <w:spacing w:after="0"/>
              <w:jc w:val="left"/>
              <w:rPr>
                <w:noProof/>
                <w:sz w:val="20"/>
              </w:rPr>
            </w:pPr>
            <w:r>
              <w:rPr>
                <w:sz w:val="20"/>
              </w:rPr>
              <w:t>SR podporuje späťvzatie návrhu.</w:t>
            </w:r>
          </w:p>
        </w:tc>
      </w:tr>
      <w:tr w:rsidR="003227AF" w:rsidTr="009D7E3B">
        <w:trPr>
          <w:cantSplit/>
        </w:trPr>
        <w:tc>
          <w:tcPr>
            <w:tcW w:w="10060" w:type="dxa"/>
            <w:gridSpan w:val="4"/>
            <w:shd w:val="clear" w:color="auto" w:fill="F68A42" w:themeFill="accent3"/>
            <w:tcMar>
              <w:top w:w="85" w:type="dxa"/>
              <w:bottom w:w="85" w:type="dxa"/>
              <w:right w:w="85" w:type="dxa"/>
            </w:tcMar>
          </w:tcPr>
          <w:p w:rsidR="003227AF" w:rsidRDefault="003227AF" w:rsidP="003227AF">
            <w:pPr>
              <w:keepNext/>
              <w:spacing w:before="60" w:after="60"/>
              <w:jc w:val="left"/>
              <w:rPr>
                <w:noProof/>
                <w:sz w:val="20"/>
              </w:rPr>
            </w:pPr>
            <w:r>
              <w:rPr>
                <w:b/>
                <w:bCs/>
                <w:noProof/>
                <w:color w:val="FFFFFF" w:themeColor="background1"/>
                <w:sz w:val="20"/>
              </w:rPr>
              <w:t>Hospodárstvo, ktoré pracuje v prospech ľudí</w:t>
            </w:r>
          </w:p>
        </w:tc>
        <w:tc>
          <w:tcPr>
            <w:tcW w:w="1275" w:type="dxa"/>
            <w:shd w:val="clear" w:color="auto" w:fill="F68A42" w:themeFill="accent3"/>
          </w:tcPr>
          <w:p w:rsidR="003227AF" w:rsidRDefault="003227AF" w:rsidP="003227AF">
            <w:pPr>
              <w:keepNext/>
              <w:spacing w:before="60" w:after="60"/>
              <w:jc w:val="left"/>
              <w:rPr>
                <w:b/>
                <w:bCs/>
                <w:noProof/>
                <w:color w:val="FFFFFF" w:themeColor="background1"/>
                <w:sz w:val="20"/>
              </w:rPr>
            </w:pPr>
          </w:p>
        </w:tc>
        <w:tc>
          <w:tcPr>
            <w:tcW w:w="3403" w:type="dxa"/>
            <w:shd w:val="clear" w:color="auto" w:fill="F68A42" w:themeFill="accent3"/>
          </w:tcPr>
          <w:p w:rsidR="003227AF" w:rsidRDefault="003227AF" w:rsidP="003227AF">
            <w:pPr>
              <w:keepNext/>
              <w:spacing w:before="60" w:after="60"/>
              <w:jc w:val="left"/>
              <w:rPr>
                <w:b/>
                <w:bCs/>
                <w:noProof/>
                <w:color w:val="FFFFFF" w:themeColor="background1"/>
                <w:sz w:val="20"/>
              </w:rPr>
            </w:pPr>
          </w:p>
        </w:tc>
      </w:tr>
      <w:tr w:rsidR="003227AF" w:rsidTr="009D7E3B">
        <w:trPr>
          <w:cantSplit/>
        </w:trPr>
        <w:tc>
          <w:tcPr>
            <w:tcW w:w="511" w:type="dxa"/>
            <w:tcBorders>
              <w:right w:val="nil"/>
            </w:tcBorders>
            <w:shd w:val="clear" w:color="auto" w:fill="auto"/>
            <w:tcMar>
              <w:top w:w="85" w:type="dxa"/>
              <w:bottom w:w="85" w:type="dxa"/>
              <w:right w:w="108" w:type="dxa"/>
            </w:tcMar>
          </w:tcPr>
          <w:p w:rsidR="003227AF" w:rsidRDefault="003227AF" w:rsidP="003227AF">
            <w:pPr>
              <w:pStyle w:val="Odsekzoznamu"/>
              <w:numPr>
                <w:ilvl w:val="0"/>
                <w:numId w:val="21"/>
              </w:numPr>
              <w:spacing w:after="0"/>
              <w:ind w:left="426"/>
              <w:rPr>
                <w:noProof/>
                <w:sz w:val="20"/>
              </w:rPr>
            </w:pPr>
          </w:p>
        </w:tc>
        <w:tc>
          <w:tcPr>
            <w:tcW w:w="1752" w:type="dxa"/>
            <w:tcMar>
              <w:top w:w="85" w:type="dxa"/>
              <w:bottom w:w="85" w:type="dxa"/>
              <w:right w:w="108" w:type="dxa"/>
            </w:tcMar>
          </w:tcPr>
          <w:p w:rsidR="003227AF" w:rsidRDefault="003227AF" w:rsidP="003227AF">
            <w:pPr>
              <w:jc w:val="left"/>
              <w:rPr>
                <w:noProof/>
                <w:sz w:val="20"/>
              </w:rPr>
            </w:pPr>
            <w:r>
              <w:rPr>
                <w:noProof/>
                <w:sz w:val="20"/>
              </w:rPr>
              <w:t>COM(2013) 342 final.</w:t>
            </w:r>
            <w:r>
              <w:rPr>
                <w:noProof/>
                <w:sz w:val="20"/>
              </w:rPr>
              <w:br/>
              <w:t>2013/0181 (COD)</w:t>
            </w:r>
          </w:p>
        </w:tc>
        <w:tc>
          <w:tcPr>
            <w:tcW w:w="4253" w:type="dxa"/>
            <w:shd w:val="clear" w:color="auto" w:fill="auto"/>
            <w:tcMar>
              <w:top w:w="85" w:type="dxa"/>
              <w:bottom w:w="85" w:type="dxa"/>
              <w:right w:w="108" w:type="dxa"/>
            </w:tcMar>
          </w:tcPr>
          <w:p w:rsidR="003227AF" w:rsidRDefault="003227AF" w:rsidP="003227AF">
            <w:pPr>
              <w:spacing w:after="0"/>
              <w:rPr>
                <w:noProof/>
                <w:sz w:val="20"/>
              </w:rPr>
            </w:pPr>
            <w:r>
              <w:rPr>
                <w:noProof/>
                <w:sz w:val="20"/>
              </w:rPr>
              <w:t>Návrh NARIADENIE EURÓPSKEHO PARLAMENTU A RADY o poskytovaní a kvalite štatistík pre postup pri makroekonomickej nerovnováhe</w:t>
            </w:r>
          </w:p>
        </w:tc>
        <w:tc>
          <w:tcPr>
            <w:tcW w:w="3544" w:type="dxa"/>
            <w:tcMar>
              <w:top w:w="85" w:type="dxa"/>
              <w:bottom w:w="85" w:type="dxa"/>
              <w:right w:w="108" w:type="dxa"/>
            </w:tcMar>
          </w:tcPr>
          <w:p w:rsidR="003227AF" w:rsidRDefault="003227AF" w:rsidP="003227AF">
            <w:pPr>
              <w:spacing w:after="0"/>
              <w:jc w:val="left"/>
              <w:rPr>
                <w:noProof/>
                <w:sz w:val="20"/>
              </w:rPr>
            </w:pPr>
            <w:r>
              <w:rPr>
                <w:noProof/>
                <w:sz w:val="20"/>
              </w:rPr>
              <w:t>Zastarané: ciele v oblasti zabezpečovania kvality štatistík prevažne pokrylo Memorandum o porozumení medzi Eurostatom a Generálnym riaditeľstvom pre štatistiku Európskej centrálnej banky v záujme zabezpečenia kvality štatistík, ktoré slúžia ako podklady pre postup pri makroekonomickej nerovnováhe (2016). Otázka zabezpečenia kvality štatistík používaných v rámci postupu pri makroekonomickej nerovnováhe (PMN) je súčasťou prebiehajúceho preskúmavania správy hospodárskych záležitostí.</w:t>
            </w:r>
          </w:p>
        </w:tc>
        <w:tc>
          <w:tcPr>
            <w:tcW w:w="1275" w:type="dxa"/>
          </w:tcPr>
          <w:p w:rsidR="003227AF" w:rsidRPr="00C46663" w:rsidRDefault="003227AF" w:rsidP="003227AF">
            <w:pPr>
              <w:spacing w:after="0"/>
              <w:jc w:val="center"/>
              <w:rPr>
                <w:b/>
                <w:noProof/>
                <w:sz w:val="20"/>
              </w:rPr>
            </w:pPr>
            <w:r w:rsidRPr="00C46663">
              <w:rPr>
                <w:b/>
                <w:noProof/>
                <w:sz w:val="20"/>
              </w:rPr>
              <w:t>ŠÚ SR</w:t>
            </w:r>
          </w:p>
          <w:p w:rsidR="003227AF" w:rsidRPr="00C46663" w:rsidRDefault="003227AF" w:rsidP="003227AF">
            <w:pPr>
              <w:spacing w:after="0"/>
              <w:jc w:val="center"/>
              <w:rPr>
                <w:b/>
                <w:noProof/>
                <w:sz w:val="20"/>
              </w:rPr>
            </w:pPr>
            <w:r w:rsidRPr="00C46663">
              <w:rPr>
                <w:b/>
                <w:noProof/>
                <w:sz w:val="20"/>
              </w:rPr>
              <w:t>MF SR</w:t>
            </w:r>
          </w:p>
          <w:p w:rsidR="003227AF" w:rsidRDefault="003227AF" w:rsidP="00AE03F0">
            <w:pPr>
              <w:spacing w:after="0"/>
              <w:jc w:val="center"/>
              <w:rPr>
                <w:noProof/>
                <w:sz w:val="20"/>
              </w:rPr>
            </w:pPr>
            <w:r w:rsidRPr="00C46663">
              <w:rPr>
                <w:b/>
                <w:noProof/>
                <w:sz w:val="20"/>
              </w:rPr>
              <w:t xml:space="preserve">NBS </w:t>
            </w:r>
          </w:p>
        </w:tc>
        <w:tc>
          <w:tcPr>
            <w:tcW w:w="3403" w:type="dxa"/>
          </w:tcPr>
          <w:p w:rsidR="003227AF" w:rsidRDefault="003227AF" w:rsidP="003227AF">
            <w:pPr>
              <w:spacing w:after="0"/>
              <w:rPr>
                <w:noProof/>
                <w:sz w:val="20"/>
              </w:rPr>
            </w:pPr>
            <w:r w:rsidRPr="00FE2A32">
              <w:rPr>
                <w:b/>
                <w:sz w:val="20"/>
                <w:u w:val="single"/>
              </w:rPr>
              <w:t>Nízka priorita</w:t>
            </w:r>
            <w:r w:rsidRPr="00FE2A32">
              <w:rPr>
                <w:b/>
                <w:sz w:val="20"/>
              </w:rPr>
              <w:t xml:space="preserve"> -</w:t>
            </w:r>
            <w:r>
              <w:rPr>
                <w:b/>
                <w:sz w:val="20"/>
              </w:rPr>
              <w:t xml:space="preserve"> </w:t>
            </w:r>
            <w:r>
              <w:rPr>
                <w:sz w:val="20"/>
              </w:rPr>
              <w:t>Prijímanie návrhu sa zablokovalo na úrovni zákonodarcov, keďže chýbala dostatočná politická vôľa na prijatie návrhu. Dôležité aspekty spolupráce medzi Eurostatom a ECB sa upravili v roku 2016 Memorandom o porozumení.</w:t>
            </w:r>
          </w:p>
        </w:tc>
      </w:tr>
      <w:tr w:rsidR="003227AF" w:rsidTr="009D7E3B">
        <w:trPr>
          <w:cantSplit/>
        </w:trPr>
        <w:tc>
          <w:tcPr>
            <w:tcW w:w="511" w:type="dxa"/>
            <w:tcBorders>
              <w:right w:val="nil"/>
            </w:tcBorders>
            <w:shd w:val="clear" w:color="auto" w:fill="auto"/>
            <w:tcMar>
              <w:top w:w="85" w:type="dxa"/>
              <w:bottom w:w="85" w:type="dxa"/>
              <w:right w:w="108" w:type="dxa"/>
            </w:tcMar>
          </w:tcPr>
          <w:p w:rsidR="003227AF" w:rsidRDefault="003227AF" w:rsidP="003227AF">
            <w:pPr>
              <w:pStyle w:val="Odsekzoznamu"/>
              <w:numPr>
                <w:ilvl w:val="0"/>
                <w:numId w:val="21"/>
              </w:numPr>
              <w:spacing w:after="0"/>
              <w:ind w:left="426"/>
              <w:rPr>
                <w:noProof/>
                <w:sz w:val="20"/>
              </w:rPr>
            </w:pPr>
          </w:p>
        </w:tc>
        <w:tc>
          <w:tcPr>
            <w:tcW w:w="1752" w:type="dxa"/>
            <w:tcMar>
              <w:top w:w="85" w:type="dxa"/>
              <w:bottom w:w="85" w:type="dxa"/>
              <w:right w:w="108" w:type="dxa"/>
            </w:tcMar>
          </w:tcPr>
          <w:p w:rsidR="003227AF" w:rsidRDefault="003227AF" w:rsidP="003227AF">
            <w:pPr>
              <w:jc w:val="left"/>
              <w:rPr>
                <w:noProof/>
                <w:sz w:val="20"/>
              </w:rPr>
            </w:pPr>
            <w:r>
              <w:rPr>
                <w:noProof/>
                <w:sz w:val="20"/>
              </w:rPr>
              <w:t>COM(2013) 884 final.</w:t>
            </w:r>
            <w:r>
              <w:rPr>
                <w:noProof/>
                <w:sz w:val="20"/>
              </w:rPr>
              <w:br/>
              <w:t>2013/0432 (COD)</w:t>
            </w:r>
          </w:p>
        </w:tc>
        <w:tc>
          <w:tcPr>
            <w:tcW w:w="4253" w:type="dxa"/>
            <w:shd w:val="clear" w:color="auto" w:fill="auto"/>
            <w:tcMar>
              <w:top w:w="85" w:type="dxa"/>
              <w:bottom w:w="85" w:type="dxa"/>
              <w:right w:w="108" w:type="dxa"/>
            </w:tcMar>
          </w:tcPr>
          <w:p w:rsidR="003227AF" w:rsidRDefault="003227AF" w:rsidP="003227AF">
            <w:pPr>
              <w:spacing w:after="0"/>
              <w:rPr>
                <w:noProof/>
                <w:sz w:val="20"/>
              </w:rPr>
            </w:pPr>
            <w:r>
              <w:rPr>
                <w:noProof/>
                <w:sz w:val="20"/>
              </w:rPr>
              <w:t>Návrh SMERNICA EURÓPSKEHO PARLAMENTU A RADY o právnom rámci Únie pre porušenia colných predpisov a sankcie</w:t>
            </w:r>
          </w:p>
        </w:tc>
        <w:tc>
          <w:tcPr>
            <w:tcW w:w="3544" w:type="dxa"/>
            <w:tcMar>
              <w:top w:w="85" w:type="dxa"/>
              <w:bottom w:w="85" w:type="dxa"/>
              <w:right w:w="108" w:type="dxa"/>
            </w:tcMar>
          </w:tcPr>
          <w:p w:rsidR="003227AF" w:rsidRDefault="003227AF" w:rsidP="003227AF">
            <w:pPr>
              <w:spacing w:after="0"/>
              <w:jc w:val="left"/>
              <w:rPr>
                <w:noProof/>
                <w:sz w:val="20"/>
              </w:rPr>
            </w:pPr>
            <w:r>
              <w:rPr>
                <w:noProof/>
                <w:sz w:val="20"/>
              </w:rPr>
              <w:t>Žiadne vyhliadky na dosiahnutie dohody: návrh nahradí nová iniciatíva zameraná na posilnenie presadzovania colných predpisov v kontexte akčného plánu pre colnú úniu, na ktorý sa odkazuje v prílohe 1 k tomuto pracovnému programu komisie.</w:t>
            </w:r>
          </w:p>
        </w:tc>
        <w:tc>
          <w:tcPr>
            <w:tcW w:w="1275" w:type="dxa"/>
          </w:tcPr>
          <w:p w:rsidR="003227AF" w:rsidRPr="00C46663" w:rsidRDefault="003227AF" w:rsidP="003227AF">
            <w:pPr>
              <w:spacing w:after="0"/>
              <w:ind w:left="4" w:right="12"/>
              <w:jc w:val="center"/>
              <w:rPr>
                <w:b/>
                <w:sz w:val="20"/>
              </w:rPr>
            </w:pPr>
            <w:r w:rsidRPr="00C46663">
              <w:rPr>
                <w:b/>
                <w:sz w:val="20"/>
              </w:rPr>
              <w:t>MF SR</w:t>
            </w:r>
          </w:p>
        </w:tc>
        <w:tc>
          <w:tcPr>
            <w:tcW w:w="3403" w:type="dxa"/>
          </w:tcPr>
          <w:p w:rsidR="003227AF" w:rsidRDefault="003227AF" w:rsidP="003227AF">
            <w:pPr>
              <w:spacing w:after="0"/>
              <w:ind w:left="4" w:right="12"/>
              <w:jc w:val="left"/>
              <w:rPr>
                <w:b/>
                <w:sz w:val="20"/>
              </w:rPr>
            </w:pPr>
            <w:r w:rsidRPr="00FE2A32">
              <w:rPr>
                <w:b/>
                <w:sz w:val="20"/>
                <w:u w:val="single"/>
              </w:rPr>
              <w:t>Nízka priorita</w:t>
            </w:r>
            <w:r w:rsidRPr="00FE2A32">
              <w:rPr>
                <w:b/>
                <w:sz w:val="20"/>
              </w:rPr>
              <w:t xml:space="preserve"> -</w:t>
            </w:r>
            <w:r>
              <w:rPr>
                <w:b/>
                <w:sz w:val="20"/>
              </w:rPr>
              <w:t xml:space="preserve"> </w:t>
            </w:r>
            <w:r>
              <w:rPr>
                <w:sz w:val="20"/>
              </w:rPr>
              <w:t xml:space="preserve">SR podporuje  </w:t>
            </w:r>
            <w:r w:rsidRPr="00110CCF">
              <w:rPr>
                <w:sz w:val="20"/>
              </w:rPr>
              <w:t>späť</w:t>
            </w:r>
            <w:r>
              <w:rPr>
                <w:sz w:val="20"/>
              </w:rPr>
              <w:t>-</w:t>
            </w:r>
            <w:r w:rsidRPr="00110CCF">
              <w:rPr>
                <w:sz w:val="20"/>
              </w:rPr>
              <w:t>vzatie tohto návrhu.</w:t>
            </w:r>
          </w:p>
        </w:tc>
      </w:tr>
      <w:tr w:rsidR="003227AF" w:rsidTr="009D7E3B">
        <w:trPr>
          <w:cantSplit/>
        </w:trPr>
        <w:tc>
          <w:tcPr>
            <w:tcW w:w="10060" w:type="dxa"/>
            <w:gridSpan w:val="4"/>
            <w:shd w:val="clear" w:color="auto" w:fill="585EAA" w:themeFill="accent4"/>
            <w:tcMar>
              <w:top w:w="85" w:type="dxa"/>
              <w:bottom w:w="85" w:type="dxa"/>
              <w:right w:w="85" w:type="dxa"/>
            </w:tcMar>
          </w:tcPr>
          <w:p w:rsidR="003227AF" w:rsidRDefault="003227AF" w:rsidP="003227AF">
            <w:pPr>
              <w:keepNext/>
              <w:spacing w:before="60" w:after="60"/>
              <w:rPr>
                <w:noProof/>
                <w:sz w:val="20"/>
              </w:rPr>
            </w:pPr>
            <w:r>
              <w:rPr>
                <w:b/>
                <w:bCs/>
                <w:noProof/>
                <w:color w:val="FFFFFF" w:themeColor="background1"/>
                <w:sz w:val="20"/>
              </w:rPr>
              <w:t>Silnejšia Európa vo svete</w:t>
            </w:r>
          </w:p>
        </w:tc>
        <w:tc>
          <w:tcPr>
            <w:tcW w:w="1275" w:type="dxa"/>
            <w:shd w:val="clear" w:color="auto" w:fill="585EAA" w:themeFill="accent4"/>
          </w:tcPr>
          <w:p w:rsidR="003227AF" w:rsidRDefault="003227AF" w:rsidP="003227AF">
            <w:pPr>
              <w:keepNext/>
              <w:spacing w:before="60" w:after="60"/>
              <w:rPr>
                <w:b/>
                <w:bCs/>
                <w:noProof/>
                <w:color w:val="FFFFFF" w:themeColor="background1"/>
                <w:sz w:val="20"/>
              </w:rPr>
            </w:pPr>
          </w:p>
        </w:tc>
        <w:tc>
          <w:tcPr>
            <w:tcW w:w="3403" w:type="dxa"/>
            <w:shd w:val="clear" w:color="auto" w:fill="585EAA" w:themeFill="accent4"/>
          </w:tcPr>
          <w:p w:rsidR="003227AF" w:rsidRDefault="003227AF" w:rsidP="003227AF">
            <w:pPr>
              <w:keepNext/>
              <w:spacing w:before="60" w:after="60"/>
              <w:rPr>
                <w:b/>
                <w:bCs/>
                <w:noProof/>
                <w:color w:val="FFFFFF" w:themeColor="background1"/>
                <w:sz w:val="20"/>
              </w:rPr>
            </w:pPr>
          </w:p>
        </w:tc>
      </w:tr>
      <w:tr w:rsidR="003227AF" w:rsidTr="009D7E3B">
        <w:trPr>
          <w:cantSplit/>
        </w:trPr>
        <w:tc>
          <w:tcPr>
            <w:tcW w:w="511" w:type="dxa"/>
            <w:tcBorders>
              <w:right w:val="nil"/>
            </w:tcBorders>
            <w:shd w:val="clear" w:color="auto" w:fill="auto"/>
            <w:tcMar>
              <w:top w:w="85" w:type="dxa"/>
              <w:bottom w:w="85" w:type="dxa"/>
              <w:right w:w="108" w:type="dxa"/>
            </w:tcMar>
          </w:tcPr>
          <w:p w:rsidR="003227AF" w:rsidRDefault="003227AF" w:rsidP="003227AF">
            <w:pPr>
              <w:pStyle w:val="Odsekzoznamu"/>
              <w:numPr>
                <w:ilvl w:val="0"/>
                <w:numId w:val="21"/>
              </w:numPr>
              <w:spacing w:after="0"/>
              <w:ind w:left="426"/>
              <w:rPr>
                <w:noProof/>
                <w:sz w:val="20"/>
              </w:rPr>
            </w:pPr>
          </w:p>
        </w:tc>
        <w:tc>
          <w:tcPr>
            <w:tcW w:w="1752" w:type="dxa"/>
            <w:tcMar>
              <w:top w:w="85" w:type="dxa"/>
              <w:bottom w:w="85" w:type="dxa"/>
              <w:right w:w="108" w:type="dxa"/>
            </w:tcMar>
          </w:tcPr>
          <w:p w:rsidR="003227AF" w:rsidRDefault="003227AF" w:rsidP="003227AF">
            <w:pPr>
              <w:spacing w:after="0"/>
              <w:jc w:val="left"/>
              <w:rPr>
                <w:noProof/>
                <w:sz w:val="20"/>
              </w:rPr>
            </w:pPr>
            <w:r>
              <w:rPr>
                <w:noProof/>
                <w:sz w:val="20"/>
              </w:rPr>
              <w:t>KOM(2009) 65-2 final.</w:t>
            </w:r>
            <w:r>
              <w:rPr>
                <w:noProof/>
                <w:sz w:val="20"/>
              </w:rPr>
              <w:br/>
              <w:t>2009/0019 (APP)</w:t>
            </w:r>
          </w:p>
        </w:tc>
        <w:tc>
          <w:tcPr>
            <w:tcW w:w="4253" w:type="dxa"/>
            <w:shd w:val="clear" w:color="auto" w:fill="auto"/>
            <w:tcMar>
              <w:top w:w="85" w:type="dxa"/>
              <w:bottom w:w="85" w:type="dxa"/>
              <w:right w:w="108" w:type="dxa"/>
            </w:tcMar>
          </w:tcPr>
          <w:p w:rsidR="003227AF" w:rsidRPr="003B1CF2" w:rsidRDefault="003227AF" w:rsidP="003227AF">
            <w:pPr>
              <w:spacing w:after="0"/>
              <w:rPr>
                <w:noProof/>
                <w:sz w:val="20"/>
              </w:rPr>
            </w:pPr>
            <w:r w:rsidRPr="003B1CF2">
              <w:rPr>
                <w:noProof/>
                <w:sz w:val="20"/>
              </w:rPr>
              <w:t>Návrh rozhodnutia Rady o uzavretí dohody medzi Európskym spoločenstvom a Kórejskou republikou o určitých aspektoch leteckých služieb</w:t>
            </w:r>
          </w:p>
        </w:tc>
        <w:tc>
          <w:tcPr>
            <w:tcW w:w="3544" w:type="dxa"/>
            <w:tcMar>
              <w:top w:w="85" w:type="dxa"/>
              <w:bottom w:w="85" w:type="dxa"/>
              <w:right w:w="108" w:type="dxa"/>
            </w:tcMar>
          </w:tcPr>
          <w:p w:rsidR="003227AF" w:rsidRPr="003B1CF2" w:rsidRDefault="003227AF" w:rsidP="003227AF">
            <w:pPr>
              <w:spacing w:after="0"/>
              <w:jc w:val="left"/>
              <w:rPr>
                <w:noProof/>
                <w:sz w:val="20"/>
              </w:rPr>
            </w:pPr>
            <w:r w:rsidRPr="003B1CF2">
              <w:rPr>
                <w:noProof/>
                <w:sz w:val="20"/>
              </w:rPr>
              <w:t>Zastarané: tento návrh Komisia nahradila novým návrhom rozhodnutia Rady [COM(2019) 92].</w:t>
            </w:r>
          </w:p>
        </w:tc>
        <w:tc>
          <w:tcPr>
            <w:tcW w:w="1275" w:type="dxa"/>
          </w:tcPr>
          <w:p w:rsidR="003227AF" w:rsidRPr="007168F1" w:rsidRDefault="00F56847" w:rsidP="007168F1">
            <w:pPr>
              <w:spacing w:after="0"/>
              <w:jc w:val="center"/>
              <w:rPr>
                <w:b/>
                <w:noProof/>
                <w:sz w:val="20"/>
              </w:rPr>
            </w:pPr>
            <w:r w:rsidRPr="007168F1">
              <w:rPr>
                <w:b/>
                <w:noProof/>
                <w:sz w:val="20"/>
              </w:rPr>
              <w:t>MDV SR</w:t>
            </w:r>
          </w:p>
        </w:tc>
        <w:tc>
          <w:tcPr>
            <w:tcW w:w="3403" w:type="dxa"/>
          </w:tcPr>
          <w:p w:rsidR="003227AF" w:rsidRDefault="00EF2110" w:rsidP="003227AF">
            <w:pPr>
              <w:spacing w:after="0"/>
              <w:jc w:val="left"/>
              <w:rPr>
                <w:noProof/>
                <w:sz w:val="20"/>
              </w:rPr>
            </w:pPr>
            <w:r w:rsidRPr="00FE2A32">
              <w:rPr>
                <w:b/>
                <w:sz w:val="20"/>
                <w:u w:val="single"/>
              </w:rPr>
              <w:t>Nízka priorita</w:t>
            </w:r>
            <w:r w:rsidRPr="00FE2A32">
              <w:rPr>
                <w:b/>
                <w:sz w:val="20"/>
              </w:rPr>
              <w:t xml:space="preserve"> -</w:t>
            </w:r>
            <w:r>
              <w:rPr>
                <w:b/>
                <w:sz w:val="20"/>
              </w:rPr>
              <w:t xml:space="preserve"> </w:t>
            </w:r>
            <w:r>
              <w:rPr>
                <w:sz w:val="20"/>
              </w:rPr>
              <w:t xml:space="preserve">SR podporuje  </w:t>
            </w:r>
            <w:r w:rsidRPr="00110CCF">
              <w:rPr>
                <w:sz w:val="20"/>
              </w:rPr>
              <w:t>späť</w:t>
            </w:r>
            <w:r>
              <w:rPr>
                <w:sz w:val="20"/>
              </w:rPr>
              <w:t>-</w:t>
            </w:r>
            <w:r w:rsidRPr="00110CCF">
              <w:rPr>
                <w:sz w:val="20"/>
              </w:rPr>
              <w:t>vzatie tohto návrhu.</w:t>
            </w:r>
          </w:p>
        </w:tc>
      </w:tr>
      <w:tr w:rsidR="003227AF" w:rsidTr="009D7E3B">
        <w:trPr>
          <w:cantSplit/>
        </w:trPr>
        <w:tc>
          <w:tcPr>
            <w:tcW w:w="511" w:type="dxa"/>
            <w:tcBorders>
              <w:right w:val="nil"/>
            </w:tcBorders>
            <w:shd w:val="clear" w:color="auto" w:fill="auto"/>
            <w:tcMar>
              <w:top w:w="85" w:type="dxa"/>
              <w:bottom w:w="85" w:type="dxa"/>
              <w:right w:w="108" w:type="dxa"/>
            </w:tcMar>
          </w:tcPr>
          <w:p w:rsidR="003227AF" w:rsidRDefault="003227AF" w:rsidP="003227AF">
            <w:pPr>
              <w:pStyle w:val="Odsekzoznamu"/>
              <w:numPr>
                <w:ilvl w:val="0"/>
                <w:numId w:val="21"/>
              </w:numPr>
              <w:spacing w:after="0"/>
              <w:ind w:left="426"/>
              <w:rPr>
                <w:noProof/>
                <w:sz w:val="20"/>
              </w:rPr>
            </w:pPr>
          </w:p>
        </w:tc>
        <w:tc>
          <w:tcPr>
            <w:tcW w:w="1752" w:type="dxa"/>
            <w:tcMar>
              <w:top w:w="85" w:type="dxa"/>
              <w:bottom w:w="85" w:type="dxa"/>
              <w:right w:w="108" w:type="dxa"/>
            </w:tcMar>
          </w:tcPr>
          <w:p w:rsidR="003227AF" w:rsidRDefault="003227AF" w:rsidP="003227AF">
            <w:pPr>
              <w:spacing w:after="0"/>
              <w:jc w:val="left"/>
              <w:rPr>
                <w:noProof/>
                <w:sz w:val="20"/>
              </w:rPr>
            </w:pPr>
            <w:r>
              <w:rPr>
                <w:noProof/>
                <w:sz w:val="20"/>
              </w:rPr>
              <w:t>COM(2013) 243 final.</w:t>
            </w:r>
            <w:r>
              <w:rPr>
                <w:noProof/>
                <w:sz w:val="20"/>
              </w:rPr>
              <w:br/>
              <w:t>2013/0129 (NLE)</w:t>
            </w:r>
          </w:p>
        </w:tc>
        <w:tc>
          <w:tcPr>
            <w:tcW w:w="4253" w:type="dxa"/>
            <w:shd w:val="clear" w:color="auto" w:fill="auto"/>
            <w:tcMar>
              <w:top w:w="85" w:type="dxa"/>
              <w:bottom w:w="85" w:type="dxa"/>
              <w:right w:w="108" w:type="dxa"/>
            </w:tcMar>
          </w:tcPr>
          <w:p w:rsidR="003227AF" w:rsidRPr="003B1CF2" w:rsidRDefault="003227AF" w:rsidP="003227AF">
            <w:pPr>
              <w:spacing w:after="0"/>
              <w:rPr>
                <w:noProof/>
                <w:sz w:val="20"/>
              </w:rPr>
            </w:pPr>
            <w:r w:rsidRPr="003B1CF2">
              <w:rPr>
                <w:noProof/>
                <w:sz w:val="20"/>
              </w:rPr>
              <w:t>Návrh ROZHODNUTIE RADY, ktorým sa určuje pozícia, ktorú má Európska únia zaujať, pokiaľ ide o určité rezolúcie, o ktorých sa má hlasovať v rámci Medzinárodnej organizácie pre vinič a víno (OIV)</w:t>
            </w:r>
          </w:p>
        </w:tc>
        <w:tc>
          <w:tcPr>
            <w:tcW w:w="3544" w:type="dxa"/>
            <w:tcMar>
              <w:top w:w="85" w:type="dxa"/>
              <w:bottom w:w="85" w:type="dxa"/>
              <w:right w:w="108" w:type="dxa"/>
            </w:tcMar>
          </w:tcPr>
          <w:p w:rsidR="003227AF" w:rsidRPr="003B1CF2" w:rsidRDefault="003227AF" w:rsidP="003227AF">
            <w:pPr>
              <w:spacing w:after="0"/>
              <w:jc w:val="left"/>
              <w:rPr>
                <w:noProof/>
                <w:sz w:val="20"/>
              </w:rPr>
            </w:pPr>
            <w:r w:rsidRPr="003B1CF2">
              <w:rPr>
                <w:noProof/>
                <w:sz w:val="20"/>
              </w:rPr>
              <w:t>Zastarané: návrh nebol prijatý pred stretnutím, na ktoré bol určený.</w:t>
            </w:r>
          </w:p>
        </w:tc>
        <w:tc>
          <w:tcPr>
            <w:tcW w:w="1275" w:type="dxa"/>
          </w:tcPr>
          <w:p w:rsidR="003227AF" w:rsidRPr="007168F1" w:rsidRDefault="003227AF" w:rsidP="007168F1">
            <w:pPr>
              <w:spacing w:after="0"/>
              <w:ind w:left="4" w:right="50"/>
              <w:jc w:val="center"/>
              <w:rPr>
                <w:b/>
                <w:sz w:val="20"/>
              </w:rPr>
            </w:pPr>
            <w:r w:rsidRPr="007168F1">
              <w:rPr>
                <w:b/>
                <w:sz w:val="20"/>
              </w:rPr>
              <w:t>MPRV SR</w:t>
            </w:r>
          </w:p>
        </w:tc>
        <w:tc>
          <w:tcPr>
            <w:tcW w:w="3403" w:type="dxa"/>
          </w:tcPr>
          <w:p w:rsidR="003227AF" w:rsidRDefault="003227AF" w:rsidP="003227AF">
            <w:pPr>
              <w:spacing w:after="0"/>
              <w:ind w:left="4" w:right="50"/>
              <w:rPr>
                <w:b/>
                <w:sz w:val="20"/>
              </w:rPr>
            </w:pPr>
            <w:r w:rsidRPr="00BE055A">
              <w:rPr>
                <w:b/>
                <w:sz w:val="20"/>
                <w:u w:val="single"/>
              </w:rPr>
              <w:t>Stredná priorita</w:t>
            </w:r>
            <w:r>
              <w:rPr>
                <w:sz w:val="20"/>
              </w:rPr>
              <w:t xml:space="preserve"> - Rozhodnutie Rady ešte nebolo predložené.</w:t>
            </w:r>
          </w:p>
        </w:tc>
      </w:tr>
      <w:tr w:rsidR="003227AF" w:rsidTr="009D7E3B">
        <w:trPr>
          <w:cantSplit/>
        </w:trPr>
        <w:tc>
          <w:tcPr>
            <w:tcW w:w="511" w:type="dxa"/>
            <w:tcBorders>
              <w:right w:val="nil"/>
            </w:tcBorders>
            <w:shd w:val="clear" w:color="auto" w:fill="auto"/>
            <w:tcMar>
              <w:top w:w="85" w:type="dxa"/>
              <w:bottom w:w="85" w:type="dxa"/>
              <w:right w:w="108" w:type="dxa"/>
            </w:tcMar>
          </w:tcPr>
          <w:p w:rsidR="003227AF" w:rsidRDefault="003227AF" w:rsidP="003227AF">
            <w:pPr>
              <w:pStyle w:val="Odsekzoznamu"/>
              <w:numPr>
                <w:ilvl w:val="0"/>
                <w:numId w:val="21"/>
              </w:numPr>
              <w:spacing w:after="0"/>
              <w:ind w:left="426"/>
              <w:rPr>
                <w:noProof/>
                <w:sz w:val="20"/>
              </w:rPr>
            </w:pPr>
          </w:p>
        </w:tc>
        <w:tc>
          <w:tcPr>
            <w:tcW w:w="1752" w:type="dxa"/>
            <w:tcMar>
              <w:top w:w="85" w:type="dxa"/>
              <w:bottom w:w="85" w:type="dxa"/>
              <w:right w:w="108" w:type="dxa"/>
            </w:tcMar>
          </w:tcPr>
          <w:p w:rsidR="003227AF" w:rsidRDefault="003227AF" w:rsidP="003227AF">
            <w:pPr>
              <w:spacing w:after="0"/>
              <w:jc w:val="left"/>
              <w:rPr>
                <w:noProof/>
                <w:sz w:val="20"/>
              </w:rPr>
            </w:pPr>
            <w:r>
              <w:rPr>
                <w:noProof/>
                <w:sz w:val="20"/>
              </w:rPr>
              <w:t>COM(2015) 18 final.</w:t>
            </w:r>
            <w:r>
              <w:rPr>
                <w:noProof/>
                <w:sz w:val="20"/>
              </w:rPr>
              <w:br/>
              <w:t>2015/0011 (NLE)</w:t>
            </w:r>
          </w:p>
        </w:tc>
        <w:tc>
          <w:tcPr>
            <w:tcW w:w="4253" w:type="dxa"/>
            <w:shd w:val="clear" w:color="auto" w:fill="auto"/>
            <w:tcMar>
              <w:top w:w="85" w:type="dxa"/>
              <w:bottom w:w="85" w:type="dxa"/>
              <w:right w:w="108" w:type="dxa"/>
            </w:tcMar>
          </w:tcPr>
          <w:p w:rsidR="003227AF" w:rsidRPr="003B1CF2" w:rsidRDefault="003227AF" w:rsidP="003227AF">
            <w:pPr>
              <w:spacing w:after="0"/>
              <w:rPr>
                <w:noProof/>
                <w:sz w:val="20"/>
              </w:rPr>
            </w:pPr>
            <w:r w:rsidRPr="003B1CF2">
              <w:rPr>
                <w:noProof/>
                <w:sz w:val="20"/>
              </w:rPr>
              <w:t>Návrh ROZHODNUTIE RADY o pozícii, ktorá sa má prijať v mene Európskej únie v Spoločnom výbore EHP k zmene rokovacieho poriadku Spoločného výboru EHP (rozšírenie o Chorvátsko)</w:t>
            </w:r>
          </w:p>
        </w:tc>
        <w:tc>
          <w:tcPr>
            <w:tcW w:w="3544" w:type="dxa"/>
            <w:tcMar>
              <w:top w:w="85" w:type="dxa"/>
              <w:bottom w:w="85" w:type="dxa"/>
              <w:right w:w="108" w:type="dxa"/>
            </w:tcMar>
          </w:tcPr>
          <w:p w:rsidR="003227AF" w:rsidRPr="003B1CF2" w:rsidRDefault="003227AF" w:rsidP="003227AF">
            <w:pPr>
              <w:spacing w:after="0"/>
              <w:jc w:val="left"/>
              <w:rPr>
                <w:noProof/>
                <w:sz w:val="20"/>
              </w:rPr>
            </w:pPr>
            <w:r w:rsidRPr="003B1CF2">
              <w:rPr>
                <w:noProof/>
                <w:sz w:val="20"/>
              </w:rPr>
              <w:t xml:space="preserve">Zastarané: podstatu tohto návrhu pokrylo rozhodnutie Rady (EÚ) 2018/4 z 18. decembra 2017 o pozícii, ktorá sa má v mene Európskej únie prijať v Spoločnom výbore EHP k zmene rokovacieho poriadku Spoločného výboru EHP. </w:t>
            </w:r>
          </w:p>
        </w:tc>
        <w:tc>
          <w:tcPr>
            <w:tcW w:w="1275" w:type="dxa"/>
          </w:tcPr>
          <w:p w:rsidR="003227AF" w:rsidRPr="007168F1" w:rsidRDefault="00F8175B" w:rsidP="007168F1">
            <w:pPr>
              <w:spacing w:after="0"/>
              <w:jc w:val="center"/>
              <w:rPr>
                <w:b/>
                <w:noProof/>
                <w:sz w:val="20"/>
              </w:rPr>
            </w:pPr>
            <w:r>
              <w:rPr>
                <w:b/>
                <w:noProof/>
                <w:sz w:val="20"/>
              </w:rPr>
              <w:t xml:space="preserve">MZVEZ SR </w:t>
            </w:r>
          </w:p>
        </w:tc>
        <w:tc>
          <w:tcPr>
            <w:tcW w:w="3403" w:type="dxa"/>
          </w:tcPr>
          <w:p w:rsidR="003227AF" w:rsidRDefault="00EF2110" w:rsidP="003227AF">
            <w:pPr>
              <w:spacing w:after="0"/>
              <w:jc w:val="left"/>
              <w:rPr>
                <w:noProof/>
                <w:sz w:val="20"/>
              </w:rPr>
            </w:pPr>
            <w:r w:rsidRPr="00FE2A32">
              <w:rPr>
                <w:b/>
                <w:sz w:val="20"/>
                <w:u w:val="single"/>
              </w:rPr>
              <w:t>Nízka priorita</w:t>
            </w:r>
            <w:r w:rsidRPr="00FE2A32">
              <w:rPr>
                <w:b/>
                <w:sz w:val="20"/>
              </w:rPr>
              <w:t xml:space="preserve"> -</w:t>
            </w:r>
            <w:r>
              <w:rPr>
                <w:b/>
                <w:sz w:val="20"/>
              </w:rPr>
              <w:t xml:space="preserve"> </w:t>
            </w:r>
            <w:r>
              <w:rPr>
                <w:sz w:val="20"/>
              </w:rPr>
              <w:t xml:space="preserve">SR podporuje  </w:t>
            </w:r>
            <w:r w:rsidRPr="00110CCF">
              <w:rPr>
                <w:sz w:val="20"/>
              </w:rPr>
              <w:t>späť</w:t>
            </w:r>
            <w:r>
              <w:rPr>
                <w:sz w:val="20"/>
              </w:rPr>
              <w:t>-</w:t>
            </w:r>
            <w:r w:rsidRPr="00110CCF">
              <w:rPr>
                <w:sz w:val="20"/>
              </w:rPr>
              <w:t>vzatie tohto návrhu.</w:t>
            </w:r>
          </w:p>
        </w:tc>
      </w:tr>
      <w:tr w:rsidR="003227AF" w:rsidTr="009D7E3B">
        <w:trPr>
          <w:cantSplit/>
        </w:trPr>
        <w:tc>
          <w:tcPr>
            <w:tcW w:w="511" w:type="dxa"/>
            <w:tcBorders>
              <w:right w:val="nil"/>
            </w:tcBorders>
            <w:shd w:val="clear" w:color="auto" w:fill="auto"/>
            <w:tcMar>
              <w:top w:w="85" w:type="dxa"/>
              <w:bottom w:w="85" w:type="dxa"/>
              <w:right w:w="108" w:type="dxa"/>
            </w:tcMar>
          </w:tcPr>
          <w:p w:rsidR="003227AF" w:rsidRDefault="003227AF" w:rsidP="003227AF">
            <w:pPr>
              <w:pStyle w:val="Odsekzoznamu"/>
              <w:numPr>
                <w:ilvl w:val="0"/>
                <w:numId w:val="21"/>
              </w:numPr>
              <w:spacing w:after="0"/>
              <w:ind w:left="426"/>
              <w:rPr>
                <w:noProof/>
                <w:sz w:val="20"/>
              </w:rPr>
            </w:pPr>
          </w:p>
        </w:tc>
        <w:tc>
          <w:tcPr>
            <w:tcW w:w="1752" w:type="dxa"/>
            <w:tcMar>
              <w:top w:w="85" w:type="dxa"/>
              <w:bottom w:w="85" w:type="dxa"/>
              <w:right w:w="108" w:type="dxa"/>
            </w:tcMar>
          </w:tcPr>
          <w:p w:rsidR="003227AF" w:rsidRDefault="003227AF" w:rsidP="003227AF">
            <w:pPr>
              <w:spacing w:after="0"/>
              <w:jc w:val="left"/>
              <w:rPr>
                <w:noProof/>
                <w:sz w:val="20"/>
              </w:rPr>
            </w:pPr>
            <w:r>
              <w:rPr>
                <w:noProof/>
                <w:sz w:val="20"/>
              </w:rPr>
              <w:t>COM(2015) 48 final.</w:t>
            </w:r>
            <w:r>
              <w:rPr>
                <w:noProof/>
                <w:sz w:val="20"/>
              </w:rPr>
              <w:br/>
              <w:t>2015/0027 (COD)</w:t>
            </w:r>
          </w:p>
        </w:tc>
        <w:tc>
          <w:tcPr>
            <w:tcW w:w="4253" w:type="dxa"/>
            <w:shd w:val="clear" w:color="auto" w:fill="auto"/>
            <w:tcMar>
              <w:top w:w="85" w:type="dxa"/>
              <w:bottom w:w="85" w:type="dxa"/>
              <w:right w:w="108" w:type="dxa"/>
            </w:tcMar>
          </w:tcPr>
          <w:p w:rsidR="003227AF" w:rsidRPr="003B1CF2" w:rsidRDefault="003227AF" w:rsidP="003227AF">
            <w:pPr>
              <w:spacing w:after="0"/>
              <w:rPr>
                <w:noProof/>
                <w:sz w:val="20"/>
              </w:rPr>
            </w:pPr>
            <w:r w:rsidRPr="003B1CF2">
              <w:rPr>
                <w:noProof/>
                <w:sz w:val="20"/>
              </w:rPr>
              <w:t>Návrh NARIADENIE EURÓPSKEHO PARLAMENTU A RADY o ochrane pred účinkami exteritoriálneho uplatňovania právnych predpisov prijatých treťou krajinou a pred účinkami opatrení na nich založených alebo z nich vyplývajúcich (prepracované znenie)</w:t>
            </w:r>
          </w:p>
        </w:tc>
        <w:tc>
          <w:tcPr>
            <w:tcW w:w="3544" w:type="dxa"/>
            <w:tcMar>
              <w:top w:w="85" w:type="dxa"/>
              <w:bottom w:w="85" w:type="dxa"/>
              <w:right w:w="108" w:type="dxa"/>
            </w:tcMar>
          </w:tcPr>
          <w:p w:rsidR="003227AF" w:rsidRPr="003B1CF2" w:rsidRDefault="003227AF" w:rsidP="003227AF">
            <w:pPr>
              <w:spacing w:after="0"/>
              <w:jc w:val="left"/>
              <w:rPr>
                <w:noProof/>
                <w:sz w:val="20"/>
              </w:rPr>
            </w:pPr>
            <w:r w:rsidRPr="003B1CF2">
              <w:rPr>
                <w:noProof/>
                <w:sz w:val="20"/>
              </w:rPr>
              <w:t>Žiadne vyhliadky na dosiahnutie dohody: návrh nahradí nová iniciatíva zameraná na posilnenie sankčného mechanizmu, na ktorý sa odkazuje v prílohe 1 k tomuto pracovnému programu Komisie.</w:t>
            </w:r>
          </w:p>
        </w:tc>
        <w:tc>
          <w:tcPr>
            <w:tcW w:w="1275" w:type="dxa"/>
          </w:tcPr>
          <w:p w:rsidR="003227AF" w:rsidRPr="007168F1" w:rsidRDefault="007168F1" w:rsidP="007168F1">
            <w:pPr>
              <w:spacing w:after="0"/>
              <w:jc w:val="center"/>
              <w:rPr>
                <w:b/>
                <w:noProof/>
                <w:sz w:val="20"/>
              </w:rPr>
            </w:pPr>
            <w:r w:rsidRPr="007168F1">
              <w:rPr>
                <w:b/>
                <w:noProof/>
                <w:sz w:val="20"/>
              </w:rPr>
              <w:t>MH SR</w:t>
            </w:r>
          </w:p>
        </w:tc>
        <w:tc>
          <w:tcPr>
            <w:tcW w:w="3403" w:type="dxa"/>
          </w:tcPr>
          <w:p w:rsidR="003227AF" w:rsidRDefault="00EF2110" w:rsidP="003227AF">
            <w:pPr>
              <w:spacing w:after="0"/>
              <w:jc w:val="left"/>
              <w:rPr>
                <w:noProof/>
                <w:sz w:val="20"/>
              </w:rPr>
            </w:pPr>
            <w:r w:rsidRPr="00FE2A32">
              <w:rPr>
                <w:b/>
                <w:sz w:val="20"/>
                <w:u w:val="single"/>
              </w:rPr>
              <w:t>Nízka priorita</w:t>
            </w:r>
            <w:r w:rsidRPr="00FE2A32">
              <w:rPr>
                <w:b/>
                <w:sz w:val="20"/>
              </w:rPr>
              <w:t xml:space="preserve"> -</w:t>
            </w:r>
            <w:r>
              <w:rPr>
                <w:b/>
                <w:sz w:val="20"/>
              </w:rPr>
              <w:t xml:space="preserve"> </w:t>
            </w:r>
            <w:r>
              <w:rPr>
                <w:sz w:val="20"/>
              </w:rPr>
              <w:t xml:space="preserve">SR podporuje  </w:t>
            </w:r>
            <w:r w:rsidRPr="00110CCF">
              <w:rPr>
                <w:sz w:val="20"/>
              </w:rPr>
              <w:t>späť</w:t>
            </w:r>
            <w:r>
              <w:rPr>
                <w:sz w:val="20"/>
              </w:rPr>
              <w:t>-</w:t>
            </w:r>
            <w:r w:rsidRPr="00110CCF">
              <w:rPr>
                <w:sz w:val="20"/>
              </w:rPr>
              <w:t>vzatie tohto návrhu.</w:t>
            </w:r>
          </w:p>
        </w:tc>
      </w:tr>
      <w:tr w:rsidR="003227AF" w:rsidTr="009D7E3B">
        <w:trPr>
          <w:cantSplit/>
        </w:trPr>
        <w:tc>
          <w:tcPr>
            <w:tcW w:w="511" w:type="dxa"/>
            <w:tcBorders>
              <w:right w:val="nil"/>
            </w:tcBorders>
            <w:shd w:val="clear" w:color="auto" w:fill="auto"/>
            <w:tcMar>
              <w:top w:w="85" w:type="dxa"/>
              <w:bottom w:w="85" w:type="dxa"/>
              <w:right w:w="108" w:type="dxa"/>
            </w:tcMar>
          </w:tcPr>
          <w:p w:rsidR="003227AF" w:rsidRDefault="003227AF" w:rsidP="003227AF">
            <w:pPr>
              <w:pStyle w:val="Odsekzoznamu"/>
              <w:numPr>
                <w:ilvl w:val="0"/>
                <w:numId w:val="21"/>
              </w:numPr>
              <w:spacing w:after="0"/>
              <w:ind w:left="426"/>
              <w:rPr>
                <w:noProof/>
                <w:sz w:val="20"/>
              </w:rPr>
            </w:pPr>
          </w:p>
        </w:tc>
        <w:tc>
          <w:tcPr>
            <w:tcW w:w="1752" w:type="dxa"/>
            <w:tcMar>
              <w:top w:w="85" w:type="dxa"/>
              <w:bottom w:w="85" w:type="dxa"/>
              <w:right w:w="108" w:type="dxa"/>
            </w:tcMar>
          </w:tcPr>
          <w:p w:rsidR="003227AF" w:rsidRDefault="003227AF" w:rsidP="003227AF">
            <w:pPr>
              <w:spacing w:after="0"/>
              <w:jc w:val="left"/>
              <w:rPr>
                <w:noProof/>
                <w:sz w:val="20"/>
              </w:rPr>
            </w:pPr>
            <w:r>
              <w:rPr>
                <w:noProof/>
                <w:sz w:val="20"/>
              </w:rPr>
              <w:t>JOIN(2016) 37 final.</w:t>
            </w:r>
            <w:r>
              <w:rPr>
                <w:noProof/>
                <w:sz w:val="20"/>
              </w:rPr>
              <w:br/>
              <w:t>2016/0241 (NLE)</w:t>
            </w:r>
          </w:p>
        </w:tc>
        <w:tc>
          <w:tcPr>
            <w:tcW w:w="4253" w:type="dxa"/>
            <w:shd w:val="clear" w:color="auto" w:fill="auto"/>
            <w:tcMar>
              <w:top w:w="85" w:type="dxa"/>
              <w:bottom w:w="85" w:type="dxa"/>
              <w:right w:w="108" w:type="dxa"/>
            </w:tcMar>
          </w:tcPr>
          <w:p w:rsidR="003227AF" w:rsidRPr="003B1CF2" w:rsidRDefault="003227AF" w:rsidP="003227AF">
            <w:pPr>
              <w:spacing w:after="0"/>
              <w:rPr>
                <w:noProof/>
                <w:sz w:val="20"/>
              </w:rPr>
            </w:pPr>
            <w:r w:rsidRPr="003B1CF2">
              <w:rPr>
                <w:noProof/>
                <w:sz w:val="20"/>
              </w:rPr>
              <w:t>Spoločný návrh ROZHODNUTIE RADY o podpise rámcovej dohody o partnerstve a spolupráci medzi Európskou úniou a vládou Malajzie</w:t>
            </w:r>
          </w:p>
        </w:tc>
        <w:tc>
          <w:tcPr>
            <w:tcW w:w="3544" w:type="dxa"/>
            <w:tcMar>
              <w:top w:w="85" w:type="dxa"/>
              <w:bottom w:w="85" w:type="dxa"/>
              <w:right w:w="108" w:type="dxa"/>
            </w:tcMar>
          </w:tcPr>
          <w:p w:rsidR="003227AF" w:rsidRPr="003B1CF2" w:rsidRDefault="003227AF" w:rsidP="003227AF">
            <w:pPr>
              <w:spacing w:after="0"/>
              <w:jc w:val="left"/>
              <w:rPr>
                <w:noProof/>
                <w:sz w:val="20"/>
              </w:rPr>
            </w:pPr>
            <w:r w:rsidRPr="003B1CF2">
              <w:rPr>
                <w:noProof/>
                <w:sz w:val="20"/>
              </w:rPr>
              <w:t>Zastarané: tento návrh z roku 2016 sa stal zastaraným, keď Komisia v roku 2018 pripravila zrevidovaný návrh rozhodnutia Rady o podpise dohody o partnerstve a spolupráci ako zmiešanej dohody (a nie len dohody EÚ) s predbežným vykonávaním [JOIN(2018)20].</w:t>
            </w:r>
          </w:p>
        </w:tc>
        <w:tc>
          <w:tcPr>
            <w:tcW w:w="1275" w:type="dxa"/>
          </w:tcPr>
          <w:p w:rsidR="003227AF" w:rsidRPr="007168F1" w:rsidRDefault="001B7D6B" w:rsidP="007168F1">
            <w:pPr>
              <w:spacing w:after="0"/>
              <w:jc w:val="center"/>
              <w:rPr>
                <w:b/>
                <w:noProof/>
                <w:sz w:val="20"/>
              </w:rPr>
            </w:pPr>
            <w:r>
              <w:rPr>
                <w:b/>
                <w:noProof/>
                <w:sz w:val="20"/>
              </w:rPr>
              <w:t xml:space="preserve">MZVEZ </w:t>
            </w:r>
            <w:r w:rsidR="007168F1" w:rsidRPr="007168F1">
              <w:rPr>
                <w:b/>
                <w:noProof/>
                <w:sz w:val="20"/>
              </w:rPr>
              <w:t xml:space="preserve"> SR</w:t>
            </w:r>
          </w:p>
        </w:tc>
        <w:tc>
          <w:tcPr>
            <w:tcW w:w="3403" w:type="dxa"/>
          </w:tcPr>
          <w:p w:rsidR="003227AF" w:rsidRDefault="00EF2110" w:rsidP="003227AF">
            <w:pPr>
              <w:spacing w:after="0"/>
              <w:jc w:val="left"/>
              <w:rPr>
                <w:noProof/>
                <w:sz w:val="20"/>
              </w:rPr>
            </w:pPr>
            <w:r w:rsidRPr="00FE2A32">
              <w:rPr>
                <w:b/>
                <w:sz w:val="20"/>
                <w:u w:val="single"/>
              </w:rPr>
              <w:t>Nízka priorita</w:t>
            </w:r>
            <w:r w:rsidRPr="00FE2A32">
              <w:rPr>
                <w:b/>
                <w:sz w:val="20"/>
              </w:rPr>
              <w:t xml:space="preserve"> -</w:t>
            </w:r>
            <w:r>
              <w:rPr>
                <w:b/>
                <w:sz w:val="20"/>
              </w:rPr>
              <w:t xml:space="preserve"> </w:t>
            </w:r>
            <w:r>
              <w:rPr>
                <w:sz w:val="20"/>
              </w:rPr>
              <w:t xml:space="preserve">SR podporuje  </w:t>
            </w:r>
            <w:r w:rsidRPr="00110CCF">
              <w:rPr>
                <w:sz w:val="20"/>
              </w:rPr>
              <w:t>späť</w:t>
            </w:r>
            <w:r>
              <w:rPr>
                <w:sz w:val="20"/>
              </w:rPr>
              <w:t>-</w:t>
            </w:r>
            <w:r w:rsidRPr="00110CCF">
              <w:rPr>
                <w:sz w:val="20"/>
              </w:rPr>
              <w:t>vzatie tohto návrhu.</w:t>
            </w:r>
          </w:p>
        </w:tc>
      </w:tr>
      <w:tr w:rsidR="003227AF" w:rsidTr="009D7E3B">
        <w:trPr>
          <w:cantSplit/>
        </w:trPr>
        <w:tc>
          <w:tcPr>
            <w:tcW w:w="511" w:type="dxa"/>
            <w:tcBorders>
              <w:right w:val="nil"/>
            </w:tcBorders>
            <w:shd w:val="clear" w:color="auto" w:fill="auto"/>
            <w:tcMar>
              <w:top w:w="85" w:type="dxa"/>
              <w:bottom w:w="85" w:type="dxa"/>
              <w:right w:w="108" w:type="dxa"/>
            </w:tcMar>
          </w:tcPr>
          <w:p w:rsidR="003227AF" w:rsidRDefault="003227AF" w:rsidP="003227AF">
            <w:pPr>
              <w:pStyle w:val="Odsekzoznamu"/>
              <w:numPr>
                <w:ilvl w:val="0"/>
                <w:numId w:val="21"/>
              </w:numPr>
              <w:spacing w:after="0"/>
              <w:ind w:left="426"/>
              <w:rPr>
                <w:noProof/>
                <w:sz w:val="20"/>
              </w:rPr>
            </w:pPr>
          </w:p>
        </w:tc>
        <w:tc>
          <w:tcPr>
            <w:tcW w:w="1752" w:type="dxa"/>
            <w:tcMar>
              <w:top w:w="85" w:type="dxa"/>
              <w:bottom w:w="85" w:type="dxa"/>
              <w:right w:w="108" w:type="dxa"/>
            </w:tcMar>
          </w:tcPr>
          <w:p w:rsidR="003227AF" w:rsidRDefault="003227AF" w:rsidP="003227AF">
            <w:pPr>
              <w:spacing w:after="0"/>
              <w:jc w:val="left"/>
              <w:rPr>
                <w:noProof/>
                <w:sz w:val="20"/>
              </w:rPr>
            </w:pPr>
            <w:r>
              <w:rPr>
                <w:noProof/>
                <w:sz w:val="20"/>
              </w:rPr>
              <w:t>JOIN(2016) 38</w:t>
            </w:r>
            <w:r>
              <w:rPr>
                <w:noProof/>
                <w:sz w:val="20"/>
              </w:rPr>
              <w:br/>
              <w:t>2016/0243 (NLE)</w:t>
            </w:r>
          </w:p>
        </w:tc>
        <w:tc>
          <w:tcPr>
            <w:tcW w:w="4253" w:type="dxa"/>
            <w:shd w:val="clear" w:color="auto" w:fill="auto"/>
            <w:tcMar>
              <w:top w:w="85" w:type="dxa"/>
              <w:bottom w:w="85" w:type="dxa"/>
              <w:right w:w="108" w:type="dxa"/>
            </w:tcMar>
          </w:tcPr>
          <w:p w:rsidR="003227AF" w:rsidRPr="003B1CF2" w:rsidRDefault="003227AF" w:rsidP="003227AF">
            <w:pPr>
              <w:spacing w:after="0"/>
              <w:rPr>
                <w:noProof/>
                <w:sz w:val="20"/>
              </w:rPr>
            </w:pPr>
            <w:r w:rsidRPr="003B1CF2">
              <w:rPr>
                <w:noProof/>
                <w:sz w:val="20"/>
              </w:rPr>
              <w:t>Spoločný návrh ROZHODNUTIE RADY o uzavretí rámcovej dohody o partnerstve a spolupráci medzi Európskou úniou a vládou Malajzie</w:t>
            </w:r>
          </w:p>
        </w:tc>
        <w:tc>
          <w:tcPr>
            <w:tcW w:w="3544" w:type="dxa"/>
            <w:tcMar>
              <w:top w:w="85" w:type="dxa"/>
              <w:bottom w:w="85" w:type="dxa"/>
              <w:right w:w="108" w:type="dxa"/>
            </w:tcMar>
          </w:tcPr>
          <w:p w:rsidR="003227AF" w:rsidRPr="003B1CF2" w:rsidRDefault="003227AF" w:rsidP="003227AF">
            <w:pPr>
              <w:spacing w:after="0"/>
              <w:jc w:val="left"/>
              <w:rPr>
                <w:noProof/>
                <w:sz w:val="20"/>
              </w:rPr>
            </w:pPr>
            <w:r w:rsidRPr="003B1CF2">
              <w:rPr>
                <w:noProof/>
                <w:sz w:val="20"/>
              </w:rPr>
              <w:t>Zastarané: vzhľadom na zrevidovaný návrh Komisie o podpise dohody o partnerstve a spolupráci [JOIN(2018)20].</w:t>
            </w:r>
          </w:p>
        </w:tc>
        <w:tc>
          <w:tcPr>
            <w:tcW w:w="1275" w:type="dxa"/>
          </w:tcPr>
          <w:p w:rsidR="003227AF" w:rsidRDefault="00EF2110" w:rsidP="007168F1">
            <w:pPr>
              <w:spacing w:after="0"/>
              <w:jc w:val="center"/>
              <w:rPr>
                <w:noProof/>
                <w:sz w:val="20"/>
              </w:rPr>
            </w:pPr>
            <w:r>
              <w:rPr>
                <w:b/>
                <w:noProof/>
                <w:sz w:val="20"/>
              </w:rPr>
              <w:t>MZVEZ SR</w:t>
            </w:r>
          </w:p>
        </w:tc>
        <w:tc>
          <w:tcPr>
            <w:tcW w:w="3403" w:type="dxa"/>
          </w:tcPr>
          <w:p w:rsidR="003227AF" w:rsidRDefault="00EF2110" w:rsidP="003227AF">
            <w:pPr>
              <w:spacing w:after="0"/>
              <w:jc w:val="left"/>
              <w:rPr>
                <w:noProof/>
                <w:sz w:val="20"/>
              </w:rPr>
            </w:pPr>
            <w:r w:rsidRPr="00FE2A32">
              <w:rPr>
                <w:b/>
                <w:sz w:val="20"/>
                <w:u w:val="single"/>
              </w:rPr>
              <w:t>Nízka priorita</w:t>
            </w:r>
            <w:r w:rsidRPr="00FE2A32">
              <w:rPr>
                <w:b/>
                <w:sz w:val="20"/>
              </w:rPr>
              <w:t xml:space="preserve"> -</w:t>
            </w:r>
            <w:r>
              <w:rPr>
                <w:b/>
                <w:sz w:val="20"/>
              </w:rPr>
              <w:t xml:space="preserve"> </w:t>
            </w:r>
            <w:r>
              <w:rPr>
                <w:sz w:val="20"/>
              </w:rPr>
              <w:t xml:space="preserve">SR podporuje  </w:t>
            </w:r>
            <w:r w:rsidRPr="00110CCF">
              <w:rPr>
                <w:sz w:val="20"/>
              </w:rPr>
              <w:t>späť</w:t>
            </w:r>
            <w:r>
              <w:rPr>
                <w:sz w:val="20"/>
              </w:rPr>
              <w:t>-</w:t>
            </w:r>
            <w:r w:rsidRPr="00110CCF">
              <w:rPr>
                <w:sz w:val="20"/>
              </w:rPr>
              <w:t>vzatie tohto návrhu.</w:t>
            </w:r>
          </w:p>
        </w:tc>
      </w:tr>
      <w:tr w:rsidR="003227AF" w:rsidTr="009D7E3B">
        <w:trPr>
          <w:cantSplit/>
        </w:trPr>
        <w:tc>
          <w:tcPr>
            <w:tcW w:w="511" w:type="dxa"/>
            <w:tcBorders>
              <w:right w:val="nil"/>
            </w:tcBorders>
            <w:shd w:val="clear" w:color="auto" w:fill="auto"/>
            <w:tcMar>
              <w:top w:w="85" w:type="dxa"/>
              <w:bottom w:w="85" w:type="dxa"/>
              <w:right w:w="108" w:type="dxa"/>
            </w:tcMar>
          </w:tcPr>
          <w:p w:rsidR="003227AF" w:rsidRDefault="003227AF" w:rsidP="003227AF">
            <w:pPr>
              <w:pStyle w:val="Odsekzoznamu"/>
              <w:numPr>
                <w:ilvl w:val="0"/>
                <w:numId w:val="21"/>
              </w:numPr>
              <w:spacing w:after="0"/>
              <w:ind w:left="426"/>
              <w:rPr>
                <w:noProof/>
                <w:sz w:val="20"/>
              </w:rPr>
            </w:pPr>
          </w:p>
        </w:tc>
        <w:tc>
          <w:tcPr>
            <w:tcW w:w="1752" w:type="dxa"/>
            <w:tcMar>
              <w:top w:w="85" w:type="dxa"/>
              <w:bottom w:w="85" w:type="dxa"/>
              <w:right w:w="108" w:type="dxa"/>
            </w:tcMar>
          </w:tcPr>
          <w:p w:rsidR="003227AF" w:rsidRDefault="003227AF" w:rsidP="003227AF">
            <w:pPr>
              <w:spacing w:after="0"/>
              <w:jc w:val="left"/>
              <w:rPr>
                <w:noProof/>
                <w:sz w:val="20"/>
              </w:rPr>
            </w:pPr>
            <w:r>
              <w:rPr>
                <w:noProof/>
                <w:sz w:val="20"/>
              </w:rPr>
              <w:t>COM(2017) 668 final.</w:t>
            </w:r>
            <w:r>
              <w:rPr>
                <w:noProof/>
                <w:sz w:val="20"/>
              </w:rPr>
              <w:br/>
              <w:t>2017/0301 (NLE)</w:t>
            </w:r>
          </w:p>
        </w:tc>
        <w:tc>
          <w:tcPr>
            <w:tcW w:w="4253" w:type="dxa"/>
            <w:shd w:val="clear" w:color="auto" w:fill="auto"/>
            <w:tcMar>
              <w:top w:w="85" w:type="dxa"/>
              <w:bottom w:w="85" w:type="dxa"/>
              <w:right w:w="108" w:type="dxa"/>
            </w:tcMar>
          </w:tcPr>
          <w:p w:rsidR="003227AF" w:rsidRPr="003B1CF2" w:rsidRDefault="003227AF" w:rsidP="003227AF">
            <w:pPr>
              <w:spacing w:after="0"/>
              <w:rPr>
                <w:noProof/>
                <w:sz w:val="20"/>
              </w:rPr>
            </w:pPr>
            <w:r w:rsidRPr="003B1CF2">
              <w:rPr>
                <w:noProof/>
                <w:sz w:val="20"/>
              </w:rPr>
              <w:t>Návrh ROZHODNUTIE RADY o pozícii, ktorá sa má zaujať v mene Európskej únie na Konferencii ministrov Svetovej obchodnej organizácie, pokiaľ ide o verejné skladové hospodárstvo na účely potravinovej bezpečnosti, domácu podporu v oblasti poľnohospodárstva, ktorá narúša obchod (vrátane podpory pre bavlnu), obmedzenia vývozu v poľnohospodárstve, dotácie pre rybolov, domácu reguláciu služieb, a MSP/transparentnosť regulačných opatrení v oblasti obchodu s tovarom.</w:t>
            </w:r>
          </w:p>
        </w:tc>
        <w:tc>
          <w:tcPr>
            <w:tcW w:w="3544" w:type="dxa"/>
            <w:tcMar>
              <w:top w:w="85" w:type="dxa"/>
              <w:bottom w:w="85" w:type="dxa"/>
              <w:right w:w="108" w:type="dxa"/>
            </w:tcMar>
          </w:tcPr>
          <w:p w:rsidR="003227AF" w:rsidRPr="003B1CF2" w:rsidRDefault="003227AF" w:rsidP="003227AF">
            <w:pPr>
              <w:spacing w:after="0"/>
              <w:jc w:val="left"/>
              <w:rPr>
                <w:noProof/>
                <w:sz w:val="20"/>
              </w:rPr>
            </w:pPr>
            <w:r w:rsidRPr="003B1CF2">
              <w:rPr>
                <w:noProof/>
                <w:sz w:val="20"/>
              </w:rPr>
              <w:t>Zastarané: tento návrh predbehli osude tohto návrhu rozhodli udalosti - nebol potrebný, keďže na 11. Konferencii ministrov WTO sa nenašiel konsenzus o rozhodnutiach súvisiacich s plánovaným rozvojovým programom z Dauhy.</w:t>
            </w:r>
          </w:p>
        </w:tc>
        <w:tc>
          <w:tcPr>
            <w:tcW w:w="1275" w:type="dxa"/>
          </w:tcPr>
          <w:p w:rsidR="003227AF" w:rsidRPr="00D87D6A" w:rsidRDefault="00A27C5A" w:rsidP="007168F1">
            <w:pPr>
              <w:spacing w:after="0"/>
              <w:jc w:val="center"/>
              <w:rPr>
                <w:b/>
                <w:noProof/>
                <w:sz w:val="20"/>
              </w:rPr>
            </w:pPr>
            <w:r w:rsidRPr="00D87D6A">
              <w:rPr>
                <w:b/>
                <w:noProof/>
                <w:sz w:val="20"/>
              </w:rPr>
              <w:t>MH SR</w:t>
            </w:r>
          </w:p>
          <w:p w:rsidR="00D87D6A" w:rsidRPr="00D87D6A" w:rsidRDefault="00D87D6A" w:rsidP="007168F1">
            <w:pPr>
              <w:spacing w:after="0"/>
              <w:jc w:val="center"/>
              <w:rPr>
                <w:b/>
                <w:noProof/>
                <w:sz w:val="20"/>
              </w:rPr>
            </w:pPr>
            <w:r w:rsidRPr="00D87D6A">
              <w:rPr>
                <w:b/>
                <w:noProof/>
                <w:sz w:val="20"/>
              </w:rPr>
              <w:t>MPRV SR</w:t>
            </w:r>
          </w:p>
          <w:p w:rsidR="00A27C5A" w:rsidRDefault="00A27C5A" w:rsidP="007168F1">
            <w:pPr>
              <w:spacing w:after="0"/>
              <w:jc w:val="center"/>
              <w:rPr>
                <w:noProof/>
                <w:sz w:val="20"/>
              </w:rPr>
            </w:pPr>
          </w:p>
        </w:tc>
        <w:tc>
          <w:tcPr>
            <w:tcW w:w="3403" w:type="dxa"/>
          </w:tcPr>
          <w:p w:rsidR="003227AF" w:rsidRDefault="00D87D6A" w:rsidP="00D87D6A">
            <w:pPr>
              <w:spacing w:after="0"/>
              <w:rPr>
                <w:noProof/>
                <w:sz w:val="20"/>
              </w:rPr>
            </w:pPr>
            <w:r w:rsidRPr="00D87D6A">
              <w:rPr>
                <w:b/>
                <w:noProof/>
                <w:sz w:val="20"/>
                <w:u w:val="single"/>
              </w:rPr>
              <w:t>Vysoká priorita</w:t>
            </w:r>
            <w:r>
              <w:rPr>
                <w:noProof/>
                <w:sz w:val="20"/>
                <w:u w:val="single"/>
              </w:rPr>
              <w:t xml:space="preserve"> - </w:t>
            </w:r>
            <w:r>
              <w:rPr>
                <w:noProof/>
                <w:sz w:val="20"/>
              </w:rPr>
              <w:t>SK v rámci agri – problematíky podporuje EK v pokračovaní rokovaní vo WTO (v súlade s SPP) s cieľom dosiahnuť vyvážený výsledok s kompromisnými ústupkami u všetkých členov WTO v záujme pokroku.</w:t>
            </w:r>
          </w:p>
        </w:tc>
      </w:tr>
      <w:tr w:rsidR="003227AF" w:rsidTr="009D7E3B">
        <w:trPr>
          <w:cantSplit/>
        </w:trPr>
        <w:tc>
          <w:tcPr>
            <w:tcW w:w="511" w:type="dxa"/>
            <w:tcBorders>
              <w:right w:val="nil"/>
            </w:tcBorders>
            <w:shd w:val="clear" w:color="auto" w:fill="auto"/>
            <w:tcMar>
              <w:top w:w="85" w:type="dxa"/>
              <w:bottom w:w="85" w:type="dxa"/>
              <w:right w:w="108" w:type="dxa"/>
            </w:tcMar>
          </w:tcPr>
          <w:p w:rsidR="003227AF" w:rsidRDefault="003227AF" w:rsidP="003227AF">
            <w:pPr>
              <w:pStyle w:val="Odsekzoznamu"/>
              <w:numPr>
                <w:ilvl w:val="0"/>
                <w:numId w:val="21"/>
              </w:numPr>
              <w:spacing w:after="0"/>
              <w:ind w:left="426"/>
              <w:rPr>
                <w:noProof/>
                <w:sz w:val="20"/>
              </w:rPr>
            </w:pPr>
          </w:p>
        </w:tc>
        <w:tc>
          <w:tcPr>
            <w:tcW w:w="1752" w:type="dxa"/>
            <w:tcMar>
              <w:top w:w="85" w:type="dxa"/>
              <w:bottom w:w="85" w:type="dxa"/>
              <w:right w:w="108" w:type="dxa"/>
            </w:tcMar>
          </w:tcPr>
          <w:p w:rsidR="003227AF" w:rsidRDefault="003227AF" w:rsidP="003227AF">
            <w:pPr>
              <w:spacing w:after="0"/>
              <w:jc w:val="left"/>
              <w:rPr>
                <w:noProof/>
                <w:sz w:val="20"/>
              </w:rPr>
            </w:pPr>
            <w:r>
              <w:rPr>
                <w:noProof/>
                <w:sz w:val="20"/>
              </w:rPr>
              <w:t>JOIN(2018) 20 final.</w:t>
            </w:r>
            <w:r>
              <w:rPr>
                <w:noProof/>
                <w:sz w:val="20"/>
              </w:rPr>
              <w:br/>
              <w:t>2018/0269 (NLE)</w:t>
            </w:r>
          </w:p>
        </w:tc>
        <w:tc>
          <w:tcPr>
            <w:tcW w:w="4253" w:type="dxa"/>
            <w:shd w:val="clear" w:color="auto" w:fill="auto"/>
            <w:tcMar>
              <w:top w:w="85" w:type="dxa"/>
              <w:bottom w:w="85" w:type="dxa"/>
              <w:right w:w="108" w:type="dxa"/>
            </w:tcMar>
          </w:tcPr>
          <w:p w:rsidR="003227AF" w:rsidRPr="003B1CF2" w:rsidRDefault="003227AF" w:rsidP="003227AF">
            <w:pPr>
              <w:spacing w:after="0"/>
              <w:rPr>
                <w:noProof/>
                <w:sz w:val="20"/>
              </w:rPr>
            </w:pPr>
            <w:r w:rsidRPr="003B1CF2">
              <w:rPr>
                <w:noProof/>
                <w:sz w:val="20"/>
              </w:rPr>
              <w:t>Návrh ROZHODNUTIE RADY o podpise v mene Európskej únie a predbežnom vykonávaní rámcovej dohody o partnerstve a spolupráci medzi Európskou úniou a jej členskými štátmi na jednej strane a vládou Malajzie na strane druhej</w:t>
            </w:r>
          </w:p>
        </w:tc>
        <w:tc>
          <w:tcPr>
            <w:tcW w:w="3544" w:type="dxa"/>
            <w:tcMar>
              <w:top w:w="85" w:type="dxa"/>
              <w:bottom w:w="85" w:type="dxa"/>
              <w:right w:w="108" w:type="dxa"/>
            </w:tcMar>
          </w:tcPr>
          <w:p w:rsidR="003227AF" w:rsidRPr="003B1CF2" w:rsidRDefault="003227AF" w:rsidP="003227AF">
            <w:pPr>
              <w:spacing w:after="0"/>
              <w:jc w:val="left"/>
              <w:rPr>
                <w:noProof/>
                <w:sz w:val="20"/>
              </w:rPr>
            </w:pPr>
            <w:r w:rsidRPr="003B1CF2">
              <w:rPr>
                <w:noProof/>
                <w:sz w:val="20"/>
              </w:rPr>
              <w:t xml:space="preserve">Zastarané: súčasťou návrhu je predbežné vykonávanie, ktoré už nie je relevantné. </w:t>
            </w:r>
          </w:p>
        </w:tc>
        <w:tc>
          <w:tcPr>
            <w:tcW w:w="1275" w:type="dxa"/>
          </w:tcPr>
          <w:p w:rsidR="003227AF" w:rsidRPr="007168F1" w:rsidRDefault="009D7E3B" w:rsidP="007168F1">
            <w:pPr>
              <w:spacing w:after="0"/>
              <w:jc w:val="center"/>
              <w:rPr>
                <w:b/>
                <w:noProof/>
                <w:sz w:val="20"/>
              </w:rPr>
            </w:pPr>
            <w:r>
              <w:rPr>
                <w:b/>
                <w:noProof/>
                <w:sz w:val="20"/>
              </w:rPr>
              <w:t xml:space="preserve">MZVEZ </w:t>
            </w:r>
            <w:r w:rsidRPr="007168F1">
              <w:rPr>
                <w:b/>
                <w:noProof/>
                <w:sz w:val="20"/>
              </w:rPr>
              <w:t xml:space="preserve"> SR</w:t>
            </w:r>
          </w:p>
        </w:tc>
        <w:tc>
          <w:tcPr>
            <w:tcW w:w="3403" w:type="dxa"/>
          </w:tcPr>
          <w:p w:rsidR="003227AF" w:rsidRDefault="00EF2110" w:rsidP="003227AF">
            <w:pPr>
              <w:spacing w:after="0"/>
              <w:jc w:val="left"/>
              <w:rPr>
                <w:noProof/>
                <w:sz w:val="20"/>
              </w:rPr>
            </w:pPr>
            <w:r w:rsidRPr="00FE2A32">
              <w:rPr>
                <w:b/>
                <w:sz w:val="20"/>
                <w:u w:val="single"/>
              </w:rPr>
              <w:t>Nízka priorita</w:t>
            </w:r>
            <w:r w:rsidRPr="00FE2A32">
              <w:rPr>
                <w:b/>
                <w:sz w:val="20"/>
              </w:rPr>
              <w:t xml:space="preserve"> -</w:t>
            </w:r>
            <w:r>
              <w:rPr>
                <w:b/>
                <w:sz w:val="20"/>
              </w:rPr>
              <w:t xml:space="preserve"> </w:t>
            </w:r>
            <w:r>
              <w:rPr>
                <w:sz w:val="20"/>
              </w:rPr>
              <w:t xml:space="preserve">SR podporuje  </w:t>
            </w:r>
            <w:r w:rsidRPr="00110CCF">
              <w:rPr>
                <w:sz w:val="20"/>
              </w:rPr>
              <w:t>späť</w:t>
            </w:r>
            <w:r>
              <w:rPr>
                <w:sz w:val="20"/>
              </w:rPr>
              <w:t>-</w:t>
            </w:r>
            <w:r w:rsidRPr="00110CCF">
              <w:rPr>
                <w:sz w:val="20"/>
              </w:rPr>
              <w:t>vzatie tohto návrhu.</w:t>
            </w:r>
          </w:p>
        </w:tc>
      </w:tr>
      <w:tr w:rsidR="003227AF" w:rsidTr="009D7E3B">
        <w:trPr>
          <w:cantSplit/>
        </w:trPr>
        <w:tc>
          <w:tcPr>
            <w:tcW w:w="511" w:type="dxa"/>
            <w:tcBorders>
              <w:bottom w:val="single" w:sz="4" w:space="0" w:color="auto"/>
              <w:right w:val="nil"/>
            </w:tcBorders>
            <w:shd w:val="clear" w:color="auto" w:fill="auto"/>
            <w:tcMar>
              <w:top w:w="85" w:type="dxa"/>
              <w:bottom w:w="85" w:type="dxa"/>
              <w:right w:w="108" w:type="dxa"/>
            </w:tcMar>
          </w:tcPr>
          <w:p w:rsidR="003227AF" w:rsidRDefault="003227AF" w:rsidP="003227AF">
            <w:pPr>
              <w:pStyle w:val="Odsekzoznamu"/>
              <w:numPr>
                <w:ilvl w:val="0"/>
                <w:numId w:val="21"/>
              </w:numPr>
              <w:spacing w:after="0"/>
              <w:ind w:left="426"/>
              <w:rPr>
                <w:noProof/>
                <w:sz w:val="20"/>
              </w:rPr>
            </w:pPr>
          </w:p>
        </w:tc>
        <w:tc>
          <w:tcPr>
            <w:tcW w:w="1752" w:type="dxa"/>
            <w:tcBorders>
              <w:bottom w:val="single" w:sz="4" w:space="0" w:color="auto"/>
            </w:tcBorders>
            <w:tcMar>
              <w:top w:w="85" w:type="dxa"/>
              <w:bottom w:w="85" w:type="dxa"/>
              <w:right w:w="108" w:type="dxa"/>
            </w:tcMar>
          </w:tcPr>
          <w:p w:rsidR="003227AF" w:rsidRDefault="003227AF" w:rsidP="003227AF">
            <w:pPr>
              <w:spacing w:after="0"/>
              <w:jc w:val="left"/>
              <w:rPr>
                <w:noProof/>
                <w:sz w:val="20"/>
              </w:rPr>
            </w:pPr>
            <w:r>
              <w:rPr>
                <w:noProof/>
                <w:sz w:val="20"/>
              </w:rPr>
              <w:t>COM(2019) 56 final.</w:t>
            </w:r>
            <w:r>
              <w:rPr>
                <w:noProof/>
                <w:sz w:val="20"/>
              </w:rPr>
              <w:br/>
              <w:t>2019/0028 (NLE)</w:t>
            </w:r>
          </w:p>
        </w:tc>
        <w:tc>
          <w:tcPr>
            <w:tcW w:w="4253" w:type="dxa"/>
            <w:tcBorders>
              <w:bottom w:val="single" w:sz="4" w:space="0" w:color="auto"/>
            </w:tcBorders>
            <w:shd w:val="clear" w:color="auto" w:fill="auto"/>
            <w:tcMar>
              <w:top w:w="85" w:type="dxa"/>
              <w:bottom w:w="85" w:type="dxa"/>
              <w:right w:w="108" w:type="dxa"/>
            </w:tcMar>
          </w:tcPr>
          <w:p w:rsidR="003227AF" w:rsidRDefault="003227AF" w:rsidP="003227AF">
            <w:pPr>
              <w:tabs>
                <w:tab w:val="left" w:pos="1224"/>
              </w:tabs>
              <w:spacing w:after="0"/>
              <w:rPr>
                <w:noProof/>
                <w:sz w:val="20"/>
              </w:rPr>
            </w:pPr>
            <w:r>
              <w:rPr>
                <w:noProof/>
                <w:sz w:val="20"/>
              </w:rPr>
              <w:t>Návrh ROZHODNUTIE RADY o pozícii, ktorá sa má zaujať v mene Európskej únie na 14. valnom zhromaždení Medzivládnej organizácie pre medzinárodnú železničnú prepravu (OTIF), pokiaľ ide o voľbu generálneho tajomníka OTIF na obdobie od 8. apríla 2019 do 31. decembra 2021</w:t>
            </w:r>
          </w:p>
        </w:tc>
        <w:tc>
          <w:tcPr>
            <w:tcW w:w="3544" w:type="dxa"/>
            <w:tcBorders>
              <w:bottom w:val="single" w:sz="4" w:space="0" w:color="auto"/>
            </w:tcBorders>
            <w:tcMar>
              <w:top w:w="85" w:type="dxa"/>
              <w:bottom w:w="85" w:type="dxa"/>
              <w:right w:w="108" w:type="dxa"/>
            </w:tcMar>
          </w:tcPr>
          <w:p w:rsidR="003227AF" w:rsidRDefault="003227AF" w:rsidP="003227AF">
            <w:pPr>
              <w:spacing w:after="0"/>
              <w:jc w:val="left"/>
              <w:rPr>
                <w:noProof/>
                <w:sz w:val="20"/>
              </w:rPr>
            </w:pPr>
            <w:r>
              <w:rPr>
                <w:noProof/>
                <w:sz w:val="20"/>
              </w:rPr>
              <w:t>Zastarané: návrh nebol prijatý pred stretnutím, na ktoré bol určený.</w:t>
            </w:r>
          </w:p>
        </w:tc>
        <w:tc>
          <w:tcPr>
            <w:tcW w:w="1275" w:type="dxa"/>
            <w:tcBorders>
              <w:bottom w:val="single" w:sz="4" w:space="0" w:color="auto"/>
            </w:tcBorders>
          </w:tcPr>
          <w:p w:rsidR="003227AF" w:rsidRPr="00FE2A32" w:rsidRDefault="003227AF" w:rsidP="003227AF">
            <w:pPr>
              <w:spacing w:after="0"/>
              <w:ind w:left="4" w:right="56"/>
              <w:jc w:val="center"/>
              <w:rPr>
                <w:b/>
                <w:sz w:val="20"/>
              </w:rPr>
            </w:pPr>
            <w:r w:rsidRPr="00FE2A32">
              <w:rPr>
                <w:b/>
                <w:sz w:val="20"/>
              </w:rPr>
              <w:t>MDV SR</w:t>
            </w:r>
          </w:p>
        </w:tc>
        <w:tc>
          <w:tcPr>
            <w:tcW w:w="3403" w:type="dxa"/>
            <w:tcBorders>
              <w:bottom w:val="single" w:sz="4" w:space="0" w:color="auto"/>
            </w:tcBorders>
          </w:tcPr>
          <w:p w:rsidR="003227AF" w:rsidRDefault="003227AF" w:rsidP="003227AF">
            <w:pPr>
              <w:spacing w:after="0"/>
              <w:ind w:left="4" w:right="56"/>
              <w:rPr>
                <w:b/>
                <w:sz w:val="20"/>
              </w:rPr>
            </w:pPr>
            <w:r w:rsidRPr="00170D44">
              <w:rPr>
                <w:sz w:val="20"/>
              </w:rPr>
              <w:t xml:space="preserve">Z dôvodu stiahnutia prihlášky jediného kandidáta na </w:t>
            </w:r>
            <w:r>
              <w:rPr>
                <w:sz w:val="20"/>
              </w:rPr>
              <w:t>generálneho tajomníka</w:t>
            </w:r>
            <w:r w:rsidRPr="00170D44">
              <w:rPr>
                <w:sz w:val="20"/>
              </w:rPr>
              <w:t>, ktorý mal byť zvolený na 13. valnom zhromaždení v september 2018 sa rozhodlo o uskutočnení mimoriadneho valného zhromaždenia 27. februára 2019 s jedným bodom programu – voľbou nasledujúceho GT.</w:t>
            </w:r>
            <w:r>
              <w:rPr>
                <w:sz w:val="20"/>
              </w:rPr>
              <w:t xml:space="preserve"> Návrh rozhodnutia Rady už nie je relevantný, pretože nebol prijatý pred zasadnutím valného zhromaždenia.</w:t>
            </w:r>
          </w:p>
        </w:tc>
      </w:tr>
      <w:tr w:rsidR="003227AF" w:rsidTr="009D7E3B">
        <w:trPr>
          <w:cantSplit/>
        </w:trPr>
        <w:tc>
          <w:tcPr>
            <w:tcW w:w="10060" w:type="dxa"/>
            <w:gridSpan w:val="4"/>
            <w:shd w:val="clear" w:color="auto" w:fill="00ADDC" w:themeFill="accent5"/>
            <w:tcMar>
              <w:top w:w="85" w:type="dxa"/>
              <w:bottom w:w="85" w:type="dxa"/>
              <w:right w:w="85" w:type="dxa"/>
            </w:tcMar>
          </w:tcPr>
          <w:p w:rsidR="003227AF" w:rsidRDefault="003227AF" w:rsidP="003227AF">
            <w:pPr>
              <w:keepNext/>
              <w:spacing w:before="60" w:after="60"/>
              <w:rPr>
                <w:noProof/>
                <w:color w:val="FFFFFF" w:themeColor="background1"/>
                <w:sz w:val="20"/>
              </w:rPr>
            </w:pPr>
            <w:r>
              <w:rPr>
                <w:b/>
                <w:bCs/>
                <w:noProof/>
                <w:color w:val="FFFFFF" w:themeColor="background1"/>
                <w:sz w:val="20"/>
              </w:rPr>
              <w:t>Nový impulz pre európsku demokraciu</w:t>
            </w:r>
          </w:p>
        </w:tc>
        <w:tc>
          <w:tcPr>
            <w:tcW w:w="1275" w:type="dxa"/>
            <w:shd w:val="clear" w:color="auto" w:fill="00ADDC" w:themeFill="accent5"/>
          </w:tcPr>
          <w:p w:rsidR="003227AF" w:rsidRDefault="003227AF" w:rsidP="003227AF">
            <w:pPr>
              <w:keepNext/>
              <w:spacing w:before="60" w:after="60"/>
              <w:rPr>
                <w:b/>
                <w:bCs/>
                <w:noProof/>
                <w:color w:val="FFFFFF" w:themeColor="background1"/>
                <w:sz w:val="20"/>
              </w:rPr>
            </w:pPr>
          </w:p>
        </w:tc>
        <w:tc>
          <w:tcPr>
            <w:tcW w:w="3403" w:type="dxa"/>
            <w:shd w:val="clear" w:color="auto" w:fill="00ADDC" w:themeFill="accent5"/>
          </w:tcPr>
          <w:p w:rsidR="003227AF" w:rsidRDefault="003227AF" w:rsidP="003227AF">
            <w:pPr>
              <w:keepNext/>
              <w:spacing w:before="60" w:after="60"/>
              <w:rPr>
                <w:b/>
                <w:bCs/>
                <w:noProof/>
                <w:color w:val="FFFFFF" w:themeColor="background1"/>
                <w:sz w:val="20"/>
              </w:rPr>
            </w:pPr>
          </w:p>
        </w:tc>
      </w:tr>
      <w:tr w:rsidR="003227AF" w:rsidTr="009D7E3B">
        <w:trPr>
          <w:cantSplit/>
        </w:trPr>
        <w:tc>
          <w:tcPr>
            <w:tcW w:w="511" w:type="dxa"/>
            <w:tcBorders>
              <w:right w:val="nil"/>
            </w:tcBorders>
            <w:shd w:val="clear" w:color="auto" w:fill="auto"/>
            <w:tcMar>
              <w:top w:w="85" w:type="dxa"/>
              <w:bottom w:w="85" w:type="dxa"/>
              <w:right w:w="108" w:type="dxa"/>
            </w:tcMar>
          </w:tcPr>
          <w:p w:rsidR="003227AF" w:rsidRDefault="003227AF" w:rsidP="003227AF">
            <w:pPr>
              <w:pStyle w:val="Odsekzoznamu"/>
              <w:numPr>
                <w:ilvl w:val="0"/>
                <w:numId w:val="21"/>
              </w:numPr>
              <w:spacing w:after="0"/>
              <w:ind w:left="426"/>
              <w:rPr>
                <w:noProof/>
                <w:sz w:val="20"/>
              </w:rPr>
            </w:pPr>
          </w:p>
        </w:tc>
        <w:tc>
          <w:tcPr>
            <w:tcW w:w="1752" w:type="dxa"/>
            <w:tcMar>
              <w:top w:w="85" w:type="dxa"/>
              <w:bottom w:w="85" w:type="dxa"/>
              <w:right w:w="108" w:type="dxa"/>
            </w:tcMar>
          </w:tcPr>
          <w:p w:rsidR="003227AF" w:rsidRDefault="003227AF" w:rsidP="003227AF">
            <w:pPr>
              <w:spacing w:after="0"/>
              <w:jc w:val="left"/>
              <w:rPr>
                <w:noProof/>
                <w:sz w:val="20"/>
              </w:rPr>
            </w:pPr>
            <w:r>
              <w:rPr>
                <w:noProof/>
                <w:sz w:val="20"/>
              </w:rPr>
              <w:t>KOM(2011) 635 v konečnom znení.</w:t>
            </w:r>
            <w:r>
              <w:rPr>
                <w:noProof/>
                <w:sz w:val="20"/>
              </w:rPr>
              <w:br/>
              <w:t>2011/0284 (COD)</w:t>
            </w:r>
          </w:p>
        </w:tc>
        <w:tc>
          <w:tcPr>
            <w:tcW w:w="4253" w:type="dxa"/>
            <w:shd w:val="clear" w:color="auto" w:fill="auto"/>
            <w:tcMar>
              <w:top w:w="85" w:type="dxa"/>
              <w:bottom w:w="85" w:type="dxa"/>
              <w:right w:w="108" w:type="dxa"/>
            </w:tcMar>
          </w:tcPr>
          <w:p w:rsidR="003227AF" w:rsidRDefault="003227AF" w:rsidP="003227AF">
            <w:pPr>
              <w:spacing w:after="0"/>
              <w:rPr>
                <w:noProof/>
                <w:sz w:val="20"/>
              </w:rPr>
            </w:pPr>
            <w:r>
              <w:rPr>
                <w:noProof/>
                <w:sz w:val="20"/>
              </w:rPr>
              <w:t>Návrh NARIADENIE EURÓPSKEHO PARLAMENTU A RADY o spoločnom európskom kúpnom práve</w:t>
            </w:r>
          </w:p>
        </w:tc>
        <w:tc>
          <w:tcPr>
            <w:tcW w:w="3544" w:type="dxa"/>
            <w:tcMar>
              <w:top w:w="85" w:type="dxa"/>
              <w:bottom w:w="85" w:type="dxa"/>
              <w:right w:w="108" w:type="dxa"/>
            </w:tcMar>
          </w:tcPr>
          <w:p w:rsidR="003227AF" w:rsidRDefault="003227AF" w:rsidP="003227AF">
            <w:pPr>
              <w:spacing w:after="0"/>
              <w:jc w:val="left"/>
              <w:rPr>
                <w:noProof/>
                <w:sz w:val="20"/>
              </w:rPr>
            </w:pPr>
            <w:r>
              <w:rPr>
                <w:noProof/>
                <w:sz w:val="20"/>
              </w:rPr>
              <w:t>Zastarané: tento návrh nahradili dva iné návrhy, ktoré boli medzičasom prijaté a týkajú sa zmlúv i) o dodávaní digitálneho obsahu a ii) o online a iných predajoch tovaru na diaľku [smernica (EÚ) 2019/771 a smernica (EÚ) 2019/770].</w:t>
            </w:r>
          </w:p>
        </w:tc>
        <w:tc>
          <w:tcPr>
            <w:tcW w:w="1275" w:type="dxa"/>
          </w:tcPr>
          <w:p w:rsidR="003227AF" w:rsidRPr="006F1A07" w:rsidRDefault="00AB20C6" w:rsidP="003227AF">
            <w:pPr>
              <w:spacing w:after="0"/>
              <w:ind w:left="4"/>
              <w:jc w:val="center"/>
              <w:rPr>
                <w:b/>
                <w:sz w:val="20"/>
              </w:rPr>
            </w:pPr>
            <w:r w:rsidRPr="006F1A07">
              <w:rPr>
                <w:b/>
                <w:sz w:val="20"/>
              </w:rPr>
              <w:t xml:space="preserve">MS SR </w:t>
            </w:r>
            <w:r w:rsidR="003227AF" w:rsidRPr="006F1A07">
              <w:rPr>
                <w:b/>
                <w:sz w:val="20"/>
              </w:rPr>
              <w:t>MH SR</w:t>
            </w:r>
          </w:p>
          <w:p w:rsidR="003227AF" w:rsidRPr="006F1A07" w:rsidRDefault="003227AF" w:rsidP="003227AF">
            <w:pPr>
              <w:spacing w:after="0"/>
              <w:ind w:left="4"/>
              <w:jc w:val="center"/>
              <w:rPr>
                <w:b/>
                <w:sz w:val="20"/>
              </w:rPr>
            </w:pPr>
          </w:p>
        </w:tc>
        <w:tc>
          <w:tcPr>
            <w:tcW w:w="3403" w:type="dxa"/>
          </w:tcPr>
          <w:p w:rsidR="003227AF" w:rsidRDefault="003227AF" w:rsidP="003227AF">
            <w:pPr>
              <w:spacing w:after="0"/>
              <w:ind w:left="4"/>
              <w:rPr>
                <w:b/>
                <w:sz w:val="20"/>
              </w:rPr>
            </w:pPr>
            <w:r>
              <w:rPr>
                <w:sz w:val="20"/>
              </w:rPr>
              <w:t>SR podporuje späťvzatie návrhu.</w:t>
            </w:r>
          </w:p>
        </w:tc>
      </w:tr>
      <w:tr w:rsidR="003227AF" w:rsidTr="009D7E3B">
        <w:trPr>
          <w:cantSplit/>
        </w:trPr>
        <w:tc>
          <w:tcPr>
            <w:tcW w:w="511" w:type="dxa"/>
            <w:tcBorders>
              <w:right w:val="nil"/>
            </w:tcBorders>
            <w:shd w:val="clear" w:color="auto" w:fill="auto"/>
            <w:tcMar>
              <w:top w:w="85" w:type="dxa"/>
              <w:bottom w:w="85" w:type="dxa"/>
              <w:right w:w="108" w:type="dxa"/>
            </w:tcMar>
          </w:tcPr>
          <w:p w:rsidR="003227AF" w:rsidRDefault="003227AF" w:rsidP="003227AF">
            <w:pPr>
              <w:pStyle w:val="Odsekzoznamu"/>
              <w:numPr>
                <w:ilvl w:val="0"/>
                <w:numId w:val="21"/>
              </w:numPr>
              <w:spacing w:after="0"/>
              <w:ind w:left="426"/>
              <w:rPr>
                <w:noProof/>
                <w:sz w:val="20"/>
              </w:rPr>
            </w:pPr>
          </w:p>
        </w:tc>
        <w:tc>
          <w:tcPr>
            <w:tcW w:w="1752" w:type="dxa"/>
            <w:tcMar>
              <w:top w:w="85" w:type="dxa"/>
              <w:bottom w:w="85" w:type="dxa"/>
              <w:right w:w="108" w:type="dxa"/>
            </w:tcMar>
          </w:tcPr>
          <w:p w:rsidR="003227AF" w:rsidRPr="003B1CF2" w:rsidRDefault="003227AF" w:rsidP="003227AF">
            <w:pPr>
              <w:spacing w:after="0"/>
              <w:jc w:val="left"/>
              <w:rPr>
                <w:noProof/>
                <w:sz w:val="20"/>
              </w:rPr>
            </w:pPr>
            <w:r w:rsidRPr="003B1CF2">
              <w:rPr>
                <w:noProof/>
                <w:sz w:val="20"/>
              </w:rPr>
              <w:t>KOM(2008) 229 v konečnom znení.</w:t>
            </w:r>
            <w:r w:rsidRPr="003B1CF2">
              <w:rPr>
                <w:noProof/>
                <w:sz w:val="20"/>
              </w:rPr>
              <w:br/>
              <w:t>2008/0090 (COD)</w:t>
            </w:r>
            <w:r w:rsidRPr="003B1CF2">
              <w:rPr>
                <w:noProof/>
                <w:sz w:val="20"/>
              </w:rPr>
              <w:br/>
            </w:r>
            <w:r w:rsidRPr="003B1CF2">
              <w:rPr>
                <w:noProof/>
                <w:sz w:val="20"/>
              </w:rPr>
              <w:br/>
              <w:t>KOM(2011) 137 v konečnom znení.</w:t>
            </w:r>
            <w:r w:rsidRPr="003B1CF2">
              <w:rPr>
                <w:noProof/>
                <w:sz w:val="20"/>
              </w:rPr>
              <w:br/>
              <w:t>2011/0073 (COD)</w:t>
            </w:r>
          </w:p>
        </w:tc>
        <w:tc>
          <w:tcPr>
            <w:tcW w:w="4253" w:type="dxa"/>
            <w:shd w:val="clear" w:color="auto" w:fill="auto"/>
            <w:tcMar>
              <w:top w:w="85" w:type="dxa"/>
              <w:bottom w:w="85" w:type="dxa"/>
              <w:right w:w="108" w:type="dxa"/>
            </w:tcMar>
          </w:tcPr>
          <w:p w:rsidR="003227AF" w:rsidRPr="003B1CF2" w:rsidRDefault="003227AF" w:rsidP="003227AF">
            <w:pPr>
              <w:spacing w:after="0"/>
              <w:rPr>
                <w:noProof/>
                <w:sz w:val="20"/>
              </w:rPr>
            </w:pPr>
            <w:r w:rsidRPr="003B1CF2">
              <w:rPr>
                <w:noProof/>
                <w:sz w:val="20"/>
              </w:rPr>
              <w:t>Návrh NARIADENIE EURÓPSKEHO PARLAMENTU A RADY, ktorým sa mení a dopĺňa nariadenie (ES) č. 1049/2001 o prístupe verejnosti k dokumentom Európskeho parlamentu, Rady a Komisie/návrh nariadenia Európskeho parlamentu a Rady o prístupe verejnosti k dokumentom Európskeho parlamentu, Rady a Komisie</w:t>
            </w:r>
          </w:p>
        </w:tc>
        <w:tc>
          <w:tcPr>
            <w:tcW w:w="3544" w:type="dxa"/>
            <w:tcMar>
              <w:top w:w="85" w:type="dxa"/>
              <w:bottom w:w="85" w:type="dxa"/>
              <w:right w:w="108" w:type="dxa"/>
            </w:tcMar>
          </w:tcPr>
          <w:p w:rsidR="003227AF" w:rsidRPr="003B1CF2" w:rsidRDefault="003227AF" w:rsidP="003227AF">
            <w:pPr>
              <w:spacing w:after="0"/>
              <w:jc w:val="left"/>
              <w:rPr>
                <w:noProof/>
                <w:sz w:val="20"/>
              </w:rPr>
            </w:pPr>
            <w:r w:rsidRPr="003B1CF2">
              <w:rPr>
                <w:noProof/>
                <w:sz w:val="20"/>
              </w:rPr>
              <w:t>Žiadne vyhliadky na dosiahnutie dohody: v prípade týchto dvoch návrhov nedosiahli spoluzákonodarcovia od roku 2011 žiadny pokrok. Návrhy sa medzičasom stali do veľkej miery neaktuálnymi.</w:t>
            </w:r>
          </w:p>
        </w:tc>
        <w:tc>
          <w:tcPr>
            <w:tcW w:w="1275" w:type="dxa"/>
          </w:tcPr>
          <w:p w:rsidR="003227AF" w:rsidRPr="006F1A07" w:rsidRDefault="00F56847" w:rsidP="003227AF">
            <w:pPr>
              <w:spacing w:after="0"/>
              <w:ind w:left="4" w:right="29"/>
              <w:jc w:val="center"/>
              <w:rPr>
                <w:b/>
                <w:sz w:val="20"/>
              </w:rPr>
            </w:pPr>
            <w:r>
              <w:rPr>
                <w:b/>
                <w:sz w:val="20"/>
              </w:rPr>
              <w:t xml:space="preserve">MZVEZ SR </w:t>
            </w:r>
          </w:p>
        </w:tc>
        <w:tc>
          <w:tcPr>
            <w:tcW w:w="3403" w:type="dxa"/>
          </w:tcPr>
          <w:p w:rsidR="003227AF" w:rsidRPr="00F56847" w:rsidRDefault="00F56847" w:rsidP="003227AF">
            <w:pPr>
              <w:spacing w:after="0"/>
              <w:ind w:left="4" w:right="29"/>
              <w:rPr>
                <w:sz w:val="20"/>
              </w:rPr>
            </w:pPr>
            <w:r w:rsidRPr="00F56847">
              <w:rPr>
                <w:sz w:val="20"/>
              </w:rPr>
              <w:t>SR podporuje späťvzatie oboch návrhov</w:t>
            </w:r>
          </w:p>
        </w:tc>
      </w:tr>
      <w:tr w:rsidR="003227AF" w:rsidTr="009D7E3B">
        <w:trPr>
          <w:cantSplit/>
        </w:trPr>
        <w:tc>
          <w:tcPr>
            <w:tcW w:w="511" w:type="dxa"/>
            <w:tcBorders>
              <w:right w:val="nil"/>
            </w:tcBorders>
            <w:shd w:val="clear" w:color="auto" w:fill="auto"/>
            <w:tcMar>
              <w:top w:w="85" w:type="dxa"/>
              <w:bottom w:w="85" w:type="dxa"/>
              <w:right w:w="108" w:type="dxa"/>
            </w:tcMar>
          </w:tcPr>
          <w:p w:rsidR="003227AF" w:rsidRDefault="003227AF" w:rsidP="003227AF">
            <w:pPr>
              <w:pStyle w:val="Odsekzoznamu"/>
              <w:numPr>
                <w:ilvl w:val="0"/>
                <w:numId w:val="21"/>
              </w:numPr>
              <w:spacing w:after="0"/>
              <w:ind w:left="426"/>
              <w:rPr>
                <w:noProof/>
                <w:sz w:val="20"/>
              </w:rPr>
            </w:pPr>
          </w:p>
        </w:tc>
        <w:tc>
          <w:tcPr>
            <w:tcW w:w="1752" w:type="dxa"/>
            <w:tcMar>
              <w:top w:w="85" w:type="dxa"/>
              <w:bottom w:w="85" w:type="dxa"/>
              <w:right w:w="108" w:type="dxa"/>
            </w:tcMar>
          </w:tcPr>
          <w:p w:rsidR="003227AF" w:rsidRDefault="003227AF" w:rsidP="003227AF">
            <w:pPr>
              <w:spacing w:after="0"/>
              <w:jc w:val="left"/>
              <w:rPr>
                <w:noProof/>
                <w:sz w:val="20"/>
              </w:rPr>
            </w:pPr>
            <w:r>
              <w:rPr>
                <w:noProof/>
                <w:sz w:val="20"/>
              </w:rPr>
              <w:t>COM(2013) 78 final.</w:t>
            </w:r>
            <w:r>
              <w:rPr>
                <w:noProof/>
                <w:sz w:val="20"/>
              </w:rPr>
              <w:br/>
              <w:t>2013/0049 (COD)</w:t>
            </w:r>
          </w:p>
        </w:tc>
        <w:tc>
          <w:tcPr>
            <w:tcW w:w="4253" w:type="dxa"/>
            <w:shd w:val="clear" w:color="auto" w:fill="auto"/>
            <w:tcMar>
              <w:top w:w="85" w:type="dxa"/>
              <w:bottom w:w="85" w:type="dxa"/>
              <w:right w:w="108" w:type="dxa"/>
            </w:tcMar>
          </w:tcPr>
          <w:p w:rsidR="003227AF" w:rsidRDefault="003227AF" w:rsidP="003227AF">
            <w:pPr>
              <w:spacing w:after="0"/>
              <w:rPr>
                <w:noProof/>
                <w:sz w:val="20"/>
              </w:rPr>
            </w:pPr>
            <w:r>
              <w:rPr>
                <w:noProof/>
                <w:sz w:val="20"/>
              </w:rPr>
              <w:t>Návrh NARIADENIE EURÓPSKEHO PARLAMENTU A RADY o bezpečnosti spotrebných výrobkov a o zrušení smernice 87/357/EHS a smernice 2001/95/ES</w:t>
            </w:r>
          </w:p>
        </w:tc>
        <w:tc>
          <w:tcPr>
            <w:tcW w:w="3544" w:type="dxa"/>
            <w:tcMar>
              <w:top w:w="85" w:type="dxa"/>
              <w:bottom w:w="85" w:type="dxa"/>
              <w:right w:w="108" w:type="dxa"/>
            </w:tcMar>
          </w:tcPr>
          <w:p w:rsidR="003227AF" w:rsidRDefault="003227AF" w:rsidP="003227AF">
            <w:pPr>
              <w:spacing w:after="0"/>
              <w:jc w:val="left"/>
              <w:rPr>
                <w:noProof/>
                <w:sz w:val="20"/>
              </w:rPr>
            </w:pPr>
            <w:r>
              <w:rPr>
                <w:noProof/>
                <w:sz w:val="20"/>
              </w:rPr>
              <w:t>Návrh nemá žiadne vyhliadky na dosiahnutie dohody a je zastaraný: tento návrh bol čiastočné nahradený „balíkom predpisov v oblasti výrobkov“, ktorý viedol k prijatiu nariadenia (EÚ) 2019/1020 o dohľade nad trhom a súlade výrobkov. Komisia predloží nový návrh, ako to oznámila v prílohe II o programe REFIT.</w:t>
            </w:r>
          </w:p>
        </w:tc>
        <w:tc>
          <w:tcPr>
            <w:tcW w:w="1275" w:type="dxa"/>
          </w:tcPr>
          <w:p w:rsidR="003227AF" w:rsidRPr="006F1A07" w:rsidRDefault="003227AF" w:rsidP="003227AF">
            <w:pPr>
              <w:spacing w:after="0" w:line="239" w:lineRule="auto"/>
              <w:ind w:left="4"/>
              <w:jc w:val="center"/>
              <w:rPr>
                <w:b/>
                <w:sz w:val="20"/>
              </w:rPr>
            </w:pPr>
            <w:r w:rsidRPr="006F1A07">
              <w:rPr>
                <w:b/>
                <w:sz w:val="20"/>
              </w:rPr>
              <w:t>MH SR</w:t>
            </w:r>
          </w:p>
        </w:tc>
        <w:tc>
          <w:tcPr>
            <w:tcW w:w="3403" w:type="dxa"/>
          </w:tcPr>
          <w:p w:rsidR="003227AF" w:rsidRDefault="003227AF" w:rsidP="003227AF">
            <w:pPr>
              <w:spacing w:after="0" w:line="239" w:lineRule="auto"/>
              <w:ind w:left="4"/>
              <w:rPr>
                <w:b/>
                <w:sz w:val="20"/>
              </w:rPr>
            </w:pPr>
            <w:r>
              <w:rPr>
                <w:sz w:val="20"/>
              </w:rPr>
              <w:t>SR podporuje späťvzatie návrhu.</w:t>
            </w:r>
          </w:p>
        </w:tc>
      </w:tr>
    </w:tbl>
    <w:p w:rsidR="00737F57" w:rsidRDefault="005A0B42" w:rsidP="005A0B42">
      <w:pPr>
        <w:spacing w:after="600"/>
        <w:rPr>
          <w:noProof/>
          <w:sz w:val="20"/>
        </w:rPr>
      </w:pPr>
      <w:r>
        <w:rPr>
          <w:noProof/>
          <w:sz w:val="20"/>
        </w:rPr>
        <w:t xml:space="preserve"> </w:t>
      </w:r>
    </w:p>
    <w:sectPr w:rsidR="00737F57">
      <w:headerReference w:type="even" r:id="rId20"/>
      <w:headerReference w:type="default" r:id="rId21"/>
      <w:footerReference w:type="even" r:id="rId22"/>
      <w:footerReference w:type="default" r:id="rId23"/>
      <w:headerReference w:type="first" r:id="rId24"/>
      <w:footerReference w:type="first" r:id="rId25"/>
      <w:pgSz w:w="16838" w:h="11906" w:orient="landscape" w:code="9"/>
      <w:pgMar w:top="851" w:right="1134" w:bottom="851" w:left="1134" w:header="567"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5C05" w:rsidRDefault="000D5C05">
      <w:pPr>
        <w:spacing w:after="0"/>
      </w:pPr>
      <w:r>
        <w:separator/>
      </w:r>
    </w:p>
  </w:endnote>
  <w:endnote w:type="continuationSeparator" w:id="0">
    <w:p w:rsidR="000D5C05" w:rsidRDefault="000D5C05">
      <w:pPr>
        <w:spacing w:after="0"/>
      </w:pPr>
      <w:r>
        <w:continuationSeparator/>
      </w:r>
    </w:p>
  </w:endnote>
  <w:endnote w:type="continuationNotice" w:id="1">
    <w:p w:rsidR="000D5C05" w:rsidRDefault="000D5C0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libri">
    <w:altName w:val="Century Gothic"/>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imes New Roman Bold">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C05" w:rsidRDefault="000D5C05">
    <w:pPr>
      <w:pStyle w:val="FooterLine"/>
      <w:jc w:val="center"/>
    </w:pPr>
    <w:r>
      <w:fldChar w:fldCharType="begin"/>
    </w:r>
    <w:r>
      <w:instrText>PAGE   \* MERGEFORMAT</w:instrText>
    </w:r>
    <w:r>
      <w:fldChar w:fldCharType="separate"/>
    </w:r>
    <w: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C05" w:rsidRDefault="000D5C05">
    <w:pPr>
      <w:pStyle w:val="FooterLine"/>
      <w:spacing w:before="0"/>
      <w:jc w:val="right"/>
    </w:pPr>
    <w:r>
      <w:fldChar w:fldCharType="begin"/>
    </w:r>
    <w:r>
      <w:instrText>PAGE   \* MERGEFORMAT</w:instrText>
    </w:r>
    <w:r>
      <w:fldChar w:fldCharType="separate"/>
    </w:r>
    <w:r w:rsidR="00A6277B">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3062222"/>
      <w:docPartObj>
        <w:docPartGallery w:val="Page Numbers (Bottom of Page)"/>
        <w:docPartUnique/>
      </w:docPartObj>
    </w:sdtPr>
    <w:sdtEndPr>
      <w:rPr>
        <w:noProof/>
      </w:rPr>
    </w:sdtEndPr>
    <w:sdtContent>
      <w:p w:rsidR="000D5C05" w:rsidRDefault="000D5C05">
        <w:pPr>
          <w:pStyle w:val="Pta"/>
          <w:jc w:val="center"/>
        </w:pPr>
        <w:r>
          <w:fldChar w:fldCharType="begin"/>
        </w:r>
        <w:r>
          <w:instrText xml:space="preserve"> PAGE   \* MERGEFORMAT </w:instrText>
        </w:r>
        <w:r>
          <w:fldChar w:fldCharType="separate"/>
        </w:r>
        <w: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5C05" w:rsidRDefault="000D5C05">
      <w:pPr>
        <w:spacing w:after="0"/>
      </w:pPr>
      <w:r>
        <w:separator/>
      </w:r>
    </w:p>
  </w:footnote>
  <w:footnote w:type="continuationSeparator" w:id="0">
    <w:p w:rsidR="000D5C05" w:rsidRDefault="000D5C05">
      <w:pPr>
        <w:spacing w:after="0"/>
      </w:pPr>
      <w:r>
        <w:continuationSeparator/>
      </w:r>
    </w:p>
  </w:footnote>
  <w:footnote w:type="continuationNotice" w:id="1">
    <w:p w:rsidR="000D5C05" w:rsidRDefault="000D5C05">
      <w:pPr>
        <w:spacing w:after="0"/>
      </w:pPr>
    </w:p>
  </w:footnote>
  <w:footnote w:id="2">
    <w:p w:rsidR="000D5C05" w:rsidRDefault="000D5C05">
      <w:pPr>
        <w:pStyle w:val="Textpoznmkypodiarou"/>
      </w:pPr>
      <w:r>
        <w:rPr>
          <w:rStyle w:val="Odkaznapoznmkupodiarou"/>
        </w:rPr>
        <w:footnoteRef/>
      </w:r>
      <w:r>
        <w:tab/>
        <w:t>V súlade s Medziinštitucionálnou dohodou o lepšej tvorbe práva Komisia v tejto prílohe poskytuje ďalšie informácie (ak takéto informácie sú k dispozícii) o iniciatívach zahrnutých do jej pracovného programu. Tieto informácie, ktoré sa vedľa každej iniciatívy uvádzajú v zátvorkách, sú len orientačné, a môžu sa počas prípravného procesu zmeniť, a to najmä vzhľadom na výsledok posúdenia vplyvu.</w:t>
      </w:r>
    </w:p>
  </w:footnote>
  <w:footnote w:id="3">
    <w:p w:rsidR="000D5C05" w:rsidRDefault="000D5C05">
      <w:pPr>
        <w:pStyle w:val="Textpoznmkypodiarou"/>
        <w:tabs>
          <w:tab w:val="left" w:pos="567"/>
        </w:tabs>
      </w:pPr>
      <w:r>
        <w:rPr>
          <w:rStyle w:val="Odkaznapoznmkupodiarou"/>
        </w:rPr>
        <w:footnoteRef/>
      </w:r>
      <w:r>
        <w:tab/>
        <w:t>Návrhy súvisiace s viacročným finančným rámcom (VFR) sú zvýraznené sivou farbou</w:t>
      </w:r>
    </w:p>
  </w:footnote>
  <w:footnote w:id="4">
    <w:p w:rsidR="000D5C05" w:rsidRDefault="000D5C05">
      <w:pPr>
        <w:pStyle w:val="Textpoznmkypodiarou"/>
      </w:pPr>
      <w:r>
        <w:rPr>
          <w:rStyle w:val="Odkaznapoznmkupodiarou"/>
        </w:rPr>
        <w:footnoteRef/>
      </w:r>
      <w:r>
        <w:tab/>
        <w:t>Tento zoznam zahŕňa prerokúvané legislatívne návrhy, ktoré Komisia zamýšľa vziať späť do šiestich mesiacov (do júla 2020).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C05" w:rsidRDefault="000D5C05">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C05" w:rsidRDefault="000D5C05">
    <w:pPr>
      <w:pStyle w:val="Hlavika"/>
      <w:tabs>
        <w:tab w:val="left" w:pos="10728"/>
      </w:tabs>
      <w:rPr>
        <w:lang w:val="fr-BE"/>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C05" w:rsidRDefault="000D5C05">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900F7"/>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 w15:restartNumberingAfterBreak="0">
    <w:nsid w:val="0D3C78F9"/>
    <w:multiLevelType w:val="hybridMultilevel"/>
    <w:tmpl w:val="D2ACB930"/>
    <w:lvl w:ilvl="0" w:tplc="8230E7E4">
      <w:start w:val="2"/>
      <w:numFmt w:val="bullet"/>
      <w:lvlText w:val="-"/>
      <w:lvlJc w:val="left"/>
      <w:pPr>
        <w:ind w:left="720" w:hanging="360"/>
      </w:pPr>
      <w:rPr>
        <w:rFonts w:ascii="Times New Roman" w:eastAsia="Times New Roman" w:hAnsi="Times New Roman" w:cs="Times New Roman"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EFB7115"/>
    <w:multiLevelType w:val="multilevel"/>
    <w:tmpl w:val="26C24C12"/>
    <w:lvl w:ilvl="0">
      <w:start w:val="1"/>
      <w:numFmt w:val="decimal"/>
      <w:pStyle w:val="slovanzo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F0F6ABD"/>
    <w:multiLevelType w:val="hybridMultilevel"/>
    <w:tmpl w:val="C6AC5B62"/>
    <w:lvl w:ilvl="0" w:tplc="EBA827D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9D369E"/>
    <w:multiLevelType w:val="hybridMultilevel"/>
    <w:tmpl w:val="87AE922E"/>
    <w:lvl w:ilvl="0" w:tplc="47A27E52">
      <w:start w:val="1"/>
      <w:numFmt w:val="decimal"/>
      <w:suff w:val="nothing"/>
      <w:lvlText w:val="%1."/>
      <w:lvlJc w:val="left"/>
      <w:pPr>
        <w:ind w:left="0" w:firstLine="0"/>
      </w:pPr>
      <w:rPr>
        <w:rFonts w:ascii="Times New Roman" w:hAnsi="Times New Roman" w:cs="Times New Roman"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20B7201"/>
    <w:multiLevelType w:val="multilevel"/>
    <w:tmpl w:val="4EAA5BA6"/>
    <w:lvl w:ilvl="0">
      <w:start w:val="1"/>
      <w:numFmt w:val="decimal"/>
      <w:pStyle w:val="slovanzo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262685D"/>
    <w:multiLevelType w:val="singleLevel"/>
    <w:tmpl w:val="B90C8B88"/>
    <w:lvl w:ilvl="0">
      <w:start w:val="1"/>
      <w:numFmt w:val="bullet"/>
      <w:pStyle w:val="Zoznamsodrkami4"/>
      <w:lvlText w:val=""/>
      <w:lvlJc w:val="left"/>
      <w:pPr>
        <w:tabs>
          <w:tab w:val="num" w:pos="1485"/>
        </w:tabs>
        <w:ind w:left="1485" w:hanging="283"/>
      </w:pPr>
      <w:rPr>
        <w:rFonts w:ascii="Symbol" w:hAnsi="Symbol"/>
      </w:rPr>
    </w:lvl>
  </w:abstractNum>
  <w:abstractNum w:abstractNumId="7" w15:restartNumberingAfterBreak="0">
    <w:nsid w:val="143D0A16"/>
    <w:multiLevelType w:val="singleLevel"/>
    <w:tmpl w:val="6860A420"/>
    <w:lvl w:ilvl="0">
      <w:start w:val="1"/>
      <w:numFmt w:val="bullet"/>
      <w:pStyle w:val="Zoznamsodrkami3"/>
      <w:lvlText w:val=""/>
      <w:lvlJc w:val="left"/>
      <w:pPr>
        <w:tabs>
          <w:tab w:val="num" w:pos="1485"/>
        </w:tabs>
        <w:ind w:left="1485" w:hanging="283"/>
      </w:pPr>
      <w:rPr>
        <w:rFonts w:ascii="Symbol" w:hAnsi="Symbol"/>
      </w:rPr>
    </w:lvl>
  </w:abstractNum>
  <w:abstractNum w:abstractNumId="8" w15:restartNumberingAfterBreak="0">
    <w:nsid w:val="172F0AC5"/>
    <w:multiLevelType w:val="multilevel"/>
    <w:tmpl w:val="8CE23BCC"/>
    <w:lvl w:ilvl="0">
      <w:start w:val="1"/>
      <w:numFmt w:val="decimal"/>
      <w:pStyle w:val="slovanzo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C7B624F"/>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0" w15:restartNumberingAfterBreak="0">
    <w:nsid w:val="2905686E"/>
    <w:multiLevelType w:val="hybridMultilevel"/>
    <w:tmpl w:val="695673AA"/>
    <w:lvl w:ilvl="0" w:tplc="1FB606D4">
      <w:start w:val="8"/>
      <w:numFmt w:val="bullet"/>
      <w:lvlText w:val="-"/>
      <w:lvlJc w:val="left"/>
      <w:pPr>
        <w:ind w:left="720" w:hanging="360"/>
      </w:pPr>
      <w:rPr>
        <w:rFonts w:ascii="Times New Roman" w:eastAsia="Times New Roman" w:hAnsi="Times New Roman" w:cs="Times New Roman"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29BD7518"/>
    <w:multiLevelType w:val="hybridMultilevel"/>
    <w:tmpl w:val="9E7C9EE4"/>
    <w:lvl w:ilvl="0" w:tplc="3CE208BA">
      <w:start w:val="1"/>
      <w:numFmt w:val="decimal"/>
      <w:lvlText w:val="%1)"/>
      <w:lvlJc w:val="left"/>
      <w:pPr>
        <w:ind w:left="720" w:hanging="360"/>
      </w:pPr>
      <w:rPr>
        <w:rFonts w:hint="default"/>
        <w:b/>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C8D5AD3"/>
    <w:multiLevelType w:val="singleLevel"/>
    <w:tmpl w:val="D97CFDF8"/>
    <w:lvl w:ilvl="0">
      <w:start w:val="1"/>
      <w:numFmt w:val="bullet"/>
      <w:pStyle w:val="Zoznamsodrkami2"/>
      <w:lvlText w:val=""/>
      <w:lvlJc w:val="left"/>
      <w:pPr>
        <w:tabs>
          <w:tab w:val="num" w:pos="1485"/>
        </w:tabs>
        <w:ind w:left="1485" w:hanging="283"/>
      </w:pPr>
      <w:rPr>
        <w:rFonts w:ascii="Symbol" w:hAnsi="Symbol"/>
      </w:rPr>
    </w:lvl>
  </w:abstractNum>
  <w:abstractNum w:abstractNumId="13" w15:restartNumberingAfterBreak="0">
    <w:nsid w:val="2D293CE3"/>
    <w:multiLevelType w:val="multilevel"/>
    <w:tmpl w:val="8D7C4D2A"/>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3"/>
        </w:tabs>
        <w:ind w:left="953" w:hanging="477"/>
      </w:pPr>
      <w:rPr>
        <w:rFonts w:hint="default"/>
      </w:rPr>
    </w:lvl>
    <w:lvl w:ilvl="2">
      <w:start w:val="1"/>
      <w:numFmt w:val="lowerRoman"/>
      <w:pStyle w:val="LegalNumPar3"/>
      <w:lvlText w:val="%3."/>
      <w:lvlJc w:val="left"/>
      <w:pPr>
        <w:tabs>
          <w:tab w:val="num" w:pos="1429"/>
        </w:tabs>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357B7E92"/>
    <w:multiLevelType w:val="hybridMultilevel"/>
    <w:tmpl w:val="F1002934"/>
    <w:lvl w:ilvl="0" w:tplc="A25416E6">
      <w:start w:val="1"/>
      <w:numFmt w:val="decimal"/>
      <w:suff w:val="nothing"/>
      <w:lvlText w:val="%1."/>
      <w:lvlJc w:val="left"/>
      <w:pPr>
        <w:ind w:left="786"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6324F1E"/>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6" w15:restartNumberingAfterBreak="0">
    <w:nsid w:val="37CB1E1C"/>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7" w15:restartNumberingAfterBreak="0">
    <w:nsid w:val="3A7730C4"/>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8" w15:restartNumberingAfterBreak="0">
    <w:nsid w:val="41F05E8F"/>
    <w:multiLevelType w:val="singleLevel"/>
    <w:tmpl w:val="4E1A982C"/>
    <w:lvl w:ilvl="0">
      <w:start w:val="1"/>
      <w:numFmt w:val="bullet"/>
      <w:pStyle w:val="Zoznamsodrkami"/>
      <w:lvlText w:val=""/>
      <w:lvlJc w:val="left"/>
      <w:pPr>
        <w:tabs>
          <w:tab w:val="num" w:pos="283"/>
        </w:tabs>
        <w:ind w:left="283" w:hanging="283"/>
      </w:pPr>
      <w:rPr>
        <w:rFonts w:ascii="Symbol" w:hAnsi="Symbol"/>
      </w:rPr>
    </w:lvl>
  </w:abstractNum>
  <w:abstractNum w:abstractNumId="19" w15:restartNumberingAfterBreak="0">
    <w:nsid w:val="429E662A"/>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86C143F"/>
    <w:multiLevelType w:val="hybridMultilevel"/>
    <w:tmpl w:val="17546D64"/>
    <w:lvl w:ilvl="0" w:tplc="AB487E34">
      <w:start w:val="1"/>
      <w:numFmt w:val="decimal"/>
      <w:suff w:val="nothing"/>
      <w:lvlText w:val="%1."/>
      <w:lvlJc w:val="left"/>
      <w:pPr>
        <w:ind w:left="0" w:firstLine="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1" w15:restartNumberingAfterBreak="0">
    <w:nsid w:val="5072619B"/>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2" w15:restartNumberingAfterBreak="0">
    <w:nsid w:val="540751D6"/>
    <w:multiLevelType w:val="hybridMultilevel"/>
    <w:tmpl w:val="4828BA3E"/>
    <w:lvl w:ilvl="0" w:tplc="F63AB8D4">
      <w:start w:val="1"/>
      <w:numFmt w:val="decimal"/>
      <w:suff w:val="nothing"/>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977472E"/>
    <w:multiLevelType w:val="multilevel"/>
    <w:tmpl w:val="9DE2758E"/>
    <w:lvl w:ilvl="0">
      <w:start w:val="1"/>
      <w:numFmt w:val="decimal"/>
      <w:pStyle w:val="slovanzo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6F35214B"/>
    <w:multiLevelType w:val="hybridMultilevel"/>
    <w:tmpl w:val="68E46B96"/>
    <w:lvl w:ilvl="0" w:tplc="E7B8FBEC">
      <w:start w:val="1"/>
      <w:numFmt w:val="decimal"/>
      <w:lvlText w:val="%1."/>
      <w:lvlJc w:val="left"/>
      <w:pPr>
        <w:ind w:left="786" w:hanging="360"/>
      </w:pPr>
      <w:rPr>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BBE7DC6"/>
    <w:multiLevelType w:val="hybridMultilevel"/>
    <w:tmpl w:val="E0A84B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C65145E"/>
    <w:multiLevelType w:val="multilevel"/>
    <w:tmpl w:val="D266108E"/>
    <w:name w:val="EurolookHeading"/>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6"/>
  </w:num>
  <w:num w:numId="2">
    <w:abstractNumId w:val="18"/>
  </w:num>
  <w:num w:numId="3">
    <w:abstractNumId w:val="17"/>
  </w:num>
  <w:num w:numId="4">
    <w:abstractNumId w:val="12"/>
  </w:num>
  <w:num w:numId="5">
    <w:abstractNumId w:val="7"/>
  </w:num>
  <w:num w:numId="6">
    <w:abstractNumId w:val="6"/>
  </w:num>
  <w:num w:numId="7">
    <w:abstractNumId w:val="21"/>
  </w:num>
  <w:num w:numId="8">
    <w:abstractNumId w:val="16"/>
  </w:num>
  <w:num w:numId="9">
    <w:abstractNumId w:val="9"/>
  </w:num>
  <w:num w:numId="10">
    <w:abstractNumId w:val="15"/>
  </w:num>
  <w:num w:numId="11">
    <w:abstractNumId w:val="0"/>
  </w:num>
  <w:num w:numId="12">
    <w:abstractNumId w:val="5"/>
  </w:num>
  <w:num w:numId="13">
    <w:abstractNumId w:val="19"/>
  </w:num>
  <w:num w:numId="14">
    <w:abstractNumId w:val="8"/>
  </w:num>
  <w:num w:numId="15">
    <w:abstractNumId w:val="2"/>
  </w:num>
  <w:num w:numId="16">
    <w:abstractNumId w:val="23"/>
  </w:num>
  <w:num w:numId="17">
    <w:abstractNumId w:val="13"/>
  </w:num>
  <w:num w:numId="18">
    <w:abstractNumId w:val="24"/>
  </w:num>
  <w:num w:numId="19">
    <w:abstractNumId w:val="25"/>
  </w:num>
  <w:num w:numId="20">
    <w:abstractNumId w:val="14"/>
  </w:num>
  <w:num w:numId="21">
    <w:abstractNumId w:val="22"/>
  </w:num>
  <w:num w:numId="22">
    <w:abstractNumId w:val="20"/>
  </w:num>
  <w:num w:numId="23">
    <w:abstractNumId w:val="4"/>
  </w:num>
  <w:num w:numId="24">
    <w:abstractNumId w:val="10"/>
  </w:num>
  <w:num w:numId="25">
    <w:abstractNumId w:val="1"/>
  </w:num>
  <w:num w:numId="26">
    <w:abstractNumId w:val="11"/>
  </w:num>
  <w:num w:numId="27">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Status" w:val="Green"/>
    <w:docVar w:name="LW_ACCOMPAGNANT.CP" w:val="k"/>
    <w:docVar w:name="LW_ANNEX_NBR_FIRST" w:val="1"/>
    <w:docVar w:name="LW_ANNEX_NBR_LAST" w:val="5"/>
    <w:docVar w:name="LW_ANNEX_UNIQUE" w:val="0"/>
    <w:docVar w:name="LW_CORRIGENDUM" w:val="&lt;UNUSED&gt;"/>
    <w:docVar w:name="LW_COVERPAGE_EXISTS" w:val="True"/>
    <w:docVar w:name="LW_COVERPAGE_GUID" w:val="A937BC91-A67F-4BE4-9AC2-640726FBF0A2"/>
    <w:docVar w:name="LW_COVERPAGE_TYPE" w:val="1"/>
    <w:docVar w:name="LW_CROSSREFERENCE" w:val="&lt;UNUSED&gt;"/>
    <w:docVar w:name="LW_DocType" w:val="EUROLOOK"/>
    <w:docVar w:name="LW_EMISSION" w:val="29. 1. 2020"/>
    <w:docVar w:name="LW_EMISSION_ISODATE" w:val="2020-01-29"/>
    <w:docVar w:name="LW_EMISSION_LOCATION" w:val="BRX"/>
    <w:docVar w:name="LW_EMISSION_PREFIX" w:val="V Bruseli"/>
    <w:docVar w:name="LW_EMISSION_SUFFIX" w:val=" "/>
    <w:docVar w:name="LW_ID_DOCTYPE_NONLW" w:val="CP-039"/>
    <w:docVar w:name="LW_LANGUE" w:val="SK"/>
    <w:docVar w:name="LW_LEVEL_OF_SENSITIVITY" w:val="Standard treatment"/>
    <w:docVar w:name="LW_NOM.INST" w:val="EURÓPSKA KOMISIA"/>
    <w:docVar w:name="LW_NOM.INST_JOINTDOC" w:val="&lt;EMPTY&gt;"/>
    <w:docVar w:name="LW_OBJETACTEPRINCIPAL.CP" w:val="Pracovný program Komisie na rok 2020_x000d__x000d__x000d__x000d__x000d__x000d__x000d__x000b__x000d__x000d__x000d__x000d__x000d__x000d__x000d__x000b__x000d__x000d__x000d__x000d__x000d__x000d__x000d__x000b_Ambicióznej\u353?ia Únia"/>
    <w:docVar w:name="LW_PART_NBR" w:val="&lt;UNUSED&gt;"/>
    <w:docVar w:name="LW_PART_NBR_TOTAL" w:val="&lt;UNUSED&gt;"/>
    <w:docVar w:name="LW_REF.INST.NEW" w:val="COM"/>
    <w:docVar w:name="LW_REF.INST.NEW_ADOPTED" w:val="final"/>
    <w:docVar w:name="LW_REF.INST.NEW_TEXT" w:val="(2020) 3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CP" w:val="PRÍLOHY_x000b_"/>
    <w:docVar w:name="LW_TYPEACTEPRINCIPAL.CP" w:val="OZNÁMENIU KOMISIE EURÓPSKEMU PARLAMENTU, RADE, EURÓPSKEMU HOSPODÁRSKEMU A SOCIÁLNEMU VÝBORU A VÝBORU REGIÓNOV"/>
  </w:docVars>
  <w:rsids>
    <w:rsidRoot w:val="00737F57"/>
    <w:rsid w:val="00083E0E"/>
    <w:rsid w:val="000C74D3"/>
    <w:rsid w:val="000D5C05"/>
    <w:rsid w:val="000F3FD5"/>
    <w:rsid w:val="00120127"/>
    <w:rsid w:val="00123EF9"/>
    <w:rsid w:val="001240B4"/>
    <w:rsid w:val="00164F53"/>
    <w:rsid w:val="001A4509"/>
    <w:rsid w:val="001B7D6B"/>
    <w:rsid w:val="001F4CF2"/>
    <w:rsid w:val="001F52F5"/>
    <w:rsid w:val="00201706"/>
    <w:rsid w:val="002205CF"/>
    <w:rsid w:val="00263C9E"/>
    <w:rsid w:val="0028662B"/>
    <w:rsid w:val="002C7490"/>
    <w:rsid w:val="002E5596"/>
    <w:rsid w:val="002E6BBF"/>
    <w:rsid w:val="002F1D07"/>
    <w:rsid w:val="00302340"/>
    <w:rsid w:val="003227AF"/>
    <w:rsid w:val="00334F47"/>
    <w:rsid w:val="00371A8C"/>
    <w:rsid w:val="00391AC4"/>
    <w:rsid w:val="003A0118"/>
    <w:rsid w:val="003B0BA2"/>
    <w:rsid w:val="003B1CF2"/>
    <w:rsid w:val="003D0A64"/>
    <w:rsid w:val="003F6377"/>
    <w:rsid w:val="004056E3"/>
    <w:rsid w:val="0044536B"/>
    <w:rsid w:val="00484347"/>
    <w:rsid w:val="00485B8C"/>
    <w:rsid w:val="004C129B"/>
    <w:rsid w:val="004C58A4"/>
    <w:rsid w:val="004D73FA"/>
    <w:rsid w:val="005011CC"/>
    <w:rsid w:val="0053502C"/>
    <w:rsid w:val="00545607"/>
    <w:rsid w:val="00560167"/>
    <w:rsid w:val="0057711F"/>
    <w:rsid w:val="00593684"/>
    <w:rsid w:val="005A0B42"/>
    <w:rsid w:val="005A5D83"/>
    <w:rsid w:val="005B208D"/>
    <w:rsid w:val="005C61B6"/>
    <w:rsid w:val="005E6108"/>
    <w:rsid w:val="005E7743"/>
    <w:rsid w:val="00601367"/>
    <w:rsid w:val="006258BD"/>
    <w:rsid w:val="00686E0D"/>
    <w:rsid w:val="00687C5F"/>
    <w:rsid w:val="00692DFC"/>
    <w:rsid w:val="006A5DC7"/>
    <w:rsid w:val="006B4579"/>
    <w:rsid w:val="006E7EB2"/>
    <w:rsid w:val="006F1A07"/>
    <w:rsid w:val="006F318C"/>
    <w:rsid w:val="006F423A"/>
    <w:rsid w:val="007168F1"/>
    <w:rsid w:val="00737F57"/>
    <w:rsid w:val="00795224"/>
    <w:rsid w:val="007D6D82"/>
    <w:rsid w:val="007F619F"/>
    <w:rsid w:val="007F719D"/>
    <w:rsid w:val="0085785C"/>
    <w:rsid w:val="00865FF8"/>
    <w:rsid w:val="00877ECD"/>
    <w:rsid w:val="008900B3"/>
    <w:rsid w:val="008A1982"/>
    <w:rsid w:val="008A2C73"/>
    <w:rsid w:val="008D50DF"/>
    <w:rsid w:val="008E072A"/>
    <w:rsid w:val="00912204"/>
    <w:rsid w:val="00923700"/>
    <w:rsid w:val="00924307"/>
    <w:rsid w:val="00935356"/>
    <w:rsid w:val="00952357"/>
    <w:rsid w:val="009954FE"/>
    <w:rsid w:val="00997E7B"/>
    <w:rsid w:val="009B37B3"/>
    <w:rsid w:val="009B5120"/>
    <w:rsid w:val="009D4C5D"/>
    <w:rsid w:val="009D7A34"/>
    <w:rsid w:val="009D7E3B"/>
    <w:rsid w:val="009E4E6E"/>
    <w:rsid w:val="009F414D"/>
    <w:rsid w:val="00A026B9"/>
    <w:rsid w:val="00A17FAF"/>
    <w:rsid w:val="00A20075"/>
    <w:rsid w:val="00A2157E"/>
    <w:rsid w:val="00A27C5A"/>
    <w:rsid w:val="00A6277B"/>
    <w:rsid w:val="00A73ED0"/>
    <w:rsid w:val="00A84CB6"/>
    <w:rsid w:val="00AB034C"/>
    <w:rsid w:val="00AB20C6"/>
    <w:rsid w:val="00AC065F"/>
    <w:rsid w:val="00AE03F0"/>
    <w:rsid w:val="00B24005"/>
    <w:rsid w:val="00B675B3"/>
    <w:rsid w:val="00B9020C"/>
    <w:rsid w:val="00B90604"/>
    <w:rsid w:val="00B93A91"/>
    <w:rsid w:val="00B95F81"/>
    <w:rsid w:val="00BB5F97"/>
    <w:rsid w:val="00BC4DBB"/>
    <w:rsid w:val="00BD2754"/>
    <w:rsid w:val="00BE055A"/>
    <w:rsid w:val="00C25AED"/>
    <w:rsid w:val="00C46663"/>
    <w:rsid w:val="00C534D8"/>
    <w:rsid w:val="00C65B36"/>
    <w:rsid w:val="00C77667"/>
    <w:rsid w:val="00C95939"/>
    <w:rsid w:val="00CA580E"/>
    <w:rsid w:val="00CC070C"/>
    <w:rsid w:val="00CD34A3"/>
    <w:rsid w:val="00CF20B9"/>
    <w:rsid w:val="00CF3A0F"/>
    <w:rsid w:val="00D15665"/>
    <w:rsid w:val="00D44BCA"/>
    <w:rsid w:val="00D506D9"/>
    <w:rsid w:val="00D6682E"/>
    <w:rsid w:val="00D76AD2"/>
    <w:rsid w:val="00D87D6A"/>
    <w:rsid w:val="00DD1577"/>
    <w:rsid w:val="00E24799"/>
    <w:rsid w:val="00E36150"/>
    <w:rsid w:val="00E5049B"/>
    <w:rsid w:val="00E755F1"/>
    <w:rsid w:val="00E8287E"/>
    <w:rsid w:val="00E87849"/>
    <w:rsid w:val="00EA352F"/>
    <w:rsid w:val="00EB30A6"/>
    <w:rsid w:val="00EF2110"/>
    <w:rsid w:val="00F02333"/>
    <w:rsid w:val="00F0579F"/>
    <w:rsid w:val="00F23FE1"/>
    <w:rsid w:val="00F364F5"/>
    <w:rsid w:val="00F465E1"/>
    <w:rsid w:val="00F56847"/>
    <w:rsid w:val="00F63A5A"/>
    <w:rsid w:val="00F8175B"/>
    <w:rsid w:val="00F97FE3"/>
    <w:rsid w:val="00FE1935"/>
    <w:rsid w:val="00FE2A32"/>
    <w:rsid w:val="00FE4DFD"/>
    <w:rsid w:val="00FF58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2C2C950A-8A64-4C79-A554-C1D1E8B61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en-GB" w:bidi="ne-NP"/>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lsdException w:name="heading 6" w:uiPriority="0"/>
    <w:lsdException w:name="heading 7" w:uiPriority="0"/>
    <w:lsdException w:name="heading 8" w:uiPriority="0"/>
    <w:lsdException w:name="heading 9" w:uiPriority="0"/>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uiPriority="0"/>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qFormat="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0"/>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1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0"/>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240"/>
      <w:jc w:val="both"/>
    </w:pPr>
    <w:rPr>
      <w:sz w:val="24"/>
      <w:lang w:bidi="ar-SA"/>
    </w:rPr>
  </w:style>
  <w:style w:type="paragraph" w:styleId="Nadpis1">
    <w:name w:val="heading 1"/>
    <w:basedOn w:val="Normlny"/>
    <w:next w:val="Text1"/>
    <w:qFormat/>
    <w:pPr>
      <w:keepNext/>
      <w:numPr>
        <w:numId w:val="1"/>
      </w:numPr>
      <w:spacing w:before="240"/>
      <w:outlineLvl w:val="0"/>
    </w:pPr>
    <w:rPr>
      <w:b/>
      <w:smallCaps/>
    </w:rPr>
  </w:style>
  <w:style w:type="paragraph" w:styleId="Nadpis2">
    <w:name w:val="heading 2"/>
    <w:basedOn w:val="Normlny"/>
    <w:next w:val="Text2"/>
    <w:qFormat/>
    <w:pPr>
      <w:keepNext/>
      <w:numPr>
        <w:ilvl w:val="1"/>
        <w:numId w:val="1"/>
      </w:numPr>
      <w:outlineLvl w:val="1"/>
    </w:pPr>
    <w:rPr>
      <w:b/>
    </w:rPr>
  </w:style>
  <w:style w:type="paragraph" w:styleId="Nadpis3">
    <w:name w:val="heading 3"/>
    <w:basedOn w:val="Normlny"/>
    <w:next w:val="Text3"/>
    <w:qFormat/>
    <w:pPr>
      <w:keepNext/>
      <w:numPr>
        <w:ilvl w:val="2"/>
        <w:numId w:val="1"/>
      </w:numPr>
      <w:outlineLvl w:val="2"/>
    </w:pPr>
    <w:rPr>
      <w:i/>
    </w:rPr>
  </w:style>
  <w:style w:type="paragraph" w:styleId="Nadpis4">
    <w:name w:val="heading 4"/>
    <w:basedOn w:val="Normlny"/>
    <w:next w:val="Text4"/>
    <w:qFormat/>
    <w:pPr>
      <w:keepNext/>
      <w:numPr>
        <w:ilvl w:val="3"/>
        <w:numId w:val="1"/>
      </w:numPr>
      <w:outlineLvl w:val="3"/>
    </w:pPr>
  </w:style>
  <w:style w:type="paragraph" w:styleId="Nadpis5">
    <w:name w:val="heading 5"/>
    <w:basedOn w:val="Normlny"/>
    <w:next w:val="Normlny"/>
    <w:semiHidden/>
    <w:pPr>
      <w:tabs>
        <w:tab w:val="num" w:pos="0"/>
      </w:tabs>
      <w:spacing w:before="240" w:after="60"/>
      <w:outlineLvl w:val="4"/>
    </w:pPr>
    <w:rPr>
      <w:rFonts w:ascii="Arial" w:hAnsi="Arial"/>
      <w:sz w:val="22"/>
    </w:rPr>
  </w:style>
  <w:style w:type="paragraph" w:styleId="Nadpis6">
    <w:name w:val="heading 6"/>
    <w:basedOn w:val="Normlny"/>
    <w:next w:val="Normlny"/>
    <w:semiHidden/>
    <w:pPr>
      <w:tabs>
        <w:tab w:val="num" w:pos="0"/>
      </w:tabs>
      <w:spacing w:before="240" w:after="60"/>
      <w:outlineLvl w:val="5"/>
    </w:pPr>
    <w:rPr>
      <w:rFonts w:ascii="Arial" w:hAnsi="Arial"/>
      <w:i/>
      <w:sz w:val="22"/>
    </w:rPr>
  </w:style>
  <w:style w:type="paragraph" w:styleId="Nadpis7">
    <w:name w:val="heading 7"/>
    <w:basedOn w:val="Normlny"/>
    <w:next w:val="Normlny"/>
    <w:semiHidden/>
    <w:pPr>
      <w:tabs>
        <w:tab w:val="num" w:pos="0"/>
      </w:tabs>
      <w:spacing w:before="240" w:after="60"/>
      <w:outlineLvl w:val="6"/>
    </w:pPr>
    <w:rPr>
      <w:rFonts w:ascii="Arial" w:hAnsi="Arial"/>
      <w:sz w:val="20"/>
    </w:rPr>
  </w:style>
  <w:style w:type="paragraph" w:styleId="Nadpis8">
    <w:name w:val="heading 8"/>
    <w:basedOn w:val="Normlny"/>
    <w:next w:val="Normlny"/>
    <w:semiHidden/>
    <w:pPr>
      <w:tabs>
        <w:tab w:val="num" w:pos="0"/>
      </w:tabs>
      <w:spacing w:before="240" w:after="60"/>
      <w:outlineLvl w:val="7"/>
    </w:pPr>
    <w:rPr>
      <w:rFonts w:ascii="Arial" w:hAnsi="Arial"/>
      <w:i/>
      <w:sz w:val="20"/>
    </w:rPr>
  </w:style>
  <w:style w:type="paragraph" w:styleId="Nadpis9">
    <w:name w:val="heading 9"/>
    <w:basedOn w:val="Normlny"/>
    <w:next w:val="Normlny"/>
    <w:semiHidden/>
    <w:pPr>
      <w:tabs>
        <w:tab w:val="num" w:pos="0"/>
      </w:tabs>
      <w:spacing w:before="240" w:after="60"/>
      <w:outlineLvl w:val="8"/>
    </w:pPr>
    <w:rPr>
      <w:rFonts w:ascii="Arial" w:hAnsi="Arial"/>
      <w:i/>
      <w:sz w:val="1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Text1">
    <w:name w:val="Text 1"/>
    <w:basedOn w:val="Normlny"/>
    <w:qFormat/>
    <w:pPr>
      <w:ind w:left="482"/>
    </w:pPr>
  </w:style>
  <w:style w:type="paragraph" w:customStyle="1" w:styleId="Text2">
    <w:name w:val="Text 2"/>
    <w:basedOn w:val="Normlny"/>
    <w:qFormat/>
    <w:pPr>
      <w:tabs>
        <w:tab w:val="left" w:pos="2302"/>
      </w:tabs>
      <w:ind w:left="1202"/>
    </w:pPr>
  </w:style>
  <w:style w:type="paragraph" w:customStyle="1" w:styleId="Text3">
    <w:name w:val="Text 3"/>
    <w:basedOn w:val="Normlny"/>
    <w:qFormat/>
    <w:pPr>
      <w:tabs>
        <w:tab w:val="left" w:pos="2302"/>
      </w:tabs>
      <w:ind w:left="1202"/>
    </w:pPr>
  </w:style>
  <w:style w:type="paragraph" w:customStyle="1" w:styleId="Text4">
    <w:name w:val="Text 4"/>
    <w:basedOn w:val="Normlny"/>
    <w:qFormat/>
    <w:pPr>
      <w:tabs>
        <w:tab w:val="left" w:pos="2302"/>
      </w:tabs>
      <w:ind w:left="1202"/>
    </w:pPr>
  </w:style>
  <w:style w:type="paragraph" w:customStyle="1" w:styleId="Address">
    <w:name w:val="Address"/>
    <w:basedOn w:val="Normlny"/>
    <w:pPr>
      <w:spacing w:after="0"/>
      <w:jc w:val="left"/>
    </w:pPr>
  </w:style>
  <w:style w:type="paragraph" w:customStyle="1" w:styleId="AddressTL">
    <w:name w:val="AddressTL"/>
    <w:basedOn w:val="Normlny"/>
    <w:next w:val="Normlny"/>
    <w:pPr>
      <w:spacing w:after="720"/>
      <w:jc w:val="left"/>
    </w:pPr>
  </w:style>
  <w:style w:type="paragraph" w:customStyle="1" w:styleId="AddressTR">
    <w:name w:val="AddressTR"/>
    <w:basedOn w:val="Normlny"/>
    <w:next w:val="Normlny"/>
    <w:pPr>
      <w:spacing w:after="720"/>
      <w:ind w:left="5103"/>
      <w:jc w:val="left"/>
    </w:pPr>
  </w:style>
  <w:style w:type="paragraph" w:customStyle="1" w:styleId="ZFlag">
    <w:name w:val="Z_Flag"/>
    <w:basedOn w:val="Normlny"/>
    <w:next w:val="Normlny"/>
    <w:uiPriority w:val="99"/>
    <w:semiHidden/>
    <w:pPr>
      <w:widowControl w:val="0"/>
      <w:autoSpaceDE w:val="0"/>
      <w:autoSpaceDN w:val="0"/>
      <w:spacing w:after="0"/>
      <w:ind w:right="85"/>
    </w:pPr>
    <w:rPr>
      <w:rFonts w:ascii="Arial" w:eastAsiaTheme="minorEastAsia" w:hAnsi="Arial" w:cs="Arial"/>
      <w:szCs w:val="24"/>
    </w:rPr>
  </w:style>
  <w:style w:type="paragraph" w:styleId="Odsekzoznamu">
    <w:name w:val="List Paragraph"/>
    <w:basedOn w:val="Normlny"/>
    <w:uiPriority w:val="34"/>
    <w:pPr>
      <w:ind w:left="720"/>
      <w:contextualSpacing/>
    </w:pPr>
  </w:style>
  <w:style w:type="paragraph" w:styleId="Popis">
    <w:name w:val="caption"/>
    <w:basedOn w:val="Normlny"/>
    <w:next w:val="Normlny"/>
    <w:pPr>
      <w:spacing w:before="160"/>
    </w:pPr>
    <w:rPr>
      <w:i/>
      <w:sz w:val="22"/>
    </w:rPr>
  </w:style>
  <w:style w:type="paragraph" w:customStyle="1" w:styleId="ChapterTitle">
    <w:name w:val="ChapterTitle"/>
    <w:basedOn w:val="Normlny"/>
    <w:next w:val="SectionTitle"/>
    <w:qFormat/>
    <w:pPr>
      <w:keepNext/>
      <w:spacing w:after="480"/>
      <w:jc w:val="center"/>
    </w:pPr>
    <w:rPr>
      <w:b/>
      <w:sz w:val="32"/>
    </w:rPr>
  </w:style>
  <w:style w:type="paragraph" w:customStyle="1" w:styleId="SectionTitle">
    <w:name w:val="SectionTitle"/>
    <w:basedOn w:val="Normlny"/>
    <w:next w:val="Nadpis1"/>
    <w:qFormat/>
    <w:pPr>
      <w:keepNext/>
      <w:spacing w:after="480"/>
      <w:jc w:val="center"/>
    </w:pPr>
    <w:rPr>
      <w:b/>
      <w:smallCaps/>
      <w:sz w:val="28"/>
    </w:rPr>
  </w:style>
  <w:style w:type="paragraph" w:styleId="Textkomentra">
    <w:name w:val="annotation text"/>
    <w:basedOn w:val="Normlny"/>
    <w:link w:val="TextkomentraChar"/>
    <w:uiPriority w:val="99"/>
    <w:semiHidden/>
    <w:rPr>
      <w:sz w:val="20"/>
    </w:rPr>
  </w:style>
  <w:style w:type="paragraph" w:styleId="Dtum">
    <w:name w:val="Date"/>
    <w:basedOn w:val="Normlny"/>
    <w:next w:val="References"/>
    <w:pPr>
      <w:spacing w:after="0"/>
      <w:ind w:left="5103" w:right="-567"/>
      <w:jc w:val="left"/>
    </w:pPr>
  </w:style>
  <w:style w:type="paragraph" w:customStyle="1" w:styleId="References">
    <w:name w:val="References"/>
    <w:basedOn w:val="Normlny"/>
    <w:next w:val="AddressTR"/>
    <w:pPr>
      <w:ind w:left="5103"/>
      <w:jc w:val="left"/>
    </w:pPr>
    <w:rPr>
      <w:sz w:val="20"/>
    </w:rPr>
  </w:style>
  <w:style w:type="paragraph" w:styleId="truktradokumentu">
    <w:name w:val="Document Map"/>
    <w:basedOn w:val="Normlny"/>
    <w:semiHidden/>
    <w:pPr>
      <w:shd w:val="clear" w:color="auto" w:fill="000080"/>
    </w:pPr>
    <w:rPr>
      <w:rFonts w:ascii="Tahoma" w:hAnsi="Tahoma"/>
    </w:rPr>
  </w:style>
  <w:style w:type="paragraph" w:customStyle="1" w:styleId="DoubSign">
    <w:name w:val="DoubSign"/>
    <w:basedOn w:val="Normlny"/>
    <w:next w:val="Enclosures"/>
    <w:pPr>
      <w:tabs>
        <w:tab w:val="left" w:pos="5103"/>
      </w:tabs>
      <w:spacing w:before="1200" w:after="0"/>
      <w:jc w:val="left"/>
    </w:pPr>
  </w:style>
  <w:style w:type="paragraph" w:customStyle="1" w:styleId="Enclosures">
    <w:name w:val="Enclosures"/>
    <w:basedOn w:val="Normlny"/>
    <w:pPr>
      <w:keepNext/>
      <w:keepLines/>
      <w:tabs>
        <w:tab w:val="left" w:pos="5642"/>
      </w:tabs>
      <w:spacing w:before="480" w:after="0"/>
      <w:ind w:left="1191" w:hanging="1191"/>
      <w:jc w:val="left"/>
    </w:pPr>
  </w:style>
  <w:style w:type="paragraph" w:styleId="Textvysvetlivky">
    <w:name w:val="endnote text"/>
    <w:basedOn w:val="Normlny"/>
    <w:semiHidden/>
    <w:rPr>
      <w:sz w:val="20"/>
    </w:rPr>
  </w:style>
  <w:style w:type="paragraph" w:styleId="Adresanaoblke">
    <w:name w:val="envelope address"/>
    <w:basedOn w:val="Normlny"/>
    <w:pPr>
      <w:framePr w:w="7920" w:h="1980" w:hRule="exact" w:hSpace="180" w:wrap="auto" w:hAnchor="page" w:xAlign="center" w:yAlign="bottom"/>
      <w:spacing w:after="0"/>
    </w:pPr>
  </w:style>
  <w:style w:type="paragraph" w:styleId="Spiatonadresanaoblke">
    <w:name w:val="envelope return"/>
    <w:basedOn w:val="Normlny"/>
    <w:pPr>
      <w:spacing w:after="0"/>
    </w:pPr>
    <w:rPr>
      <w:sz w:val="20"/>
    </w:rPr>
  </w:style>
  <w:style w:type="paragraph" w:styleId="Pta">
    <w:name w:val="footer"/>
    <w:basedOn w:val="Normlny"/>
    <w:link w:val="PtaChar"/>
    <w:uiPriority w:val="99"/>
    <w:pPr>
      <w:spacing w:after="0"/>
      <w:ind w:right="-567"/>
      <w:jc w:val="left"/>
    </w:pPr>
    <w:rPr>
      <w:sz w:val="16"/>
    </w:rPr>
  </w:style>
  <w:style w:type="paragraph" w:styleId="Textpoznmkypodiarou">
    <w:name w:val="footnote text"/>
    <w:aliases w:val="Char,Fußnote,Carattere,fn,Footnotes,Footnote ak,Footnote Text Char1,Footnote Text Char Char,fn Char Char,footnote text Char Char,Footnotes Char Char,Footnote ak Char Char,fn Char1,footnote text Char1,Footnotes Char1,ft,Footnote"/>
    <w:basedOn w:val="Normlny"/>
    <w:link w:val="TextpoznmkypodiarouChar"/>
    <w:qFormat/>
    <w:pPr>
      <w:spacing w:after="120"/>
      <w:ind w:left="357" w:hanging="357"/>
    </w:pPr>
    <w:rPr>
      <w:sz w:val="20"/>
    </w:rPr>
  </w:style>
  <w:style w:type="paragraph" w:styleId="Hlavika">
    <w:name w:val="header"/>
    <w:basedOn w:val="Normlny"/>
    <w:pPr>
      <w:tabs>
        <w:tab w:val="center" w:pos="4153"/>
        <w:tab w:val="right" w:pos="8306"/>
      </w:tabs>
      <w:spacing w:after="0"/>
    </w:pPr>
  </w:style>
  <w:style w:type="paragraph" w:styleId="Register1">
    <w:name w:val="index 1"/>
    <w:basedOn w:val="Normlny"/>
    <w:next w:val="Normlny"/>
    <w:autoRedefine/>
    <w:semiHidden/>
    <w:pPr>
      <w:ind w:left="240" w:hanging="240"/>
    </w:pPr>
  </w:style>
  <w:style w:type="paragraph" w:styleId="Register2">
    <w:name w:val="index 2"/>
    <w:basedOn w:val="Normlny"/>
    <w:next w:val="Normlny"/>
    <w:autoRedefine/>
    <w:semiHidden/>
    <w:pPr>
      <w:ind w:left="480" w:hanging="240"/>
    </w:pPr>
  </w:style>
  <w:style w:type="paragraph" w:styleId="Register3">
    <w:name w:val="index 3"/>
    <w:basedOn w:val="Normlny"/>
    <w:next w:val="Normlny"/>
    <w:autoRedefine/>
    <w:semiHidden/>
    <w:pPr>
      <w:ind w:left="720" w:hanging="240"/>
    </w:pPr>
  </w:style>
  <w:style w:type="paragraph" w:styleId="Register4">
    <w:name w:val="index 4"/>
    <w:basedOn w:val="Normlny"/>
    <w:next w:val="Normlny"/>
    <w:autoRedefine/>
    <w:semiHidden/>
    <w:pPr>
      <w:ind w:left="960" w:hanging="240"/>
    </w:pPr>
  </w:style>
  <w:style w:type="paragraph" w:styleId="Register5">
    <w:name w:val="index 5"/>
    <w:basedOn w:val="Normlny"/>
    <w:next w:val="Normlny"/>
    <w:autoRedefine/>
    <w:semiHidden/>
    <w:pPr>
      <w:ind w:left="1200" w:hanging="240"/>
    </w:pPr>
  </w:style>
  <w:style w:type="paragraph" w:styleId="Register6">
    <w:name w:val="index 6"/>
    <w:basedOn w:val="Normlny"/>
    <w:next w:val="Normlny"/>
    <w:autoRedefine/>
    <w:semiHidden/>
    <w:pPr>
      <w:ind w:left="1440" w:hanging="240"/>
    </w:pPr>
  </w:style>
  <w:style w:type="paragraph" w:styleId="Register7">
    <w:name w:val="index 7"/>
    <w:basedOn w:val="Normlny"/>
    <w:next w:val="Normlny"/>
    <w:autoRedefine/>
    <w:semiHidden/>
    <w:pPr>
      <w:ind w:left="1680" w:hanging="240"/>
    </w:pPr>
  </w:style>
  <w:style w:type="paragraph" w:styleId="Register8">
    <w:name w:val="index 8"/>
    <w:basedOn w:val="Normlny"/>
    <w:next w:val="Normlny"/>
    <w:autoRedefine/>
    <w:semiHidden/>
    <w:pPr>
      <w:ind w:left="1920" w:hanging="240"/>
    </w:pPr>
  </w:style>
  <w:style w:type="paragraph" w:styleId="Register9">
    <w:name w:val="index 9"/>
    <w:basedOn w:val="Normlny"/>
    <w:next w:val="Normlny"/>
    <w:autoRedefine/>
    <w:semiHidden/>
    <w:pPr>
      <w:ind w:left="2160" w:hanging="240"/>
    </w:pPr>
  </w:style>
  <w:style w:type="paragraph" w:styleId="Nadpisregistra">
    <w:name w:val="index heading"/>
    <w:basedOn w:val="Normlny"/>
    <w:next w:val="Register1"/>
    <w:semiHidden/>
    <w:rPr>
      <w:rFonts w:ascii="Arial" w:hAnsi="Arial"/>
      <w:b/>
    </w:rPr>
  </w:style>
  <w:style w:type="paragraph" w:styleId="Zoznam">
    <w:name w:val="List"/>
    <w:basedOn w:val="Normlny"/>
    <w:pPr>
      <w:ind w:left="283" w:hanging="283"/>
    </w:pPr>
  </w:style>
  <w:style w:type="paragraph" w:styleId="Zoznam2">
    <w:name w:val="List 2"/>
    <w:basedOn w:val="Normlny"/>
    <w:pPr>
      <w:ind w:left="566" w:hanging="283"/>
    </w:pPr>
  </w:style>
  <w:style w:type="paragraph" w:styleId="Zoznam3">
    <w:name w:val="List 3"/>
    <w:basedOn w:val="Normlny"/>
    <w:pPr>
      <w:ind w:left="849" w:hanging="283"/>
    </w:pPr>
  </w:style>
  <w:style w:type="paragraph" w:styleId="Zoznam4">
    <w:name w:val="List 4"/>
    <w:basedOn w:val="Normlny"/>
    <w:pPr>
      <w:ind w:left="1132" w:hanging="283"/>
    </w:pPr>
  </w:style>
  <w:style w:type="paragraph" w:styleId="Zoznam5">
    <w:name w:val="List 5"/>
    <w:basedOn w:val="Normlny"/>
    <w:pPr>
      <w:ind w:left="1415" w:hanging="283"/>
    </w:pPr>
  </w:style>
  <w:style w:type="paragraph" w:styleId="Zoznamsodrkami">
    <w:name w:val="List Bullet"/>
    <w:basedOn w:val="Normlny"/>
    <w:pPr>
      <w:numPr>
        <w:numId w:val="2"/>
      </w:numPr>
    </w:pPr>
  </w:style>
  <w:style w:type="paragraph" w:styleId="Zoznamsodrkami2">
    <w:name w:val="List Bullet 2"/>
    <w:basedOn w:val="Text2"/>
    <w:pPr>
      <w:numPr>
        <w:numId w:val="4"/>
      </w:numPr>
      <w:tabs>
        <w:tab w:val="clear" w:pos="2302"/>
      </w:tabs>
    </w:pPr>
  </w:style>
  <w:style w:type="paragraph" w:styleId="Zoznamsodrkami3">
    <w:name w:val="List Bullet 3"/>
    <w:basedOn w:val="Text3"/>
    <w:pPr>
      <w:numPr>
        <w:numId w:val="5"/>
      </w:numPr>
      <w:tabs>
        <w:tab w:val="clear" w:pos="2302"/>
      </w:tabs>
    </w:pPr>
  </w:style>
  <w:style w:type="paragraph" w:styleId="Zoznamsodrkami4">
    <w:name w:val="List Bullet 4"/>
    <w:basedOn w:val="Text4"/>
    <w:pPr>
      <w:numPr>
        <w:numId w:val="6"/>
      </w:numPr>
      <w:tabs>
        <w:tab w:val="clear" w:pos="2302"/>
      </w:tabs>
    </w:pPr>
  </w:style>
  <w:style w:type="paragraph" w:styleId="Pokraovaniezoznamu">
    <w:name w:val="List Continue"/>
    <w:basedOn w:val="Normlny"/>
    <w:pPr>
      <w:spacing w:after="120"/>
      <w:ind w:left="283"/>
    </w:pPr>
  </w:style>
  <w:style w:type="paragraph" w:styleId="Pokraovaniezoznamu2">
    <w:name w:val="List Continue 2"/>
    <w:basedOn w:val="Normlny"/>
    <w:pPr>
      <w:spacing w:after="120"/>
      <w:ind w:left="566"/>
    </w:pPr>
  </w:style>
  <w:style w:type="paragraph" w:styleId="Pokraovaniezoznamu3">
    <w:name w:val="List Continue 3"/>
    <w:basedOn w:val="Normlny"/>
    <w:pPr>
      <w:spacing w:after="120"/>
      <w:ind w:left="849"/>
    </w:pPr>
  </w:style>
  <w:style w:type="paragraph" w:styleId="Pokraovaniezoznamu4">
    <w:name w:val="List Continue 4"/>
    <w:basedOn w:val="Normlny"/>
    <w:pPr>
      <w:spacing w:after="120"/>
      <w:ind w:left="1132"/>
    </w:pPr>
  </w:style>
  <w:style w:type="paragraph" w:styleId="Pokraovaniezoznamu5">
    <w:name w:val="List Continue 5"/>
    <w:basedOn w:val="Normlny"/>
    <w:pPr>
      <w:spacing w:after="120"/>
      <w:ind w:left="1415"/>
    </w:pPr>
  </w:style>
  <w:style w:type="paragraph" w:styleId="slovanzoznam">
    <w:name w:val="List Number"/>
    <w:basedOn w:val="Normlny"/>
    <w:pPr>
      <w:numPr>
        <w:numId w:val="12"/>
      </w:numPr>
    </w:pPr>
  </w:style>
  <w:style w:type="paragraph" w:styleId="slovanzoznam2">
    <w:name w:val="List Number 2"/>
    <w:basedOn w:val="Text2"/>
    <w:pPr>
      <w:numPr>
        <w:numId w:val="14"/>
      </w:numPr>
      <w:tabs>
        <w:tab w:val="clear" w:pos="2302"/>
      </w:tabs>
    </w:pPr>
  </w:style>
  <w:style w:type="paragraph" w:styleId="slovanzoznam3">
    <w:name w:val="List Number 3"/>
    <w:basedOn w:val="Text3"/>
    <w:pPr>
      <w:numPr>
        <w:numId w:val="15"/>
      </w:numPr>
      <w:tabs>
        <w:tab w:val="clear" w:pos="2302"/>
      </w:tabs>
    </w:pPr>
  </w:style>
  <w:style w:type="paragraph" w:styleId="slovanzoznam4">
    <w:name w:val="List Number 4"/>
    <w:basedOn w:val="Text4"/>
    <w:pPr>
      <w:numPr>
        <w:numId w:val="16"/>
      </w:numPr>
      <w:tabs>
        <w:tab w:val="clear" w:pos="2302"/>
      </w:tabs>
    </w:pPr>
  </w:style>
  <w:style w:type="paragraph" w:styleId="Textmakra">
    <w:name w:val="macro"/>
    <w:basedOn w:val="Normlny"/>
    <w:qFormat/>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rPr>
  </w:style>
  <w:style w:type="paragraph" w:styleId="Normlnysozarkami">
    <w:name w:val="Normal Indent"/>
    <w:basedOn w:val="Normlny"/>
    <w:pPr>
      <w:ind w:left="720"/>
    </w:pPr>
  </w:style>
  <w:style w:type="paragraph" w:styleId="Nadpispoznmky">
    <w:name w:val="Note Heading"/>
    <w:basedOn w:val="Normlny"/>
    <w:next w:val="Normlny"/>
  </w:style>
  <w:style w:type="paragraph" w:customStyle="1" w:styleId="NoteHead">
    <w:name w:val="NoteHead"/>
    <w:basedOn w:val="Normlny"/>
    <w:next w:val="Subject"/>
    <w:pPr>
      <w:spacing w:before="720" w:after="720"/>
      <w:jc w:val="center"/>
    </w:pPr>
    <w:rPr>
      <w:b/>
      <w:smallCaps/>
    </w:rPr>
  </w:style>
  <w:style w:type="paragraph" w:customStyle="1" w:styleId="Subject">
    <w:name w:val="Subject"/>
    <w:basedOn w:val="Normlny"/>
    <w:next w:val="Normlny"/>
    <w:pPr>
      <w:spacing w:after="480"/>
      <w:ind w:left="1531" w:hanging="1531"/>
      <w:jc w:val="left"/>
    </w:pPr>
    <w:rPr>
      <w:b/>
    </w:rPr>
  </w:style>
  <w:style w:type="paragraph" w:customStyle="1" w:styleId="NoteList">
    <w:name w:val="NoteList"/>
    <w:basedOn w:val="Normlny"/>
    <w:next w:val="Subject"/>
    <w:pPr>
      <w:tabs>
        <w:tab w:val="left" w:pos="5823"/>
      </w:tabs>
      <w:spacing w:before="720" w:after="720"/>
      <w:ind w:left="5104" w:hanging="3119"/>
      <w:jc w:val="left"/>
    </w:pPr>
    <w:rPr>
      <w:b/>
      <w:smallCaps/>
    </w:rPr>
  </w:style>
  <w:style w:type="paragraph" w:customStyle="1" w:styleId="NumPar1">
    <w:name w:val="NumPar 1"/>
    <w:basedOn w:val="Nadpis1"/>
    <w:qFormat/>
    <w:pPr>
      <w:keepNext w:val="0"/>
      <w:spacing w:before="0"/>
      <w:outlineLvl w:val="9"/>
    </w:pPr>
    <w:rPr>
      <w:b w:val="0"/>
      <w:smallCaps w:val="0"/>
    </w:rPr>
  </w:style>
  <w:style w:type="paragraph" w:customStyle="1" w:styleId="NumPar2">
    <w:name w:val="NumPar 2"/>
    <w:basedOn w:val="Nadpis2"/>
    <w:qFormat/>
    <w:pPr>
      <w:keepNext w:val="0"/>
      <w:outlineLvl w:val="9"/>
    </w:pPr>
    <w:rPr>
      <w:b w:val="0"/>
    </w:rPr>
  </w:style>
  <w:style w:type="paragraph" w:customStyle="1" w:styleId="NumPar3">
    <w:name w:val="NumPar 3"/>
    <w:basedOn w:val="Nadpis3"/>
    <w:qFormat/>
    <w:pPr>
      <w:keepNext w:val="0"/>
      <w:outlineLvl w:val="9"/>
    </w:pPr>
    <w:rPr>
      <w:i w:val="0"/>
    </w:rPr>
  </w:style>
  <w:style w:type="paragraph" w:customStyle="1" w:styleId="NumPar4">
    <w:name w:val="NumPar 4"/>
    <w:basedOn w:val="Nadpis4"/>
    <w:qFormat/>
    <w:pPr>
      <w:keepNext w:val="0"/>
      <w:outlineLvl w:val="9"/>
    </w:pPr>
  </w:style>
  <w:style w:type="paragraph" w:customStyle="1" w:styleId="PartTitle">
    <w:name w:val="PartTitle"/>
    <w:basedOn w:val="Normlny"/>
    <w:next w:val="ChapterTitle"/>
    <w:qFormat/>
    <w:pPr>
      <w:keepNext/>
      <w:pageBreakBefore/>
      <w:spacing w:after="480"/>
      <w:jc w:val="center"/>
    </w:pPr>
    <w:rPr>
      <w:b/>
      <w:sz w:val="36"/>
    </w:rPr>
  </w:style>
  <w:style w:type="paragraph" w:styleId="Oslovenie">
    <w:name w:val="Salutation"/>
    <w:basedOn w:val="Normlny"/>
    <w:next w:val="Normlny"/>
  </w:style>
  <w:style w:type="paragraph" w:styleId="Podpis">
    <w:name w:val="Signature"/>
    <w:basedOn w:val="Normlny"/>
    <w:next w:val="Enclosures"/>
    <w:pPr>
      <w:tabs>
        <w:tab w:val="left" w:pos="5103"/>
      </w:tabs>
      <w:spacing w:before="1200" w:after="0"/>
      <w:ind w:left="5103"/>
      <w:jc w:val="center"/>
    </w:pPr>
  </w:style>
  <w:style w:type="paragraph" w:customStyle="1" w:styleId="SubTitle1">
    <w:name w:val="SubTitle 1"/>
    <w:basedOn w:val="Normlny"/>
    <w:next w:val="SubTitle2"/>
    <w:pPr>
      <w:jc w:val="center"/>
    </w:pPr>
    <w:rPr>
      <w:b/>
      <w:sz w:val="40"/>
    </w:rPr>
  </w:style>
  <w:style w:type="paragraph" w:customStyle="1" w:styleId="SubTitle2">
    <w:name w:val="SubTitle 2"/>
    <w:basedOn w:val="Normlny"/>
    <w:pPr>
      <w:jc w:val="center"/>
    </w:pPr>
    <w:rPr>
      <w:b/>
      <w:sz w:val="32"/>
    </w:rPr>
  </w:style>
  <w:style w:type="paragraph" w:styleId="Zoznamcitci">
    <w:name w:val="table of authorities"/>
    <w:basedOn w:val="Normlny"/>
    <w:next w:val="Normlny"/>
    <w:semiHidden/>
    <w:pPr>
      <w:ind w:left="240" w:hanging="240"/>
    </w:pPr>
  </w:style>
  <w:style w:type="paragraph" w:styleId="Zoznamobrzkov">
    <w:name w:val="table of figures"/>
    <w:basedOn w:val="Normlny"/>
    <w:next w:val="Normlny"/>
    <w:semiHidden/>
    <w:pPr>
      <w:ind w:left="480" w:hanging="480"/>
    </w:pPr>
  </w:style>
  <w:style w:type="paragraph" w:styleId="Nzov">
    <w:name w:val="Title"/>
    <w:basedOn w:val="Normlny"/>
    <w:next w:val="SubTitle1"/>
    <w:pPr>
      <w:spacing w:after="480"/>
      <w:jc w:val="center"/>
    </w:pPr>
    <w:rPr>
      <w:b/>
      <w:kern w:val="28"/>
      <w:sz w:val="48"/>
    </w:rPr>
  </w:style>
  <w:style w:type="paragraph" w:styleId="Hlavikazoznamucitci">
    <w:name w:val="toa heading"/>
    <w:basedOn w:val="Normlny"/>
    <w:next w:val="Normlny"/>
    <w:semiHidden/>
    <w:pPr>
      <w:spacing w:before="120"/>
    </w:pPr>
    <w:rPr>
      <w:rFonts w:ascii="Arial" w:hAnsi="Arial"/>
      <w:b/>
    </w:rPr>
  </w:style>
  <w:style w:type="paragraph" w:styleId="Obsah1">
    <w:name w:val="toc 1"/>
    <w:basedOn w:val="Normlny"/>
    <w:next w:val="Normlny"/>
    <w:semiHidden/>
    <w:pPr>
      <w:tabs>
        <w:tab w:val="right" w:leader="dot" w:pos="8640"/>
      </w:tabs>
      <w:spacing w:before="120" w:after="120"/>
      <w:ind w:left="482" w:right="720" w:hanging="482"/>
    </w:pPr>
    <w:rPr>
      <w:caps/>
    </w:rPr>
  </w:style>
  <w:style w:type="paragraph" w:styleId="Obsah2">
    <w:name w:val="toc 2"/>
    <w:basedOn w:val="Normlny"/>
    <w:next w:val="Normlny"/>
    <w:semiHidden/>
    <w:pPr>
      <w:tabs>
        <w:tab w:val="right" w:leader="dot" w:pos="8640"/>
      </w:tabs>
      <w:spacing w:before="60" w:after="60"/>
      <w:ind w:left="1077" w:right="720" w:hanging="595"/>
    </w:pPr>
  </w:style>
  <w:style w:type="paragraph" w:styleId="Obsah3">
    <w:name w:val="toc 3"/>
    <w:basedOn w:val="Normlny"/>
    <w:next w:val="Normlny"/>
    <w:semiHidden/>
    <w:pPr>
      <w:tabs>
        <w:tab w:val="right" w:leader="dot" w:pos="8640"/>
      </w:tabs>
      <w:spacing w:before="60" w:after="60"/>
      <w:ind w:left="1916" w:right="720" w:hanging="839"/>
    </w:pPr>
  </w:style>
  <w:style w:type="paragraph" w:styleId="Obsah4">
    <w:name w:val="toc 4"/>
    <w:basedOn w:val="Normlny"/>
    <w:next w:val="Normlny"/>
    <w:semiHidden/>
    <w:pPr>
      <w:tabs>
        <w:tab w:val="right" w:leader="dot" w:pos="8641"/>
      </w:tabs>
      <w:spacing w:before="60" w:after="60"/>
      <w:ind w:left="2880" w:right="720" w:hanging="964"/>
    </w:pPr>
  </w:style>
  <w:style w:type="paragraph" w:styleId="Obsah5">
    <w:name w:val="toc 5"/>
    <w:basedOn w:val="Normlny"/>
    <w:next w:val="Normlny"/>
    <w:semiHidden/>
    <w:pPr>
      <w:tabs>
        <w:tab w:val="right" w:leader="dot" w:pos="8641"/>
      </w:tabs>
      <w:spacing w:before="240" w:after="120"/>
      <w:ind w:right="720"/>
    </w:pPr>
    <w:rPr>
      <w:caps/>
    </w:rPr>
  </w:style>
  <w:style w:type="paragraph" w:styleId="Obsah6">
    <w:name w:val="toc 6"/>
    <w:basedOn w:val="Normlny"/>
    <w:next w:val="Normlny"/>
    <w:autoRedefine/>
    <w:semiHidden/>
    <w:pPr>
      <w:ind w:left="1200"/>
    </w:pPr>
  </w:style>
  <w:style w:type="paragraph" w:styleId="Obsah7">
    <w:name w:val="toc 7"/>
    <w:basedOn w:val="Normlny"/>
    <w:next w:val="Normlny"/>
    <w:autoRedefine/>
    <w:semiHidden/>
    <w:pPr>
      <w:ind w:left="1440"/>
    </w:pPr>
  </w:style>
  <w:style w:type="paragraph" w:styleId="Obsah8">
    <w:name w:val="toc 8"/>
    <w:basedOn w:val="Normlny"/>
    <w:next w:val="Normlny"/>
    <w:autoRedefine/>
    <w:semiHidden/>
    <w:pPr>
      <w:ind w:left="1680"/>
    </w:pPr>
  </w:style>
  <w:style w:type="paragraph" w:styleId="Obsah9">
    <w:name w:val="toc 9"/>
    <w:basedOn w:val="Normlny"/>
    <w:next w:val="Normlny"/>
    <w:autoRedefine/>
    <w:semiHidden/>
    <w:pPr>
      <w:ind w:left="1920"/>
    </w:pPr>
  </w:style>
  <w:style w:type="paragraph" w:customStyle="1" w:styleId="YReferences">
    <w:name w:val="YReferences"/>
    <w:basedOn w:val="Normlny"/>
    <w:next w:val="Normlny"/>
    <w:pPr>
      <w:spacing w:after="480"/>
      <w:ind w:left="1531" w:hanging="1531"/>
    </w:pPr>
  </w:style>
  <w:style w:type="paragraph" w:customStyle="1" w:styleId="ListBullet1">
    <w:name w:val="List Bullet 1"/>
    <w:basedOn w:val="Text1"/>
    <w:pPr>
      <w:numPr>
        <w:numId w:val="3"/>
      </w:numPr>
    </w:pPr>
  </w:style>
  <w:style w:type="paragraph" w:customStyle="1" w:styleId="ListDash">
    <w:name w:val="List Dash"/>
    <w:basedOn w:val="Normlny"/>
    <w:pPr>
      <w:numPr>
        <w:numId w:val="7"/>
      </w:numPr>
    </w:pPr>
  </w:style>
  <w:style w:type="paragraph" w:customStyle="1" w:styleId="ListDash1">
    <w:name w:val="List Dash 1"/>
    <w:basedOn w:val="Text1"/>
    <w:pPr>
      <w:numPr>
        <w:numId w:val="8"/>
      </w:numPr>
    </w:pPr>
  </w:style>
  <w:style w:type="paragraph" w:customStyle="1" w:styleId="ListDash2">
    <w:name w:val="List Dash 2"/>
    <w:basedOn w:val="Text2"/>
    <w:pPr>
      <w:numPr>
        <w:numId w:val="9"/>
      </w:numPr>
      <w:tabs>
        <w:tab w:val="clear" w:pos="2302"/>
      </w:tabs>
    </w:pPr>
  </w:style>
  <w:style w:type="paragraph" w:customStyle="1" w:styleId="ListDash3">
    <w:name w:val="List Dash 3"/>
    <w:basedOn w:val="Text3"/>
    <w:pPr>
      <w:numPr>
        <w:numId w:val="10"/>
      </w:numPr>
      <w:tabs>
        <w:tab w:val="clear" w:pos="2302"/>
      </w:tabs>
    </w:pPr>
  </w:style>
  <w:style w:type="paragraph" w:customStyle="1" w:styleId="ListDash4">
    <w:name w:val="List Dash 4"/>
    <w:basedOn w:val="Text4"/>
    <w:pPr>
      <w:numPr>
        <w:numId w:val="11"/>
      </w:numPr>
      <w:tabs>
        <w:tab w:val="clear" w:pos="2302"/>
      </w:tabs>
    </w:pPr>
  </w:style>
  <w:style w:type="paragraph" w:customStyle="1" w:styleId="ListNumberLevel2">
    <w:name w:val="List Number (Level 2)"/>
    <w:basedOn w:val="Normlny"/>
    <w:pPr>
      <w:numPr>
        <w:ilvl w:val="1"/>
        <w:numId w:val="12"/>
      </w:numPr>
    </w:pPr>
  </w:style>
  <w:style w:type="paragraph" w:customStyle="1" w:styleId="ListNumberLevel3">
    <w:name w:val="List Number (Level 3)"/>
    <w:basedOn w:val="Normlny"/>
    <w:pPr>
      <w:numPr>
        <w:ilvl w:val="2"/>
        <w:numId w:val="12"/>
      </w:numPr>
    </w:pPr>
  </w:style>
  <w:style w:type="paragraph" w:customStyle="1" w:styleId="ListNumberLevel4">
    <w:name w:val="List Number (Level 4)"/>
    <w:basedOn w:val="Normlny"/>
    <w:pPr>
      <w:numPr>
        <w:ilvl w:val="3"/>
        <w:numId w:val="12"/>
      </w:numPr>
    </w:pPr>
  </w:style>
  <w:style w:type="paragraph" w:customStyle="1" w:styleId="ListNumber1">
    <w:name w:val="List Number 1"/>
    <w:basedOn w:val="Text1"/>
    <w:pPr>
      <w:numPr>
        <w:numId w:val="13"/>
      </w:numPr>
    </w:pPr>
  </w:style>
  <w:style w:type="paragraph" w:customStyle="1" w:styleId="ListNumber1Level2">
    <w:name w:val="List Number 1 (Level 2)"/>
    <w:basedOn w:val="Text1"/>
    <w:pPr>
      <w:numPr>
        <w:ilvl w:val="1"/>
        <w:numId w:val="13"/>
      </w:numPr>
    </w:pPr>
  </w:style>
  <w:style w:type="paragraph" w:customStyle="1" w:styleId="ListNumber1Level3">
    <w:name w:val="List Number 1 (Level 3)"/>
    <w:basedOn w:val="Text1"/>
    <w:pPr>
      <w:numPr>
        <w:ilvl w:val="2"/>
        <w:numId w:val="13"/>
      </w:numPr>
    </w:pPr>
  </w:style>
  <w:style w:type="paragraph" w:customStyle="1" w:styleId="ListNumber1Level4">
    <w:name w:val="List Number 1 (Level 4)"/>
    <w:basedOn w:val="Text1"/>
    <w:pPr>
      <w:numPr>
        <w:ilvl w:val="3"/>
        <w:numId w:val="13"/>
      </w:numPr>
    </w:pPr>
  </w:style>
  <w:style w:type="paragraph" w:customStyle="1" w:styleId="ListNumber2Level2">
    <w:name w:val="List Number 2 (Level 2)"/>
    <w:basedOn w:val="Text2"/>
    <w:pPr>
      <w:numPr>
        <w:ilvl w:val="1"/>
        <w:numId w:val="14"/>
      </w:numPr>
      <w:tabs>
        <w:tab w:val="clear" w:pos="2302"/>
      </w:tabs>
    </w:pPr>
  </w:style>
  <w:style w:type="paragraph" w:customStyle="1" w:styleId="ListNumber2Level3">
    <w:name w:val="List Number 2 (Level 3)"/>
    <w:basedOn w:val="Text2"/>
    <w:pPr>
      <w:numPr>
        <w:ilvl w:val="2"/>
        <w:numId w:val="14"/>
      </w:numPr>
      <w:tabs>
        <w:tab w:val="clear" w:pos="2302"/>
      </w:tabs>
    </w:pPr>
  </w:style>
  <w:style w:type="paragraph" w:customStyle="1" w:styleId="ListNumber2Level4">
    <w:name w:val="List Number 2 (Level 4)"/>
    <w:basedOn w:val="Text2"/>
    <w:pPr>
      <w:numPr>
        <w:ilvl w:val="3"/>
        <w:numId w:val="14"/>
      </w:numPr>
      <w:tabs>
        <w:tab w:val="clear" w:pos="2302"/>
      </w:tabs>
    </w:pPr>
  </w:style>
  <w:style w:type="paragraph" w:customStyle="1" w:styleId="ListNumber3Level2">
    <w:name w:val="List Number 3 (Level 2)"/>
    <w:basedOn w:val="Text3"/>
    <w:pPr>
      <w:numPr>
        <w:ilvl w:val="1"/>
        <w:numId w:val="15"/>
      </w:numPr>
      <w:tabs>
        <w:tab w:val="clear" w:pos="2302"/>
      </w:tabs>
    </w:pPr>
  </w:style>
  <w:style w:type="paragraph" w:customStyle="1" w:styleId="ListNumber3Level3">
    <w:name w:val="List Number 3 (Level 3)"/>
    <w:basedOn w:val="Text3"/>
    <w:pPr>
      <w:numPr>
        <w:ilvl w:val="2"/>
        <w:numId w:val="15"/>
      </w:numPr>
      <w:tabs>
        <w:tab w:val="clear" w:pos="2302"/>
      </w:tabs>
    </w:pPr>
  </w:style>
  <w:style w:type="paragraph" w:customStyle="1" w:styleId="ListNumber3Level4">
    <w:name w:val="List Number 3 (Level 4)"/>
    <w:basedOn w:val="Text3"/>
    <w:pPr>
      <w:numPr>
        <w:ilvl w:val="3"/>
        <w:numId w:val="15"/>
      </w:numPr>
      <w:tabs>
        <w:tab w:val="clear" w:pos="2302"/>
      </w:tabs>
    </w:pPr>
  </w:style>
  <w:style w:type="paragraph" w:customStyle="1" w:styleId="ListNumber4Level2">
    <w:name w:val="List Number 4 (Level 2)"/>
    <w:basedOn w:val="Text4"/>
    <w:pPr>
      <w:numPr>
        <w:ilvl w:val="1"/>
        <w:numId w:val="16"/>
      </w:numPr>
      <w:tabs>
        <w:tab w:val="clear" w:pos="2302"/>
      </w:tabs>
    </w:pPr>
  </w:style>
  <w:style w:type="paragraph" w:customStyle="1" w:styleId="ListNumber4Level3">
    <w:name w:val="List Number 4 (Level 3)"/>
    <w:basedOn w:val="Text4"/>
    <w:pPr>
      <w:numPr>
        <w:ilvl w:val="2"/>
        <w:numId w:val="16"/>
      </w:numPr>
      <w:tabs>
        <w:tab w:val="clear" w:pos="2302"/>
      </w:tabs>
    </w:pPr>
  </w:style>
  <w:style w:type="paragraph" w:customStyle="1" w:styleId="ListNumber4Level4">
    <w:name w:val="List Number 4 (Level 4)"/>
    <w:basedOn w:val="Text4"/>
    <w:pPr>
      <w:numPr>
        <w:ilvl w:val="3"/>
        <w:numId w:val="16"/>
      </w:numPr>
      <w:tabs>
        <w:tab w:val="clear" w:pos="2302"/>
      </w:tabs>
    </w:pPr>
  </w:style>
  <w:style w:type="paragraph" w:styleId="Hlavikaobsahu">
    <w:name w:val="TOC Heading"/>
    <w:basedOn w:val="Normlny"/>
    <w:next w:val="Normlny"/>
    <w:semiHidden/>
    <w:pPr>
      <w:keepNext/>
      <w:spacing w:before="240"/>
      <w:jc w:val="center"/>
    </w:pPr>
    <w:rPr>
      <w:b/>
      <w:caps/>
    </w:rPr>
  </w:style>
  <w:style w:type="paragraph" w:customStyle="1" w:styleId="Contact">
    <w:name w:val="Contact"/>
    <w:basedOn w:val="Normlny"/>
    <w:pPr>
      <w:spacing w:before="480" w:after="480"/>
      <w:ind w:left="567" w:hanging="567"/>
      <w:jc w:val="left"/>
    </w:pPr>
  </w:style>
  <w:style w:type="paragraph" w:customStyle="1" w:styleId="Designator">
    <w:name w:val="Designator"/>
    <w:basedOn w:val="Normlny"/>
    <w:pPr>
      <w:spacing w:after="0"/>
      <w:jc w:val="center"/>
    </w:pPr>
    <w:rPr>
      <w:b/>
      <w:caps/>
      <w:sz w:val="32"/>
    </w:rPr>
  </w:style>
  <w:style w:type="paragraph" w:customStyle="1" w:styleId="Releasable">
    <w:name w:val="Releasable"/>
    <w:basedOn w:val="Normlny"/>
    <w:pPr>
      <w:spacing w:after="0"/>
      <w:jc w:val="center"/>
    </w:pPr>
    <w:rPr>
      <w:b/>
      <w:caps/>
      <w:sz w:val="32"/>
    </w:rPr>
  </w:style>
  <w:style w:type="paragraph" w:customStyle="1" w:styleId="RUE">
    <w:name w:val="RUE"/>
    <w:basedOn w:val="Normlny"/>
    <w:pPr>
      <w:spacing w:after="0"/>
      <w:jc w:val="center"/>
    </w:pPr>
    <w:rPr>
      <w:b/>
      <w:caps/>
      <w:sz w:val="32"/>
      <w:bdr w:val="single" w:sz="18" w:space="0" w:color="auto"/>
    </w:rPr>
  </w:style>
  <w:style w:type="paragraph" w:customStyle="1" w:styleId="ConfidentialUE">
    <w:name w:val="Confidential UE"/>
    <w:basedOn w:val="Normlny"/>
    <w:pPr>
      <w:spacing w:after="0"/>
      <w:jc w:val="center"/>
    </w:pPr>
    <w:rPr>
      <w:b/>
      <w:caps/>
      <w:sz w:val="32"/>
      <w:bdr w:val="single" w:sz="18" w:space="0" w:color="auto"/>
    </w:rPr>
  </w:style>
  <w:style w:type="paragraph" w:customStyle="1" w:styleId="SecretUE">
    <w:name w:val="Secret UE"/>
    <w:basedOn w:val="Normlny"/>
    <w:pPr>
      <w:spacing w:after="0"/>
      <w:jc w:val="center"/>
    </w:pPr>
    <w:rPr>
      <w:b/>
      <w:caps/>
      <w:color w:val="FF0000"/>
      <w:sz w:val="32"/>
      <w:bdr w:val="single" w:sz="18" w:space="0" w:color="FF0000"/>
    </w:rPr>
  </w:style>
  <w:style w:type="paragraph" w:customStyle="1" w:styleId="TrsSecretUE">
    <w:name w:val="Très Secret UE"/>
    <w:basedOn w:val="Normlny"/>
    <w:pPr>
      <w:spacing w:after="0"/>
      <w:jc w:val="center"/>
    </w:pPr>
    <w:rPr>
      <w:b/>
      <w:caps/>
      <w:color w:val="FF0000"/>
      <w:sz w:val="32"/>
      <w:bdr w:val="single" w:sz="18" w:space="0" w:color="FF0000"/>
    </w:rPr>
  </w:style>
  <w:style w:type="paragraph" w:customStyle="1" w:styleId="ZCom">
    <w:name w:val="Z_Com"/>
    <w:basedOn w:val="Normlny"/>
    <w:next w:val="Normlny"/>
    <w:uiPriority w:val="99"/>
    <w:semiHidden/>
    <w:pPr>
      <w:widowControl w:val="0"/>
      <w:autoSpaceDE w:val="0"/>
      <w:autoSpaceDN w:val="0"/>
      <w:spacing w:before="90" w:after="0"/>
      <w:ind w:right="85"/>
    </w:pPr>
    <w:rPr>
      <w:rFonts w:ascii="Arial" w:eastAsiaTheme="minorEastAsia" w:hAnsi="Arial" w:cs="Arial"/>
      <w:szCs w:val="24"/>
    </w:rPr>
  </w:style>
  <w:style w:type="character" w:styleId="Zstupntext">
    <w:name w:val="Placeholder Text"/>
    <w:basedOn w:val="Predvolenpsmoodseku"/>
    <w:uiPriority w:val="99"/>
    <w:semiHidden/>
    <w:rPr>
      <w:color w:val="2B8F6C"/>
    </w:rPr>
  </w:style>
  <w:style w:type="paragraph" w:customStyle="1" w:styleId="ZDGName">
    <w:name w:val="Z_DGName"/>
    <w:basedOn w:val="Normlny"/>
    <w:uiPriority w:val="99"/>
    <w:semiHidden/>
    <w:pPr>
      <w:widowControl w:val="0"/>
      <w:autoSpaceDE w:val="0"/>
      <w:autoSpaceDN w:val="0"/>
      <w:spacing w:after="0"/>
      <w:ind w:right="85"/>
      <w:jc w:val="left"/>
    </w:pPr>
    <w:rPr>
      <w:rFonts w:ascii="Arial" w:eastAsiaTheme="minorEastAsia" w:hAnsi="Arial" w:cs="Arial"/>
      <w:sz w:val="16"/>
      <w:szCs w:val="16"/>
    </w:rPr>
  </w:style>
  <w:style w:type="character" w:customStyle="1" w:styleId="PtaChar">
    <w:name w:val="Päta Char"/>
    <w:basedOn w:val="Predvolenpsmoodseku"/>
    <w:link w:val="Pta"/>
    <w:uiPriority w:val="99"/>
    <w:rPr>
      <w:sz w:val="16"/>
      <w:lang w:bidi="ar-SA"/>
    </w:rPr>
  </w:style>
  <w:style w:type="paragraph" w:customStyle="1" w:styleId="Marking">
    <w:name w:val="Marking"/>
    <w:basedOn w:val="Normlny"/>
    <w:pPr>
      <w:spacing w:line="276" w:lineRule="auto"/>
      <w:ind w:left="5115"/>
      <w:contextualSpacing/>
      <w:jc w:val="left"/>
    </w:pPr>
    <w:rPr>
      <w:rFonts w:eastAsia="Calibri"/>
      <w:i/>
      <w:sz w:val="32"/>
      <w:szCs w:val="22"/>
    </w:rPr>
  </w:style>
  <w:style w:type="table" w:customStyle="1" w:styleId="TableLetterhead">
    <w:name w:val="Table Letterhead"/>
    <w:basedOn w:val="Normlnatabuka"/>
    <w:uiPriority w:val="99"/>
    <w:rPr>
      <w:lang w:bidi="ar-SA"/>
    </w:rPr>
    <w:tblPr>
      <w:tblCellMar>
        <w:left w:w="0" w:type="dxa"/>
        <w:bottom w:w="340" w:type="dxa"/>
        <w:right w:w="0" w:type="dxa"/>
      </w:tblCellMar>
    </w:tblPr>
  </w:style>
  <w:style w:type="paragraph" w:styleId="Bezriadkovania">
    <w:name w:val="No Spacing"/>
    <w:uiPriority w:val="1"/>
    <w:pPr>
      <w:jc w:val="both"/>
    </w:pPr>
    <w:rPr>
      <w:sz w:val="24"/>
      <w:lang w:bidi="ar-SA"/>
    </w:rPr>
  </w:style>
  <w:style w:type="character" w:styleId="Jemnzvraznenie">
    <w:name w:val="Subtle Emphasis"/>
    <w:basedOn w:val="Predvolenpsmoodseku"/>
    <w:uiPriority w:val="19"/>
    <w:rPr>
      <w:i/>
      <w:iCs/>
      <w:color w:val="808080" w:themeColor="text1" w:themeTint="7F"/>
    </w:rPr>
  </w:style>
  <w:style w:type="paragraph" w:styleId="Podtitul">
    <w:name w:val="Subtitle"/>
    <w:basedOn w:val="Normlny"/>
    <w:next w:val="Normlny"/>
    <w:uiPriority w:val="11"/>
    <w:pPr>
      <w:numPr>
        <w:ilvl w:val="1"/>
      </w:numPr>
    </w:pPr>
    <w:rPr>
      <w:rFonts w:asciiTheme="majorHAnsi" w:eastAsiaTheme="majorEastAsia" w:hAnsiTheme="majorHAnsi" w:cstheme="majorBidi"/>
      <w:i/>
      <w:iCs/>
      <w:color w:val="9ACA3C" w:themeColor="accent1"/>
      <w:spacing w:val="15"/>
      <w:szCs w:val="24"/>
    </w:rPr>
  </w:style>
  <w:style w:type="character" w:styleId="Zvraznenie">
    <w:name w:val="Emphasis"/>
    <w:basedOn w:val="Predvolenpsmoodseku"/>
    <w:uiPriority w:val="20"/>
    <w:qFormat/>
    <w:rPr>
      <w:i/>
      <w:iCs/>
    </w:rPr>
  </w:style>
  <w:style w:type="character" w:styleId="Intenzvnezvraznenie">
    <w:name w:val="Intense Emphasis"/>
    <w:basedOn w:val="Predvolenpsmoodseku"/>
    <w:uiPriority w:val="21"/>
    <w:rPr>
      <w:b/>
      <w:bCs/>
      <w:i/>
      <w:iCs/>
      <w:color w:val="9ACA3C" w:themeColor="accent1"/>
    </w:rPr>
  </w:style>
  <w:style w:type="character" w:styleId="Siln">
    <w:name w:val="Strong"/>
    <w:basedOn w:val="Predvolenpsmoodseku"/>
    <w:uiPriority w:val="22"/>
    <w:rPr>
      <w:b/>
      <w:bCs/>
    </w:rPr>
  </w:style>
  <w:style w:type="paragraph" w:customStyle="1" w:styleId="LegalNumPar">
    <w:name w:val="LegalNumPar"/>
    <w:basedOn w:val="Normlny"/>
    <w:qFormat/>
    <w:pPr>
      <w:numPr>
        <w:numId w:val="17"/>
      </w:numPr>
      <w:tabs>
        <w:tab w:val="clear" w:pos="476"/>
      </w:tabs>
      <w:spacing w:line="360" w:lineRule="auto"/>
      <w:jc w:val="left"/>
    </w:pPr>
    <w:rPr>
      <w:rFonts w:eastAsiaTheme="minorHAnsi" w:cstheme="minorBidi"/>
      <w:szCs w:val="22"/>
    </w:rPr>
  </w:style>
  <w:style w:type="paragraph" w:customStyle="1" w:styleId="LegalNumPar2">
    <w:name w:val="LegalNumPar2"/>
    <w:basedOn w:val="Normlny"/>
    <w:pPr>
      <w:numPr>
        <w:ilvl w:val="1"/>
        <w:numId w:val="17"/>
      </w:numPr>
      <w:tabs>
        <w:tab w:val="clear" w:pos="953"/>
      </w:tabs>
      <w:spacing w:line="360" w:lineRule="auto"/>
      <w:ind w:left="952" w:hanging="476"/>
      <w:jc w:val="left"/>
    </w:pPr>
    <w:rPr>
      <w:rFonts w:eastAsiaTheme="minorHAnsi" w:cstheme="minorBidi"/>
      <w:szCs w:val="22"/>
    </w:rPr>
  </w:style>
  <w:style w:type="paragraph" w:customStyle="1" w:styleId="LegalNumPar3">
    <w:name w:val="LegalNumPar3"/>
    <w:basedOn w:val="Normlny"/>
    <w:pPr>
      <w:numPr>
        <w:ilvl w:val="2"/>
        <w:numId w:val="17"/>
      </w:numPr>
      <w:tabs>
        <w:tab w:val="clear" w:pos="1429"/>
      </w:tabs>
      <w:spacing w:line="360" w:lineRule="auto"/>
      <w:jc w:val="left"/>
    </w:pPr>
    <w:rPr>
      <w:rFonts w:eastAsiaTheme="minorHAnsi" w:cstheme="minorBidi"/>
      <w:szCs w:val="22"/>
    </w:rPr>
  </w:style>
  <w:style w:type="character" w:customStyle="1" w:styleId="BodyPlaceholderText">
    <w:name w:val="BodyPlaceholderText"/>
    <w:basedOn w:val="Zstupntext"/>
    <w:uiPriority w:val="1"/>
    <w:semiHidden/>
    <w:rPr>
      <w:color w:val="3366CC"/>
    </w:rPr>
  </w:style>
  <w:style w:type="paragraph" w:customStyle="1" w:styleId="HistoryTable">
    <w:name w:val="HistoryTable"/>
    <w:basedOn w:val="Normlny"/>
    <w:pPr>
      <w:spacing w:before="60" w:after="60"/>
      <w:jc w:val="left"/>
    </w:pPr>
    <w:rPr>
      <w:sz w:val="20"/>
      <w:szCs w:val="22"/>
    </w:rPr>
  </w:style>
  <w:style w:type="table" w:customStyle="1" w:styleId="TableHistory">
    <w:name w:val="Table History"/>
    <w:basedOn w:val="Normlnatabuka"/>
    <w:uiPriority w:val="99"/>
    <w:pPr>
      <w:spacing w:before="60" w:after="60" w:line="264" w:lineRule="auto"/>
    </w:pPr>
    <w:rPr>
      <w:sz w:val="22"/>
      <w:szCs w:val="22"/>
      <w:lang w:bidi="ar-SA"/>
    </w:r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istTableHeading">
    <w:name w:val="HistTableHeading"/>
    <w:basedOn w:val="Normlny"/>
    <w:next w:val="Normlny"/>
    <w:pPr>
      <w:spacing w:before="240"/>
      <w:contextualSpacing/>
      <w:jc w:val="center"/>
    </w:pPr>
    <w:rPr>
      <w:rFonts w:ascii="Times New Roman Bold" w:hAnsi="Times New Roman Bold"/>
      <w:b/>
      <w:caps/>
      <w:szCs w:val="22"/>
    </w:rPr>
  </w:style>
  <w:style w:type="paragraph" w:customStyle="1" w:styleId="SignatureL">
    <w:name w:val="SignatureL"/>
    <w:basedOn w:val="Normlny"/>
    <w:next w:val="Normlny"/>
    <w:uiPriority w:val="99"/>
    <w:pPr>
      <w:tabs>
        <w:tab w:val="left" w:pos="5103"/>
      </w:tabs>
      <w:spacing w:before="1200" w:after="0"/>
      <w:jc w:val="left"/>
    </w:pPr>
  </w:style>
  <w:style w:type="paragraph" w:customStyle="1" w:styleId="FooterLine">
    <w:name w:val="FooterLine"/>
    <w:basedOn w:val="Pta"/>
    <w:next w:val="Pta"/>
    <w:uiPriority w:val="99"/>
    <w:pPr>
      <w:tabs>
        <w:tab w:val="right" w:pos="8647"/>
      </w:tabs>
      <w:spacing w:before="120" w:line="264" w:lineRule="auto"/>
      <w:ind w:right="0"/>
      <w:jc w:val="both"/>
    </w:pPr>
    <w:rPr>
      <w:szCs w:val="22"/>
    </w:rPr>
  </w:style>
  <w:style w:type="character" w:customStyle="1" w:styleId="Marker">
    <w:name w:val="Marker"/>
    <w:basedOn w:val="Predvolenpsmoodseku"/>
    <w:rPr>
      <w:color w:val="0000FF"/>
      <w:shd w:val="clear" w:color="auto" w:fill="auto"/>
    </w:rPr>
  </w:style>
  <w:style w:type="paragraph" w:customStyle="1" w:styleId="Pagedecouverture">
    <w:name w:val="Page de couverture"/>
    <w:basedOn w:val="Normlny"/>
    <w:next w:val="Normlny"/>
    <w:pPr>
      <w:spacing w:after="0"/>
    </w:pPr>
    <w:rPr>
      <w:rFonts w:eastAsiaTheme="minorHAnsi"/>
      <w:szCs w:val="22"/>
      <w:lang w:eastAsia="en-US"/>
    </w:rPr>
  </w:style>
  <w:style w:type="paragraph" w:customStyle="1" w:styleId="FooterCoverPage">
    <w:name w:val="Footer Cover Page"/>
    <w:basedOn w:val="Normlny"/>
    <w:link w:val="FooterCoverPageChar"/>
    <w:pPr>
      <w:tabs>
        <w:tab w:val="center" w:pos="4535"/>
        <w:tab w:val="right" w:pos="9071"/>
        <w:tab w:val="right" w:pos="9921"/>
      </w:tabs>
      <w:spacing w:before="360" w:after="0"/>
      <w:ind w:left="-850" w:right="-850"/>
      <w:jc w:val="left"/>
      <w:outlineLvl w:val="0"/>
    </w:pPr>
  </w:style>
  <w:style w:type="character" w:customStyle="1" w:styleId="FooterCoverPageChar">
    <w:name w:val="Footer Cover Page Char"/>
    <w:basedOn w:val="Predvolenpsmoodseku"/>
    <w:link w:val="FooterCoverPage"/>
    <w:rPr>
      <w:sz w:val="24"/>
      <w:lang w:bidi="ar-SA"/>
    </w:rPr>
  </w:style>
  <w:style w:type="paragraph" w:customStyle="1" w:styleId="FooterSensitivity">
    <w:name w:val="Footer Sensitivity"/>
    <w:basedOn w:val="Normlny"/>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outlineLvl w:val="0"/>
    </w:pPr>
    <w:rPr>
      <w:b/>
      <w:sz w:val="32"/>
    </w:rPr>
  </w:style>
  <w:style w:type="character" w:customStyle="1" w:styleId="FooterSensitivityChar">
    <w:name w:val="Footer Sensitivity Char"/>
    <w:basedOn w:val="Predvolenpsmoodseku"/>
    <w:link w:val="FooterSensitivity"/>
    <w:rPr>
      <w:b/>
      <w:sz w:val="32"/>
      <w:lang w:bidi="ar-SA"/>
    </w:rPr>
  </w:style>
  <w:style w:type="paragraph" w:customStyle="1" w:styleId="HeaderCoverPage">
    <w:name w:val="Header Cover Page"/>
    <w:basedOn w:val="Normlny"/>
    <w:link w:val="HeaderCoverPageChar"/>
    <w:pPr>
      <w:tabs>
        <w:tab w:val="center" w:pos="4535"/>
        <w:tab w:val="right" w:pos="9071"/>
      </w:tabs>
      <w:spacing w:after="120"/>
      <w:outlineLvl w:val="0"/>
    </w:pPr>
  </w:style>
  <w:style w:type="character" w:customStyle="1" w:styleId="HeaderCoverPageChar">
    <w:name w:val="Header Cover Page Char"/>
    <w:basedOn w:val="Predvolenpsmoodseku"/>
    <w:link w:val="HeaderCoverPage"/>
    <w:rPr>
      <w:sz w:val="24"/>
      <w:lang w:bidi="ar-SA"/>
    </w:rPr>
  </w:style>
  <w:style w:type="paragraph" w:customStyle="1" w:styleId="HeaderSensitivity">
    <w:name w:val="Header Sensitivity"/>
    <w:basedOn w:val="Normlny"/>
    <w:link w:val="HeaderSensitivityChar"/>
    <w:pPr>
      <w:pBdr>
        <w:top w:val="single" w:sz="4" w:space="1" w:color="auto"/>
        <w:left w:val="single" w:sz="4" w:space="4" w:color="auto"/>
        <w:bottom w:val="single" w:sz="4" w:space="1" w:color="auto"/>
        <w:right w:val="single" w:sz="4" w:space="4" w:color="auto"/>
      </w:pBdr>
      <w:spacing w:after="120"/>
      <w:ind w:left="113" w:right="113"/>
      <w:jc w:val="center"/>
      <w:outlineLvl w:val="0"/>
    </w:pPr>
    <w:rPr>
      <w:b/>
      <w:sz w:val="32"/>
    </w:rPr>
  </w:style>
  <w:style w:type="character" w:customStyle="1" w:styleId="HeaderSensitivityChar">
    <w:name w:val="Header Sensitivity Char"/>
    <w:basedOn w:val="Predvolenpsmoodseku"/>
    <w:link w:val="HeaderSensitivity"/>
    <w:rPr>
      <w:b/>
      <w:sz w:val="32"/>
      <w:lang w:bidi="ar-SA"/>
    </w:rPr>
  </w:style>
  <w:style w:type="table" w:styleId="Mriekatabuky">
    <w:name w:val="Table Grid"/>
    <w:basedOn w:val="Normlnatabuka"/>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vysvetlivku">
    <w:name w:val="endnote reference"/>
    <w:basedOn w:val="Predvolenpsmoodseku"/>
    <w:uiPriority w:val="99"/>
    <w:semiHidden/>
    <w:unhideWhenUsed/>
    <w:rPr>
      <w:vertAlign w:val="superscript"/>
    </w:rPr>
  </w:style>
  <w:style w:type="character" w:styleId="Odkaznapoznmkupodiarou">
    <w:name w:val="footnote reference"/>
    <w:aliases w:val="Footnote Reference Superscript,BVI fnr, BVI fnr,Footnote symbol,Footnote reference number,note TESI,Appel note de bas de p,Nota,SUPERS,Footnote number,EN Footnote Reference,-E Fußnotenzeichen,number Char Char,number,Ref,styl"/>
    <w:basedOn w:val="Predvolenpsmoodseku"/>
    <w:link w:val="FootnotesymbolCarZchn"/>
    <w:uiPriority w:val="99"/>
    <w:unhideWhenUsed/>
    <w:qFormat/>
    <w:rPr>
      <w:vertAlign w:val="superscript"/>
    </w:rPr>
  </w:style>
  <w:style w:type="paragraph" w:customStyle="1" w:styleId="SecurityMarking">
    <w:name w:val="SecurityMarking"/>
    <w:basedOn w:val="Normlny"/>
    <w:pPr>
      <w:spacing w:after="0" w:line="276" w:lineRule="auto"/>
      <w:ind w:left="5103"/>
      <w:jc w:val="left"/>
    </w:pPr>
    <w:rPr>
      <w:rFonts w:eastAsiaTheme="minorHAnsi"/>
      <w:sz w:val="28"/>
      <w:szCs w:val="22"/>
      <w:lang w:eastAsia="en-US"/>
    </w:rPr>
  </w:style>
  <w:style w:type="paragraph" w:customStyle="1" w:styleId="DateMarking">
    <w:name w:val="DateMarking"/>
    <w:basedOn w:val="Normlny"/>
    <w:pPr>
      <w:spacing w:after="0" w:line="276" w:lineRule="auto"/>
      <w:ind w:left="5103"/>
      <w:jc w:val="left"/>
    </w:pPr>
    <w:rPr>
      <w:rFonts w:eastAsiaTheme="minorHAnsi"/>
      <w:i/>
      <w:sz w:val="28"/>
      <w:szCs w:val="22"/>
      <w:lang w:eastAsia="en-US"/>
    </w:rPr>
  </w:style>
  <w:style w:type="paragraph" w:customStyle="1" w:styleId="ReleasableTo">
    <w:name w:val="ReleasableTo"/>
    <w:basedOn w:val="Normlny"/>
    <w:pPr>
      <w:spacing w:after="0" w:line="276" w:lineRule="auto"/>
      <w:ind w:left="5103"/>
      <w:jc w:val="left"/>
    </w:pPr>
    <w:rPr>
      <w:rFonts w:eastAsiaTheme="minorHAnsi"/>
      <w:i/>
      <w:sz w:val="28"/>
      <w:szCs w:val="22"/>
      <w:lang w:eastAsia="en-US"/>
    </w:rPr>
  </w:style>
  <w:style w:type="paragraph" w:customStyle="1" w:styleId="HeaderSensitivityRight">
    <w:name w:val="Header Sensitivity Right"/>
    <w:basedOn w:val="Normlny"/>
    <w:pPr>
      <w:spacing w:after="120"/>
      <w:jc w:val="right"/>
    </w:pPr>
    <w:rPr>
      <w:sz w:val="28"/>
    </w:rPr>
  </w:style>
  <w:style w:type="paragraph" w:customStyle="1" w:styleId="Default">
    <w:name w:val="Default"/>
    <w:pPr>
      <w:autoSpaceDE w:val="0"/>
      <w:autoSpaceDN w:val="0"/>
      <w:adjustRightInd w:val="0"/>
    </w:pPr>
    <w:rPr>
      <w:color w:val="000000"/>
      <w:sz w:val="24"/>
      <w:szCs w:val="24"/>
      <w:lang w:bidi="ar-SA"/>
    </w:rPr>
  </w:style>
  <w:style w:type="paragraph" w:styleId="Textbubliny">
    <w:name w:val="Balloon Text"/>
    <w:basedOn w:val="Normlny"/>
    <w:link w:val="TextbublinyChar"/>
    <w:uiPriority w:val="99"/>
    <w:semiHidden/>
    <w:unhideWhenUsed/>
    <w:pPr>
      <w:spacing w:after="0"/>
    </w:pPr>
    <w:rPr>
      <w:rFonts w:ascii="Segoe UI" w:hAnsi="Segoe UI" w:cs="Segoe UI"/>
      <w:sz w:val="18"/>
      <w:szCs w:val="18"/>
    </w:rPr>
  </w:style>
  <w:style w:type="character" w:customStyle="1" w:styleId="TextbublinyChar">
    <w:name w:val="Text bubliny Char"/>
    <w:basedOn w:val="Predvolenpsmoodseku"/>
    <w:link w:val="Textbubliny"/>
    <w:uiPriority w:val="99"/>
    <w:semiHidden/>
    <w:rPr>
      <w:rFonts w:ascii="Segoe UI" w:hAnsi="Segoe UI" w:cs="Segoe UI"/>
      <w:sz w:val="18"/>
      <w:szCs w:val="18"/>
      <w:lang w:bidi="ar-SA"/>
    </w:rPr>
  </w:style>
  <w:style w:type="character" w:styleId="Odkaznakomentr">
    <w:name w:val="annotation reference"/>
    <w:basedOn w:val="Predvolenpsmoodseku"/>
    <w:uiPriority w:val="99"/>
    <w:semiHidden/>
    <w:unhideWhenUsed/>
    <w:rPr>
      <w:sz w:val="16"/>
      <w:szCs w:val="16"/>
    </w:rPr>
  </w:style>
  <w:style w:type="character" w:customStyle="1" w:styleId="TextkomentraChar">
    <w:name w:val="Text komentára Char"/>
    <w:basedOn w:val="Predvolenpsmoodseku"/>
    <w:link w:val="Textkomentra"/>
    <w:uiPriority w:val="99"/>
    <w:semiHidden/>
    <w:rPr>
      <w:lang w:bidi="ar-SA"/>
    </w:rPr>
  </w:style>
  <w:style w:type="paragraph" w:styleId="Predmetkomentra">
    <w:name w:val="annotation subject"/>
    <w:basedOn w:val="Textkomentra"/>
    <w:next w:val="Textkomentra"/>
    <w:link w:val="PredmetkomentraChar"/>
    <w:uiPriority w:val="99"/>
    <w:semiHidden/>
    <w:unhideWhenUsed/>
    <w:rPr>
      <w:b/>
      <w:bCs/>
    </w:rPr>
  </w:style>
  <w:style w:type="character" w:customStyle="1" w:styleId="PredmetkomentraChar">
    <w:name w:val="Predmet komentára Char"/>
    <w:basedOn w:val="TextkomentraChar"/>
    <w:link w:val="Predmetkomentra"/>
    <w:uiPriority w:val="99"/>
    <w:semiHidden/>
    <w:rPr>
      <w:b/>
      <w:bCs/>
      <w:lang w:bidi="ar-SA"/>
    </w:rPr>
  </w:style>
  <w:style w:type="character" w:styleId="Hypertextovprepojenie">
    <w:name w:val="Hyperlink"/>
    <w:basedOn w:val="Predvolenpsmoodseku"/>
    <w:uiPriority w:val="99"/>
    <w:unhideWhenUsed/>
    <w:rPr>
      <w:color w:val="0000FF" w:themeColor="hyperlink"/>
      <w:u w:val="single"/>
    </w:rPr>
  </w:style>
  <w:style w:type="paragraph" w:styleId="Revzia">
    <w:name w:val="Revision"/>
    <w:hidden/>
    <w:uiPriority w:val="99"/>
    <w:semiHidden/>
    <w:rPr>
      <w:sz w:val="24"/>
      <w:lang w:bidi="ar-SA"/>
    </w:rPr>
  </w:style>
  <w:style w:type="paragraph" w:styleId="Obyajntext">
    <w:name w:val="Plain Text"/>
    <w:basedOn w:val="Normlny"/>
    <w:link w:val="ObyajntextChar"/>
    <w:uiPriority w:val="99"/>
    <w:unhideWhenUsed/>
    <w:rsid w:val="00485B8C"/>
    <w:pPr>
      <w:spacing w:after="0"/>
      <w:jc w:val="left"/>
    </w:pPr>
    <w:rPr>
      <w:rFonts w:ascii="Consolas" w:eastAsia="Calibri" w:hAnsi="Consolas" w:cs="Consolas"/>
      <w:sz w:val="21"/>
      <w:szCs w:val="21"/>
      <w:u w:color="000000"/>
      <w:lang w:eastAsia="sk-SK"/>
    </w:rPr>
  </w:style>
  <w:style w:type="character" w:customStyle="1" w:styleId="ObyajntextChar">
    <w:name w:val="Obyčajný text Char"/>
    <w:basedOn w:val="Predvolenpsmoodseku"/>
    <w:link w:val="Obyajntext"/>
    <w:uiPriority w:val="99"/>
    <w:rsid w:val="00485B8C"/>
    <w:rPr>
      <w:rFonts w:ascii="Consolas" w:eastAsia="Calibri" w:hAnsi="Consolas" w:cs="Consolas"/>
      <w:sz w:val="21"/>
      <w:szCs w:val="21"/>
      <w:u w:color="000000"/>
      <w:lang w:eastAsia="sk-SK" w:bidi="ar-SA"/>
    </w:rPr>
  </w:style>
  <w:style w:type="character" w:customStyle="1" w:styleId="tlid-translation">
    <w:name w:val="tlid-translation"/>
    <w:basedOn w:val="Predvolenpsmoodseku"/>
    <w:rsid w:val="00AC065F"/>
  </w:style>
  <w:style w:type="paragraph" w:styleId="PredformtovanHTML">
    <w:name w:val="HTML Preformatted"/>
    <w:basedOn w:val="Normlny"/>
    <w:link w:val="PredformtovanHTMLChar"/>
    <w:uiPriority w:val="99"/>
    <w:unhideWhenUsed/>
    <w:rsid w:val="008A2C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z w:val="20"/>
      <w:u w:color="000000"/>
      <w:lang w:eastAsia="sk-SK"/>
    </w:rPr>
  </w:style>
  <w:style w:type="character" w:customStyle="1" w:styleId="PredformtovanHTMLChar">
    <w:name w:val="Predformátované HTML Char"/>
    <w:basedOn w:val="Predvolenpsmoodseku"/>
    <w:link w:val="PredformtovanHTML"/>
    <w:uiPriority w:val="99"/>
    <w:rsid w:val="008A2C73"/>
    <w:rPr>
      <w:rFonts w:ascii="Courier New" w:hAnsi="Courier New" w:cs="Courier New"/>
      <w:u w:color="000000"/>
      <w:lang w:eastAsia="sk-SK" w:bidi="ar-SA"/>
    </w:rPr>
  </w:style>
  <w:style w:type="character" w:customStyle="1" w:styleId="TextpoznmkypodiarouChar">
    <w:name w:val="Text poznámky pod čiarou Char"/>
    <w:aliases w:val="Char Char,Fußnote Char,Carattere Char,fn Char,Footnotes Char,Footnote ak Char,Footnote Text Char1 Char,Footnote Text Char Char Char,fn Char Char Char,footnote text Char Char Char,Footnotes Char Char Char,fn Char1 Char"/>
    <w:basedOn w:val="Predvolenpsmoodseku"/>
    <w:link w:val="Textpoznmkypodiarou"/>
    <w:qFormat/>
    <w:rsid w:val="008A2C73"/>
    <w:rPr>
      <w:lang w:bidi="ar-SA"/>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lny"/>
    <w:link w:val="Odkaznapoznmkupodiarou"/>
    <w:uiPriority w:val="99"/>
    <w:qFormat/>
    <w:rsid w:val="008A2C73"/>
    <w:pPr>
      <w:spacing w:after="160" w:line="240" w:lineRule="exact"/>
    </w:pPr>
    <w:rPr>
      <w:sz w:val="20"/>
      <w:vertAlign w:val="superscript"/>
      <w:lang w:bidi="ne-NP"/>
    </w:rPr>
  </w:style>
  <w:style w:type="paragraph" w:styleId="Normlnywebov">
    <w:name w:val="Normal (Web)"/>
    <w:basedOn w:val="Normlny"/>
    <w:uiPriority w:val="99"/>
    <w:unhideWhenUsed/>
    <w:rsid w:val="008A1982"/>
    <w:pPr>
      <w:spacing w:after="0"/>
      <w:jc w:val="left"/>
    </w:pPr>
    <w:rPr>
      <w:rFonts w:eastAsiaTheme="minorHAnsi"/>
      <w:szCs w:val="24"/>
      <w:u w:color="000000"/>
      <w:lang w:eastAsia="sk-SK"/>
    </w:rPr>
  </w:style>
  <w:style w:type="character" w:customStyle="1" w:styleId="st1">
    <w:name w:val="st1"/>
    <w:basedOn w:val="Predvolenpsmoodseku"/>
    <w:rsid w:val="00D15665"/>
  </w:style>
  <w:style w:type="paragraph" w:customStyle="1" w:styleId="Dash">
    <w:name w:val="Dash"/>
    <w:basedOn w:val="Normlny"/>
    <w:rsid w:val="009B37B3"/>
    <w:pPr>
      <w:spacing w:before="120" w:after="120" w:line="360" w:lineRule="auto"/>
      <w:jc w:val="left"/>
    </w:pPr>
    <w:rPr>
      <w:rFonts w:eastAsiaTheme="minorHAnsi"/>
      <w:sz w:val="22"/>
      <w:szCs w:val="22"/>
      <w:u w:color="00000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1072">
      <w:bodyDiv w:val="1"/>
      <w:marLeft w:val="0"/>
      <w:marRight w:val="0"/>
      <w:marTop w:val="0"/>
      <w:marBottom w:val="0"/>
      <w:divBdr>
        <w:top w:val="none" w:sz="0" w:space="0" w:color="auto"/>
        <w:left w:val="none" w:sz="0" w:space="0" w:color="auto"/>
        <w:bottom w:val="none" w:sz="0" w:space="0" w:color="auto"/>
        <w:right w:val="none" w:sz="0" w:space="0" w:color="auto"/>
      </w:divBdr>
    </w:div>
    <w:div w:id="33429268">
      <w:bodyDiv w:val="1"/>
      <w:marLeft w:val="0"/>
      <w:marRight w:val="0"/>
      <w:marTop w:val="0"/>
      <w:marBottom w:val="0"/>
      <w:divBdr>
        <w:top w:val="none" w:sz="0" w:space="0" w:color="auto"/>
        <w:left w:val="none" w:sz="0" w:space="0" w:color="auto"/>
        <w:bottom w:val="none" w:sz="0" w:space="0" w:color="auto"/>
        <w:right w:val="none" w:sz="0" w:space="0" w:color="auto"/>
      </w:divBdr>
    </w:div>
    <w:div w:id="91896520">
      <w:bodyDiv w:val="1"/>
      <w:marLeft w:val="0"/>
      <w:marRight w:val="0"/>
      <w:marTop w:val="0"/>
      <w:marBottom w:val="0"/>
      <w:divBdr>
        <w:top w:val="none" w:sz="0" w:space="0" w:color="auto"/>
        <w:left w:val="none" w:sz="0" w:space="0" w:color="auto"/>
        <w:bottom w:val="none" w:sz="0" w:space="0" w:color="auto"/>
        <w:right w:val="none" w:sz="0" w:space="0" w:color="auto"/>
      </w:divBdr>
    </w:div>
    <w:div w:id="212936072">
      <w:bodyDiv w:val="1"/>
      <w:marLeft w:val="0"/>
      <w:marRight w:val="0"/>
      <w:marTop w:val="0"/>
      <w:marBottom w:val="0"/>
      <w:divBdr>
        <w:top w:val="none" w:sz="0" w:space="0" w:color="auto"/>
        <w:left w:val="none" w:sz="0" w:space="0" w:color="auto"/>
        <w:bottom w:val="none" w:sz="0" w:space="0" w:color="auto"/>
        <w:right w:val="none" w:sz="0" w:space="0" w:color="auto"/>
      </w:divBdr>
    </w:div>
    <w:div w:id="255022526">
      <w:bodyDiv w:val="1"/>
      <w:marLeft w:val="0"/>
      <w:marRight w:val="0"/>
      <w:marTop w:val="0"/>
      <w:marBottom w:val="0"/>
      <w:divBdr>
        <w:top w:val="none" w:sz="0" w:space="0" w:color="auto"/>
        <w:left w:val="none" w:sz="0" w:space="0" w:color="auto"/>
        <w:bottom w:val="none" w:sz="0" w:space="0" w:color="auto"/>
        <w:right w:val="none" w:sz="0" w:space="0" w:color="auto"/>
      </w:divBdr>
    </w:div>
    <w:div w:id="282539860">
      <w:bodyDiv w:val="1"/>
      <w:marLeft w:val="0"/>
      <w:marRight w:val="0"/>
      <w:marTop w:val="0"/>
      <w:marBottom w:val="0"/>
      <w:divBdr>
        <w:top w:val="none" w:sz="0" w:space="0" w:color="auto"/>
        <w:left w:val="none" w:sz="0" w:space="0" w:color="auto"/>
        <w:bottom w:val="none" w:sz="0" w:space="0" w:color="auto"/>
        <w:right w:val="none" w:sz="0" w:space="0" w:color="auto"/>
      </w:divBdr>
    </w:div>
    <w:div w:id="308051909">
      <w:bodyDiv w:val="1"/>
      <w:marLeft w:val="0"/>
      <w:marRight w:val="0"/>
      <w:marTop w:val="0"/>
      <w:marBottom w:val="0"/>
      <w:divBdr>
        <w:top w:val="none" w:sz="0" w:space="0" w:color="auto"/>
        <w:left w:val="none" w:sz="0" w:space="0" w:color="auto"/>
        <w:bottom w:val="none" w:sz="0" w:space="0" w:color="auto"/>
        <w:right w:val="none" w:sz="0" w:space="0" w:color="auto"/>
      </w:divBdr>
    </w:div>
    <w:div w:id="423113337">
      <w:bodyDiv w:val="1"/>
      <w:marLeft w:val="0"/>
      <w:marRight w:val="0"/>
      <w:marTop w:val="0"/>
      <w:marBottom w:val="0"/>
      <w:divBdr>
        <w:top w:val="none" w:sz="0" w:space="0" w:color="auto"/>
        <w:left w:val="none" w:sz="0" w:space="0" w:color="auto"/>
        <w:bottom w:val="none" w:sz="0" w:space="0" w:color="auto"/>
        <w:right w:val="none" w:sz="0" w:space="0" w:color="auto"/>
      </w:divBdr>
    </w:div>
    <w:div w:id="428738916">
      <w:bodyDiv w:val="1"/>
      <w:marLeft w:val="0"/>
      <w:marRight w:val="0"/>
      <w:marTop w:val="0"/>
      <w:marBottom w:val="0"/>
      <w:divBdr>
        <w:top w:val="none" w:sz="0" w:space="0" w:color="auto"/>
        <w:left w:val="none" w:sz="0" w:space="0" w:color="auto"/>
        <w:bottom w:val="none" w:sz="0" w:space="0" w:color="auto"/>
        <w:right w:val="none" w:sz="0" w:space="0" w:color="auto"/>
      </w:divBdr>
    </w:div>
    <w:div w:id="465437611">
      <w:bodyDiv w:val="1"/>
      <w:marLeft w:val="0"/>
      <w:marRight w:val="0"/>
      <w:marTop w:val="0"/>
      <w:marBottom w:val="0"/>
      <w:divBdr>
        <w:top w:val="none" w:sz="0" w:space="0" w:color="auto"/>
        <w:left w:val="none" w:sz="0" w:space="0" w:color="auto"/>
        <w:bottom w:val="none" w:sz="0" w:space="0" w:color="auto"/>
        <w:right w:val="none" w:sz="0" w:space="0" w:color="auto"/>
      </w:divBdr>
    </w:div>
    <w:div w:id="500244727">
      <w:bodyDiv w:val="1"/>
      <w:marLeft w:val="0"/>
      <w:marRight w:val="0"/>
      <w:marTop w:val="0"/>
      <w:marBottom w:val="0"/>
      <w:divBdr>
        <w:top w:val="none" w:sz="0" w:space="0" w:color="auto"/>
        <w:left w:val="none" w:sz="0" w:space="0" w:color="auto"/>
        <w:bottom w:val="none" w:sz="0" w:space="0" w:color="auto"/>
        <w:right w:val="none" w:sz="0" w:space="0" w:color="auto"/>
      </w:divBdr>
    </w:div>
    <w:div w:id="525559760">
      <w:bodyDiv w:val="1"/>
      <w:marLeft w:val="0"/>
      <w:marRight w:val="0"/>
      <w:marTop w:val="0"/>
      <w:marBottom w:val="0"/>
      <w:divBdr>
        <w:top w:val="none" w:sz="0" w:space="0" w:color="auto"/>
        <w:left w:val="none" w:sz="0" w:space="0" w:color="auto"/>
        <w:bottom w:val="none" w:sz="0" w:space="0" w:color="auto"/>
        <w:right w:val="none" w:sz="0" w:space="0" w:color="auto"/>
      </w:divBdr>
    </w:div>
    <w:div w:id="862128437">
      <w:bodyDiv w:val="1"/>
      <w:marLeft w:val="0"/>
      <w:marRight w:val="0"/>
      <w:marTop w:val="0"/>
      <w:marBottom w:val="0"/>
      <w:divBdr>
        <w:top w:val="none" w:sz="0" w:space="0" w:color="auto"/>
        <w:left w:val="none" w:sz="0" w:space="0" w:color="auto"/>
        <w:bottom w:val="none" w:sz="0" w:space="0" w:color="auto"/>
        <w:right w:val="none" w:sz="0" w:space="0" w:color="auto"/>
      </w:divBdr>
    </w:div>
    <w:div w:id="934821431">
      <w:bodyDiv w:val="1"/>
      <w:marLeft w:val="0"/>
      <w:marRight w:val="0"/>
      <w:marTop w:val="0"/>
      <w:marBottom w:val="0"/>
      <w:divBdr>
        <w:top w:val="none" w:sz="0" w:space="0" w:color="auto"/>
        <w:left w:val="none" w:sz="0" w:space="0" w:color="auto"/>
        <w:bottom w:val="none" w:sz="0" w:space="0" w:color="auto"/>
        <w:right w:val="none" w:sz="0" w:space="0" w:color="auto"/>
      </w:divBdr>
    </w:div>
    <w:div w:id="947585672">
      <w:bodyDiv w:val="1"/>
      <w:marLeft w:val="0"/>
      <w:marRight w:val="0"/>
      <w:marTop w:val="0"/>
      <w:marBottom w:val="0"/>
      <w:divBdr>
        <w:top w:val="none" w:sz="0" w:space="0" w:color="auto"/>
        <w:left w:val="none" w:sz="0" w:space="0" w:color="auto"/>
        <w:bottom w:val="none" w:sz="0" w:space="0" w:color="auto"/>
        <w:right w:val="none" w:sz="0" w:space="0" w:color="auto"/>
      </w:divBdr>
    </w:div>
    <w:div w:id="996885636">
      <w:bodyDiv w:val="1"/>
      <w:marLeft w:val="0"/>
      <w:marRight w:val="0"/>
      <w:marTop w:val="0"/>
      <w:marBottom w:val="0"/>
      <w:divBdr>
        <w:top w:val="none" w:sz="0" w:space="0" w:color="auto"/>
        <w:left w:val="none" w:sz="0" w:space="0" w:color="auto"/>
        <w:bottom w:val="none" w:sz="0" w:space="0" w:color="auto"/>
        <w:right w:val="none" w:sz="0" w:space="0" w:color="auto"/>
      </w:divBdr>
    </w:div>
    <w:div w:id="1073822222">
      <w:bodyDiv w:val="1"/>
      <w:marLeft w:val="0"/>
      <w:marRight w:val="0"/>
      <w:marTop w:val="0"/>
      <w:marBottom w:val="0"/>
      <w:divBdr>
        <w:top w:val="none" w:sz="0" w:space="0" w:color="auto"/>
        <w:left w:val="none" w:sz="0" w:space="0" w:color="auto"/>
        <w:bottom w:val="none" w:sz="0" w:space="0" w:color="auto"/>
        <w:right w:val="none" w:sz="0" w:space="0" w:color="auto"/>
      </w:divBdr>
    </w:div>
    <w:div w:id="1190140997">
      <w:bodyDiv w:val="1"/>
      <w:marLeft w:val="0"/>
      <w:marRight w:val="0"/>
      <w:marTop w:val="0"/>
      <w:marBottom w:val="0"/>
      <w:divBdr>
        <w:top w:val="none" w:sz="0" w:space="0" w:color="auto"/>
        <w:left w:val="none" w:sz="0" w:space="0" w:color="auto"/>
        <w:bottom w:val="none" w:sz="0" w:space="0" w:color="auto"/>
        <w:right w:val="none" w:sz="0" w:space="0" w:color="auto"/>
      </w:divBdr>
    </w:div>
    <w:div w:id="1190486713">
      <w:bodyDiv w:val="1"/>
      <w:marLeft w:val="0"/>
      <w:marRight w:val="0"/>
      <w:marTop w:val="0"/>
      <w:marBottom w:val="0"/>
      <w:divBdr>
        <w:top w:val="none" w:sz="0" w:space="0" w:color="auto"/>
        <w:left w:val="none" w:sz="0" w:space="0" w:color="auto"/>
        <w:bottom w:val="none" w:sz="0" w:space="0" w:color="auto"/>
        <w:right w:val="none" w:sz="0" w:space="0" w:color="auto"/>
      </w:divBdr>
    </w:div>
    <w:div w:id="1223099182">
      <w:bodyDiv w:val="1"/>
      <w:marLeft w:val="0"/>
      <w:marRight w:val="0"/>
      <w:marTop w:val="0"/>
      <w:marBottom w:val="0"/>
      <w:divBdr>
        <w:top w:val="none" w:sz="0" w:space="0" w:color="auto"/>
        <w:left w:val="none" w:sz="0" w:space="0" w:color="auto"/>
        <w:bottom w:val="none" w:sz="0" w:space="0" w:color="auto"/>
        <w:right w:val="none" w:sz="0" w:space="0" w:color="auto"/>
      </w:divBdr>
    </w:div>
    <w:div w:id="1225482489">
      <w:bodyDiv w:val="1"/>
      <w:marLeft w:val="0"/>
      <w:marRight w:val="0"/>
      <w:marTop w:val="0"/>
      <w:marBottom w:val="0"/>
      <w:divBdr>
        <w:top w:val="none" w:sz="0" w:space="0" w:color="auto"/>
        <w:left w:val="none" w:sz="0" w:space="0" w:color="auto"/>
        <w:bottom w:val="none" w:sz="0" w:space="0" w:color="auto"/>
        <w:right w:val="none" w:sz="0" w:space="0" w:color="auto"/>
      </w:divBdr>
    </w:div>
    <w:div w:id="1226336518">
      <w:bodyDiv w:val="1"/>
      <w:marLeft w:val="0"/>
      <w:marRight w:val="0"/>
      <w:marTop w:val="0"/>
      <w:marBottom w:val="0"/>
      <w:divBdr>
        <w:top w:val="none" w:sz="0" w:space="0" w:color="auto"/>
        <w:left w:val="none" w:sz="0" w:space="0" w:color="auto"/>
        <w:bottom w:val="none" w:sz="0" w:space="0" w:color="auto"/>
        <w:right w:val="none" w:sz="0" w:space="0" w:color="auto"/>
      </w:divBdr>
    </w:div>
    <w:div w:id="1306399251">
      <w:bodyDiv w:val="1"/>
      <w:marLeft w:val="0"/>
      <w:marRight w:val="0"/>
      <w:marTop w:val="0"/>
      <w:marBottom w:val="0"/>
      <w:divBdr>
        <w:top w:val="none" w:sz="0" w:space="0" w:color="auto"/>
        <w:left w:val="none" w:sz="0" w:space="0" w:color="auto"/>
        <w:bottom w:val="none" w:sz="0" w:space="0" w:color="auto"/>
        <w:right w:val="none" w:sz="0" w:space="0" w:color="auto"/>
      </w:divBdr>
    </w:div>
    <w:div w:id="1452288141">
      <w:bodyDiv w:val="1"/>
      <w:marLeft w:val="0"/>
      <w:marRight w:val="0"/>
      <w:marTop w:val="0"/>
      <w:marBottom w:val="0"/>
      <w:divBdr>
        <w:top w:val="none" w:sz="0" w:space="0" w:color="auto"/>
        <w:left w:val="none" w:sz="0" w:space="0" w:color="auto"/>
        <w:bottom w:val="none" w:sz="0" w:space="0" w:color="auto"/>
        <w:right w:val="none" w:sz="0" w:space="0" w:color="auto"/>
      </w:divBdr>
    </w:div>
    <w:div w:id="1463765545">
      <w:bodyDiv w:val="1"/>
      <w:marLeft w:val="0"/>
      <w:marRight w:val="0"/>
      <w:marTop w:val="0"/>
      <w:marBottom w:val="0"/>
      <w:divBdr>
        <w:top w:val="none" w:sz="0" w:space="0" w:color="auto"/>
        <w:left w:val="none" w:sz="0" w:space="0" w:color="auto"/>
        <w:bottom w:val="none" w:sz="0" w:space="0" w:color="auto"/>
        <w:right w:val="none" w:sz="0" w:space="0" w:color="auto"/>
      </w:divBdr>
    </w:div>
    <w:div w:id="1557350226">
      <w:bodyDiv w:val="1"/>
      <w:marLeft w:val="0"/>
      <w:marRight w:val="0"/>
      <w:marTop w:val="0"/>
      <w:marBottom w:val="0"/>
      <w:divBdr>
        <w:top w:val="none" w:sz="0" w:space="0" w:color="auto"/>
        <w:left w:val="none" w:sz="0" w:space="0" w:color="auto"/>
        <w:bottom w:val="none" w:sz="0" w:space="0" w:color="auto"/>
        <w:right w:val="none" w:sz="0" w:space="0" w:color="auto"/>
      </w:divBdr>
    </w:div>
    <w:div w:id="1590624643">
      <w:bodyDiv w:val="1"/>
      <w:marLeft w:val="0"/>
      <w:marRight w:val="0"/>
      <w:marTop w:val="0"/>
      <w:marBottom w:val="0"/>
      <w:divBdr>
        <w:top w:val="none" w:sz="0" w:space="0" w:color="auto"/>
        <w:left w:val="none" w:sz="0" w:space="0" w:color="auto"/>
        <w:bottom w:val="none" w:sz="0" w:space="0" w:color="auto"/>
        <w:right w:val="none" w:sz="0" w:space="0" w:color="auto"/>
      </w:divBdr>
    </w:div>
    <w:div w:id="1823963850">
      <w:bodyDiv w:val="1"/>
      <w:marLeft w:val="0"/>
      <w:marRight w:val="0"/>
      <w:marTop w:val="0"/>
      <w:marBottom w:val="0"/>
      <w:divBdr>
        <w:top w:val="none" w:sz="0" w:space="0" w:color="auto"/>
        <w:left w:val="none" w:sz="0" w:space="0" w:color="auto"/>
        <w:bottom w:val="none" w:sz="0" w:space="0" w:color="auto"/>
        <w:right w:val="none" w:sz="0" w:space="0" w:color="auto"/>
      </w:divBdr>
    </w:div>
    <w:div w:id="1825120142">
      <w:bodyDiv w:val="1"/>
      <w:marLeft w:val="0"/>
      <w:marRight w:val="0"/>
      <w:marTop w:val="0"/>
      <w:marBottom w:val="0"/>
      <w:divBdr>
        <w:top w:val="none" w:sz="0" w:space="0" w:color="auto"/>
        <w:left w:val="none" w:sz="0" w:space="0" w:color="auto"/>
        <w:bottom w:val="none" w:sz="0" w:space="0" w:color="auto"/>
        <w:right w:val="none" w:sz="0" w:space="0" w:color="auto"/>
      </w:divBdr>
    </w:div>
    <w:div w:id="1846239493">
      <w:bodyDiv w:val="1"/>
      <w:marLeft w:val="0"/>
      <w:marRight w:val="0"/>
      <w:marTop w:val="0"/>
      <w:marBottom w:val="0"/>
      <w:divBdr>
        <w:top w:val="none" w:sz="0" w:space="0" w:color="auto"/>
        <w:left w:val="none" w:sz="0" w:space="0" w:color="auto"/>
        <w:bottom w:val="none" w:sz="0" w:space="0" w:color="auto"/>
        <w:right w:val="none" w:sz="0" w:space="0" w:color="auto"/>
      </w:divBdr>
    </w:div>
    <w:div w:id="1927684294">
      <w:bodyDiv w:val="1"/>
      <w:marLeft w:val="0"/>
      <w:marRight w:val="0"/>
      <w:marTop w:val="0"/>
      <w:marBottom w:val="0"/>
      <w:divBdr>
        <w:top w:val="none" w:sz="0" w:space="0" w:color="auto"/>
        <w:left w:val="none" w:sz="0" w:space="0" w:color="auto"/>
        <w:bottom w:val="none" w:sz="0" w:space="0" w:color="auto"/>
        <w:right w:val="none" w:sz="0" w:space="0" w:color="auto"/>
      </w:divBdr>
    </w:div>
    <w:div w:id="2018076450">
      <w:bodyDiv w:val="1"/>
      <w:marLeft w:val="0"/>
      <w:marRight w:val="0"/>
      <w:marTop w:val="0"/>
      <w:marBottom w:val="0"/>
      <w:divBdr>
        <w:top w:val="none" w:sz="0" w:space="0" w:color="auto"/>
        <w:left w:val="none" w:sz="0" w:space="0" w:color="auto"/>
        <w:bottom w:val="none" w:sz="0" w:space="0" w:color="auto"/>
        <w:right w:val="none" w:sz="0" w:space="0" w:color="auto"/>
      </w:divBdr>
    </w:div>
    <w:div w:id="2025815414">
      <w:bodyDiv w:val="1"/>
      <w:marLeft w:val="0"/>
      <w:marRight w:val="0"/>
      <w:marTop w:val="0"/>
      <w:marBottom w:val="0"/>
      <w:divBdr>
        <w:top w:val="none" w:sz="0" w:space="0" w:color="auto"/>
        <w:left w:val="none" w:sz="0" w:space="0" w:color="auto"/>
        <w:bottom w:val="none" w:sz="0" w:space="0" w:color="auto"/>
        <w:right w:val="none" w:sz="0" w:space="0" w:color="auto"/>
      </w:divBdr>
    </w:div>
    <w:div w:id="21406123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yperlink" Target="https://ec.europa.eu/info/sites/info/files/xi6ab_thmpd_0.pdf"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s://ec.europa.eu/info/sites/info/files/recommendation-xi-11a-b-claims-regulation_0.pdf"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ec.europa.eu/info/sites/info/files/xi.22.a_registration_of_plant_protection.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s://ec.europa.eu/info/files/refit-platform-recommendations-health-and-food-safety-xi10a-multiple-use-multiple-source-substances-chlorate_sk" TargetMode="External"/><Relationship Id="rId23" Type="http://schemas.openxmlformats.org/officeDocument/2006/relationships/footer" Target="footer2.xml"/><Relationship Id="rId10" Type="http://schemas.openxmlformats.org/officeDocument/2006/relationships/styles" Target="styles.xml"/><Relationship Id="rId19" Type="http://schemas.openxmlformats.org/officeDocument/2006/relationships/hyperlink" Target="https://ec.europa.eu/info/sites/info/files/opinion_health_food_1a.pdf" TargetMode="Externa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VDL Priorities">
      <a:dk1>
        <a:sysClr val="windowText" lastClr="000000"/>
      </a:dk1>
      <a:lt1>
        <a:sysClr val="window" lastClr="FFFFFF"/>
      </a:lt1>
      <a:dk2>
        <a:srgbClr val="0E4194"/>
      </a:dk2>
      <a:lt2>
        <a:srgbClr val="EEECE1"/>
      </a:lt2>
      <a:accent1>
        <a:srgbClr val="9ACA3C"/>
      </a:accent1>
      <a:accent2>
        <a:srgbClr val="18BAA8"/>
      </a:accent2>
      <a:accent3>
        <a:srgbClr val="F68A42"/>
      </a:accent3>
      <a:accent4>
        <a:srgbClr val="585EAA"/>
      </a:accent4>
      <a:accent5>
        <a:srgbClr val="00ADDC"/>
      </a:accent5>
      <a:accent6>
        <a:srgbClr val="DA5C57"/>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EurolookProperties>
  <ProductCustomizationId/>
  <Created>
    <Version>10.0.37611.0</Version>
    <Date>2018-10-23T14:12:56</Date>
    <Language>EN</Language>
  </Created>
  <Edited>
    <Version>10.0.40769.0</Version>
    <Date>2020-01-31T11:47:02</Date>
  </Edited>
  <DocumentModel>
    <Id>6cbda13a-4db2-46c6-876a-ef72275827ef</Id>
    <Name>Report</Name>
  </DocumentModel>
  <DocumentDate>2018-10-23T14:12:56</DocumentDate>
  <DocumentVersion>0.1</DocumentVersion>
  <CompatibilityMode>Eurolook10</CompatibilityMode>
  <Address/>
</Eurolook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2C3A5D77007E39498C0FBBE1139AD9BC" ma:contentTypeVersion="0" ma:contentTypeDescription="Create a new document in this library." ma:contentTypeScope="" ma:versionID="1c388df75112444336eab93ec6d1fbcb">
  <xsd:schema xmlns:xsd="http://www.w3.org/2001/XMLSchema" xmlns:xs="http://www.w3.org/2001/XMLSchema" xmlns:p="http://schemas.microsoft.com/office/2006/metadata/properties" xmlns:ns2="http://schemas.microsoft.com/sharepoint/v3/fields" xmlns:ns3="fae640a3-2752-44bc-9773-26f5d41ba0dd" targetNamespace="http://schemas.microsoft.com/office/2006/metadata/properties" ma:root="true" ma:fieldsID="4735b83fa646b64efc7f5c450d630223" ns2:_="" ns3:_="">
    <xsd:import namespace="http://schemas.microsoft.com/sharepoint/v3/fields"/>
    <xsd:import namespace="fae640a3-2752-44bc-9773-26f5d41ba0dd"/>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fae640a3-2752-44bc-9773-26f5d41ba0dd"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C_Collab_DocumentLanguage xmlns="fae640a3-2752-44bc-9773-26f5d41ba0dd">EN</EC_Collab_DocumentLanguage>
    <_Status xmlns="http://schemas.microsoft.com/sharepoint/v3/fields">Not Started</_Status>
    <EC_Collab_Reference xmlns="fae640a3-2752-44bc-9773-26f5d41ba0dd" xsi:nil="true"/>
    <EC_Collab_Status xmlns="fae640a3-2752-44bc-9773-26f5d41ba0dd">Published</EC_Collab_Statu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Author Role="Creator">
  <Id>88d91e40-5130-498e-9822-300bf14eb270</Id>
  <Names>
    <Latin>
      <FirstName>Christine</FirstName>
      <LastName>Therace</LastName>
    </Latin>
    <Greek>
      <FirstName/>
      <LastName/>
    </Greek>
    <Cyrillic>
      <FirstName/>
      <LastName/>
    </Cyrillic>
    <DocumentScript>
      <FirstName>Christine</FirstName>
      <LastName>Therace</LastName>
      <FullName>Christine Therace</FullName>
    </DocumentScript>
  </Names>
  <Initials>ct</Initials>
  <Gender>f</Gender>
  <Email>Christine.THERACE@ec.europa.eu</Email>
  <Service>SG.B.4</Service>
  <Function ShowInSignature="true"/>
  <WebAddress/>
  <InheritedWebAddress>WebAddress</InheritedWebAddress>
  <OrgaEntity1>
    <Id>dfeba4c5-4fee-4c38-9a3a-bbd8394ad370</Id>
    <LogicalLevel>1</LogicalLevel>
    <Name>SG</Name>
    <HeadLine1>SECRETARIAT-GENERAL</HeadLine1>
    <HeadLine2/>
    <PrimaryAddressId>f03b5801-04c9-4931-aa17-c6d6c70bc579</PrimaryAddressId>
    <SecondaryAddressId/>
    <WebAddress>WebAddress</WebAddress>
    <InheritedWebAddress>WebAddress</InheritedWebAddress>
    <ShowInHeader>true</ShowInHeader>
  </OrgaEntity1>
  <OrgaEntity2>
    <Id>5bfaee95-3489-4c92-8292-c43019406cf5</Id>
    <LogicalLevel>2</LogicalLevel>
    <Name>SG.A</Name>
    <HeadLine1>Directorate A -  Strategy, Better Regulation &amp; Corporate Governance</HeadLine1>
    <HeadLine2/>
    <PrimaryAddressId>f03b5801-04c9-4931-aa17-c6d6c70bc579</PrimaryAddressId>
    <SecondaryAddressId/>
    <WebAddress/>
    <InheritedWebAddress>WebAddress</InheritedWebAddress>
    <ShowInHeader>true</ShowInHeader>
  </OrgaEntity2>
  <OrgaEntity3>
    <Id>e54bba68-9594-477c-a130-7fe31e382331</Id>
    <LogicalLevel>3</LogicalLevel>
    <Name>SG.A.1</Name>
    <HeadLine1>SG.A.1-Policy Priorities &amp; Work Programme</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Brussels,</Location>
      <Footer>Commission européenne/Europese Commissie, 1049 Bruxelles/Brussel, BELGIQUE/BELGIË — Tel. +32 22991111</Footer>
    </Address>
    <Address>
      <Id>1264fb81-f6bb-475e-9f9d-a937d3be6ee2</Id>
      <Name>Luxembourg</Name>
      <PhoneNumberPrefix>+352 4301</PhoneNumberPrefix>
      <Location>Luxembourg,</Location>
      <Footer>Commission européenne, 2920 Luxembourg, LUXEMBOURG — Tel. +352 43011</Footer>
    </Address>
  </Addresses>
  <JobAssignmentId/>
  <MainWorkplace IsMain="true">
    <AddressId>f03b5801-04c9-4931-aa17-c6d6c70bc579</AddressId>
    <Fax/>
    <Phone>+32 229 84108</Phone>
    <Office>BERL 05/078</Office>
  </MainWorkplace>
  <Workplaces>
    <Workplace IsMain="false">
      <AddressId>1264fb81-f6bb-475e-9f9d-a937d3be6ee2</AddressId>
      <Fax/>
      <Phone/>
      <Office/>
    </Workplace>
    <Workplace IsMain="true">
      <AddressId>f03b5801-04c9-4931-aa17-c6d6c70bc579</AddressId>
      <Fax/>
      <Phone>+32 229 84108</Phone>
      <Office>BERL 05/078</Office>
    </Workplace>
  </Workplaces>
</Author>
</file>

<file path=customXml/item6.xml><?xml version="1.0" encoding="utf-8"?>
<Texts>
  <SecurityPersonalData>Personal data</SecurityPersonalData>
  <SecurityLimitedDG>Limited</SecurityLimitedDG>
  <SecurityPharma>Pharma investigations</SecurityPharma>
  <SecurityMediationServiceMatter>Mediation Service matter</SecurityMediationServiceMatter>
  <SecurityDeadline>Deadline</SecurityDeadline>
  <SecurityEconomyAndFinance>Economy and finance – special handling</SecurityEconomyAndFinance>
  <FooterFax>Fax</FooterFax>
  <FooterOffice>Office:</FooterOffice>
  <SecurityOlafInvestigations>OLAF investigations</SecurityOlafInvestigations>
  <TechHistory>Document History</TechHistory>
  <SecurityInternal>Commission internal</SecurityInternal>
  <SecurityOlafSpecialHandling>OLAF investigations – special handling</SecurityOlafSpecialHandling>
  <SecurityPersonal>Personal</SecurityPersonal>
  <CourtProceduralDocuments>Court procedural documents</CourtProceduralDocuments>
  <SecurityCompOperationsHandling>Handling instructions are provided by the DG COMP (comp-lso@ec.europa.eu)</SecurityCompOperationsHandling>
  <OrgaRoot>EUROPEAN COMMISSION</OrgaRoot>
  <TechHistoryComment>Comment</TechHistoryComment>
  <Contact>Contact:</Contact>
  <SecurityInvestigationsDisciplinary>Investigations and disciplinary matters</SecurityInvestigationsDisciplinary>
  <SecurityCompOperations>COMP operations</SecurityCompOperations>
  <SecurityEuSatellite>EU satellite navigation matters</SecurityEuSatellite>
  <SecurityReleasable>RELEASABLE TO [...]</SecurityReleasable>
  <AddresseeTo>To:</AddresseeTo>
  <SecurityEtsLimited>ETS limited</SecurityEtsLimited>
  <SecurityStaffMatter>Staff matter</SecurityStaffMatter>
  <SecurityOpinionLegalService>Opinion of the Legal Service</SecurityOpinionLegalService>
  <SecurityEtsSensitive>ETS sensitive</SecurityEtsSensitive>
  <SecurityEtsCritical>ETS critical</SecurityEtsCritical>
  <SecurityCompSpecial>COMP - special handling</SecurityCompSpecial>
  <SecurityOpinionOfTheLegalService>This document contains legal advice and is only for the use of the services to which it is addressed. It may not be transmitted outside the European Commission and its content may not be reproduced in documents to be sent outside the European Commission.	 It may be protected pursuant to Article 4 of Regulation (EC) No 1049/2001 of the European Parliament and of the Council and may only be disclosed under the procedures provided for in Commission Decision 2001/937/EC, ECSC, Euratom.</SecurityOpinionOfTheLegalService>
  <SecurityPharmaSpecial>Pharma investigations – special handling</SecurityPharmaSpecial>
  <TOCHeading>Table of Contents</TOCHeading>
  <TechHistoryDate>Date</TechHistoryDate>
  <AddressFooterBrussels>Commission européenne/Europese Commissie, 1049 Bruxelles/Brussel, BELGIQUE/BELGIË — Tel. +32 22991111</AddressFooterBrussels>
  <SecurityIasOperations>IAS operations</SecurityIasOperations>
  <TechHistoryCreatedBy>Document created by</TechHistoryCreatedBy>
  <FooterPhone>Tel. direct line</FooterPhone>
  <SecuritySecurityMatter>Security matter</SecuritySecurityMatter>
  <SecurityPersonalDataHandling>Shall only be communicated on a need to know basis pursuant to Regulation (EC) No 45/2001. Where e-mail is used, this must be encrypted using SECEM.</SecurityPersonalDataHandling>
  <SecurityLimitedServiceUnitGroup>Limited</SecurityLimitedServiceUnitGroup>
  <TechHistoryVersion>Version</TechHistoryVersion>
  <SecurityMedicalSecret>Medical secret</SecurityMedicalSecret>
  <Contacts>Contacts:</Contacts>
  <SecurityEmbargo>Embargo until</SecurityEmbargo>
  <SecurityLimited>Limited</SecurityLimited>
  <DateFormatShort>dd/MM/yyyy</DateFormatShort>
  <DateFormatLong>d MMMM yyyy</DateFormatLong>
</Texts>
</file>

<file path=customXml/item7.xml><?xml version="1.0" encoding="utf-8"?>
<f:fields xmlns:f="http://schemas.fabasoft.com/folio/2007/fields">
  <f:record ref="">
    <f:field ref="objname" par="" edit="true" text="1_SK_annexe_autre_acte_part1_v2"/>
    <f:field ref="objsubject" par="" edit="true" text=""/>
    <f:field ref="objcreatedby" par="" text="Administrator, System"/>
    <f:field ref="objcreatedat" par="" text="3.2.2020 12:00:06"/>
    <f:field ref="objchangedby" par="" text="Administrator, System"/>
    <f:field ref="objmodifiedat" par="" text="3.2.2020 12:00:07"/>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8.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D3EA5527-7367-4268-9D83-5125C98D0ED2}">
  <ds:schemaRefs/>
</ds:datastoreItem>
</file>

<file path=customXml/itemProps2.xml><?xml version="1.0" encoding="utf-8"?>
<ds:datastoreItem xmlns:ds="http://schemas.openxmlformats.org/officeDocument/2006/customXml" ds:itemID="{4E254431-4F99-45A3-A63C-553A2CB733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fae640a3-2752-44bc-9773-26f5d41ba0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F2D397-A922-43DB-B264-B983795768C6}">
  <ds:schemaRefs>
    <ds:schemaRef ds:uri="http://www.w3.org/XML/1998/namespace"/>
    <ds:schemaRef ds:uri="http://purl.org/dc/terms/"/>
    <ds:schemaRef ds:uri="http://schemas.microsoft.com/office/2006/documentManagement/types"/>
    <ds:schemaRef ds:uri="fae640a3-2752-44bc-9773-26f5d41ba0dd"/>
    <ds:schemaRef ds:uri="http://schemas.microsoft.com/office/infopath/2007/PartnerControls"/>
    <ds:schemaRef ds:uri="http://schemas.openxmlformats.org/package/2006/metadata/core-properties"/>
    <ds:schemaRef ds:uri="http://purl.org/dc/elements/1.1/"/>
    <ds:schemaRef ds:uri="http://schemas.microsoft.com/sharepoint/v3/field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D7DD7B5D-2A29-4049-B6B0-CF03EF7473F2}">
  <ds:schemaRefs>
    <ds:schemaRef ds:uri="http://schemas.microsoft.com/sharepoint/v3/contenttype/forms"/>
  </ds:schemaRefs>
</ds:datastoreItem>
</file>

<file path=customXml/itemProps5.xml><?xml version="1.0" encoding="utf-8"?>
<ds:datastoreItem xmlns:ds="http://schemas.openxmlformats.org/officeDocument/2006/customXml" ds:itemID="{EE044946-5330-43F7-8D16-AA78684F2938}">
  <ds:schemaRefs/>
</ds:datastoreItem>
</file>

<file path=customXml/itemProps6.xml><?xml version="1.0" encoding="utf-8"?>
<ds:datastoreItem xmlns:ds="http://schemas.openxmlformats.org/officeDocument/2006/customXml" ds:itemID="{4EF90DE6-88B6-4264-9629-4D8DFDFE87D2}">
  <ds:schemaRefs/>
</ds:datastoreItem>
</file>

<file path=customXml/itemProps7.xml><?xml version="1.0" encoding="utf-8"?>
<ds:datastoreItem xmlns:ds="http://schemas.openxmlformats.org/officeDocument/2006/customXml" ds:itemID="{4E8A9591-F074-446B-902F-511FF79C122F}">
  <ds:schemaRefs>
    <ds:schemaRef ds:uri="http://schemas.fabasoft.com/folio/2007/fields"/>
  </ds:schemaRefs>
</ds:datastoreItem>
</file>

<file path=customXml/itemProps8.xml><?xml version="1.0" encoding="utf-8"?>
<ds:datastoreItem xmlns:ds="http://schemas.openxmlformats.org/officeDocument/2006/customXml" ds:itemID="{898C67EB-09FF-4706-AC46-BC34F5DCC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32542</Words>
  <Characters>185493</Characters>
  <Application>Microsoft Office Word</Application>
  <DocSecurity>0</DocSecurity>
  <PresentationFormat>Microsoft Word 14.0</PresentationFormat>
  <Lines>1545</Lines>
  <Paragraphs>435</Paragraphs>
  <ScaleCrop>true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217600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THERACE Christine (SG)</dc:creator>
  <cp:keywords/>
  <dc:description/>
  <cp:lastModifiedBy>Orszag Daniel /OVZI/MZV</cp:lastModifiedBy>
  <cp:revision>2</cp:revision>
  <cp:lastPrinted>2020-02-21T12:07:00Z</cp:lastPrinted>
  <dcterms:created xsi:type="dcterms:W3CDTF">2020-03-06T10:25:00Z</dcterms:created>
  <dcterms:modified xsi:type="dcterms:W3CDTF">2020-03-06T10:25:00Z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First annex">
    <vt:lpwstr>1</vt:lpwstr>
  </property>
  <property fmtid="{D5CDD505-2E9C-101B-9397-08002B2CF9AE}" pid="4" name="Last annex">
    <vt:lpwstr>5</vt:lpwstr>
  </property>
  <property fmtid="{D5CDD505-2E9C-101B-9397-08002B2CF9AE}" pid="5" name="Unique annex">
    <vt:lpwstr>0</vt:lpwstr>
  </property>
  <property fmtid="{D5CDD505-2E9C-101B-9397-08002B2CF9AE}" pid="6" name="Part">
    <vt:lpwstr>&lt;UNUSED&gt;</vt:lpwstr>
  </property>
  <property fmtid="{D5CDD505-2E9C-101B-9397-08002B2CF9AE}" pid="7" name="Total parts">
    <vt:lpwstr>&lt;UNUSED&gt;</vt:lpwstr>
  </property>
  <property fmtid="{D5CDD505-2E9C-101B-9397-08002B2CF9AE}" pid="8" name="DocStatus">
    <vt:lpwstr>Green</vt:lpwstr>
  </property>
  <property fmtid="{D5CDD505-2E9C-101B-9397-08002B2CF9AE}" pid="9" name="Created using">
    <vt:lpwstr>LW 6.0.1, Build 20180503</vt:lpwstr>
  </property>
  <property fmtid="{D5CDD505-2E9C-101B-9397-08002B2CF9AE}" pid="10" name="Last edited using">
    <vt:lpwstr>LW 7.0, Build 20190717</vt:lpwstr>
  </property>
  <property fmtid="{D5CDD505-2E9C-101B-9397-08002B2CF9AE}" pid="11" name="CPTemplateID">
    <vt:lpwstr>CP-039</vt:lpwstr>
  </property>
  <property fmtid="{D5CDD505-2E9C-101B-9397-08002B2CF9AE}" pid="12" name="_LW_INVALIDATED__LW_INVALIDATED__LW_INVALIDATED__LW_INVALIDATED__LW_INVALIDATED__LW_INVALIDATED__LW_INVALIDATED__LW_INVALIDATED__LW_INVALIDATED_EurolookVersion">
    <vt:lpwstr>10.0</vt:lpwstr>
  </property>
  <property fmtid="{D5CDD505-2E9C-101B-9397-08002B2CF9AE}" pid="13" name="_LW_INVALIDATED__LW_INVALIDATED__LW_INVALIDATED__LW_INVALIDATED__LW_INVALIDATED__LW_INVALIDATED__LW_INVALIDATED__LW_INVALIDATED__LW_INVALIDATED_ELDocType">
    <vt:lpwstr>rep.dot</vt:lpwstr>
  </property>
  <property fmtid="{D5CDD505-2E9C-101B-9397-08002B2CF9AE}" pid="14" name="_LW_INVALIDATED__LW_INVALIDATED__LW_INVALIDATED__LW_INVALIDATED__LW_INVALIDATED__LW_INVALIDATED__LW_INVALIDATED_ContentTypeId">
    <vt:lpwstr>0x010100258AA79CEB83498886A3A08681123250002C3A5D77007E39498C0FBBE1139AD9BC</vt:lpwstr>
  </property>
  <property fmtid="{D5CDD505-2E9C-101B-9397-08002B2CF9AE}" pid="15" name="_LW_INVALIDATED__LW_INVALIDATED__LW_INVALIDATED__LW_INVALIDATED_ContentTypeId">
    <vt:lpwstr>0x010100258AA79CEB83498886A3A08681123250002C3A5D77007E39498C0FBBE1139AD9BC</vt:lpwstr>
  </property>
  <property fmtid="{D5CDD505-2E9C-101B-9397-08002B2CF9AE}" pid="16" name="FSC#SKEDITIONSLOVLEX@103.510:spravaucastverej">
    <vt:lpwstr/>
  </property>
  <property fmtid="{D5CDD505-2E9C-101B-9397-08002B2CF9AE}" pid="17" name="FSC#SKEDITIONSLOVLEX@103.510:typpredpis">
    <vt:lpwstr/>
  </property>
  <property fmtid="{D5CDD505-2E9C-101B-9397-08002B2CF9AE}" pid="18" name="FSC#SKEDITIONSLOVLEX@103.510:aktualnyrok">
    <vt:lpwstr>2020</vt:lpwstr>
  </property>
  <property fmtid="{D5CDD505-2E9C-101B-9397-08002B2CF9AE}" pid="19" name="FSC#SKEDITIONSLOVLEX@103.510:cisloparlamenttlac">
    <vt:lpwstr/>
  </property>
  <property fmtid="{D5CDD505-2E9C-101B-9397-08002B2CF9AE}" pid="20" name="FSC#SKEDITIONSLOVLEX@103.510:stavpredpis">
    <vt:lpwstr/>
  </property>
  <property fmtid="{D5CDD505-2E9C-101B-9397-08002B2CF9AE}" pid="21" name="FSC#SKEDITIONSLOVLEX@103.510:povodpredpis">
    <vt:lpwstr/>
  </property>
  <property fmtid="{D5CDD505-2E9C-101B-9397-08002B2CF9AE}" pid="22" name="FSC#SKEDITIONSLOVLEX@103.510:legoblast">
    <vt:lpwstr/>
  </property>
  <property fmtid="{D5CDD505-2E9C-101B-9397-08002B2CF9AE}" pid="23" name="FSC#SKEDITIONSLOVLEX@103.510:uzemplat">
    <vt:lpwstr/>
  </property>
  <property fmtid="{D5CDD505-2E9C-101B-9397-08002B2CF9AE}" pid="24" name="FSC#SKEDITIONSLOVLEX@103.510:vztahypredpis">
    <vt:lpwstr/>
  </property>
  <property fmtid="{D5CDD505-2E9C-101B-9397-08002B2CF9AE}" pid="25" name="FSC#SKEDITIONSLOVLEX@103.510:predkladatel">
    <vt:lpwstr/>
  </property>
  <property fmtid="{D5CDD505-2E9C-101B-9397-08002B2CF9AE}" pid="26" name="FSC#SKEDITIONSLOVLEX@103.510:zodppredkladatel">
    <vt:lpwstr/>
  </property>
  <property fmtid="{D5CDD505-2E9C-101B-9397-08002B2CF9AE}" pid="27" name="FSC#SKEDITIONSLOVLEX@103.510:dalsipredkladatel">
    <vt:lpwstr/>
  </property>
  <property fmtid="{D5CDD505-2E9C-101B-9397-08002B2CF9AE}" pid="28" name="FSC#SKEDITIONSLOVLEX@103.510:nazovpredpis">
    <vt:lpwstr/>
  </property>
  <property fmtid="{D5CDD505-2E9C-101B-9397-08002B2CF9AE}" pid="29" name="FSC#SKEDITIONSLOVLEX@103.510:nazovpredpis1">
    <vt:lpwstr/>
  </property>
  <property fmtid="{D5CDD505-2E9C-101B-9397-08002B2CF9AE}" pid="30" name="FSC#SKEDITIONSLOVLEX@103.510:nazovpredpis2">
    <vt:lpwstr/>
  </property>
  <property fmtid="{D5CDD505-2E9C-101B-9397-08002B2CF9AE}" pid="31" name="FSC#SKEDITIONSLOVLEX@103.510:nazovpredpis3">
    <vt:lpwstr/>
  </property>
  <property fmtid="{D5CDD505-2E9C-101B-9397-08002B2CF9AE}" pid="32" name="FSC#SKEDITIONSLOVLEX@103.510:cislopredpis">
    <vt:lpwstr/>
  </property>
  <property fmtid="{D5CDD505-2E9C-101B-9397-08002B2CF9AE}" pid="33" name="FSC#SKEDITIONSLOVLEX@103.510:zodpinstitucia">
    <vt:lpwstr/>
  </property>
  <property fmtid="{D5CDD505-2E9C-101B-9397-08002B2CF9AE}" pid="34" name="FSC#SKEDITIONSLOVLEX@103.510:pripomienkovatelia">
    <vt:lpwstr/>
  </property>
  <property fmtid="{D5CDD505-2E9C-101B-9397-08002B2CF9AE}" pid="35" name="FSC#SKEDITIONSLOVLEX@103.510:autorpredpis">
    <vt:lpwstr/>
  </property>
  <property fmtid="{D5CDD505-2E9C-101B-9397-08002B2CF9AE}" pid="36" name="FSC#SKEDITIONSLOVLEX@103.510:podnetpredpis">
    <vt:lpwstr/>
  </property>
  <property fmtid="{D5CDD505-2E9C-101B-9397-08002B2CF9AE}" pid="37" name="FSC#SKEDITIONSLOVLEX@103.510:plnynazovpredpis">
    <vt:lpwstr/>
  </property>
  <property fmtid="{D5CDD505-2E9C-101B-9397-08002B2CF9AE}" pid="38" name="FSC#SKEDITIONSLOVLEX@103.510:plnynazovpredpis1">
    <vt:lpwstr/>
  </property>
  <property fmtid="{D5CDD505-2E9C-101B-9397-08002B2CF9AE}" pid="39" name="FSC#SKEDITIONSLOVLEX@103.510:plnynazovpredpis2">
    <vt:lpwstr/>
  </property>
  <property fmtid="{D5CDD505-2E9C-101B-9397-08002B2CF9AE}" pid="40" name="FSC#SKEDITIONSLOVLEX@103.510:plnynazovpredpis3">
    <vt:lpwstr/>
  </property>
  <property fmtid="{D5CDD505-2E9C-101B-9397-08002B2CF9AE}" pid="41" name="FSC#SKEDITIONSLOVLEX@103.510:rezortcislopredpis">
    <vt:lpwstr/>
  </property>
  <property fmtid="{D5CDD505-2E9C-101B-9397-08002B2CF9AE}" pid="42" name="FSC#SKEDITIONSLOVLEX@103.510:citaciapredpis">
    <vt:lpwstr/>
  </property>
  <property fmtid="{D5CDD505-2E9C-101B-9397-08002B2CF9AE}" pid="43" name="FSC#SKEDITIONSLOVLEX@103.510:spiscislouv">
    <vt:lpwstr/>
  </property>
  <property fmtid="{D5CDD505-2E9C-101B-9397-08002B2CF9AE}" pid="44" name="FSC#SKEDITIONSLOVLEX@103.510:datumschvalpredpis">
    <vt:lpwstr/>
  </property>
  <property fmtid="{D5CDD505-2E9C-101B-9397-08002B2CF9AE}" pid="45" name="FSC#SKEDITIONSLOVLEX@103.510:platneod">
    <vt:lpwstr/>
  </property>
  <property fmtid="{D5CDD505-2E9C-101B-9397-08002B2CF9AE}" pid="46" name="FSC#SKEDITIONSLOVLEX@103.510:platnedo">
    <vt:lpwstr/>
  </property>
  <property fmtid="{D5CDD505-2E9C-101B-9397-08002B2CF9AE}" pid="47" name="FSC#SKEDITIONSLOVLEX@103.510:ucinnostod">
    <vt:lpwstr/>
  </property>
  <property fmtid="{D5CDD505-2E9C-101B-9397-08002B2CF9AE}" pid="48" name="FSC#SKEDITIONSLOVLEX@103.510:ucinnostdo">
    <vt:lpwstr/>
  </property>
  <property fmtid="{D5CDD505-2E9C-101B-9397-08002B2CF9AE}" pid="49" name="FSC#SKEDITIONSLOVLEX@103.510:datumplatnosti">
    <vt:lpwstr/>
  </property>
  <property fmtid="{D5CDD505-2E9C-101B-9397-08002B2CF9AE}" pid="50" name="FSC#SKEDITIONSLOVLEX@103.510:cislolp">
    <vt:lpwstr/>
  </property>
  <property fmtid="{D5CDD505-2E9C-101B-9397-08002B2CF9AE}" pid="51" name="FSC#SKEDITIONSLOVLEX@103.510:typsprievdok">
    <vt:lpwstr/>
  </property>
  <property fmtid="{D5CDD505-2E9C-101B-9397-08002B2CF9AE}" pid="52" name="FSC#SKEDITIONSLOVLEX@103.510:cislopartlac">
    <vt:lpwstr/>
  </property>
  <property fmtid="{D5CDD505-2E9C-101B-9397-08002B2CF9AE}" pid="53" name="FSC#SKEDITIONSLOVLEX@103.510:AttrStrListDocPropUcelPredmetZmluvy">
    <vt:lpwstr/>
  </property>
  <property fmtid="{D5CDD505-2E9C-101B-9397-08002B2CF9AE}" pid="54" name="FSC#SKEDITIONSLOVLEX@103.510:AttrStrListDocPropUpravaPravFOPRO">
    <vt:lpwstr/>
  </property>
  <property fmtid="{D5CDD505-2E9C-101B-9397-08002B2CF9AE}" pid="55" name="FSC#SKEDITIONSLOVLEX@103.510:AttrStrListDocPropUpravaPredmetuZmluvy">
    <vt:lpwstr/>
  </property>
  <property fmtid="{D5CDD505-2E9C-101B-9397-08002B2CF9AE}" pid="56" name="FSC#SKEDITIONSLOVLEX@103.510:AttrStrListDocPropKategoriaZmluvy74">
    <vt:lpwstr/>
  </property>
  <property fmtid="{D5CDD505-2E9C-101B-9397-08002B2CF9AE}" pid="57" name="FSC#SKEDITIONSLOVLEX@103.510:AttrStrListDocPropKategoriaZmluvy75">
    <vt:lpwstr/>
  </property>
  <property fmtid="{D5CDD505-2E9C-101B-9397-08002B2CF9AE}" pid="58" name="FSC#SKEDITIONSLOVLEX@103.510:AttrStrListDocPropDopadyPrijatiaZmluvy">
    <vt:lpwstr/>
  </property>
  <property fmtid="{D5CDD505-2E9C-101B-9397-08002B2CF9AE}" pid="59" name="FSC#SKEDITIONSLOVLEX@103.510:AttrStrListDocPropProblematikaPPa">
    <vt:lpwstr/>
  </property>
  <property fmtid="{D5CDD505-2E9C-101B-9397-08002B2CF9AE}" pid="60" name="FSC#SKEDITIONSLOVLEX@103.510:AttrStrListDocPropPrimarnePravoEU">
    <vt:lpwstr/>
  </property>
  <property fmtid="{D5CDD505-2E9C-101B-9397-08002B2CF9AE}" pid="61" name="FSC#SKEDITIONSLOVLEX@103.510:AttrStrListDocPropSekundarneLegPravoPO">
    <vt:lpwstr/>
  </property>
  <property fmtid="{D5CDD505-2E9C-101B-9397-08002B2CF9AE}" pid="62" name="FSC#SKEDITIONSLOVLEX@103.510:AttrStrListDocPropSekundarneNelegPravoPO">
    <vt:lpwstr/>
  </property>
  <property fmtid="{D5CDD505-2E9C-101B-9397-08002B2CF9AE}" pid="63" name="FSC#SKEDITIONSLOVLEX@103.510:AttrStrListDocPropSekundarneLegPravoDO">
    <vt:lpwstr/>
  </property>
  <property fmtid="{D5CDD505-2E9C-101B-9397-08002B2CF9AE}" pid="64" name="FSC#SKEDITIONSLOVLEX@103.510:AttrStrListDocPropProblematikaPPb">
    <vt:lpwstr/>
  </property>
  <property fmtid="{D5CDD505-2E9C-101B-9397-08002B2CF9AE}" pid="65" name="FSC#SKEDITIONSLOVLEX@103.510:AttrStrListDocPropNazovPredpisuEU">
    <vt:lpwstr/>
  </property>
  <property fmtid="{D5CDD505-2E9C-101B-9397-08002B2CF9AE}" pid="66" name="FSC#SKEDITIONSLOVLEX@103.510:AttrStrListDocPropLehotaPrebratieSmernice">
    <vt:lpwstr/>
  </property>
  <property fmtid="{D5CDD505-2E9C-101B-9397-08002B2CF9AE}" pid="67" name="FSC#SKEDITIONSLOVLEX@103.510:AttrStrListDocPropLehotaNaPredlozenie">
    <vt:lpwstr/>
  </property>
  <property fmtid="{D5CDD505-2E9C-101B-9397-08002B2CF9AE}" pid="68" name="FSC#SKEDITIONSLOVLEX@103.510:AttrStrListDocPropInfoZaciatokKonania">
    <vt:lpwstr/>
  </property>
  <property fmtid="{D5CDD505-2E9C-101B-9397-08002B2CF9AE}" pid="69" name="FSC#SKEDITIONSLOVLEX@103.510:AttrStrListDocPropInfoUzPreberanePP">
    <vt:lpwstr/>
  </property>
  <property fmtid="{D5CDD505-2E9C-101B-9397-08002B2CF9AE}" pid="70" name="FSC#SKEDITIONSLOVLEX@103.510:AttrStrListDocPropStupenZlucitelnostiPP">
    <vt:lpwstr/>
  </property>
  <property fmtid="{D5CDD505-2E9C-101B-9397-08002B2CF9AE}" pid="71" name="FSC#SKEDITIONSLOVLEX@103.510:AttrStrListDocPropGestorSpolupRezorty">
    <vt:lpwstr/>
  </property>
  <property fmtid="{D5CDD505-2E9C-101B-9397-08002B2CF9AE}" pid="72" name="FSC#SKEDITIONSLOVLEX@103.510:AttrDateDocPropZaciatokPKK">
    <vt:lpwstr/>
  </property>
  <property fmtid="{D5CDD505-2E9C-101B-9397-08002B2CF9AE}" pid="73" name="FSC#SKEDITIONSLOVLEX@103.510:AttrDateDocPropUkonceniePKK">
    <vt:lpwstr/>
  </property>
  <property fmtid="{D5CDD505-2E9C-101B-9397-08002B2CF9AE}" pid="74" name="FSC#SKEDITIONSLOVLEX@103.510:AttrStrDocPropVplyvRozpocetVS">
    <vt:lpwstr/>
  </property>
  <property fmtid="{D5CDD505-2E9C-101B-9397-08002B2CF9AE}" pid="75" name="FSC#SKEDITIONSLOVLEX@103.510:AttrStrDocPropVplyvPodnikatelskeProstr">
    <vt:lpwstr/>
  </property>
  <property fmtid="{D5CDD505-2E9C-101B-9397-08002B2CF9AE}" pid="76" name="FSC#SKEDITIONSLOVLEX@103.510:AttrStrDocPropVplyvSocialny">
    <vt:lpwstr/>
  </property>
  <property fmtid="{D5CDD505-2E9C-101B-9397-08002B2CF9AE}" pid="77" name="FSC#SKEDITIONSLOVLEX@103.510:AttrStrDocPropVplyvNaZivotProstr">
    <vt:lpwstr/>
  </property>
  <property fmtid="{D5CDD505-2E9C-101B-9397-08002B2CF9AE}" pid="78" name="FSC#SKEDITIONSLOVLEX@103.510:AttrStrDocPropVplyvNaInformatizaciu">
    <vt:lpwstr/>
  </property>
  <property fmtid="{D5CDD505-2E9C-101B-9397-08002B2CF9AE}" pid="79" name="FSC#SKEDITIONSLOVLEX@103.510:AttrStrListDocPropPoznamkaVplyv">
    <vt:lpwstr/>
  </property>
  <property fmtid="{D5CDD505-2E9C-101B-9397-08002B2CF9AE}" pid="80" name="FSC#SKEDITIONSLOVLEX@103.510:AttrStrListDocPropAltRiesenia">
    <vt:lpwstr/>
  </property>
  <property fmtid="{D5CDD505-2E9C-101B-9397-08002B2CF9AE}" pid="81" name="FSC#SKEDITIONSLOVLEX@103.510:AttrStrListDocPropStanoviskoGest">
    <vt:lpwstr/>
  </property>
  <property fmtid="{D5CDD505-2E9C-101B-9397-08002B2CF9AE}" pid="82" name="FSC#SKEDITIONSLOVLEX@103.510:AttrStrListDocPropTextKomunike">
    <vt:lpwstr/>
  </property>
  <property fmtid="{D5CDD505-2E9C-101B-9397-08002B2CF9AE}" pid="83" name="FSC#SKEDITIONSLOVLEX@103.510:AttrStrListDocPropUznesenieCastA">
    <vt:lpwstr/>
  </property>
  <property fmtid="{D5CDD505-2E9C-101B-9397-08002B2CF9AE}" pid="84" name="FSC#SKEDITIONSLOVLEX@103.510:AttrStrListDocPropUznesenieZodpovednyA1">
    <vt:lpwstr/>
  </property>
  <property fmtid="{D5CDD505-2E9C-101B-9397-08002B2CF9AE}" pid="85" name="FSC#SKEDITIONSLOVLEX@103.510:AttrStrListDocPropUznesenieTextA1">
    <vt:lpwstr/>
  </property>
  <property fmtid="{D5CDD505-2E9C-101B-9397-08002B2CF9AE}" pid="86" name="FSC#SKEDITIONSLOVLEX@103.510:AttrStrListDocPropUznesenieTerminA1">
    <vt:lpwstr/>
  </property>
  <property fmtid="{D5CDD505-2E9C-101B-9397-08002B2CF9AE}" pid="87" name="FSC#SKEDITIONSLOVLEX@103.510:AttrStrListDocPropUznesenieBODA1">
    <vt:lpwstr/>
  </property>
  <property fmtid="{D5CDD505-2E9C-101B-9397-08002B2CF9AE}" pid="88" name="FSC#SKEDITIONSLOVLEX@103.510:AttrStrListDocPropUznesenieZodpovednyA2">
    <vt:lpwstr/>
  </property>
  <property fmtid="{D5CDD505-2E9C-101B-9397-08002B2CF9AE}" pid="89" name="FSC#SKEDITIONSLOVLEX@103.510:AttrStrListDocPropUznesenieTextA2">
    <vt:lpwstr/>
  </property>
  <property fmtid="{D5CDD505-2E9C-101B-9397-08002B2CF9AE}" pid="90" name="FSC#SKEDITIONSLOVLEX@103.510:AttrStrListDocPropUznesenieTerminA2">
    <vt:lpwstr/>
  </property>
  <property fmtid="{D5CDD505-2E9C-101B-9397-08002B2CF9AE}" pid="91" name="FSC#SKEDITIONSLOVLEX@103.510:AttrStrListDocPropUznesenieBODA3">
    <vt:lpwstr/>
  </property>
  <property fmtid="{D5CDD505-2E9C-101B-9397-08002B2CF9AE}" pid="92" name="FSC#SKEDITIONSLOVLEX@103.510:AttrStrListDocPropUznesenieZodpovednyA3">
    <vt:lpwstr/>
  </property>
  <property fmtid="{D5CDD505-2E9C-101B-9397-08002B2CF9AE}" pid="93" name="FSC#SKEDITIONSLOVLEX@103.510:AttrStrListDocPropUznesenieTextA3">
    <vt:lpwstr/>
  </property>
  <property fmtid="{D5CDD505-2E9C-101B-9397-08002B2CF9AE}" pid="94" name="FSC#SKEDITIONSLOVLEX@103.510:AttrStrListDocPropUznesenieTerminA3">
    <vt:lpwstr/>
  </property>
  <property fmtid="{D5CDD505-2E9C-101B-9397-08002B2CF9AE}" pid="95" name="FSC#SKEDITIONSLOVLEX@103.510:AttrStrListDocPropUznesenieBODA4">
    <vt:lpwstr/>
  </property>
  <property fmtid="{D5CDD505-2E9C-101B-9397-08002B2CF9AE}" pid="96" name="FSC#SKEDITIONSLOVLEX@103.510:AttrStrListDocPropUznesenieZodpovednyA4">
    <vt:lpwstr/>
  </property>
  <property fmtid="{D5CDD505-2E9C-101B-9397-08002B2CF9AE}" pid="97" name="FSC#SKEDITIONSLOVLEX@103.510:AttrStrListDocPropUznesenieTextA4">
    <vt:lpwstr/>
  </property>
  <property fmtid="{D5CDD505-2E9C-101B-9397-08002B2CF9AE}" pid="98" name="FSC#SKEDITIONSLOVLEX@103.510:AttrStrListDocPropUznesenieTerminA4">
    <vt:lpwstr/>
  </property>
  <property fmtid="{D5CDD505-2E9C-101B-9397-08002B2CF9AE}" pid="99" name="FSC#SKEDITIONSLOVLEX@103.510:AttrStrListDocPropUznesenieCastB">
    <vt:lpwstr/>
  </property>
  <property fmtid="{D5CDD505-2E9C-101B-9397-08002B2CF9AE}" pid="100" name="FSC#SKEDITIONSLOVLEX@103.510:AttrStrListDocPropUznesenieBODB1">
    <vt:lpwstr/>
  </property>
  <property fmtid="{D5CDD505-2E9C-101B-9397-08002B2CF9AE}" pid="101" name="FSC#SKEDITIONSLOVLEX@103.510:AttrStrListDocPropUznesenieZodpovednyB1">
    <vt:lpwstr/>
  </property>
  <property fmtid="{D5CDD505-2E9C-101B-9397-08002B2CF9AE}" pid="102" name="FSC#SKEDITIONSLOVLEX@103.510:AttrStrListDocPropUznesenieTextB1">
    <vt:lpwstr/>
  </property>
  <property fmtid="{D5CDD505-2E9C-101B-9397-08002B2CF9AE}" pid="103" name="FSC#SKEDITIONSLOVLEX@103.510:AttrStrListDocPropUznesenieTerminB1">
    <vt:lpwstr/>
  </property>
  <property fmtid="{D5CDD505-2E9C-101B-9397-08002B2CF9AE}" pid="104" name="FSC#SKEDITIONSLOVLEX@103.510:AttrStrListDocPropUznesenieBODB2">
    <vt:lpwstr/>
  </property>
  <property fmtid="{D5CDD505-2E9C-101B-9397-08002B2CF9AE}" pid="105" name="FSC#SKEDITIONSLOVLEX@103.510:AttrStrListDocPropUznesenieZodpovednyB2">
    <vt:lpwstr/>
  </property>
  <property fmtid="{D5CDD505-2E9C-101B-9397-08002B2CF9AE}" pid="106" name="FSC#SKEDITIONSLOVLEX@103.510:AttrStrListDocPropUznesenieTextB2">
    <vt:lpwstr/>
  </property>
  <property fmtid="{D5CDD505-2E9C-101B-9397-08002B2CF9AE}" pid="107" name="FSC#SKEDITIONSLOVLEX@103.510:AttrStrListDocPropUznesenieTerminB2">
    <vt:lpwstr/>
  </property>
  <property fmtid="{D5CDD505-2E9C-101B-9397-08002B2CF9AE}" pid="108" name="FSC#SKEDITIONSLOVLEX@103.510:AttrStrListDocPropUznesenieBODB3">
    <vt:lpwstr/>
  </property>
  <property fmtid="{D5CDD505-2E9C-101B-9397-08002B2CF9AE}" pid="109" name="FSC#SKEDITIONSLOVLEX@103.510:AttrStrListDocPropUznesenieZodpovednyB3">
    <vt:lpwstr/>
  </property>
  <property fmtid="{D5CDD505-2E9C-101B-9397-08002B2CF9AE}" pid="110" name="FSC#SKEDITIONSLOVLEX@103.510:AttrStrListDocPropUznesenieTextB3">
    <vt:lpwstr/>
  </property>
  <property fmtid="{D5CDD505-2E9C-101B-9397-08002B2CF9AE}" pid="111" name="FSC#SKEDITIONSLOVLEX@103.510:AttrStrListDocPropUznesenieTerminB3">
    <vt:lpwstr/>
  </property>
  <property fmtid="{D5CDD505-2E9C-101B-9397-08002B2CF9AE}" pid="112" name="FSC#SKEDITIONSLOVLEX@103.510:AttrStrListDocPropUznesenieBODB4">
    <vt:lpwstr/>
  </property>
  <property fmtid="{D5CDD505-2E9C-101B-9397-08002B2CF9AE}" pid="113" name="FSC#SKEDITIONSLOVLEX@103.510:AttrStrListDocPropUznesenieZodpovednyB4">
    <vt:lpwstr/>
  </property>
  <property fmtid="{D5CDD505-2E9C-101B-9397-08002B2CF9AE}" pid="114" name="FSC#SKEDITIONSLOVLEX@103.510:AttrStrListDocPropUznesenieTextB4">
    <vt:lpwstr/>
  </property>
  <property fmtid="{D5CDD505-2E9C-101B-9397-08002B2CF9AE}" pid="115" name="FSC#SKEDITIONSLOVLEX@103.510:AttrStrListDocPropUznesenieTerminB4">
    <vt:lpwstr/>
  </property>
  <property fmtid="{D5CDD505-2E9C-101B-9397-08002B2CF9AE}" pid="116" name="FSC#SKEDITIONSLOVLEX@103.510:AttrStrListDocPropUznesenieCastC">
    <vt:lpwstr/>
  </property>
  <property fmtid="{D5CDD505-2E9C-101B-9397-08002B2CF9AE}" pid="117" name="FSC#SKEDITIONSLOVLEX@103.510:AttrStrListDocPropUznesenieBODC1">
    <vt:lpwstr/>
  </property>
  <property fmtid="{D5CDD505-2E9C-101B-9397-08002B2CF9AE}" pid="118" name="FSC#SKEDITIONSLOVLEX@103.510:AttrStrListDocPropUznesenieZodpovednyC1">
    <vt:lpwstr/>
  </property>
  <property fmtid="{D5CDD505-2E9C-101B-9397-08002B2CF9AE}" pid="119" name="FSC#SKEDITIONSLOVLEX@103.510:AttrStrListDocPropUznesenieTextC1">
    <vt:lpwstr/>
  </property>
  <property fmtid="{D5CDD505-2E9C-101B-9397-08002B2CF9AE}" pid="120" name="FSC#SKEDITIONSLOVLEX@103.510:AttrStrListDocPropUznesenieTerminC1">
    <vt:lpwstr/>
  </property>
  <property fmtid="{D5CDD505-2E9C-101B-9397-08002B2CF9AE}" pid="121" name="FSC#SKEDITIONSLOVLEX@103.510:AttrStrListDocPropUznesenieBODC2">
    <vt:lpwstr/>
  </property>
  <property fmtid="{D5CDD505-2E9C-101B-9397-08002B2CF9AE}" pid="122" name="FSC#SKEDITIONSLOVLEX@103.510:AttrStrListDocPropUznesenieZodpovednyC2">
    <vt:lpwstr/>
  </property>
  <property fmtid="{D5CDD505-2E9C-101B-9397-08002B2CF9AE}" pid="123" name="FSC#SKEDITIONSLOVLEX@103.510:AttrStrListDocPropUznesenieTextC2">
    <vt:lpwstr/>
  </property>
  <property fmtid="{D5CDD505-2E9C-101B-9397-08002B2CF9AE}" pid="124" name="FSC#SKEDITIONSLOVLEX@103.510:AttrStrListDocPropUznesenieTerminC2">
    <vt:lpwstr/>
  </property>
  <property fmtid="{D5CDD505-2E9C-101B-9397-08002B2CF9AE}" pid="125" name="FSC#SKEDITIONSLOVLEX@103.510:AttrStrListDocPropUznesenieBODC3">
    <vt:lpwstr/>
  </property>
  <property fmtid="{D5CDD505-2E9C-101B-9397-08002B2CF9AE}" pid="126" name="FSC#SKEDITIONSLOVLEX@103.510:AttrStrListDocPropUznesenieZodpovednyC3">
    <vt:lpwstr/>
  </property>
  <property fmtid="{D5CDD505-2E9C-101B-9397-08002B2CF9AE}" pid="127" name="FSC#SKEDITIONSLOVLEX@103.510:AttrStrListDocPropUznesenieTextC3">
    <vt:lpwstr/>
  </property>
  <property fmtid="{D5CDD505-2E9C-101B-9397-08002B2CF9AE}" pid="128" name="FSC#SKEDITIONSLOVLEX@103.510:AttrStrListDocPropUznesenieTerminC3">
    <vt:lpwstr/>
  </property>
  <property fmtid="{D5CDD505-2E9C-101B-9397-08002B2CF9AE}" pid="129" name="FSC#SKEDITIONSLOVLEX@103.510:AttrStrListDocPropUznesenieBODC4">
    <vt:lpwstr/>
  </property>
  <property fmtid="{D5CDD505-2E9C-101B-9397-08002B2CF9AE}" pid="130" name="FSC#SKEDITIONSLOVLEX@103.510:AttrStrListDocPropUznesenieZodpovednyC4">
    <vt:lpwstr/>
  </property>
  <property fmtid="{D5CDD505-2E9C-101B-9397-08002B2CF9AE}" pid="131" name="FSC#SKEDITIONSLOVLEX@103.510:AttrStrListDocPropUznesenieTextC4">
    <vt:lpwstr/>
  </property>
  <property fmtid="{D5CDD505-2E9C-101B-9397-08002B2CF9AE}" pid="132" name="FSC#SKEDITIONSLOVLEX@103.510:AttrStrListDocPropUznesenieTerminC4">
    <vt:lpwstr/>
  </property>
  <property fmtid="{D5CDD505-2E9C-101B-9397-08002B2CF9AE}" pid="133" name="FSC#SKEDITIONSLOVLEX@103.510:AttrStrListDocPropUznesenieCastD">
    <vt:lpwstr/>
  </property>
  <property fmtid="{D5CDD505-2E9C-101B-9397-08002B2CF9AE}" pid="134" name="FSC#SKEDITIONSLOVLEX@103.510:AttrStrListDocPropUznesenieBODD1">
    <vt:lpwstr/>
  </property>
  <property fmtid="{D5CDD505-2E9C-101B-9397-08002B2CF9AE}" pid="135" name="FSC#SKEDITIONSLOVLEX@103.510:AttrStrListDocPropUznesenieZodpovednyD1">
    <vt:lpwstr/>
  </property>
  <property fmtid="{D5CDD505-2E9C-101B-9397-08002B2CF9AE}" pid="136" name="FSC#SKEDITIONSLOVLEX@103.510:AttrStrListDocPropUznesenieTextD1">
    <vt:lpwstr/>
  </property>
  <property fmtid="{D5CDD505-2E9C-101B-9397-08002B2CF9AE}" pid="137" name="FSC#SKEDITIONSLOVLEX@103.510:AttrStrListDocPropUznesenieTerminD1">
    <vt:lpwstr/>
  </property>
  <property fmtid="{D5CDD505-2E9C-101B-9397-08002B2CF9AE}" pid="138" name="FSC#SKEDITIONSLOVLEX@103.510:AttrStrListDocPropUznesenieBODD2">
    <vt:lpwstr/>
  </property>
  <property fmtid="{D5CDD505-2E9C-101B-9397-08002B2CF9AE}" pid="139" name="FSC#SKEDITIONSLOVLEX@103.510:AttrStrListDocPropUznesenieZodpovednyD2">
    <vt:lpwstr/>
  </property>
  <property fmtid="{D5CDD505-2E9C-101B-9397-08002B2CF9AE}" pid="140" name="FSC#SKEDITIONSLOVLEX@103.510:AttrStrListDocPropUznesenieTextD2">
    <vt:lpwstr/>
  </property>
  <property fmtid="{D5CDD505-2E9C-101B-9397-08002B2CF9AE}" pid="141" name="FSC#SKEDITIONSLOVLEX@103.510:AttrStrListDocPropUznesenieTerminD2">
    <vt:lpwstr/>
  </property>
  <property fmtid="{D5CDD505-2E9C-101B-9397-08002B2CF9AE}" pid="142" name="FSC#SKEDITIONSLOVLEX@103.510:AttrStrListDocPropUznesenieBODD3">
    <vt:lpwstr/>
  </property>
  <property fmtid="{D5CDD505-2E9C-101B-9397-08002B2CF9AE}" pid="143" name="FSC#SKEDITIONSLOVLEX@103.510:AttrStrListDocPropUznesenieZodpovednyD3">
    <vt:lpwstr/>
  </property>
  <property fmtid="{D5CDD505-2E9C-101B-9397-08002B2CF9AE}" pid="144" name="FSC#SKEDITIONSLOVLEX@103.510:AttrStrListDocPropUznesenieTextD3">
    <vt:lpwstr/>
  </property>
  <property fmtid="{D5CDD505-2E9C-101B-9397-08002B2CF9AE}" pid="145" name="FSC#SKEDITIONSLOVLEX@103.510:AttrStrListDocPropUznesenieTerminD3">
    <vt:lpwstr/>
  </property>
  <property fmtid="{D5CDD505-2E9C-101B-9397-08002B2CF9AE}" pid="146" name="FSC#SKEDITIONSLOVLEX@103.510:AttrStrListDocPropUznesenieBODD4">
    <vt:lpwstr/>
  </property>
  <property fmtid="{D5CDD505-2E9C-101B-9397-08002B2CF9AE}" pid="147" name="FSC#SKEDITIONSLOVLEX@103.510:AttrStrListDocPropUznesenieZodpovednyD4">
    <vt:lpwstr/>
  </property>
  <property fmtid="{D5CDD505-2E9C-101B-9397-08002B2CF9AE}" pid="148" name="FSC#SKEDITIONSLOVLEX@103.510:AttrStrListDocPropUznesenieTextD4">
    <vt:lpwstr/>
  </property>
  <property fmtid="{D5CDD505-2E9C-101B-9397-08002B2CF9AE}" pid="149" name="FSC#SKEDITIONSLOVLEX@103.510:AttrStrListDocPropUznesenieTerminD4">
    <vt:lpwstr/>
  </property>
  <property fmtid="{D5CDD505-2E9C-101B-9397-08002B2CF9AE}" pid="150" name="FSC#SKEDITIONSLOVLEX@103.510:AttrStrListDocPropUznesenieVykonaju">
    <vt:lpwstr/>
  </property>
  <property fmtid="{D5CDD505-2E9C-101B-9397-08002B2CF9AE}" pid="151" name="FSC#SKEDITIONSLOVLEX@103.510:AttrStrListDocPropUznesenieNaVedomie">
    <vt:lpwstr/>
  </property>
  <property fmtid="{D5CDD505-2E9C-101B-9397-08002B2CF9AE}" pid="152" name="FSC#SKEDITIONSLOVLEX@103.510:funkciaPred">
    <vt:lpwstr/>
  </property>
  <property fmtid="{D5CDD505-2E9C-101B-9397-08002B2CF9AE}" pid="153" name="FSC#SKEDITIONSLOVLEX@103.510:funkciaPredAkuzativ">
    <vt:lpwstr/>
  </property>
  <property fmtid="{D5CDD505-2E9C-101B-9397-08002B2CF9AE}" pid="154" name="FSC#SKEDITIONSLOVLEX@103.510:funkciaPredDativ">
    <vt:lpwstr/>
  </property>
  <property fmtid="{D5CDD505-2E9C-101B-9397-08002B2CF9AE}" pid="155" name="FSC#SKEDITIONSLOVLEX@103.510:funkciaZodpPred">
    <vt:lpwstr/>
  </property>
  <property fmtid="{D5CDD505-2E9C-101B-9397-08002B2CF9AE}" pid="156" name="FSC#SKEDITIONSLOVLEX@103.510:funkciaZodpPredAkuzativ">
    <vt:lpwstr/>
  </property>
  <property fmtid="{D5CDD505-2E9C-101B-9397-08002B2CF9AE}" pid="157" name="FSC#SKEDITIONSLOVLEX@103.510:funkciaZodpPredDativ">
    <vt:lpwstr/>
  </property>
  <property fmtid="{D5CDD505-2E9C-101B-9397-08002B2CF9AE}" pid="158" name="FSC#SKEDITIONSLOVLEX@103.510:funkciaDalsiPred">
    <vt:lpwstr/>
  </property>
  <property fmtid="{D5CDD505-2E9C-101B-9397-08002B2CF9AE}" pid="159" name="FSC#SKEDITIONSLOVLEX@103.510:funkciaDalsiPredAkuzativ">
    <vt:lpwstr/>
  </property>
  <property fmtid="{D5CDD505-2E9C-101B-9397-08002B2CF9AE}" pid="160" name="FSC#SKEDITIONSLOVLEX@103.510:funkciaDalsiPredDativ">
    <vt:lpwstr/>
  </property>
  <property fmtid="{D5CDD505-2E9C-101B-9397-08002B2CF9AE}" pid="161" name="FSC#SKEDITIONSLOVLEX@103.510:predkladateliaObalSD">
    <vt:lpwstr/>
  </property>
  <property fmtid="{D5CDD505-2E9C-101B-9397-08002B2CF9AE}" pid="162" name="FSC#SKEDITIONSLOVLEX@103.510:AttrStrListDocPropTextVseobPrilohy">
    <vt:lpwstr/>
  </property>
  <property fmtid="{D5CDD505-2E9C-101B-9397-08002B2CF9AE}" pid="163" name="FSC#SKEDITIONSLOVLEX@103.510:AttrStrListDocPropTextPredklSpravy">
    <vt:lpwstr/>
  </property>
  <property fmtid="{D5CDD505-2E9C-101B-9397-08002B2CF9AE}" pid="164" name="FSC#SKEDITIONSLOVLEX@103.510:vytvorenedna">
    <vt:lpwstr>3. 2. 2020</vt:lpwstr>
  </property>
  <property fmtid="{D5CDD505-2E9C-101B-9397-08002B2CF9AE}" pid="165" name="FSC#COOSYSTEM@1.1:Container">
    <vt:lpwstr>COO.2145.1000.3.3796257</vt:lpwstr>
  </property>
  <property fmtid="{D5CDD505-2E9C-101B-9397-08002B2CF9AE}" pid="166" name="FSC#FSCFOLIO@1.1001:docpropproject">
    <vt:lpwstr/>
  </property>
</Properties>
</file>