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D81" w:rsidRPr="003C4D81" w:rsidRDefault="00695318" w:rsidP="007C393E">
      <w:pPr>
        <w:spacing w:after="0" w:line="240" w:lineRule="auto"/>
        <w:jc w:val="center"/>
        <w:rPr>
          <w:b/>
          <w:color w:val="002060"/>
          <w:sz w:val="26"/>
          <w:szCs w:val="26"/>
        </w:rPr>
      </w:pPr>
      <w:r w:rsidRPr="003C4D81">
        <w:rPr>
          <w:b/>
          <w:color w:val="002060"/>
          <w:sz w:val="26"/>
          <w:szCs w:val="26"/>
        </w:rPr>
        <w:t>INFORMÁCIA O SPRACÚVANÍ OSOBNÝCH ÚDAJOV</w:t>
      </w:r>
    </w:p>
    <w:p w:rsidR="00695318" w:rsidRPr="003C4D81" w:rsidRDefault="00695318" w:rsidP="007C393E">
      <w:pPr>
        <w:spacing w:after="0" w:line="240" w:lineRule="auto"/>
        <w:jc w:val="center"/>
        <w:rPr>
          <w:b/>
          <w:color w:val="002060"/>
          <w:sz w:val="22"/>
        </w:rPr>
      </w:pPr>
      <w:r w:rsidRPr="003C4D81">
        <w:rPr>
          <w:b/>
          <w:color w:val="002060"/>
          <w:sz w:val="22"/>
        </w:rPr>
        <w:t>prevádzkovateľom Kancelária Náro</w:t>
      </w:r>
      <w:r w:rsidR="003C4D81">
        <w:rPr>
          <w:b/>
          <w:color w:val="002060"/>
          <w:sz w:val="22"/>
        </w:rPr>
        <w:t>dnej rady Slovenskej republiky</w:t>
      </w:r>
    </w:p>
    <w:p w:rsidR="00A03A82" w:rsidRDefault="00695318" w:rsidP="007C393E">
      <w:pPr>
        <w:spacing w:line="240" w:lineRule="auto"/>
        <w:jc w:val="center"/>
        <w:rPr>
          <w:i/>
          <w:sz w:val="20"/>
          <w:szCs w:val="20"/>
        </w:rPr>
      </w:pPr>
      <w:r w:rsidRPr="00853EFA">
        <w:rPr>
          <w:i/>
          <w:sz w:val="20"/>
          <w:szCs w:val="20"/>
        </w:rPr>
        <w:t>vyhotovená podľa Kapitoly III, oddielu 2, článku 1</w:t>
      </w:r>
      <w:r w:rsidR="00BA41F6">
        <w:rPr>
          <w:i/>
          <w:sz w:val="20"/>
          <w:szCs w:val="20"/>
        </w:rPr>
        <w:t>4</w:t>
      </w:r>
      <w:r w:rsidRPr="00853EFA">
        <w:rPr>
          <w:i/>
          <w:sz w:val="20"/>
          <w:szCs w:val="20"/>
        </w:rPr>
        <w:t xml:space="preserve"> Nariadenia Európskeho parlamentu a Rady (EÚ) 2016/679 z 27. apríla 2016 o ochrane fyzických osôb pri spracúvaní osobných údajov a o voľnom pohybe takýchto údajov, ktorým sa zrušuje smernica 95/46/ES  (všeobec</w:t>
      </w:r>
      <w:r>
        <w:rPr>
          <w:i/>
          <w:sz w:val="20"/>
          <w:szCs w:val="20"/>
        </w:rPr>
        <w:t>né nariadenie o ochrane údajov)</w:t>
      </w:r>
    </w:p>
    <w:p w:rsidR="00695318" w:rsidRPr="00695318" w:rsidRDefault="00695318" w:rsidP="007C393E">
      <w:pPr>
        <w:spacing w:after="0" w:line="240" w:lineRule="auto"/>
        <w:jc w:val="center"/>
        <w:rPr>
          <w:i/>
          <w:sz w:val="20"/>
          <w:szCs w:val="20"/>
        </w:rPr>
      </w:pPr>
    </w:p>
    <w:p w:rsidR="00A03A82" w:rsidRPr="003C4D81" w:rsidRDefault="00695318" w:rsidP="007C393E">
      <w:pPr>
        <w:spacing w:after="0" w:line="240" w:lineRule="auto"/>
        <w:rPr>
          <w:rFonts w:cs="Times New Roman"/>
          <w:b/>
          <w:color w:val="002060"/>
          <w:sz w:val="20"/>
          <w:szCs w:val="20"/>
          <w:u w:val="single"/>
        </w:rPr>
      </w:pPr>
      <w:r w:rsidRPr="003C4D81">
        <w:rPr>
          <w:rFonts w:cs="Times New Roman"/>
          <w:b/>
          <w:color w:val="002060"/>
          <w:sz w:val="20"/>
          <w:szCs w:val="20"/>
          <w:u w:val="single"/>
        </w:rPr>
        <w:t>PREVÁDZKOVATEĽ</w:t>
      </w:r>
    </w:p>
    <w:p w:rsidR="00A03A82" w:rsidRPr="00695318" w:rsidRDefault="00A03A82" w:rsidP="007C393E">
      <w:pPr>
        <w:spacing w:after="0" w:line="240" w:lineRule="auto"/>
        <w:rPr>
          <w:rFonts w:cs="Times New Roman"/>
          <w:b/>
          <w:szCs w:val="24"/>
        </w:rPr>
      </w:pPr>
    </w:p>
    <w:p w:rsidR="00695318" w:rsidRPr="00C14C8E" w:rsidRDefault="00695318" w:rsidP="007C393E">
      <w:pPr>
        <w:spacing w:line="240" w:lineRule="auto"/>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003C4D81">
        <w:rPr>
          <w:i/>
          <w:sz w:val="20"/>
          <w:szCs w:val="20"/>
        </w:rPr>
        <w:t>, alebo prevádzkovateľ</w:t>
      </w:r>
      <w:r w:rsidRPr="00C14C8E">
        <w:rPr>
          <w:i/>
          <w:sz w:val="20"/>
          <w:szCs w:val="20"/>
        </w:rPr>
        <w:t>“)</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sidRPr="00C14C8E">
        <w:rPr>
          <w:sz w:val="20"/>
          <w:szCs w:val="20"/>
        </w:rPr>
        <w:t xml:space="preserve">.  </w:t>
      </w:r>
    </w:p>
    <w:p w:rsidR="00695318" w:rsidRPr="003C4D81" w:rsidRDefault="00695318" w:rsidP="007C393E">
      <w:pPr>
        <w:spacing w:line="240" w:lineRule="auto"/>
        <w:rPr>
          <w:b/>
          <w:color w:val="002060"/>
          <w:sz w:val="20"/>
          <w:szCs w:val="20"/>
        </w:rPr>
      </w:pPr>
      <w:r w:rsidRPr="00C14C8E">
        <w:rPr>
          <w:sz w:val="20"/>
          <w:szCs w:val="20"/>
        </w:rPr>
        <w:t xml:space="preserve">Kanceláriu NR SR môžete kontaktovať </w:t>
      </w:r>
      <w:r w:rsidR="003C4D81">
        <w:rPr>
          <w:sz w:val="20"/>
          <w:szCs w:val="20"/>
        </w:rPr>
        <w:t xml:space="preserve">vo veci ochrany osobných údajov </w:t>
      </w:r>
      <w:r w:rsidRPr="00C14C8E">
        <w:rPr>
          <w:sz w:val="20"/>
          <w:szCs w:val="20"/>
        </w:rPr>
        <w:t xml:space="preserve">listovou zásielkou na adrese: </w:t>
      </w:r>
      <w:r w:rsidRPr="003C4D81">
        <w:rPr>
          <w:b/>
          <w:color w:val="002060"/>
          <w:sz w:val="20"/>
          <w:szCs w:val="20"/>
          <w:u w:val="single"/>
        </w:rPr>
        <w:t>Kancelária NR SR, osobný úrad, Námestie Alexandra Dubčeka č. 1, 812 080  Bratislava</w:t>
      </w:r>
      <w:r w:rsidRPr="003C4D81">
        <w:rPr>
          <w:b/>
          <w:color w:val="002060"/>
          <w:sz w:val="20"/>
          <w:szCs w:val="20"/>
        </w:rPr>
        <w:t>.</w:t>
      </w:r>
    </w:p>
    <w:p w:rsidR="00A03A82" w:rsidRPr="003C4D81" w:rsidRDefault="00A03A82" w:rsidP="007C393E">
      <w:pPr>
        <w:spacing w:after="0" w:line="240" w:lineRule="auto"/>
        <w:rPr>
          <w:rFonts w:cs="Times New Roman"/>
          <w:b/>
          <w:color w:val="002060"/>
          <w:szCs w:val="24"/>
        </w:rPr>
      </w:pPr>
    </w:p>
    <w:p w:rsidR="00A03A82" w:rsidRPr="003C4D81" w:rsidRDefault="00695318" w:rsidP="007C393E">
      <w:pPr>
        <w:spacing w:after="0" w:line="240" w:lineRule="auto"/>
        <w:rPr>
          <w:rFonts w:cs="Times New Roman"/>
          <w:b/>
          <w:color w:val="002060"/>
          <w:sz w:val="20"/>
          <w:szCs w:val="20"/>
          <w:u w:val="single"/>
        </w:rPr>
      </w:pPr>
      <w:r w:rsidRPr="003C4D81">
        <w:rPr>
          <w:rFonts w:cs="Times New Roman"/>
          <w:b/>
          <w:color w:val="002060"/>
          <w:sz w:val="20"/>
          <w:szCs w:val="20"/>
          <w:u w:val="single"/>
        </w:rPr>
        <w:t>ZODPOVEDNÁ OSOBA PREVÁDZKOVATEĽA</w:t>
      </w:r>
    </w:p>
    <w:p w:rsidR="00A03A82" w:rsidRPr="00695318" w:rsidRDefault="00A03A82" w:rsidP="007C393E">
      <w:pPr>
        <w:spacing w:after="0" w:line="240" w:lineRule="auto"/>
        <w:rPr>
          <w:rFonts w:cs="Times New Roman"/>
          <w:szCs w:val="24"/>
        </w:rPr>
      </w:pPr>
    </w:p>
    <w:p w:rsidR="00695318" w:rsidRPr="003C4D81" w:rsidRDefault="00695318" w:rsidP="007C393E">
      <w:pPr>
        <w:spacing w:line="240" w:lineRule="auto"/>
        <w:rPr>
          <w:b/>
          <w:color w:val="002060"/>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003C4D81">
        <w:rPr>
          <w:sz w:val="20"/>
          <w:szCs w:val="20"/>
        </w:rPr>
        <w:t xml:space="preserve"> </w:t>
      </w:r>
      <w:r w:rsidRPr="003C4D81">
        <w:rPr>
          <w:b/>
          <w:color w:val="002060"/>
          <w:sz w:val="20"/>
          <w:szCs w:val="20"/>
          <w:u w:val="single"/>
        </w:rPr>
        <w:t>zodpovednaosoba@nrsr.sk</w:t>
      </w:r>
      <w:r w:rsidR="003C4D81" w:rsidRPr="003C4D81">
        <w:rPr>
          <w:b/>
          <w:color w:val="002060"/>
          <w:sz w:val="20"/>
          <w:szCs w:val="20"/>
          <w:u w:val="single"/>
        </w:rPr>
        <w:t>.</w:t>
      </w:r>
    </w:p>
    <w:p w:rsidR="00A03A82" w:rsidRPr="00695318" w:rsidRDefault="00A03A82" w:rsidP="007C393E">
      <w:pPr>
        <w:spacing w:after="0" w:line="240" w:lineRule="auto"/>
        <w:rPr>
          <w:rFonts w:cs="Times New Roman"/>
          <w:b/>
          <w:szCs w:val="24"/>
        </w:rPr>
      </w:pPr>
    </w:p>
    <w:p w:rsidR="00A03A82" w:rsidRPr="003C4D81" w:rsidRDefault="00695318" w:rsidP="007C393E">
      <w:pPr>
        <w:spacing w:after="0" w:line="240" w:lineRule="auto"/>
        <w:rPr>
          <w:rFonts w:cs="Times New Roman"/>
          <w:b/>
          <w:color w:val="002060"/>
          <w:sz w:val="20"/>
          <w:szCs w:val="20"/>
          <w:u w:val="single"/>
        </w:rPr>
      </w:pPr>
      <w:r w:rsidRPr="003C4D81">
        <w:rPr>
          <w:rFonts w:cs="Times New Roman"/>
          <w:b/>
          <w:color w:val="002060"/>
          <w:sz w:val="20"/>
          <w:szCs w:val="20"/>
          <w:u w:val="single"/>
        </w:rPr>
        <w:t>INFORMÁCIE O PODMIENKACH SPRACÚVANIA</w:t>
      </w:r>
    </w:p>
    <w:p w:rsidR="00A03A82" w:rsidRPr="003C4D81" w:rsidRDefault="00A03A82" w:rsidP="007C393E">
      <w:pPr>
        <w:spacing w:after="0" w:line="240" w:lineRule="auto"/>
        <w:rPr>
          <w:rFonts w:cs="Times New Roman"/>
          <w:color w:val="002060"/>
          <w:szCs w:val="24"/>
        </w:rPr>
      </w:pPr>
    </w:p>
    <w:p w:rsidR="00695318" w:rsidRPr="00C14C8E" w:rsidRDefault="00695318" w:rsidP="007C393E">
      <w:pPr>
        <w:spacing w:line="240" w:lineRule="auto"/>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w:t>
      </w:r>
      <w:r w:rsidR="00C76B9A">
        <w:rPr>
          <w:sz w:val="20"/>
          <w:szCs w:val="20"/>
        </w:rPr>
        <w:t>enom prípade vrátane informácie</w:t>
      </w:r>
      <w:r w:rsidR="003C4D81">
        <w:rPr>
          <w:sz w:val="20"/>
          <w:szCs w:val="20"/>
        </w:rPr>
        <w:t xml:space="preserve"> </w:t>
      </w:r>
      <w:r w:rsidRPr="00C14C8E">
        <w:rPr>
          <w:sz w:val="20"/>
          <w:szCs w:val="20"/>
        </w:rPr>
        <w:t>o prenose osobných údajov do tretej krajiny alebo medzinárodnej organizácii), dobe uchovávania osobných údajov, ako aj o existencii alebo neexistencii automatizovaného rozho</w:t>
      </w:r>
      <w:r w:rsidR="00C76B9A">
        <w:rPr>
          <w:sz w:val="20"/>
          <w:szCs w:val="20"/>
        </w:rPr>
        <w:t>dovania vrátane profilovania</w:t>
      </w:r>
      <w:bookmarkStart w:id="0" w:name="_GoBack"/>
      <w:bookmarkEnd w:id="0"/>
      <w:r w:rsidR="003C4D81">
        <w:rPr>
          <w:sz w:val="20"/>
          <w:szCs w:val="20"/>
        </w:rPr>
        <w:t xml:space="preserve"> </w:t>
      </w:r>
      <w:r w:rsidRPr="00C14C8E">
        <w:rPr>
          <w:sz w:val="20"/>
          <w:szCs w:val="20"/>
        </w:rPr>
        <w:t>(ak automatizované rozhodovanie existuje, informácia zahŕňa aj použité postupy a dôsledky pre dotknutú osobu) nájdete v nasledujúcej tabuľke:</w:t>
      </w:r>
    </w:p>
    <w:p w:rsidR="003C4D81" w:rsidRDefault="003C4D81" w:rsidP="003C4D81">
      <w:pPr>
        <w:spacing w:after="0" w:line="240" w:lineRule="auto"/>
        <w:jc w:val="center"/>
        <w:rPr>
          <w:rFonts w:cs="Times New Roman"/>
          <w:b/>
          <w:color w:val="002060"/>
          <w:szCs w:val="24"/>
        </w:rPr>
      </w:pPr>
    </w:p>
    <w:p w:rsidR="0017444D" w:rsidRPr="00767B16" w:rsidRDefault="0017444D" w:rsidP="003C4D81">
      <w:pPr>
        <w:spacing w:after="0" w:line="240" w:lineRule="auto"/>
        <w:jc w:val="center"/>
        <w:rPr>
          <w:rFonts w:cs="Times New Roman"/>
          <w:b/>
          <w:color w:val="002060"/>
          <w:szCs w:val="24"/>
        </w:rPr>
      </w:pPr>
    </w:p>
    <w:tbl>
      <w:tblPr>
        <w:tblStyle w:val="Deloittetable2"/>
        <w:tblW w:w="9072" w:type="dxa"/>
        <w:tblBorders>
          <w:top w:val="thinThickSmallGap" w:sz="24" w:space="0" w:color="002060"/>
          <w:bottom w:val="thinThickSmallGap" w:sz="24" w:space="0" w:color="002060"/>
        </w:tblBorders>
        <w:tblLayout w:type="fixed"/>
        <w:tblLook w:val="04A0" w:firstRow="1" w:lastRow="0" w:firstColumn="1" w:lastColumn="0" w:noHBand="0" w:noVBand="1"/>
      </w:tblPr>
      <w:tblGrid>
        <w:gridCol w:w="4962"/>
        <w:gridCol w:w="4110"/>
      </w:tblGrid>
      <w:tr w:rsidR="00695318" w:rsidRPr="00695318" w:rsidTr="00097B7D">
        <w:trPr>
          <w:cnfStyle w:val="100000000000" w:firstRow="1" w:lastRow="0" w:firstColumn="0" w:lastColumn="0" w:oddVBand="0" w:evenVBand="0" w:oddHBand="0" w:evenHBand="0" w:firstRowFirstColumn="0" w:firstRowLastColumn="0" w:lastRowFirstColumn="0" w:lastRowLastColumn="0"/>
        </w:trPr>
        <w:tc>
          <w:tcPr>
            <w:tcW w:w="4962" w:type="dxa"/>
            <w:tcBorders>
              <w:top w:val="none" w:sz="0" w:space="0" w:color="auto"/>
            </w:tcBorders>
          </w:tcPr>
          <w:p w:rsidR="00695318" w:rsidRPr="00695318" w:rsidRDefault="00695318" w:rsidP="008850B1">
            <w:pPr>
              <w:spacing w:line="240" w:lineRule="auto"/>
              <w:rPr>
                <w:rFonts w:ascii="Times New Roman" w:hAnsi="Times New Roman" w:cs="Times New Roman"/>
                <w:i/>
                <w:color w:val="auto"/>
                <w:sz w:val="20"/>
                <w:lang w:val="sk-SK"/>
              </w:rPr>
            </w:pPr>
            <w:r w:rsidRPr="00695318">
              <w:rPr>
                <w:rFonts w:ascii="Times New Roman" w:hAnsi="Times New Roman" w:cs="Times New Roman"/>
                <w:i/>
                <w:color w:val="auto"/>
                <w:sz w:val="20"/>
                <w:lang w:val="sk-SK"/>
              </w:rPr>
              <w:t>ÚČEL SPRACÚVANIA A JEHO POPIS</w:t>
            </w:r>
          </w:p>
        </w:tc>
        <w:tc>
          <w:tcPr>
            <w:tcW w:w="4110" w:type="dxa"/>
            <w:tcBorders>
              <w:top w:val="none" w:sz="0" w:space="0" w:color="auto"/>
            </w:tcBorders>
          </w:tcPr>
          <w:p w:rsidR="007C393E" w:rsidRPr="00A279C4" w:rsidRDefault="00842055" w:rsidP="00BA41F6">
            <w:pPr>
              <w:spacing w:after="0" w:line="240" w:lineRule="auto"/>
              <w:ind w:right="283"/>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 xml:space="preserve">Zabezpečenie </w:t>
            </w:r>
            <w:r w:rsidR="00BA41F6">
              <w:rPr>
                <w:rFonts w:ascii="Times New Roman" w:hAnsi="Times New Roman" w:cs="Times New Roman"/>
                <w:b w:val="0"/>
                <w:i/>
                <w:color w:val="auto"/>
                <w:sz w:val="20"/>
                <w:lang w:val="sk-SK"/>
              </w:rPr>
              <w:t>výpisu z registra trestov pre asistentov poslancov.</w:t>
            </w:r>
          </w:p>
        </w:tc>
      </w:tr>
      <w:tr w:rsidR="00695318" w:rsidRPr="00695318" w:rsidTr="00097B7D">
        <w:tc>
          <w:tcPr>
            <w:tcW w:w="4962" w:type="dxa"/>
          </w:tcPr>
          <w:p w:rsidR="00695318" w:rsidRPr="00695318" w:rsidRDefault="00695318" w:rsidP="008850B1">
            <w:pPr>
              <w:spacing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PRÁVNY ZÁKLAD SPRACÚVANIA </w:t>
            </w:r>
          </w:p>
        </w:tc>
        <w:tc>
          <w:tcPr>
            <w:tcW w:w="4110" w:type="dxa"/>
          </w:tcPr>
          <w:p w:rsidR="00E54013" w:rsidRPr="00F27FD8" w:rsidRDefault="00F27FD8" w:rsidP="00F27FD8">
            <w:pPr>
              <w:spacing w:line="240" w:lineRule="auto"/>
              <w:ind w:right="283"/>
              <w:rPr>
                <w:rFonts w:ascii="Times New Roman" w:hAnsi="Times New Roman" w:cs="Times New Roman"/>
                <w:i/>
                <w:sz w:val="20"/>
                <w:lang w:val="sk-SK"/>
              </w:rPr>
            </w:pPr>
            <w:r>
              <w:rPr>
                <w:rFonts w:ascii="Times New Roman" w:hAnsi="Times New Roman" w:cs="Times New Roman"/>
                <w:i/>
                <w:sz w:val="20"/>
                <w:lang w:val="sk-SK"/>
              </w:rPr>
              <w:t>Zákonná povinnosť podľa čl. 6 ods. 1 písm. c) všeobecného nariadenia o ochrane údajov:</w:t>
            </w:r>
          </w:p>
          <w:p w:rsidR="00097B7D" w:rsidRPr="00E54013" w:rsidRDefault="00E54013" w:rsidP="00BA41F6">
            <w:pPr>
              <w:spacing w:after="0" w:line="240" w:lineRule="auto"/>
              <w:ind w:right="283"/>
              <w:rPr>
                <w:rFonts w:ascii="Times New Roman" w:hAnsi="Times New Roman"/>
                <w:i/>
                <w:sz w:val="20"/>
              </w:rPr>
            </w:pPr>
            <w:r w:rsidRPr="00284468">
              <w:rPr>
                <w:rFonts w:ascii="Times New Roman" w:hAnsi="Times New Roman"/>
                <w:i/>
                <w:sz w:val="20"/>
                <w:lang w:val="sk-SK"/>
              </w:rPr>
              <w:t xml:space="preserve">- </w:t>
            </w:r>
            <w:r w:rsidR="00097B7D">
              <w:rPr>
                <w:rFonts w:ascii="Times New Roman" w:hAnsi="Times New Roman" w:cs="Times New Roman"/>
                <w:i/>
                <w:color w:val="000000" w:themeColor="text1"/>
                <w:sz w:val="20"/>
                <w:lang w:val="sk-SK"/>
              </w:rPr>
              <w:t xml:space="preserve"> Zákon č. 305/2013 Z. z. o elektronickej podobe výkonu pôsobnosti orgánov verejnej moci a o zmene a doplnení niektorých zákonov</w:t>
            </w:r>
          </w:p>
        </w:tc>
      </w:tr>
      <w:tr w:rsidR="00695318" w:rsidRPr="00695318" w:rsidTr="00097B7D">
        <w:tc>
          <w:tcPr>
            <w:tcW w:w="4962" w:type="dxa"/>
          </w:tcPr>
          <w:p w:rsidR="00695318" w:rsidRPr="00695318" w:rsidRDefault="00695318" w:rsidP="008850B1">
            <w:pPr>
              <w:spacing w:after="0"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OPRÁVNENÝ ZÁUJEM </w:t>
            </w:r>
          </w:p>
          <w:p w:rsidR="00695318" w:rsidRPr="00A279C4" w:rsidRDefault="00695318" w:rsidP="00866365">
            <w:pPr>
              <w:spacing w:after="0" w:line="240" w:lineRule="auto"/>
              <w:rPr>
                <w:rFonts w:ascii="Times New Roman" w:hAnsi="Times New Roman" w:cs="Times New Roman"/>
                <w:b/>
                <w:sz w:val="24"/>
                <w:szCs w:val="24"/>
                <w:lang w:val="sk-SK"/>
              </w:rPr>
            </w:pPr>
          </w:p>
        </w:tc>
        <w:tc>
          <w:tcPr>
            <w:tcW w:w="4110" w:type="dxa"/>
          </w:tcPr>
          <w:p w:rsidR="00695318" w:rsidRPr="00A279C4" w:rsidRDefault="00F27FD8" w:rsidP="00667A48">
            <w:pPr>
              <w:spacing w:line="240" w:lineRule="auto"/>
              <w:rPr>
                <w:rFonts w:ascii="Times New Roman" w:hAnsi="Times New Roman" w:cs="Times New Roman"/>
                <w:i/>
                <w:sz w:val="20"/>
                <w:lang w:val="sk-SK"/>
              </w:rPr>
            </w:pPr>
            <w:r>
              <w:rPr>
                <w:rFonts w:ascii="Times New Roman" w:hAnsi="Times New Roman" w:cs="Times New Roman"/>
                <w:i/>
                <w:sz w:val="20"/>
                <w:lang w:val="sk-SK"/>
              </w:rPr>
              <w:t xml:space="preserve">Nie je </w:t>
            </w:r>
          </w:p>
        </w:tc>
      </w:tr>
      <w:tr w:rsidR="00695318" w:rsidRPr="00695318" w:rsidTr="00097B7D">
        <w:tc>
          <w:tcPr>
            <w:tcW w:w="4962" w:type="dxa"/>
          </w:tcPr>
          <w:p w:rsidR="00695318"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rPr>
              <w:t>KATEGÓRIE SPRACÚVANÝCH OSOBNÝCH ÚDAJOV</w:t>
            </w:r>
          </w:p>
          <w:p w:rsidR="00A279C4" w:rsidRPr="00A279C4" w:rsidRDefault="00A279C4" w:rsidP="008850B1">
            <w:pPr>
              <w:spacing w:after="0" w:line="240" w:lineRule="auto"/>
              <w:rPr>
                <w:rFonts w:ascii="Times New Roman" w:hAnsi="Times New Roman" w:cs="Times New Roman"/>
                <w:b/>
                <w:i/>
                <w:sz w:val="20"/>
              </w:rPr>
            </w:pPr>
          </w:p>
        </w:tc>
        <w:tc>
          <w:tcPr>
            <w:tcW w:w="4110" w:type="dxa"/>
          </w:tcPr>
          <w:p w:rsidR="00F27FD8" w:rsidRDefault="00866365" w:rsidP="00F27FD8">
            <w:pPr>
              <w:spacing w:line="240" w:lineRule="auto"/>
              <w:ind w:right="283"/>
              <w:rPr>
                <w:rFonts w:ascii="Times New Roman" w:hAnsi="Times New Roman" w:cs="Times New Roman"/>
                <w:i/>
                <w:sz w:val="20"/>
                <w:lang w:val="sk-SK"/>
              </w:rPr>
            </w:pPr>
            <w:r w:rsidRPr="00CF2A38">
              <w:rPr>
                <w:rFonts w:ascii="Times New Roman" w:hAnsi="Times New Roman" w:cs="Times New Roman"/>
                <w:i/>
                <w:sz w:val="20"/>
                <w:lang w:val="sk-SK"/>
              </w:rPr>
              <w:t>Bežné osobné údaje v rozsahu:</w:t>
            </w:r>
          </w:p>
          <w:p w:rsidR="00485186" w:rsidRPr="00BA41F6" w:rsidRDefault="00F27FD8" w:rsidP="00BA41F6">
            <w:pPr>
              <w:spacing w:after="0" w:line="240" w:lineRule="auto"/>
              <w:ind w:right="283"/>
              <w:rPr>
                <w:rFonts w:ascii="Times New Roman" w:hAnsi="Times New Roman" w:cs="Times New Roman"/>
                <w:i/>
                <w:sz w:val="20"/>
                <w:lang w:val="sk-SK"/>
              </w:rPr>
            </w:pPr>
            <w:r>
              <w:rPr>
                <w:rFonts w:ascii="Times New Roman" w:hAnsi="Times New Roman" w:cs="Times New Roman"/>
                <w:i/>
                <w:sz w:val="20"/>
                <w:lang w:val="sk-SK"/>
              </w:rPr>
              <w:t>- meno, priezvisko</w:t>
            </w:r>
            <w:r w:rsidRPr="00097B7D">
              <w:rPr>
                <w:rFonts w:ascii="Times New Roman" w:hAnsi="Times New Roman" w:cs="Times New Roman"/>
                <w:i/>
                <w:sz w:val="20"/>
                <w:lang w:val="sk-SK"/>
              </w:rPr>
              <w:t xml:space="preserve">, </w:t>
            </w:r>
            <w:r w:rsidR="00631339" w:rsidRPr="00097B7D">
              <w:rPr>
                <w:rFonts w:ascii="Times New Roman" w:hAnsi="Times New Roman" w:cs="Times New Roman"/>
                <w:i/>
                <w:sz w:val="20"/>
                <w:lang w:val="sk-SK"/>
              </w:rPr>
              <w:t>rodné priezvisko</w:t>
            </w:r>
          </w:p>
        </w:tc>
      </w:tr>
      <w:tr w:rsidR="00C32CD8" w:rsidRPr="00695318" w:rsidTr="00097B7D">
        <w:tc>
          <w:tcPr>
            <w:tcW w:w="4962" w:type="dxa"/>
          </w:tcPr>
          <w:p w:rsidR="00C32CD8" w:rsidRPr="008850B1" w:rsidRDefault="00C32CD8" w:rsidP="00C32CD8">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ZDROJ OSOBNÝCH ÚDAJOV </w:t>
            </w:r>
          </w:p>
        </w:tc>
        <w:tc>
          <w:tcPr>
            <w:tcW w:w="4110" w:type="dxa"/>
          </w:tcPr>
          <w:p w:rsidR="0017444D" w:rsidRPr="00CF2A38" w:rsidRDefault="00534357" w:rsidP="00BA41F6">
            <w:pPr>
              <w:spacing w:line="240" w:lineRule="auto"/>
              <w:ind w:right="566"/>
              <w:rPr>
                <w:rFonts w:ascii="Times New Roman" w:hAnsi="Times New Roman" w:cs="Times New Roman"/>
                <w:i/>
                <w:sz w:val="20"/>
                <w:lang w:val="sk-SK"/>
              </w:rPr>
            </w:pPr>
            <w:r w:rsidRPr="00CF2A38">
              <w:rPr>
                <w:rFonts w:ascii="Times New Roman" w:hAnsi="Times New Roman" w:cs="Times New Roman"/>
                <w:i/>
                <w:sz w:val="20"/>
                <w:lang w:val="sk-SK"/>
              </w:rPr>
              <w:t xml:space="preserve">Od </w:t>
            </w:r>
            <w:r w:rsidR="00BA41F6">
              <w:rPr>
                <w:rFonts w:ascii="Times New Roman" w:hAnsi="Times New Roman" w:cs="Times New Roman"/>
                <w:i/>
                <w:sz w:val="20"/>
                <w:lang w:val="sk-SK"/>
              </w:rPr>
              <w:t>asistenta poslanca</w:t>
            </w:r>
            <w:r w:rsidRPr="00CF2A38">
              <w:rPr>
                <w:rFonts w:ascii="Times New Roman" w:hAnsi="Times New Roman" w:cs="Times New Roman"/>
                <w:i/>
                <w:sz w:val="20"/>
                <w:lang w:val="sk-SK"/>
              </w:rPr>
              <w:t xml:space="preserve"> </w:t>
            </w:r>
          </w:p>
        </w:tc>
      </w:tr>
      <w:tr w:rsidR="00C32CD8" w:rsidRPr="00695318" w:rsidTr="00097B7D">
        <w:tc>
          <w:tcPr>
            <w:tcW w:w="4962"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PRÍJEMCA OSOBNÝCH ÚDAJOV</w:t>
            </w:r>
          </w:p>
        </w:tc>
        <w:tc>
          <w:tcPr>
            <w:tcW w:w="4110" w:type="dxa"/>
          </w:tcPr>
          <w:p w:rsidR="00425938" w:rsidRDefault="00425938" w:rsidP="00BA41F6">
            <w:pPr>
              <w:spacing w:after="0" w:line="240" w:lineRule="auto"/>
              <w:ind w:right="283"/>
              <w:rPr>
                <w:rFonts w:ascii="Times New Roman" w:hAnsi="Times New Roman" w:cs="Times New Roman"/>
                <w:i/>
                <w:sz w:val="20"/>
                <w:lang w:val="sk-SK"/>
              </w:rPr>
            </w:pPr>
            <w:r>
              <w:rPr>
                <w:rFonts w:ascii="Times New Roman" w:hAnsi="Times New Roman" w:cs="Times New Roman"/>
                <w:i/>
                <w:sz w:val="20"/>
                <w:lang w:val="sk-SK"/>
              </w:rPr>
              <w:t xml:space="preserve">- </w:t>
            </w:r>
            <w:r w:rsidR="00BC1753">
              <w:rPr>
                <w:rFonts w:ascii="Times New Roman" w:hAnsi="Times New Roman" w:cs="Times New Roman"/>
                <w:i/>
                <w:sz w:val="20"/>
                <w:lang w:val="sk-SK"/>
              </w:rPr>
              <w:t>Zamestnanci/št</w:t>
            </w:r>
            <w:r>
              <w:rPr>
                <w:rFonts w:ascii="Times New Roman" w:hAnsi="Times New Roman" w:cs="Times New Roman"/>
                <w:i/>
                <w:sz w:val="20"/>
                <w:lang w:val="sk-SK"/>
              </w:rPr>
              <w:t>átni zamestnanci Kancelárie Národnej rady SR</w:t>
            </w:r>
          </w:p>
          <w:p w:rsidR="00F27FD8" w:rsidRPr="00BA41F6" w:rsidRDefault="00631339" w:rsidP="00631339">
            <w:pPr>
              <w:spacing w:after="0" w:line="240" w:lineRule="auto"/>
              <w:ind w:right="283"/>
              <w:rPr>
                <w:rFonts w:ascii="Times New Roman" w:hAnsi="Times New Roman" w:cs="Times New Roman"/>
                <w:i/>
                <w:sz w:val="20"/>
                <w:lang w:val="sk-SK"/>
              </w:rPr>
            </w:pPr>
            <w:r w:rsidRPr="00097B7D">
              <w:rPr>
                <w:rFonts w:ascii="Times New Roman" w:hAnsi="Times New Roman" w:cs="Times New Roman"/>
                <w:i/>
                <w:sz w:val="20"/>
                <w:lang w:val="sk-SK"/>
              </w:rPr>
              <w:t>- Generálna prokuratúra SR</w:t>
            </w:r>
          </w:p>
        </w:tc>
      </w:tr>
      <w:tr w:rsidR="00C32CD8" w:rsidRPr="00695318" w:rsidTr="00BA41F6">
        <w:trPr>
          <w:trHeight w:val="501"/>
        </w:trPr>
        <w:tc>
          <w:tcPr>
            <w:tcW w:w="4962"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lastRenderedPageBreak/>
              <w:t>DOBA UCHOVÁVANIA OSOBNÝCH ÚDAJOV</w:t>
            </w:r>
          </w:p>
        </w:tc>
        <w:tc>
          <w:tcPr>
            <w:tcW w:w="4110" w:type="dxa"/>
          </w:tcPr>
          <w:p w:rsidR="00C32CD8" w:rsidRPr="00843631" w:rsidRDefault="00BA41F6" w:rsidP="00485186">
            <w:pPr>
              <w:spacing w:line="240" w:lineRule="auto"/>
              <w:ind w:right="283"/>
              <w:rPr>
                <w:rFonts w:ascii="Times New Roman" w:hAnsi="Times New Roman" w:cs="Times New Roman"/>
                <w:i/>
                <w:color w:val="000000" w:themeColor="text1"/>
                <w:sz w:val="20"/>
                <w:lang w:val="sk-SK"/>
              </w:rPr>
            </w:pPr>
            <w:r>
              <w:rPr>
                <w:rFonts w:ascii="Times New Roman" w:hAnsi="Times New Roman" w:cs="Times New Roman"/>
                <w:i/>
                <w:color w:val="000000" w:themeColor="text1"/>
                <w:sz w:val="20"/>
                <w:lang w:val="sk-SK"/>
              </w:rPr>
              <w:t>1 rok odo dňa poskytnutia osobných údajov</w:t>
            </w:r>
          </w:p>
        </w:tc>
      </w:tr>
      <w:tr w:rsidR="00C32CD8" w:rsidRPr="00695318" w:rsidTr="00097B7D">
        <w:trPr>
          <w:trHeight w:val="608"/>
        </w:trPr>
        <w:tc>
          <w:tcPr>
            <w:tcW w:w="4962"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PRENOS OSOBNÝCH ÚDAJOV DO TRETEJ </w:t>
            </w:r>
          </w:p>
          <w:p w:rsidR="0017444D"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KRAJINY ALEBO MEDZINÁRODNEJ ORGANIZÁCII</w:t>
            </w:r>
          </w:p>
          <w:p w:rsidR="0017444D" w:rsidRPr="00A279C4" w:rsidRDefault="0017444D" w:rsidP="00C32CD8">
            <w:pPr>
              <w:spacing w:after="0" w:line="240" w:lineRule="auto"/>
              <w:rPr>
                <w:rFonts w:ascii="Times New Roman" w:hAnsi="Times New Roman" w:cs="Times New Roman"/>
                <w:b/>
                <w:i/>
                <w:sz w:val="20"/>
                <w:lang w:val="sk-SK"/>
              </w:rPr>
            </w:pPr>
          </w:p>
        </w:tc>
        <w:tc>
          <w:tcPr>
            <w:tcW w:w="4110" w:type="dxa"/>
          </w:tcPr>
          <w:p w:rsidR="00C32CD8" w:rsidRPr="007C37D1" w:rsidRDefault="0017444D" w:rsidP="00C66DC6">
            <w:pPr>
              <w:spacing w:line="240" w:lineRule="auto"/>
              <w:ind w:right="283"/>
              <w:rPr>
                <w:rFonts w:ascii="Times New Roman" w:hAnsi="Times New Roman" w:cs="Times New Roman"/>
                <w:i/>
                <w:sz w:val="20"/>
                <w:lang w:val="sk-SK"/>
              </w:rPr>
            </w:pPr>
            <w:r>
              <w:rPr>
                <w:rFonts w:ascii="Times New Roman" w:hAnsi="Times New Roman" w:cs="Times New Roman"/>
                <w:i/>
                <w:sz w:val="20"/>
                <w:lang w:val="sk-SK"/>
              </w:rPr>
              <w:t>Nie je</w:t>
            </w:r>
          </w:p>
        </w:tc>
      </w:tr>
      <w:tr w:rsidR="00C32CD8" w:rsidRPr="00695318" w:rsidTr="00097B7D">
        <w:tc>
          <w:tcPr>
            <w:tcW w:w="4962"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AUTOMATIZOVANÉ ROZHODOVANIE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ZALOŽENÉ VÝHRADNE NA AUTOMATIZOVANOM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SPRACÚVANÍ OSOBNÝCH ÚDAJOV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(VRÁTANE PROFILOVANIA)</w:t>
            </w:r>
          </w:p>
        </w:tc>
        <w:tc>
          <w:tcPr>
            <w:tcW w:w="4110" w:type="dxa"/>
          </w:tcPr>
          <w:p w:rsidR="00C32CD8" w:rsidRPr="007C37D1" w:rsidRDefault="009F6676"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 je</w:t>
            </w:r>
          </w:p>
          <w:p w:rsidR="00C32CD8" w:rsidRPr="007C37D1" w:rsidRDefault="00C32CD8" w:rsidP="00C32CD8">
            <w:pPr>
              <w:spacing w:line="240" w:lineRule="auto"/>
              <w:rPr>
                <w:rFonts w:ascii="Times New Roman" w:hAnsi="Times New Roman" w:cs="Times New Roman"/>
                <w:i/>
                <w:sz w:val="20"/>
                <w:lang w:val="sk-SK"/>
              </w:rPr>
            </w:pPr>
          </w:p>
        </w:tc>
      </w:tr>
    </w:tbl>
    <w:p w:rsidR="00C66DC6" w:rsidRDefault="00C66DC6" w:rsidP="008850B1">
      <w:pPr>
        <w:spacing w:after="0" w:line="240" w:lineRule="auto"/>
        <w:rPr>
          <w:rFonts w:cs="Times New Roman"/>
          <w:b/>
          <w:color w:val="002060"/>
          <w:sz w:val="20"/>
          <w:szCs w:val="20"/>
          <w:u w:val="single"/>
        </w:rPr>
      </w:pPr>
    </w:p>
    <w:p w:rsidR="0088728D" w:rsidRDefault="0088728D" w:rsidP="008850B1">
      <w:pPr>
        <w:spacing w:after="0" w:line="240" w:lineRule="auto"/>
        <w:rPr>
          <w:rFonts w:cs="Times New Roman"/>
          <w:b/>
          <w:color w:val="002060"/>
          <w:sz w:val="20"/>
          <w:szCs w:val="20"/>
          <w:u w:val="single"/>
        </w:rPr>
      </w:pPr>
    </w:p>
    <w:p w:rsidR="0088728D" w:rsidRDefault="0088728D" w:rsidP="008850B1">
      <w:pPr>
        <w:spacing w:after="0" w:line="240" w:lineRule="auto"/>
        <w:rPr>
          <w:rFonts w:cs="Times New Roman"/>
          <w:b/>
          <w:color w:val="002060"/>
          <w:sz w:val="20"/>
          <w:szCs w:val="20"/>
          <w:u w:val="single"/>
        </w:rPr>
      </w:pPr>
    </w:p>
    <w:p w:rsidR="00A03A82" w:rsidRPr="00C66DC6" w:rsidRDefault="007C37D1" w:rsidP="008850B1">
      <w:pPr>
        <w:spacing w:after="0" w:line="240" w:lineRule="auto"/>
        <w:rPr>
          <w:rFonts w:cs="Times New Roman"/>
          <w:b/>
          <w:color w:val="002060"/>
          <w:sz w:val="20"/>
          <w:szCs w:val="20"/>
          <w:u w:val="single"/>
        </w:rPr>
      </w:pPr>
      <w:r w:rsidRPr="00C66DC6">
        <w:rPr>
          <w:rFonts w:cs="Times New Roman"/>
          <w:b/>
          <w:color w:val="002060"/>
          <w:sz w:val="20"/>
          <w:szCs w:val="20"/>
          <w:u w:val="single"/>
        </w:rPr>
        <w:t>PRÁVA DOTKNUTEJ OSOBY</w:t>
      </w:r>
    </w:p>
    <w:p w:rsidR="007C37D1" w:rsidRPr="007C37D1" w:rsidRDefault="007C37D1" w:rsidP="008850B1">
      <w:pPr>
        <w:spacing w:after="0" w:line="240" w:lineRule="auto"/>
        <w:rPr>
          <w:rFonts w:cs="Times New Roman"/>
          <w:b/>
          <w:color w:val="70AD47" w:themeColor="accent6"/>
          <w:sz w:val="20"/>
          <w:szCs w:val="20"/>
          <w:u w:val="single"/>
        </w:rPr>
      </w:pPr>
    </w:p>
    <w:p w:rsidR="00695318" w:rsidRPr="00C14C8E" w:rsidRDefault="00695318" w:rsidP="0053233B">
      <w:pPr>
        <w:spacing w:after="0" w:line="240" w:lineRule="auto"/>
        <w:rPr>
          <w:sz w:val="20"/>
          <w:szCs w:val="20"/>
        </w:rPr>
      </w:pPr>
      <w:r w:rsidRPr="00C14C8E">
        <w:rPr>
          <w:sz w:val="20"/>
          <w:szCs w:val="20"/>
        </w:rPr>
        <w:t>Dotknutá osoba, ktorej osobné údaje sú spracúvané Kanceláriou NR SR, má právo od Kancelárie NR SR požadovať:</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opravu,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vymazanie alebo </w:t>
      </w:r>
    </w:p>
    <w:p w:rsidR="00695318" w:rsidRPr="007C37D1" w:rsidRDefault="00695318" w:rsidP="008850B1">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rsidR="007C37D1" w:rsidRPr="007C37D1" w:rsidRDefault="007C37D1" w:rsidP="008850B1">
      <w:pPr>
        <w:pStyle w:val="Odsekzoznamu"/>
        <w:ind w:right="567"/>
        <w:jc w:val="both"/>
        <w:rPr>
          <w:sz w:val="20"/>
          <w:szCs w:val="20"/>
        </w:rPr>
      </w:pPr>
    </w:p>
    <w:p w:rsidR="00695318" w:rsidRPr="00C14C8E" w:rsidRDefault="00695318" w:rsidP="0053233B">
      <w:pPr>
        <w:spacing w:after="0" w:line="240" w:lineRule="auto"/>
        <w:ind w:right="567"/>
        <w:rPr>
          <w:sz w:val="20"/>
          <w:szCs w:val="20"/>
        </w:rPr>
      </w:pPr>
      <w:r w:rsidRPr="00C14C8E">
        <w:rPr>
          <w:sz w:val="20"/>
          <w:szCs w:val="20"/>
        </w:rPr>
        <w:t xml:space="preserve">Dotknutá osoba, ktorej osobné údaje sú spracúvané Kanceláriou NR SR, má súčasne právo: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právo na prenosnosť týchto údajov.</w:t>
      </w:r>
    </w:p>
    <w:p w:rsidR="00695318" w:rsidRPr="00C14C8E" w:rsidRDefault="00695318" w:rsidP="008850B1">
      <w:pPr>
        <w:pStyle w:val="Odsekzoznamu"/>
        <w:ind w:right="567"/>
        <w:jc w:val="both"/>
        <w:rPr>
          <w:sz w:val="20"/>
          <w:szCs w:val="20"/>
        </w:rPr>
      </w:pPr>
    </w:p>
    <w:p w:rsidR="008850B1" w:rsidRPr="00BC1753" w:rsidRDefault="00695318" w:rsidP="00BC1753">
      <w:pPr>
        <w:tabs>
          <w:tab w:val="left" w:pos="7088"/>
        </w:tabs>
        <w:spacing w:line="240" w:lineRule="auto"/>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má právo podať sťažnosť dozornému orgánu, ktorým sa rozumie Úrad na ochranu osobných údajov Slovenskej republiky, Hraničná 12, 820 07 Bratislava.</w:t>
      </w:r>
    </w:p>
    <w:p w:rsidR="00767B16" w:rsidRPr="00284468" w:rsidRDefault="008850B1" w:rsidP="00BC1753">
      <w:pPr>
        <w:tabs>
          <w:tab w:val="left" w:pos="7088"/>
        </w:tabs>
        <w:spacing w:after="0" w:line="240" w:lineRule="auto"/>
        <w:rPr>
          <w:rFonts w:cs="Times New Roman"/>
          <w:b/>
          <w:color w:val="002060"/>
          <w:sz w:val="20"/>
          <w:szCs w:val="20"/>
        </w:rPr>
      </w:pPr>
      <w:r w:rsidRPr="00284468">
        <w:rPr>
          <w:rFonts w:cs="Times New Roman"/>
          <w:b/>
          <w:color w:val="002060"/>
          <w:sz w:val="20"/>
          <w:szCs w:val="20"/>
        </w:rPr>
        <w:t xml:space="preserve">Ak poskytnutie osobných údajov vyplýva </w:t>
      </w:r>
      <w:r w:rsidRPr="00284468">
        <w:rPr>
          <w:rFonts w:cs="Times New Roman"/>
          <w:b/>
          <w:color w:val="002060"/>
          <w:sz w:val="20"/>
          <w:szCs w:val="20"/>
          <w:u w:val="single"/>
        </w:rPr>
        <w:t>z</w:t>
      </w:r>
      <w:r w:rsidR="00767B16" w:rsidRPr="00284468">
        <w:rPr>
          <w:rFonts w:cs="Times New Roman"/>
          <w:b/>
          <w:color w:val="002060"/>
          <w:sz w:val="20"/>
          <w:szCs w:val="20"/>
          <w:u w:val="single"/>
        </w:rPr>
        <w:t>o zákona</w:t>
      </w:r>
      <w:r w:rsidR="00BC1753" w:rsidRPr="00284468">
        <w:rPr>
          <w:rFonts w:cs="Times New Roman"/>
          <w:b/>
          <w:color w:val="002060"/>
          <w:sz w:val="20"/>
          <w:szCs w:val="20"/>
          <w:u w:val="single"/>
        </w:rPr>
        <w:t>,</w:t>
      </w:r>
      <w:r w:rsidRPr="00284468">
        <w:rPr>
          <w:rFonts w:cs="Times New Roman"/>
          <w:b/>
          <w:color w:val="002060"/>
          <w:sz w:val="20"/>
          <w:szCs w:val="20"/>
        </w:rPr>
        <w:t xml:space="preserve"> je </w:t>
      </w:r>
      <w:r w:rsidR="00D3133D" w:rsidRPr="00284468">
        <w:rPr>
          <w:rFonts w:cs="Times New Roman"/>
          <w:b/>
          <w:color w:val="002060"/>
          <w:sz w:val="20"/>
          <w:szCs w:val="20"/>
        </w:rPr>
        <w:t xml:space="preserve">to </w:t>
      </w:r>
      <w:r w:rsidRPr="00284468">
        <w:rPr>
          <w:rFonts w:cs="Times New Roman"/>
          <w:b/>
          <w:color w:val="002060"/>
          <w:sz w:val="20"/>
          <w:szCs w:val="20"/>
        </w:rPr>
        <w:t xml:space="preserve">nevyhnutné na účely realizácie všetkých krokov a činností </w:t>
      </w:r>
      <w:r w:rsidR="00767B16" w:rsidRPr="00284468">
        <w:rPr>
          <w:rFonts w:cs="Times New Roman"/>
          <w:b/>
          <w:color w:val="002060"/>
          <w:sz w:val="20"/>
          <w:szCs w:val="20"/>
        </w:rPr>
        <w:t>v zmysle zákona</w:t>
      </w:r>
      <w:r w:rsidRPr="00284468">
        <w:rPr>
          <w:rFonts w:cs="Times New Roman"/>
          <w:b/>
          <w:color w:val="002060"/>
          <w:sz w:val="20"/>
          <w:szCs w:val="20"/>
        </w:rPr>
        <w:t xml:space="preserve">. </w:t>
      </w:r>
      <w:r w:rsidRPr="00284468">
        <w:rPr>
          <w:rFonts w:cs="Times New Roman"/>
          <w:b/>
          <w:color w:val="002060"/>
          <w:sz w:val="20"/>
          <w:szCs w:val="20"/>
          <w:u w:val="single"/>
        </w:rPr>
        <w:t>Neposkytnutie osobných údajov</w:t>
      </w:r>
      <w:r w:rsidRPr="00284468">
        <w:rPr>
          <w:rFonts w:cs="Times New Roman"/>
          <w:b/>
          <w:color w:val="002060"/>
          <w:sz w:val="20"/>
          <w:szCs w:val="20"/>
        </w:rPr>
        <w:t xml:space="preserve"> Kancelárii NR SR znemožní plnenie  úloh </w:t>
      </w:r>
      <w:r w:rsidR="00767B16" w:rsidRPr="00284468">
        <w:rPr>
          <w:rFonts w:cs="Times New Roman"/>
          <w:b/>
          <w:color w:val="002060"/>
          <w:sz w:val="20"/>
          <w:szCs w:val="20"/>
        </w:rPr>
        <w:t xml:space="preserve">v zmysle zákona </w:t>
      </w:r>
      <w:r w:rsidRPr="00284468">
        <w:rPr>
          <w:rFonts w:cs="Times New Roman"/>
          <w:b/>
          <w:color w:val="002060"/>
          <w:sz w:val="20"/>
          <w:szCs w:val="20"/>
        </w:rPr>
        <w:t xml:space="preserve">s dotknutou osobou. </w:t>
      </w:r>
    </w:p>
    <w:p w:rsidR="00767B16" w:rsidRPr="00284468" w:rsidRDefault="00767B16" w:rsidP="00BC1753">
      <w:pPr>
        <w:tabs>
          <w:tab w:val="left" w:pos="7088"/>
        </w:tabs>
        <w:spacing w:after="0" w:line="240" w:lineRule="auto"/>
        <w:rPr>
          <w:rFonts w:cs="Times New Roman"/>
          <w:b/>
          <w:color w:val="002060"/>
          <w:sz w:val="20"/>
          <w:szCs w:val="20"/>
        </w:rPr>
      </w:pPr>
    </w:p>
    <w:p w:rsidR="00767B16" w:rsidRPr="00284468" w:rsidRDefault="008850B1" w:rsidP="00BC1753">
      <w:pPr>
        <w:tabs>
          <w:tab w:val="left" w:pos="7088"/>
        </w:tabs>
        <w:spacing w:after="0" w:line="240" w:lineRule="auto"/>
        <w:rPr>
          <w:b/>
          <w:color w:val="002060"/>
          <w:sz w:val="20"/>
        </w:rPr>
      </w:pPr>
      <w:r w:rsidRPr="00284468">
        <w:rPr>
          <w:b/>
          <w:color w:val="002060"/>
          <w:sz w:val="20"/>
        </w:rPr>
        <w:t xml:space="preserve">Z vyššie uvedených dôvodov dotknutá osoba </w:t>
      </w:r>
      <w:r w:rsidRPr="00284468">
        <w:rPr>
          <w:b/>
          <w:color w:val="002060"/>
          <w:sz w:val="20"/>
          <w:u w:val="single"/>
        </w:rPr>
        <w:t>je povinná</w:t>
      </w:r>
      <w:r w:rsidRPr="00284468">
        <w:rPr>
          <w:b/>
          <w:color w:val="002060"/>
          <w:sz w:val="20"/>
        </w:rPr>
        <w:t xml:space="preserve"> poskytnúť osobné údaje. V prípade neposkytnutia osobných údajov </w:t>
      </w:r>
      <w:r w:rsidRPr="00284468">
        <w:rPr>
          <w:b/>
          <w:color w:val="002060"/>
          <w:sz w:val="20"/>
          <w:u w:val="single"/>
        </w:rPr>
        <w:t>môže dôjsť k neplneniu povinností</w:t>
      </w:r>
      <w:r w:rsidRPr="00284468">
        <w:rPr>
          <w:b/>
          <w:color w:val="002060"/>
          <w:sz w:val="20"/>
        </w:rPr>
        <w:t xml:space="preserve"> prevádzkovateľa vyplývajúcich mu z</w:t>
      </w:r>
      <w:r w:rsidR="00767B16" w:rsidRPr="00284468">
        <w:rPr>
          <w:b/>
          <w:color w:val="002060"/>
          <w:sz w:val="20"/>
        </w:rPr>
        <w:t xml:space="preserve">o zákona </w:t>
      </w:r>
      <w:r w:rsidRPr="00284468">
        <w:rPr>
          <w:b/>
          <w:color w:val="002060"/>
          <w:sz w:val="20"/>
        </w:rPr>
        <w:t>s dotknutou osobou.</w:t>
      </w:r>
      <w:r w:rsidR="00767B16" w:rsidRPr="00284468">
        <w:rPr>
          <w:b/>
          <w:color w:val="002060"/>
          <w:sz w:val="20"/>
        </w:rPr>
        <w:t xml:space="preserve"> </w:t>
      </w:r>
    </w:p>
    <w:p w:rsidR="00767B16" w:rsidRPr="00284468" w:rsidRDefault="00767B16" w:rsidP="00BC1753">
      <w:pPr>
        <w:tabs>
          <w:tab w:val="left" w:pos="7088"/>
        </w:tabs>
        <w:spacing w:after="0" w:line="240" w:lineRule="auto"/>
        <w:rPr>
          <w:b/>
          <w:color w:val="002060"/>
          <w:sz w:val="20"/>
        </w:rPr>
      </w:pPr>
    </w:p>
    <w:p w:rsidR="00767B16" w:rsidRPr="00284468" w:rsidRDefault="00695318" w:rsidP="00515700">
      <w:pPr>
        <w:tabs>
          <w:tab w:val="left" w:pos="7088"/>
        </w:tabs>
        <w:spacing w:after="0" w:line="240" w:lineRule="auto"/>
        <w:rPr>
          <w:rFonts w:cs="Times New Roman"/>
          <w:b/>
          <w:color w:val="002060"/>
          <w:sz w:val="20"/>
          <w:szCs w:val="20"/>
        </w:rPr>
      </w:pPr>
      <w:r w:rsidRPr="00284468">
        <w:rPr>
          <w:b/>
          <w:color w:val="002060"/>
          <w:sz w:val="20"/>
          <w:szCs w:val="20"/>
          <w:u w:val="single"/>
        </w:rPr>
        <w:t>Dotknutá osoba je povinná poskytovať iba správne a aktuálne osobné údaje a povinná bezodkladne  informovať prevádzkovateľa o zmene svojich údajov.</w:t>
      </w:r>
    </w:p>
    <w:p w:rsidR="00284468" w:rsidRDefault="00284468" w:rsidP="008850B1">
      <w:pPr>
        <w:spacing w:line="240" w:lineRule="auto"/>
        <w:ind w:right="566"/>
        <w:rPr>
          <w:b/>
          <w:sz w:val="20"/>
          <w:szCs w:val="20"/>
        </w:rPr>
      </w:pPr>
    </w:p>
    <w:p w:rsidR="0017444D" w:rsidRDefault="0017444D" w:rsidP="008850B1">
      <w:pPr>
        <w:spacing w:line="240" w:lineRule="auto"/>
        <w:ind w:right="566"/>
        <w:rPr>
          <w:b/>
          <w:sz w:val="20"/>
          <w:szCs w:val="20"/>
        </w:rPr>
      </w:pPr>
    </w:p>
    <w:p w:rsidR="0017444D" w:rsidRDefault="0017444D" w:rsidP="008850B1">
      <w:pPr>
        <w:spacing w:line="240" w:lineRule="auto"/>
        <w:ind w:right="566"/>
        <w:rPr>
          <w:b/>
          <w:sz w:val="20"/>
          <w:szCs w:val="20"/>
        </w:rPr>
      </w:pPr>
    </w:p>
    <w:p w:rsidR="0017444D" w:rsidRDefault="0017444D" w:rsidP="008850B1">
      <w:pPr>
        <w:spacing w:line="240" w:lineRule="auto"/>
        <w:ind w:right="566"/>
        <w:rPr>
          <w:b/>
          <w:sz w:val="20"/>
          <w:szCs w:val="20"/>
        </w:rPr>
      </w:pPr>
    </w:p>
    <w:p w:rsidR="0017444D" w:rsidRDefault="0017444D" w:rsidP="008850B1">
      <w:pPr>
        <w:spacing w:line="240" w:lineRule="auto"/>
        <w:ind w:right="566"/>
        <w:rPr>
          <w:b/>
          <w:sz w:val="20"/>
          <w:szCs w:val="20"/>
        </w:rPr>
      </w:pPr>
    </w:p>
    <w:p w:rsidR="00695318" w:rsidRPr="00C14C8E" w:rsidRDefault="00695318" w:rsidP="008850B1">
      <w:pPr>
        <w:spacing w:line="240" w:lineRule="auto"/>
        <w:ind w:right="566"/>
        <w:rPr>
          <w:b/>
          <w:sz w:val="20"/>
          <w:szCs w:val="20"/>
        </w:rPr>
      </w:pPr>
      <w:r w:rsidRPr="00C14C8E">
        <w:rPr>
          <w:b/>
          <w:sz w:val="20"/>
          <w:szCs w:val="20"/>
        </w:rPr>
        <w:t>____</w:t>
      </w:r>
      <w:r w:rsidR="00BA41F6">
        <w:rPr>
          <w:b/>
          <w:sz w:val="20"/>
          <w:szCs w:val="20"/>
        </w:rPr>
        <w:t>_______</w:t>
      </w:r>
    </w:p>
    <w:p w:rsidR="00695318" w:rsidRPr="00E20490" w:rsidRDefault="00695318" w:rsidP="008850B1">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w:t>
      </w:r>
      <w:r w:rsidR="00BA41F6">
        <w:rPr>
          <w:i/>
          <w:sz w:val="18"/>
          <w:szCs w:val="18"/>
        </w:rPr>
        <w:t>4</w:t>
      </w:r>
      <w:r w:rsidRPr="00E20490">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rsidR="00695318" w:rsidRPr="00E20490" w:rsidRDefault="00695318" w:rsidP="008850B1">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695318" w:rsidRPr="00E20490" w:rsidRDefault="00695318" w:rsidP="008850B1">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sectPr w:rsidR="00695318" w:rsidRPr="00E20490" w:rsidSect="00FD7D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FB5" w:rsidRDefault="00F83FB5" w:rsidP="00C32CD8">
      <w:pPr>
        <w:spacing w:after="0" w:line="240" w:lineRule="auto"/>
      </w:pPr>
      <w:r>
        <w:separator/>
      </w:r>
    </w:p>
  </w:endnote>
  <w:endnote w:type="continuationSeparator" w:id="0">
    <w:p w:rsidR="00F83FB5" w:rsidRDefault="00F83FB5"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FB5" w:rsidRDefault="00F83FB5" w:rsidP="00C32CD8">
      <w:pPr>
        <w:spacing w:after="0" w:line="240" w:lineRule="auto"/>
      </w:pPr>
      <w:r>
        <w:separator/>
      </w:r>
    </w:p>
  </w:footnote>
  <w:footnote w:type="continuationSeparator" w:id="0">
    <w:p w:rsidR="00F83FB5" w:rsidRDefault="00F83FB5"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0D4"/>
    <w:multiLevelType w:val="hybridMultilevel"/>
    <w:tmpl w:val="027CC80A"/>
    <w:lvl w:ilvl="0" w:tplc="202A6480">
      <w:start w:val="1"/>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D2D80"/>
    <w:multiLevelType w:val="hybridMultilevel"/>
    <w:tmpl w:val="8F7C1F48"/>
    <w:lvl w:ilvl="0" w:tplc="1DF21F98">
      <w:start w:val="1"/>
      <w:numFmt w:val="bullet"/>
      <w:lvlText w:val="-"/>
      <w:lvlJc w:val="left"/>
      <w:pPr>
        <w:ind w:left="498" w:hanging="360"/>
      </w:pPr>
      <w:rPr>
        <w:rFonts w:ascii="Times New Roman" w:eastAsia="Times New Roman" w:hAnsi="Times New Roman" w:cs="Times New Roman" w:hint="default"/>
      </w:rPr>
    </w:lvl>
    <w:lvl w:ilvl="1" w:tplc="041B0003" w:tentative="1">
      <w:start w:val="1"/>
      <w:numFmt w:val="bullet"/>
      <w:lvlText w:val="o"/>
      <w:lvlJc w:val="left"/>
      <w:pPr>
        <w:ind w:left="1218" w:hanging="360"/>
      </w:pPr>
      <w:rPr>
        <w:rFonts w:ascii="Courier New" w:hAnsi="Courier New" w:cs="Courier New" w:hint="default"/>
      </w:rPr>
    </w:lvl>
    <w:lvl w:ilvl="2" w:tplc="041B0005" w:tentative="1">
      <w:start w:val="1"/>
      <w:numFmt w:val="bullet"/>
      <w:lvlText w:val=""/>
      <w:lvlJc w:val="left"/>
      <w:pPr>
        <w:ind w:left="1938" w:hanging="360"/>
      </w:pPr>
      <w:rPr>
        <w:rFonts w:ascii="Wingdings" w:hAnsi="Wingdings" w:hint="default"/>
      </w:rPr>
    </w:lvl>
    <w:lvl w:ilvl="3" w:tplc="041B0001" w:tentative="1">
      <w:start w:val="1"/>
      <w:numFmt w:val="bullet"/>
      <w:lvlText w:val=""/>
      <w:lvlJc w:val="left"/>
      <w:pPr>
        <w:ind w:left="2658" w:hanging="360"/>
      </w:pPr>
      <w:rPr>
        <w:rFonts w:ascii="Symbol" w:hAnsi="Symbol" w:hint="default"/>
      </w:rPr>
    </w:lvl>
    <w:lvl w:ilvl="4" w:tplc="041B0003" w:tentative="1">
      <w:start w:val="1"/>
      <w:numFmt w:val="bullet"/>
      <w:lvlText w:val="o"/>
      <w:lvlJc w:val="left"/>
      <w:pPr>
        <w:ind w:left="3378" w:hanging="360"/>
      </w:pPr>
      <w:rPr>
        <w:rFonts w:ascii="Courier New" w:hAnsi="Courier New" w:cs="Courier New" w:hint="default"/>
      </w:rPr>
    </w:lvl>
    <w:lvl w:ilvl="5" w:tplc="041B0005" w:tentative="1">
      <w:start w:val="1"/>
      <w:numFmt w:val="bullet"/>
      <w:lvlText w:val=""/>
      <w:lvlJc w:val="left"/>
      <w:pPr>
        <w:ind w:left="4098" w:hanging="360"/>
      </w:pPr>
      <w:rPr>
        <w:rFonts w:ascii="Wingdings" w:hAnsi="Wingdings" w:hint="default"/>
      </w:rPr>
    </w:lvl>
    <w:lvl w:ilvl="6" w:tplc="041B0001" w:tentative="1">
      <w:start w:val="1"/>
      <w:numFmt w:val="bullet"/>
      <w:lvlText w:val=""/>
      <w:lvlJc w:val="left"/>
      <w:pPr>
        <w:ind w:left="4818" w:hanging="360"/>
      </w:pPr>
      <w:rPr>
        <w:rFonts w:ascii="Symbol" w:hAnsi="Symbol" w:hint="default"/>
      </w:rPr>
    </w:lvl>
    <w:lvl w:ilvl="7" w:tplc="041B0003" w:tentative="1">
      <w:start w:val="1"/>
      <w:numFmt w:val="bullet"/>
      <w:lvlText w:val="o"/>
      <w:lvlJc w:val="left"/>
      <w:pPr>
        <w:ind w:left="5538" w:hanging="360"/>
      </w:pPr>
      <w:rPr>
        <w:rFonts w:ascii="Courier New" w:hAnsi="Courier New" w:cs="Courier New" w:hint="default"/>
      </w:rPr>
    </w:lvl>
    <w:lvl w:ilvl="8" w:tplc="041B0005" w:tentative="1">
      <w:start w:val="1"/>
      <w:numFmt w:val="bullet"/>
      <w:lvlText w:val=""/>
      <w:lvlJc w:val="left"/>
      <w:pPr>
        <w:ind w:left="6258" w:hanging="360"/>
      </w:pPr>
      <w:rPr>
        <w:rFonts w:ascii="Wingdings" w:hAnsi="Wingdings" w:hint="default"/>
      </w:rPr>
    </w:lvl>
  </w:abstractNum>
  <w:abstractNum w:abstractNumId="2" w15:restartNumberingAfterBreak="0">
    <w:nsid w:val="12E03E63"/>
    <w:multiLevelType w:val="hybridMultilevel"/>
    <w:tmpl w:val="9A8A2C82"/>
    <w:lvl w:ilvl="0" w:tplc="B3660052">
      <w:start w:val="1"/>
      <w:numFmt w:val="bullet"/>
      <w:lvlText w:val="-"/>
      <w:lvlJc w:val="left"/>
      <w:pPr>
        <w:ind w:left="720" w:hanging="360"/>
      </w:pPr>
      <w:rPr>
        <w:rFonts w:ascii="Verdana" w:eastAsiaTheme="minorEastAsia"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C7D1E1E"/>
    <w:multiLevelType w:val="hybridMultilevel"/>
    <w:tmpl w:val="62E8D734"/>
    <w:lvl w:ilvl="0" w:tplc="968A8FB4">
      <w:start w:val="1"/>
      <w:numFmt w:val="bullet"/>
      <w:lvlText w:val="-"/>
      <w:lvlJc w:val="left"/>
      <w:pPr>
        <w:ind w:left="405" w:hanging="360"/>
      </w:pPr>
      <w:rPr>
        <w:rFonts w:ascii="Times New Roman" w:eastAsiaTheme="minorEastAsia" w:hAnsi="Times New Roman"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4"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9430FCC"/>
    <w:multiLevelType w:val="hybridMultilevel"/>
    <w:tmpl w:val="0AEA0436"/>
    <w:lvl w:ilvl="0" w:tplc="B298EF9E">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BA566E9"/>
    <w:multiLevelType w:val="hybridMultilevel"/>
    <w:tmpl w:val="2392139C"/>
    <w:lvl w:ilvl="0" w:tplc="3228749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1F7607D"/>
    <w:multiLevelType w:val="hybridMultilevel"/>
    <w:tmpl w:val="0722057A"/>
    <w:lvl w:ilvl="0" w:tplc="98AA46F2">
      <w:start w:val="1"/>
      <w:numFmt w:val="bullet"/>
      <w:lvlText w:val="-"/>
      <w:lvlJc w:val="left"/>
      <w:pPr>
        <w:ind w:left="720" w:hanging="360"/>
      </w:pPr>
      <w:rPr>
        <w:rFonts w:ascii="Times New Roman" w:eastAsiaTheme="minorEastAsia" w:hAnsi="Times New Roman" w:cs="Times New Roman" w:hint="default"/>
        <w:color w:val="002060"/>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5"/>
  </w:num>
  <w:num w:numId="5">
    <w:abstractNumId w:val="2"/>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062B"/>
    <w:rsid w:val="00032839"/>
    <w:rsid w:val="00097B7D"/>
    <w:rsid w:val="00155C7B"/>
    <w:rsid w:val="0015688F"/>
    <w:rsid w:val="0017444D"/>
    <w:rsid w:val="001D5228"/>
    <w:rsid w:val="00284468"/>
    <w:rsid w:val="002B5B49"/>
    <w:rsid w:val="002D2FBC"/>
    <w:rsid w:val="00301CCC"/>
    <w:rsid w:val="003C2132"/>
    <w:rsid w:val="003C4A85"/>
    <w:rsid w:val="003C4D81"/>
    <w:rsid w:val="00425938"/>
    <w:rsid w:val="00485186"/>
    <w:rsid w:val="004D0B13"/>
    <w:rsid w:val="00515700"/>
    <w:rsid w:val="0053233B"/>
    <w:rsid w:val="00534357"/>
    <w:rsid w:val="005674FE"/>
    <w:rsid w:val="005731F3"/>
    <w:rsid w:val="00631339"/>
    <w:rsid w:val="00667A48"/>
    <w:rsid w:val="00695318"/>
    <w:rsid w:val="006B1256"/>
    <w:rsid w:val="00767B16"/>
    <w:rsid w:val="00770009"/>
    <w:rsid w:val="007C37D1"/>
    <w:rsid w:val="007C393E"/>
    <w:rsid w:val="00835614"/>
    <w:rsid w:val="00842055"/>
    <w:rsid w:val="00843631"/>
    <w:rsid w:val="00866365"/>
    <w:rsid w:val="008850B1"/>
    <w:rsid w:val="0088728D"/>
    <w:rsid w:val="008D0921"/>
    <w:rsid w:val="008D1811"/>
    <w:rsid w:val="00926848"/>
    <w:rsid w:val="009314A8"/>
    <w:rsid w:val="0094162D"/>
    <w:rsid w:val="009F6676"/>
    <w:rsid w:val="00A03A82"/>
    <w:rsid w:val="00A279C4"/>
    <w:rsid w:val="00A8785B"/>
    <w:rsid w:val="00A90FDE"/>
    <w:rsid w:val="00AF7BDD"/>
    <w:rsid w:val="00B53A4E"/>
    <w:rsid w:val="00BA41F6"/>
    <w:rsid w:val="00BC1753"/>
    <w:rsid w:val="00BC48BA"/>
    <w:rsid w:val="00C14433"/>
    <w:rsid w:val="00C32CD8"/>
    <w:rsid w:val="00C66DC6"/>
    <w:rsid w:val="00C76B9A"/>
    <w:rsid w:val="00C82EF6"/>
    <w:rsid w:val="00CF2A38"/>
    <w:rsid w:val="00D2115D"/>
    <w:rsid w:val="00D3133D"/>
    <w:rsid w:val="00D54C3A"/>
    <w:rsid w:val="00DB3B5D"/>
    <w:rsid w:val="00DC0BC3"/>
    <w:rsid w:val="00DE315B"/>
    <w:rsid w:val="00E54013"/>
    <w:rsid w:val="00F27FD8"/>
    <w:rsid w:val="00F3177C"/>
    <w:rsid w:val="00F402C4"/>
    <w:rsid w:val="00F46F19"/>
    <w:rsid w:val="00F83FB5"/>
    <w:rsid w:val="00FD528E"/>
    <w:rsid w:val="00FD7DF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DD4E"/>
  <w15:docId w15:val="{7F42A76C-9693-4CF5-B9AF-AE77A66F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AF7B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7BDD"/>
    <w:rPr>
      <w:rFonts w:ascii="Segoe UI" w:eastAsiaTheme="minorEastAsia" w:hAnsi="Segoe UI" w:cs="Segoe UI"/>
      <w:sz w:val="18"/>
      <w:szCs w:val="18"/>
      <w:lang w:eastAsia="sk-SK"/>
    </w:rPr>
  </w:style>
  <w:style w:type="character" w:styleId="Hypertextovprepojenie">
    <w:name w:val="Hyperlink"/>
    <w:basedOn w:val="Predvolenpsmoodseku"/>
    <w:uiPriority w:val="99"/>
    <w:unhideWhenUsed/>
    <w:rsid w:val="00F27F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057A3-7DBF-4357-BA94-C358B655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4180</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Kiklicová, Monika</dc:creator>
  <cp:lastModifiedBy>Kanda, Ivan</cp:lastModifiedBy>
  <cp:revision>3</cp:revision>
  <cp:lastPrinted>2020-01-26T21:06:00Z</cp:lastPrinted>
  <dcterms:created xsi:type="dcterms:W3CDTF">2020-01-29T09:58:00Z</dcterms:created>
  <dcterms:modified xsi:type="dcterms:W3CDTF">2020-03-05T08:15:00Z</dcterms:modified>
</cp:coreProperties>
</file>