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44" w:rsidRPr="00762144" w:rsidRDefault="00762144" w:rsidP="0076214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762144">
        <w:rPr>
          <w:rFonts w:ascii="Times New Roman" w:hAnsi="Times New Roman"/>
          <w:b/>
          <w:bCs/>
          <w:sz w:val="36"/>
          <w:szCs w:val="36"/>
        </w:rPr>
        <w:t>NÁRODNÁ  RADA  SLOVENSKEJ  REPUBLIKY</w:t>
      </w:r>
    </w:p>
    <w:p w:rsidR="00762144" w:rsidRPr="00762144" w:rsidRDefault="00762144" w:rsidP="00762144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2144">
        <w:rPr>
          <w:rFonts w:ascii="Times New Roman" w:hAnsi="Times New Roman"/>
          <w:b/>
          <w:bCs/>
          <w:sz w:val="28"/>
          <w:szCs w:val="28"/>
        </w:rPr>
        <w:t>VII. volebné obdobie</w:t>
      </w:r>
    </w:p>
    <w:p w:rsidR="00762144" w:rsidRPr="00762144" w:rsidRDefault="00762144" w:rsidP="00762144">
      <w:pPr>
        <w:shd w:val="clear" w:color="auto" w:fill="FFFFFF"/>
        <w:spacing w:before="240"/>
        <w:jc w:val="center"/>
        <w:rPr>
          <w:rFonts w:ascii="Times New Roman" w:hAnsi="Times New Roman"/>
          <w:b/>
          <w:bCs/>
        </w:rPr>
      </w:pPr>
    </w:p>
    <w:p w:rsidR="00762144" w:rsidRPr="00762144" w:rsidRDefault="00762144" w:rsidP="00762144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762144" w:rsidRPr="00762144" w:rsidRDefault="005673DD" w:rsidP="00762144">
      <w:pPr>
        <w:shd w:val="clear" w:color="auto" w:fill="FFFFFF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1</w:t>
      </w:r>
      <w:r w:rsidR="009535C8">
        <w:rPr>
          <w:rFonts w:ascii="Times New Roman" w:hAnsi="Times New Roman"/>
          <w:b/>
          <w:bCs/>
          <w:sz w:val="48"/>
          <w:szCs w:val="48"/>
        </w:rPr>
        <w:t>817</w:t>
      </w:r>
    </w:p>
    <w:p w:rsidR="00762144" w:rsidRPr="00762144" w:rsidRDefault="00762144" w:rsidP="0076214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2144" w:rsidRPr="00762144" w:rsidRDefault="00762144" w:rsidP="0076214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2144" w:rsidRPr="00762144" w:rsidRDefault="00762144" w:rsidP="0076214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762144"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762144" w:rsidRPr="00762144" w:rsidRDefault="00762144" w:rsidP="00762144">
      <w:pPr>
        <w:jc w:val="center"/>
        <w:rPr>
          <w:rFonts w:ascii="Times New Roman" w:hAnsi="Times New Roman"/>
          <w:b/>
          <w:sz w:val="24"/>
          <w:szCs w:val="24"/>
        </w:rPr>
      </w:pPr>
      <w:r w:rsidRPr="00762144">
        <w:rPr>
          <w:rFonts w:ascii="Times New Roman" w:hAnsi="Times New Roman"/>
          <w:b/>
          <w:sz w:val="24"/>
          <w:szCs w:val="24"/>
        </w:rPr>
        <w:t>Z Á K O N</w:t>
      </w:r>
    </w:p>
    <w:p w:rsidR="00762144" w:rsidRPr="00762144" w:rsidRDefault="00762144" w:rsidP="00762144">
      <w:pPr>
        <w:jc w:val="center"/>
        <w:rPr>
          <w:rFonts w:ascii="Times New Roman" w:hAnsi="Times New Roman"/>
          <w:b/>
          <w:sz w:val="24"/>
          <w:szCs w:val="24"/>
        </w:rPr>
      </w:pPr>
      <w:r w:rsidRPr="00762144">
        <w:rPr>
          <w:rFonts w:ascii="Times New Roman" w:hAnsi="Times New Roman"/>
          <w:b/>
          <w:sz w:val="24"/>
          <w:szCs w:val="24"/>
        </w:rPr>
        <w:t>z ... 2019,</w:t>
      </w:r>
    </w:p>
    <w:p w:rsidR="00793724" w:rsidRDefault="00793724" w:rsidP="00793724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ktorým sa dopĺňa zákon č. 292/2014 Z. z. o príspevku poskytovanom z európskych štrukturálnych a investičných fondov a o zmene a doplnení niektorých zákonov v znení neskorších predpisov a  ktorým sa dopĺňa zákon č. 323/2015 Z. z. o finančných nástrojoch financovaných z európskych štrukturálnych a investičných fondov a o zmene a doplnení niektorých zákonov v znení neskorších predpisov</w:t>
      </w:r>
    </w:p>
    <w:p w:rsidR="00793724" w:rsidRDefault="00793724" w:rsidP="00793724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93724" w:rsidRDefault="00793724" w:rsidP="00793724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793724" w:rsidRDefault="00793724" w:rsidP="0079372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3724" w:rsidRDefault="00793724" w:rsidP="0079372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5025" w:rsidRDefault="000F5025" w:rsidP="000F5025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0F5025" w:rsidRDefault="000F5025" w:rsidP="000F502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5025" w:rsidRDefault="000F5025" w:rsidP="000F502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292/2014 Z. z. o príspevku poskytovanom z európskych štrukturálnych a investičných fondov a o zmene a doplnení niektorých zákonov v znení zákona č. 357/2015 Z. z., zákona č. 91/2016 Z. z., zákona č. 171/2016 Z. z., zákona č. 315/2016 Z. z., zákona č. 93/2017 Z. z., zákona č. 280/2017 Z. z., zákona č. 112/2018 Z. z. a zákona č. 154/2019 Z. z. sa dopĺňa takto:</w:t>
      </w:r>
    </w:p>
    <w:p w:rsidR="000F5025" w:rsidRDefault="000F5025" w:rsidP="000F502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5025" w:rsidRDefault="000F5025" w:rsidP="000F5025">
      <w:pPr>
        <w:pStyle w:val="Odsekzoznamu"/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3 sa ods. 1 dopĺňa písmenom l), ktoré znie: </w:t>
      </w:r>
    </w:p>
    <w:p w:rsidR="000F5025" w:rsidRDefault="000F5025" w:rsidP="000F5025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„l) </w:t>
      </w:r>
      <w:r w:rsidRPr="0074249B">
        <w:rPr>
          <w:rFonts w:ascii="Times New Roman" w:hAnsi="Times New Roman"/>
          <w:sz w:val="24"/>
          <w:szCs w:val="24"/>
        </w:rPr>
        <w:t xml:space="preserve">zlúčením operačných programov </w:t>
      </w:r>
      <w:r>
        <w:rPr>
          <w:rFonts w:ascii="Times New Roman" w:hAnsi="Times New Roman"/>
          <w:sz w:val="24"/>
          <w:szCs w:val="24"/>
        </w:rPr>
        <w:t>zmena</w:t>
      </w:r>
      <w:r w:rsidRPr="0074249B">
        <w:rPr>
          <w:rFonts w:ascii="Times New Roman" w:hAnsi="Times New Roman"/>
          <w:sz w:val="24"/>
          <w:szCs w:val="24"/>
        </w:rPr>
        <w:t xml:space="preserve"> operačných programov podľa osobitného predpisu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>12a</w:t>
      </w:r>
      <w:r>
        <w:rPr>
          <w:rFonts w:ascii="Times New Roman" w:hAnsi="Times New Roman"/>
          <w:sz w:val="24"/>
          <w:szCs w:val="24"/>
        </w:rPr>
        <w:t>) v dôsledku ktorej</w:t>
      </w:r>
      <w:r w:rsidRPr="0074249B">
        <w:rPr>
          <w:rFonts w:ascii="Times New Roman" w:hAnsi="Times New Roman"/>
          <w:sz w:val="24"/>
          <w:szCs w:val="24"/>
        </w:rPr>
        <w:t xml:space="preserve"> </w:t>
      </w:r>
      <w:r w:rsidRPr="0074249B">
        <w:rPr>
          <w:rFonts w:ascii="Times New Roman" w:hAnsi="Times New Roman"/>
          <w:sz w:val="24"/>
          <w:szCs w:val="24"/>
        </w:rPr>
        <w:t>dochádza k zániku jedného alebo viacerých operačných programov včlenením do iného existujúceho operačného programu, ktorý sa tým stáva nástupníckym operačným programom; zlúčeni</w:t>
      </w:r>
      <w:r>
        <w:rPr>
          <w:rFonts w:ascii="Times New Roman" w:hAnsi="Times New Roman"/>
          <w:sz w:val="24"/>
          <w:szCs w:val="24"/>
        </w:rPr>
        <w:t>e</w:t>
      </w:r>
      <w:r w:rsidRPr="0074249B">
        <w:rPr>
          <w:rFonts w:ascii="Times New Roman" w:hAnsi="Times New Roman"/>
          <w:sz w:val="24"/>
          <w:szCs w:val="24"/>
        </w:rPr>
        <w:t xml:space="preserve"> operačných programov </w:t>
      </w:r>
      <w:r>
        <w:rPr>
          <w:rFonts w:ascii="Times New Roman" w:hAnsi="Times New Roman"/>
          <w:sz w:val="24"/>
          <w:szCs w:val="24"/>
        </w:rPr>
        <w:t>je účinné</w:t>
      </w:r>
      <w:r w:rsidRPr="0074249B">
        <w:rPr>
          <w:rFonts w:ascii="Times New Roman" w:hAnsi="Times New Roman"/>
          <w:sz w:val="24"/>
          <w:szCs w:val="24"/>
        </w:rPr>
        <w:t xml:space="preserve"> dňom nasledujúcim po dni oznámenia o schválení žiadosti o zmenu nástupníckeho operačného programu Európskou komisiou podľa osobitného predpisu</w:t>
      </w:r>
      <w:r>
        <w:rPr>
          <w:rFonts w:ascii="Times New Roman" w:hAnsi="Times New Roman"/>
          <w:sz w:val="24"/>
          <w:szCs w:val="24"/>
        </w:rPr>
        <w:t>,</w:t>
      </w:r>
      <w:r w:rsidRPr="0074249B">
        <w:rPr>
          <w:rFonts w:ascii="Times New Roman" w:hAnsi="Times New Roman"/>
          <w:sz w:val="24"/>
          <w:szCs w:val="24"/>
          <w:vertAlign w:val="superscript"/>
        </w:rPr>
        <w:t>12a</w:t>
      </w:r>
      <w:r w:rsidRPr="00EE7ECC">
        <w:rPr>
          <w:rFonts w:ascii="Times New Roman" w:hAnsi="Times New Roman"/>
          <w:sz w:val="24"/>
          <w:szCs w:val="24"/>
        </w:rPr>
        <w:t>)</w:t>
      </w:r>
      <w:r w:rsidRPr="0074249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4249B">
        <w:rPr>
          <w:rFonts w:ascii="Times New Roman" w:hAnsi="Times New Roman"/>
          <w:sz w:val="24"/>
          <w:szCs w:val="24"/>
        </w:rPr>
        <w:t xml:space="preserve">ktorej obsahom je včlenenie jedného alebo viacerých </w:t>
      </w:r>
      <w:r>
        <w:rPr>
          <w:rFonts w:ascii="Times New Roman" w:hAnsi="Times New Roman"/>
          <w:sz w:val="24"/>
          <w:szCs w:val="24"/>
        </w:rPr>
        <w:t xml:space="preserve">zanikajúcich </w:t>
      </w:r>
      <w:r w:rsidRPr="0074249B">
        <w:rPr>
          <w:rFonts w:ascii="Times New Roman" w:hAnsi="Times New Roman"/>
          <w:sz w:val="24"/>
          <w:szCs w:val="24"/>
        </w:rPr>
        <w:t>operačných programov do iného e</w:t>
      </w:r>
      <w:r>
        <w:rPr>
          <w:rFonts w:ascii="Times New Roman" w:hAnsi="Times New Roman"/>
          <w:sz w:val="24"/>
          <w:szCs w:val="24"/>
        </w:rPr>
        <w:t>xistujúceho operačného programu.“.</w:t>
      </w:r>
    </w:p>
    <w:p w:rsidR="000F5025" w:rsidRDefault="000F5025" w:rsidP="000F5025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F5025" w:rsidRDefault="000F5025" w:rsidP="000F5025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Poznámka pod čiarou k odkazu 12a znie:</w:t>
      </w:r>
    </w:p>
    <w:p w:rsidR="000F5025" w:rsidRPr="0074249B" w:rsidRDefault="000F5025" w:rsidP="000F5025">
      <w:pPr>
        <w:spacing w:after="0"/>
        <w:ind w:left="426"/>
        <w:jc w:val="both"/>
      </w:pPr>
      <w:r>
        <w:rPr>
          <w:rFonts w:ascii="Times New Roman" w:hAnsi="Times New Roman"/>
          <w:sz w:val="24"/>
          <w:szCs w:val="24"/>
        </w:rPr>
        <w:t>„12a) Čl. 30 nariadenia (EÚ) č. 1303/2013 v platnom znení.“.</w:t>
      </w:r>
    </w:p>
    <w:p w:rsidR="000F5025" w:rsidRDefault="000F5025" w:rsidP="000F5025">
      <w:pPr>
        <w:pStyle w:val="Odsekzoznamu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F5025" w:rsidRDefault="000F5025" w:rsidP="000F5025">
      <w:pPr>
        <w:pStyle w:val="Odsekzoznamu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7 ods. 3 sa na konci pripája táto veta: </w:t>
      </w:r>
    </w:p>
    <w:p w:rsidR="000F5025" w:rsidRDefault="000F5025" w:rsidP="000F5025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„Konkrétne rozdelenie úloh medzi riadiacim orgánom a sprostredkovateľským orgánom upraví písomná zmluva podľa § 8 ods. 2.“.</w:t>
      </w:r>
    </w:p>
    <w:p w:rsidR="000F5025" w:rsidRDefault="000F5025" w:rsidP="000F5025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:rsidR="000F5025" w:rsidRDefault="000F5025" w:rsidP="000F5025">
      <w:pPr>
        <w:pStyle w:val="Odsekzoznamu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 sa dopĺňa odsekmi 10 až 12, ktoré znejú:</w:t>
      </w:r>
    </w:p>
    <w:p w:rsidR="000F5025" w:rsidRDefault="000F5025" w:rsidP="000F5025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4249B">
        <w:rPr>
          <w:rFonts w:ascii="Times New Roman" w:hAnsi="Times New Roman"/>
          <w:sz w:val="24"/>
          <w:szCs w:val="24"/>
        </w:rPr>
        <w:t>(10) Ak dôjde k zlúčeniu operačných programov, realizácia zanikajúceho operačného programu podľa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49B">
        <w:rPr>
          <w:rFonts w:ascii="Times New Roman" w:hAnsi="Times New Roman"/>
          <w:sz w:val="24"/>
          <w:szCs w:val="24"/>
        </w:rPr>
        <w:t xml:space="preserve">7 a riadenie </w:t>
      </w:r>
      <w:r w:rsidRPr="00CF793A">
        <w:rPr>
          <w:rFonts w:ascii="Times" w:hAnsi="Times" w:cs="Times"/>
          <w:sz w:val="24"/>
          <w:szCs w:val="24"/>
        </w:rPr>
        <w:t>zanikajúceho operačného programu</w:t>
      </w:r>
      <w:r w:rsidRPr="0074249B">
        <w:rPr>
          <w:rFonts w:ascii="Times New Roman" w:hAnsi="Times New Roman"/>
          <w:sz w:val="24"/>
          <w:szCs w:val="24"/>
        </w:rPr>
        <w:t xml:space="preserve"> podľa osobitného </w:t>
      </w:r>
      <w:r>
        <w:rPr>
          <w:rFonts w:ascii="Times New Roman" w:hAnsi="Times New Roman"/>
          <w:sz w:val="24"/>
          <w:szCs w:val="24"/>
        </w:rPr>
        <w:t>p</w:t>
      </w:r>
      <w:r w:rsidRPr="0074249B">
        <w:rPr>
          <w:rFonts w:ascii="Times New Roman" w:hAnsi="Times New Roman"/>
          <w:sz w:val="24"/>
          <w:szCs w:val="24"/>
        </w:rPr>
        <w:t>redpisu</w:t>
      </w:r>
      <w:r w:rsidRPr="0074249B">
        <w:rPr>
          <w:rStyle w:val="Ukotveniepoznmkypodiarou"/>
          <w:rFonts w:ascii="Times New Roman" w:hAnsi="Times New Roman"/>
          <w:sz w:val="24"/>
          <w:szCs w:val="24"/>
        </w:rPr>
        <w:t>43a</w:t>
      </w:r>
      <w:r w:rsidRPr="00EE7ECC">
        <w:rPr>
          <w:rStyle w:val="Ukotveniepoznmkypodiarou"/>
          <w:rFonts w:ascii="Times New Roman" w:hAnsi="Times New Roman"/>
          <w:sz w:val="24"/>
          <w:szCs w:val="24"/>
        </w:rPr>
        <w:t>)</w:t>
      </w:r>
      <w:r w:rsidRPr="0074249B">
        <w:rPr>
          <w:rFonts w:ascii="Times New Roman" w:hAnsi="Times New Roman"/>
          <w:sz w:val="24"/>
          <w:szCs w:val="24"/>
        </w:rPr>
        <w:t xml:space="preserve"> prechádza na riadiaci orgán nástupníckeho operačného programu, ktorý je právnym nástupcom riadiaceho orgánu zanikajúceho operačného programu v celom rozsahu ku dňu účinnosti zlúčenia operačných programov.</w:t>
      </w:r>
    </w:p>
    <w:p w:rsidR="000F5025" w:rsidRDefault="000F5025" w:rsidP="000F5025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74249B">
        <w:rPr>
          <w:rFonts w:ascii="Times New Roman" w:hAnsi="Times New Roman"/>
          <w:sz w:val="24"/>
          <w:szCs w:val="24"/>
        </w:rPr>
        <w:t xml:space="preserve"> </w:t>
      </w:r>
    </w:p>
    <w:p w:rsidR="000F5025" w:rsidRDefault="000F5025" w:rsidP="000F5025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(11) Ak po zlúčení operačných programov koná podľa odseku 12 alebo podľa § 54  riadiaci orgán zanikajúceho operačného programu, koná v postavení riadiaceho orgánu nástupníckeho operačného programu.</w:t>
      </w:r>
    </w:p>
    <w:p w:rsidR="000F5025" w:rsidRDefault="000F5025" w:rsidP="000F5025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:rsidR="000F5025" w:rsidRDefault="000F5025" w:rsidP="000F5025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(12) Riadiaci orgán zanikajúceho operačného programu je zodpovedný voči riadiacemu orgánu nástupníckeho operačného </w:t>
      </w:r>
      <w:r w:rsidRPr="008D6AF5">
        <w:rPr>
          <w:rFonts w:ascii="Times New Roman" w:hAnsi="Times New Roman"/>
          <w:sz w:val="24"/>
          <w:szCs w:val="24"/>
        </w:rPr>
        <w:t>programu za nedostatky</w:t>
      </w:r>
      <w:r>
        <w:rPr>
          <w:rFonts w:ascii="Times New Roman" w:hAnsi="Times New Roman"/>
          <w:sz w:val="24"/>
          <w:szCs w:val="24"/>
        </w:rPr>
        <w:t xml:space="preserve"> a iné finančné záväzky, ktoré vznikli z konania alebo opomenutia konania riadiaceho orgánu zanikajúceho operačného programu do zlúčenia operačných programov a za nedostatky a iné finančné záväzky, ktoré vznikli z konania alebo opomenutia konania riadiaceho orgánu zanikajúceho operačného programu podľa odseku 11 po zlúčení operačných programov; v týchto prípadoch poskytovateľ, ktorý bol riadiacim orgánom zanikajúceho operačného programu, zisťuje a rieši nezrovnalosti, prijíma nápravné opatrenia vo forme finančných opráv a vysporiadania finančných vzťahov a iných nápravných opatrení.</w:t>
      </w:r>
      <w:r w:rsidRPr="00F77B24">
        <w:rPr>
          <w:rFonts w:ascii="Times New Roman" w:hAnsi="Times New Roman"/>
          <w:sz w:val="24"/>
          <w:szCs w:val="24"/>
          <w:vertAlign w:val="superscript"/>
        </w:rPr>
        <w:t>85</w:t>
      </w:r>
      <w:r>
        <w:rPr>
          <w:rFonts w:ascii="Times New Roman" w:hAnsi="Times New Roman"/>
          <w:sz w:val="24"/>
          <w:szCs w:val="24"/>
        </w:rPr>
        <w:t>) Zodpovednosť riadiaceho orgánu nástupníckeho operačného programu podľa osobitného predpisu</w:t>
      </w:r>
      <w:r w:rsidRPr="00F77B24">
        <w:rPr>
          <w:rFonts w:ascii="Times New Roman" w:hAnsi="Times New Roman"/>
          <w:sz w:val="24"/>
          <w:szCs w:val="24"/>
          <w:vertAlign w:val="superscript"/>
        </w:rPr>
        <w:t>40</w:t>
      </w:r>
      <w:r>
        <w:rPr>
          <w:rFonts w:ascii="Times New Roman" w:hAnsi="Times New Roman"/>
          <w:sz w:val="24"/>
          <w:szCs w:val="24"/>
        </w:rPr>
        <w:t>) tým nie je dotknutá.“.</w:t>
      </w:r>
    </w:p>
    <w:p w:rsidR="000F5025" w:rsidRDefault="000F5025" w:rsidP="000F50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43a znie:</w:t>
      </w:r>
    </w:p>
    <w:p w:rsidR="000F5025" w:rsidRPr="00EE7ECC" w:rsidRDefault="000F5025" w:rsidP="000F50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„43a) Čl. 125 nariadenia (EÚ) č. 1303/2013 v platnom znení.“.</w:t>
      </w:r>
    </w:p>
    <w:p w:rsidR="000F5025" w:rsidRDefault="000F5025" w:rsidP="000F5025">
      <w:pPr>
        <w:pStyle w:val="Odsekzoznamu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F5025" w:rsidRDefault="000F5025" w:rsidP="000F5025">
      <w:pPr>
        <w:pStyle w:val="Odsekzoznamu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 sa dopĺňa odsekmi 7 a 8, ktoré znejú:</w:t>
      </w:r>
    </w:p>
    <w:p w:rsidR="000F5025" w:rsidRDefault="000F5025" w:rsidP="000F5025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„(7) Ak po zlúčení operačných programov koná podľa odseku 8</w:t>
      </w:r>
      <w:r w:rsidRPr="00A12DC3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lebo</w:t>
      </w:r>
      <w:r w:rsidRPr="00A12DC3">
        <w:rPr>
          <w:rFonts w:ascii="Times New Roman" w:hAnsi="Times New Roman"/>
          <w:sz w:val="24"/>
          <w:szCs w:val="24"/>
        </w:rPr>
        <w:t xml:space="preserve"> podľa § 54</w:t>
      </w:r>
      <w:r>
        <w:rPr>
          <w:rFonts w:ascii="Times New Roman" w:hAnsi="Times New Roman"/>
          <w:sz w:val="24"/>
          <w:szCs w:val="24"/>
        </w:rPr>
        <w:t xml:space="preserve">  sprostredkovateľský orgán zanikajúceho operačného programu, koná v postavení sprostredkovateľského orgánu nástupníckeho operačného programu. </w:t>
      </w:r>
    </w:p>
    <w:p w:rsidR="000F5025" w:rsidRDefault="000F5025" w:rsidP="000F5025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:rsidR="000F5025" w:rsidRDefault="000F5025" w:rsidP="000F5025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(8) Sprostredkovateľský orgán zanikajúceho operačného programu je zodpovedný voči riadiacemu orgánu nástupníckeho operačného programu </w:t>
      </w:r>
      <w:r w:rsidRPr="008D6AF5">
        <w:rPr>
          <w:rFonts w:ascii="Times New Roman" w:hAnsi="Times New Roman"/>
          <w:sz w:val="24"/>
          <w:szCs w:val="24"/>
        </w:rPr>
        <w:t>za nedostatky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 iné finančné záväzky, ktoré vznikli z konania alebo opomenutia konania sprostredkovateľského orgánu zanikajúceho operačného programu do zlúčenia operačných programov a za nedostatky a iné finančné záväzky, ktoré vznikli z konania alebo z opomenutia konania sprostredkovateľského orgánu zanikajúceho operačného programu podľa odseku 7 po zlúčení operačných programov; v týchto prípadoch poskytovateľ alebo jeho rozpočtová </w:t>
      </w:r>
      <w:r>
        <w:rPr>
          <w:rFonts w:ascii="Times New Roman" w:hAnsi="Times New Roman"/>
          <w:sz w:val="24"/>
          <w:szCs w:val="24"/>
        </w:rPr>
        <w:lastRenderedPageBreak/>
        <w:t>organizácia alebo príspevková organizácia, ak bola sprostredkovateľským orgánom zanikajúceho operačného programu, zisťuje a rieši nezrovnalosti, prijíma nápravné opatrenia vo forme finančných opráv a vysporiadania finančných vzťahov a iných nápravných opatrení</w:t>
      </w:r>
      <w:r w:rsidRPr="00F77B24">
        <w:rPr>
          <w:rFonts w:ascii="Times New Roman" w:hAnsi="Times New Roman"/>
          <w:sz w:val="24"/>
          <w:szCs w:val="24"/>
          <w:vertAlign w:val="superscript"/>
        </w:rPr>
        <w:t>85</w:t>
      </w:r>
      <w:r>
        <w:rPr>
          <w:rFonts w:ascii="Times New Roman" w:hAnsi="Times New Roman"/>
          <w:sz w:val="24"/>
          <w:szCs w:val="24"/>
        </w:rPr>
        <w:t>) a plní ďalšie úlohy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v súlade so zmluvou podľa odseku 2 alebo podľa § 7 ods. 3</w:t>
      </w:r>
      <w:r w:rsidRPr="00B016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:rsidR="000F5025" w:rsidRDefault="000F5025" w:rsidP="000F5025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:rsidR="000F5025" w:rsidRDefault="000F5025" w:rsidP="000F5025">
      <w:pPr>
        <w:pStyle w:val="Odsekzoznamu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§ 53 sa dopĺňajú § 54 a 55, ktoré vrátane nadpisov znejú: </w:t>
      </w:r>
    </w:p>
    <w:p w:rsidR="000F5025" w:rsidRDefault="000F5025" w:rsidP="000F5025">
      <w:pPr>
        <w:pStyle w:val="Odsekzoznamu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F5025" w:rsidRPr="0074249B" w:rsidRDefault="000F5025" w:rsidP="000F5025">
      <w:pPr>
        <w:pStyle w:val="Odsekzoznamu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74249B">
        <w:rPr>
          <w:rFonts w:ascii="Times New Roman" w:hAnsi="Times New Roman"/>
          <w:b/>
          <w:sz w:val="24"/>
          <w:szCs w:val="24"/>
        </w:rPr>
        <w:t>§ 54</w:t>
      </w:r>
    </w:p>
    <w:p w:rsidR="000F5025" w:rsidRPr="0074249B" w:rsidRDefault="000F5025" w:rsidP="000F5025">
      <w:pPr>
        <w:pStyle w:val="Odsekzoznamu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Spoločné</w:t>
      </w:r>
      <w:r w:rsidRPr="0074249B">
        <w:rPr>
          <w:rFonts w:ascii="Times New Roman" w:hAnsi="Times New Roman"/>
          <w:b/>
          <w:sz w:val="24"/>
          <w:szCs w:val="24"/>
        </w:rPr>
        <w:t xml:space="preserve"> ustanovenia </w:t>
      </w:r>
      <w:r>
        <w:rPr>
          <w:rFonts w:ascii="Times New Roman" w:hAnsi="Times New Roman"/>
          <w:b/>
          <w:sz w:val="24"/>
          <w:szCs w:val="24"/>
        </w:rPr>
        <w:t>týkajúce sa zlúčenia operačných programov</w:t>
      </w:r>
    </w:p>
    <w:p w:rsidR="000F5025" w:rsidRPr="0074249B" w:rsidRDefault="000F5025" w:rsidP="000F502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0F5025" w:rsidRPr="0074249B" w:rsidRDefault="000F5025" w:rsidP="000F5025">
      <w:pPr>
        <w:pStyle w:val="Odsekzoznamu"/>
        <w:numPr>
          <w:ilvl w:val="0"/>
          <w:numId w:val="32"/>
        </w:numPr>
        <w:ind w:left="709" w:hanging="425"/>
        <w:jc w:val="both"/>
      </w:pPr>
      <w:r>
        <w:rPr>
          <w:rFonts w:ascii="Times New Roman" w:hAnsi="Times New Roman"/>
          <w:sz w:val="24"/>
          <w:szCs w:val="24"/>
        </w:rPr>
        <w:t>Právne účinky v</w:t>
      </w:r>
      <w:r w:rsidRPr="0074249B">
        <w:rPr>
          <w:rFonts w:ascii="Times New Roman" w:hAnsi="Times New Roman"/>
          <w:sz w:val="24"/>
          <w:szCs w:val="24"/>
        </w:rPr>
        <w:t xml:space="preserve">ýzvy alebo vyzvania vyhlásené poskytovateľom zanikajúceho operačného programu </w:t>
      </w:r>
      <w:r>
        <w:rPr>
          <w:rFonts w:ascii="Times New Roman" w:hAnsi="Times New Roman"/>
          <w:sz w:val="24"/>
          <w:szCs w:val="24"/>
        </w:rPr>
        <w:t>zostávajú po zlúčení operačných programov zachované</w:t>
      </w:r>
      <w:r w:rsidRPr="0074249B">
        <w:rPr>
          <w:rFonts w:ascii="Times New Roman" w:hAnsi="Times New Roman"/>
          <w:sz w:val="24"/>
          <w:szCs w:val="24"/>
        </w:rPr>
        <w:t>.</w:t>
      </w:r>
    </w:p>
    <w:p w:rsidR="000F5025" w:rsidRPr="0074249B" w:rsidRDefault="000F5025" w:rsidP="000F5025">
      <w:pPr>
        <w:pStyle w:val="Odsekzoznamu"/>
        <w:numPr>
          <w:ilvl w:val="0"/>
          <w:numId w:val="32"/>
        </w:numPr>
        <w:ind w:left="709" w:hanging="425"/>
        <w:jc w:val="both"/>
      </w:pPr>
      <w:r w:rsidRPr="0074249B">
        <w:rPr>
          <w:rFonts w:ascii="Times New Roman" w:hAnsi="Times New Roman"/>
          <w:sz w:val="24"/>
          <w:szCs w:val="24"/>
        </w:rPr>
        <w:t>Zhodnoteni</w:t>
      </w:r>
      <w:r>
        <w:rPr>
          <w:rFonts w:ascii="Times New Roman" w:hAnsi="Times New Roman"/>
          <w:sz w:val="24"/>
          <w:szCs w:val="24"/>
        </w:rPr>
        <w:t>e</w:t>
      </w:r>
      <w:r w:rsidRPr="0074249B">
        <w:rPr>
          <w:rFonts w:ascii="Times New Roman" w:hAnsi="Times New Roman"/>
          <w:sz w:val="24"/>
          <w:szCs w:val="24"/>
        </w:rPr>
        <w:t xml:space="preserve"> projektových zámerov vykonané podľa § 18 v rámci za</w:t>
      </w:r>
      <w:r>
        <w:rPr>
          <w:rFonts w:ascii="Times New Roman" w:hAnsi="Times New Roman"/>
          <w:sz w:val="24"/>
          <w:szCs w:val="24"/>
        </w:rPr>
        <w:t>nikajúceho operačného programu</w:t>
      </w:r>
      <w:r w:rsidRPr="0074249B">
        <w:rPr>
          <w:rFonts w:ascii="Times New Roman" w:hAnsi="Times New Roman"/>
          <w:sz w:val="24"/>
          <w:szCs w:val="24"/>
        </w:rPr>
        <w:t xml:space="preserve"> neskončené vypracovaním hodnotiacej správy podľa § 18 ods</w:t>
      </w:r>
      <w:r>
        <w:rPr>
          <w:rFonts w:ascii="Times New Roman" w:hAnsi="Times New Roman"/>
          <w:sz w:val="24"/>
          <w:szCs w:val="24"/>
        </w:rPr>
        <w:t>.</w:t>
      </w:r>
      <w:r w:rsidRPr="0074249B">
        <w:rPr>
          <w:rFonts w:ascii="Times New Roman" w:hAnsi="Times New Roman"/>
          <w:sz w:val="24"/>
          <w:szCs w:val="24"/>
        </w:rPr>
        <w:t xml:space="preserve"> 6 do zlúčenia operačných programov, dokonč</w:t>
      </w:r>
      <w:r>
        <w:rPr>
          <w:rFonts w:ascii="Times New Roman" w:hAnsi="Times New Roman"/>
          <w:sz w:val="24"/>
          <w:szCs w:val="24"/>
        </w:rPr>
        <w:t>uje</w:t>
      </w:r>
      <w:r w:rsidRPr="0074249B">
        <w:rPr>
          <w:rFonts w:ascii="Times New Roman" w:hAnsi="Times New Roman"/>
          <w:sz w:val="24"/>
          <w:szCs w:val="24"/>
        </w:rPr>
        <w:t xml:space="preserve"> po zlúčení operačných programov poskytovateľ zanikajúceho operačného programu</w:t>
      </w:r>
      <w:r>
        <w:rPr>
          <w:rFonts w:ascii="Times New Roman" w:hAnsi="Times New Roman"/>
          <w:sz w:val="24"/>
          <w:szCs w:val="24"/>
        </w:rPr>
        <w:t>, ktorý posudzovanie začal</w:t>
      </w:r>
      <w:r w:rsidRPr="0074249B">
        <w:rPr>
          <w:rFonts w:ascii="Times New Roman" w:hAnsi="Times New Roman"/>
          <w:sz w:val="24"/>
          <w:szCs w:val="24"/>
        </w:rPr>
        <w:t>.</w:t>
      </w:r>
    </w:p>
    <w:p w:rsidR="000F5025" w:rsidRPr="0074249B" w:rsidRDefault="000F5025" w:rsidP="000F5025">
      <w:pPr>
        <w:pStyle w:val="Odsekzoznamu"/>
        <w:numPr>
          <w:ilvl w:val="0"/>
          <w:numId w:val="32"/>
        </w:numPr>
        <w:ind w:left="709" w:hanging="425"/>
        <w:jc w:val="both"/>
      </w:pPr>
      <w:r>
        <w:rPr>
          <w:rFonts w:ascii="Times New Roman" w:hAnsi="Times New Roman"/>
          <w:sz w:val="24"/>
          <w:szCs w:val="24"/>
        </w:rPr>
        <w:t>Právne účinky h</w:t>
      </w:r>
      <w:r w:rsidRPr="0074249B">
        <w:rPr>
          <w:rFonts w:ascii="Times New Roman" w:hAnsi="Times New Roman"/>
          <w:sz w:val="24"/>
          <w:szCs w:val="24"/>
        </w:rPr>
        <w:t>odnotiac</w:t>
      </w:r>
      <w:r>
        <w:rPr>
          <w:rFonts w:ascii="Times New Roman" w:hAnsi="Times New Roman"/>
          <w:sz w:val="24"/>
          <w:szCs w:val="24"/>
        </w:rPr>
        <w:t>ich</w:t>
      </w:r>
      <w:r w:rsidRPr="0074249B">
        <w:rPr>
          <w:rFonts w:ascii="Times New Roman" w:hAnsi="Times New Roman"/>
          <w:sz w:val="24"/>
          <w:szCs w:val="24"/>
        </w:rPr>
        <w:t xml:space="preserve"> správ vydan</w:t>
      </w:r>
      <w:r>
        <w:rPr>
          <w:rFonts w:ascii="Times New Roman" w:hAnsi="Times New Roman"/>
          <w:sz w:val="24"/>
          <w:szCs w:val="24"/>
        </w:rPr>
        <w:t>ých</w:t>
      </w:r>
      <w:r w:rsidRPr="0074249B">
        <w:rPr>
          <w:rFonts w:ascii="Times New Roman" w:hAnsi="Times New Roman"/>
          <w:sz w:val="24"/>
          <w:szCs w:val="24"/>
        </w:rPr>
        <w:t xml:space="preserve"> podľa § 18 v rámci zanikajúceho operačného programu </w:t>
      </w:r>
      <w:r>
        <w:rPr>
          <w:rFonts w:ascii="Times New Roman" w:hAnsi="Times New Roman"/>
          <w:sz w:val="24"/>
          <w:szCs w:val="24"/>
        </w:rPr>
        <w:t>zostávajú po zlúčení operačných programov zachované</w:t>
      </w:r>
      <w:r w:rsidRPr="0074249B">
        <w:rPr>
          <w:rFonts w:ascii="Times New Roman" w:hAnsi="Times New Roman"/>
          <w:sz w:val="24"/>
          <w:szCs w:val="24"/>
        </w:rPr>
        <w:t>.</w:t>
      </w:r>
    </w:p>
    <w:p w:rsidR="000F5025" w:rsidRPr="0074249B" w:rsidRDefault="000F5025" w:rsidP="000F5025">
      <w:pPr>
        <w:pStyle w:val="Odsekzoznamu"/>
        <w:numPr>
          <w:ilvl w:val="0"/>
          <w:numId w:val="32"/>
        </w:numPr>
        <w:ind w:left="709" w:hanging="425"/>
        <w:jc w:val="both"/>
      </w:pPr>
      <w:r w:rsidRPr="0074249B">
        <w:rPr>
          <w:rFonts w:ascii="Times New Roman" w:hAnsi="Times New Roman"/>
          <w:sz w:val="24"/>
          <w:szCs w:val="24"/>
        </w:rPr>
        <w:t xml:space="preserve">Konania </w:t>
      </w:r>
      <w:r>
        <w:rPr>
          <w:rFonts w:ascii="Times New Roman" w:hAnsi="Times New Roman"/>
          <w:sz w:val="24"/>
          <w:szCs w:val="24"/>
        </w:rPr>
        <w:t>začaté podľa § 19 alebo</w:t>
      </w:r>
      <w:r w:rsidRPr="0074249B">
        <w:rPr>
          <w:rFonts w:ascii="Times New Roman" w:hAnsi="Times New Roman"/>
          <w:sz w:val="24"/>
          <w:szCs w:val="24"/>
        </w:rPr>
        <w:t xml:space="preserve"> 21  v rámci z</w:t>
      </w:r>
      <w:r>
        <w:rPr>
          <w:rFonts w:ascii="Times New Roman" w:hAnsi="Times New Roman"/>
          <w:sz w:val="24"/>
          <w:szCs w:val="24"/>
        </w:rPr>
        <w:t>anikajúceho operačného programu</w:t>
      </w:r>
      <w:r w:rsidRPr="007424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74249B">
        <w:rPr>
          <w:rFonts w:ascii="Times New Roman" w:hAnsi="Times New Roman"/>
          <w:sz w:val="24"/>
          <w:szCs w:val="24"/>
        </w:rPr>
        <w:t>právoplatne neskončené do zlúčenia operačných programov, dokonč</w:t>
      </w:r>
      <w:r>
        <w:rPr>
          <w:rFonts w:ascii="Times New Roman" w:hAnsi="Times New Roman"/>
          <w:sz w:val="24"/>
          <w:szCs w:val="24"/>
        </w:rPr>
        <w:t>uje</w:t>
      </w:r>
      <w:r w:rsidRPr="0074249B">
        <w:rPr>
          <w:rFonts w:ascii="Times New Roman" w:hAnsi="Times New Roman"/>
          <w:sz w:val="24"/>
          <w:szCs w:val="24"/>
        </w:rPr>
        <w:t xml:space="preserve"> po zlúčení operačných programov poskytovateľ zanikajúceho operačného programu</w:t>
      </w:r>
      <w:r>
        <w:rPr>
          <w:rFonts w:ascii="Times New Roman" w:hAnsi="Times New Roman"/>
          <w:sz w:val="24"/>
          <w:szCs w:val="24"/>
        </w:rPr>
        <w:t>, ktorý konanie začal</w:t>
      </w:r>
      <w:r w:rsidRPr="0074249B">
        <w:rPr>
          <w:rFonts w:ascii="Times New Roman" w:hAnsi="Times New Roman"/>
          <w:sz w:val="24"/>
          <w:szCs w:val="24"/>
        </w:rPr>
        <w:t>.</w:t>
      </w:r>
    </w:p>
    <w:p w:rsidR="000F5025" w:rsidRPr="00666FC0" w:rsidRDefault="000F5025" w:rsidP="000F5025">
      <w:pPr>
        <w:pStyle w:val="Odsekzoznamu"/>
        <w:numPr>
          <w:ilvl w:val="0"/>
          <w:numId w:val="3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3C2E">
        <w:rPr>
          <w:rFonts w:ascii="Times New Roman" w:hAnsi="Times New Roman"/>
          <w:sz w:val="24"/>
          <w:szCs w:val="24"/>
        </w:rPr>
        <w:t xml:space="preserve">Konania začaté </w:t>
      </w:r>
      <w:r>
        <w:rPr>
          <w:rFonts w:ascii="Times New Roman" w:hAnsi="Times New Roman"/>
          <w:sz w:val="24"/>
          <w:szCs w:val="24"/>
        </w:rPr>
        <w:t>podľa § 23 alebo</w:t>
      </w:r>
      <w:r w:rsidRPr="00643C2E">
        <w:rPr>
          <w:rFonts w:ascii="Times New Roman" w:hAnsi="Times New Roman"/>
          <w:sz w:val="24"/>
          <w:szCs w:val="24"/>
        </w:rPr>
        <w:t xml:space="preserve"> 24 v rámci zanikajúceho operačného programu, </w:t>
      </w:r>
      <w:r w:rsidRPr="00120C1D">
        <w:rPr>
          <w:rFonts w:ascii="Times New Roman" w:hAnsi="Times New Roman"/>
          <w:sz w:val="24"/>
          <w:szCs w:val="24"/>
        </w:rPr>
        <w:t>právoplatne neskončené do zlúčenia operačných programov, dokonč</w:t>
      </w:r>
      <w:r>
        <w:rPr>
          <w:rFonts w:ascii="Times New Roman" w:hAnsi="Times New Roman"/>
          <w:sz w:val="24"/>
          <w:szCs w:val="24"/>
        </w:rPr>
        <w:t>uje</w:t>
      </w:r>
      <w:r w:rsidRPr="00120C1D">
        <w:rPr>
          <w:rFonts w:ascii="Times New Roman" w:hAnsi="Times New Roman"/>
          <w:sz w:val="24"/>
          <w:szCs w:val="24"/>
        </w:rPr>
        <w:t xml:space="preserve"> po zlúčení</w:t>
      </w:r>
      <w:r w:rsidRPr="00643C2E">
        <w:rPr>
          <w:rFonts w:ascii="Times New Roman" w:hAnsi="Times New Roman"/>
          <w:sz w:val="24"/>
          <w:szCs w:val="24"/>
        </w:rPr>
        <w:t xml:space="preserve"> operačných programov štatutárny orgán poskytovateľa zanikajúceho operačného programu, ktorý konanie začal. Preskúmanie podnetu podľa § 24 neskončené do zlúčenia operačných programov dokonč</w:t>
      </w:r>
      <w:r>
        <w:rPr>
          <w:rFonts w:ascii="Times New Roman" w:hAnsi="Times New Roman"/>
          <w:sz w:val="24"/>
          <w:szCs w:val="24"/>
        </w:rPr>
        <w:t>uje</w:t>
      </w:r>
      <w:r w:rsidRPr="00643C2E">
        <w:rPr>
          <w:rFonts w:ascii="Times New Roman" w:hAnsi="Times New Roman"/>
          <w:sz w:val="24"/>
          <w:szCs w:val="24"/>
        </w:rPr>
        <w:t xml:space="preserve"> po zlúčení operačných programov štatutárny orgán poskytovateľa zanikajúceho operačného programu.</w:t>
      </w:r>
      <w:r>
        <w:rPr>
          <w:rFonts w:ascii="Times New Roman" w:hAnsi="Times New Roman"/>
          <w:sz w:val="24"/>
          <w:szCs w:val="24"/>
        </w:rPr>
        <w:t xml:space="preserve"> Konania začaté podľa § 41 alebo </w:t>
      </w:r>
      <w:r w:rsidRPr="00666FC0">
        <w:rPr>
          <w:rFonts w:ascii="Times New Roman" w:hAnsi="Times New Roman"/>
          <w:sz w:val="24"/>
          <w:szCs w:val="24"/>
        </w:rPr>
        <w:t>41a v rámci zanikajúceho operačného programu, právoplatne neskončené do zlúčenia operačných programov, dokonč</w:t>
      </w:r>
      <w:r>
        <w:rPr>
          <w:rFonts w:ascii="Times New Roman" w:hAnsi="Times New Roman"/>
          <w:sz w:val="24"/>
          <w:szCs w:val="24"/>
        </w:rPr>
        <w:t>uje</w:t>
      </w:r>
      <w:r w:rsidRPr="00666FC0">
        <w:rPr>
          <w:rFonts w:ascii="Times New Roman" w:hAnsi="Times New Roman"/>
          <w:sz w:val="24"/>
          <w:szCs w:val="24"/>
        </w:rPr>
        <w:t xml:space="preserve"> po zlúčení operačných programov správny orgán, ktorý konanie začal.</w:t>
      </w:r>
    </w:p>
    <w:p w:rsidR="000F5025" w:rsidRPr="0074249B" w:rsidRDefault="000F5025" w:rsidP="000F5025">
      <w:pPr>
        <w:pStyle w:val="Odsekzoznamu"/>
        <w:numPr>
          <w:ilvl w:val="0"/>
          <w:numId w:val="32"/>
        </w:numPr>
        <w:ind w:left="709" w:hanging="425"/>
        <w:jc w:val="both"/>
      </w:pPr>
      <w:r w:rsidRPr="0074249B">
        <w:rPr>
          <w:rFonts w:ascii="Times New Roman" w:hAnsi="Times New Roman"/>
          <w:sz w:val="24"/>
          <w:szCs w:val="24"/>
        </w:rPr>
        <w:t>Úkony týkajúce sa odvolania a odvolacieho konania, na ktoré je príslu</w:t>
      </w:r>
      <w:r>
        <w:rPr>
          <w:rFonts w:ascii="Times New Roman" w:hAnsi="Times New Roman"/>
          <w:sz w:val="24"/>
          <w:szCs w:val="24"/>
        </w:rPr>
        <w:t xml:space="preserve">šný poskytovateľ podľa § 22 alebo </w:t>
      </w:r>
      <w:r w:rsidRPr="0074249B">
        <w:rPr>
          <w:rFonts w:ascii="Times New Roman" w:hAnsi="Times New Roman"/>
          <w:sz w:val="24"/>
          <w:szCs w:val="24"/>
        </w:rPr>
        <w:t>23, neskončené do zlúčenia operačných programov, dokonč</w:t>
      </w:r>
      <w:r>
        <w:rPr>
          <w:rFonts w:ascii="Times New Roman" w:hAnsi="Times New Roman"/>
          <w:sz w:val="24"/>
          <w:szCs w:val="24"/>
        </w:rPr>
        <w:t>uje</w:t>
      </w:r>
      <w:r w:rsidRPr="0074249B">
        <w:rPr>
          <w:rFonts w:ascii="Times New Roman" w:hAnsi="Times New Roman"/>
          <w:sz w:val="24"/>
          <w:szCs w:val="24"/>
        </w:rPr>
        <w:t xml:space="preserve"> po zlúčení operačných programov poskytovateľ zanikajúceho operačného programu</w:t>
      </w:r>
      <w:r>
        <w:rPr>
          <w:rFonts w:ascii="Times New Roman" w:hAnsi="Times New Roman"/>
          <w:sz w:val="24"/>
          <w:szCs w:val="24"/>
        </w:rPr>
        <w:t>, ktorý konanie začal</w:t>
      </w:r>
      <w:r w:rsidRPr="0074249B">
        <w:rPr>
          <w:rFonts w:ascii="Times New Roman" w:hAnsi="Times New Roman"/>
          <w:sz w:val="24"/>
          <w:szCs w:val="24"/>
        </w:rPr>
        <w:t xml:space="preserve">. </w:t>
      </w:r>
    </w:p>
    <w:p w:rsidR="000F5025" w:rsidRPr="0074249B" w:rsidRDefault="000F5025" w:rsidP="000F5025">
      <w:pPr>
        <w:pStyle w:val="Odsekzoznamu"/>
        <w:numPr>
          <w:ilvl w:val="0"/>
          <w:numId w:val="32"/>
        </w:numPr>
        <w:ind w:left="709" w:hanging="425"/>
        <w:jc w:val="both"/>
      </w:pPr>
      <w:r w:rsidRPr="0074249B">
        <w:rPr>
          <w:rFonts w:ascii="Times New Roman" w:hAnsi="Times New Roman"/>
          <w:sz w:val="24"/>
          <w:szCs w:val="24"/>
        </w:rPr>
        <w:t>Právne účinky rozhodnutí vydaných podľa § 19 až 21, § 23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4249B">
        <w:rPr>
          <w:rFonts w:ascii="Times New Roman" w:hAnsi="Times New Roman"/>
          <w:sz w:val="24"/>
          <w:szCs w:val="24"/>
        </w:rPr>
        <w:t>§ 24</w:t>
      </w:r>
      <w:r>
        <w:rPr>
          <w:rFonts w:ascii="Times New Roman" w:hAnsi="Times New Roman"/>
          <w:sz w:val="24"/>
          <w:szCs w:val="24"/>
        </w:rPr>
        <w:t>, § 41 alebo 41a</w:t>
      </w:r>
      <w:r w:rsidRPr="0074249B">
        <w:rPr>
          <w:rFonts w:ascii="Times New Roman" w:hAnsi="Times New Roman"/>
          <w:sz w:val="24"/>
          <w:szCs w:val="24"/>
        </w:rPr>
        <w:t xml:space="preserve"> v rámci zanikajúceho operačného programu zostávajú po zlúčení operačných programov zachované.</w:t>
      </w:r>
    </w:p>
    <w:p w:rsidR="000F5025" w:rsidRPr="00EE7ECC" w:rsidRDefault="000F5025" w:rsidP="000F5025">
      <w:pPr>
        <w:pStyle w:val="Odsekzoznamu"/>
        <w:numPr>
          <w:ilvl w:val="0"/>
          <w:numId w:val="3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C0415">
        <w:rPr>
          <w:rFonts w:ascii="Times New Roman" w:hAnsi="Times New Roman"/>
          <w:sz w:val="24"/>
          <w:szCs w:val="24"/>
        </w:rPr>
        <w:t>Zlúčením operačných programov prechádzajú práva a povinnosti pri realizácii projektu z rozhodnutia podľa § 16 ods</w:t>
      </w:r>
      <w:r>
        <w:rPr>
          <w:rFonts w:ascii="Times New Roman" w:hAnsi="Times New Roman"/>
          <w:sz w:val="24"/>
          <w:szCs w:val="24"/>
        </w:rPr>
        <w:t>.</w:t>
      </w:r>
      <w:r w:rsidRPr="007C0415">
        <w:rPr>
          <w:rFonts w:ascii="Times New Roman" w:hAnsi="Times New Roman"/>
          <w:sz w:val="24"/>
          <w:szCs w:val="24"/>
        </w:rPr>
        <w:t xml:space="preserve"> 2 z poskytovateľa zanikajúceho operačného programu na poskytovateľa nástupníckeho operačného programu </w:t>
      </w:r>
      <w:r w:rsidRPr="0074249B">
        <w:rPr>
          <w:rFonts w:ascii="Times New Roman" w:hAnsi="Times New Roman"/>
          <w:sz w:val="24"/>
          <w:szCs w:val="24"/>
        </w:rPr>
        <w:t>bez potreby vykonania osobitného úkonu týkajúceho sa tejto zmeny, ak poskytovateľ zanikajúceho operačného programu</w:t>
      </w:r>
      <w:r>
        <w:rPr>
          <w:rFonts w:ascii="Times New Roman" w:hAnsi="Times New Roman"/>
          <w:sz w:val="24"/>
          <w:szCs w:val="24"/>
        </w:rPr>
        <w:t xml:space="preserve"> a</w:t>
      </w:r>
      <w:r w:rsidRPr="0074249B">
        <w:rPr>
          <w:rFonts w:ascii="Times New Roman" w:hAnsi="Times New Roman"/>
          <w:sz w:val="24"/>
          <w:szCs w:val="24"/>
        </w:rPr>
        <w:t xml:space="preserve"> poskytovateľ nástupníckeho operačného programu a prijímateľ </w:t>
      </w:r>
      <w:r>
        <w:rPr>
          <w:rFonts w:ascii="Times New Roman" w:hAnsi="Times New Roman"/>
          <w:sz w:val="24"/>
          <w:szCs w:val="24"/>
        </w:rPr>
        <w:t>sú tou istou osobou</w:t>
      </w:r>
      <w:r w:rsidRPr="0074249B">
        <w:rPr>
          <w:rFonts w:ascii="Times New Roman" w:hAnsi="Times New Roman"/>
          <w:sz w:val="24"/>
          <w:szCs w:val="24"/>
        </w:rPr>
        <w:t>.</w:t>
      </w:r>
      <w:bookmarkStart w:id="0" w:name="move23793838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0F5025" w:rsidRPr="0074249B" w:rsidRDefault="000F5025" w:rsidP="000F5025">
      <w:pPr>
        <w:pStyle w:val="Odsekzoznamu"/>
        <w:numPr>
          <w:ilvl w:val="0"/>
          <w:numId w:val="32"/>
        </w:numPr>
        <w:ind w:left="709" w:hanging="425"/>
        <w:jc w:val="both"/>
      </w:pPr>
      <w:r w:rsidRPr="0074249B">
        <w:rPr>
          <w:rFonts w:ascii="Times New Roman" w:hAnsi="Times New Roman"/>
          <w:sz w:val="24"/>
          <w:szCs w:val="24"/>
        </w:rPr>
        <w:lastRenderedPageBreak/>
        <w:t>Podmienka podľa § 16 ods</w:t>
      </w:r>
      <w:r>
        <w:rPr>
          <w:rFonts w:ascii="Times New Roman" w:hAnsi="Times New Roman"/>
          <w:sz w:val="24"/>
          <w:szCs w:val="24"/>
        </w:rPr>
        <w:t>.</w:t>
      </w:r>
      <w:r w:rsidRPr="0074249B">
        <w:rPr>
          <w:rFonts w:ascii="Times New Roman" w:hAnsi="Times New Roman"/>
          <w:sz w:val="24"/>
          <w:szCs w:val="24"/>
        </w:rPr>
        <w:t xml:space="preserve"> 2 sa vo vzťahu ku konkrétnemu rozhodnutiu</w:t>
      </w:r>
      <w:r>
        <w:rPr>
          <w:rFonts w:ascii="Times New Roman" w:hAnsi="Times New Roman"/>
          <w:sz w:val="24"/>
          <w:szCs w:val="24"/>
        </w:rPr>
        <w:t>, ktoré je vydané pred zlúčením operačných programov,</w:t>
      </w:r>
      <w:r w:rsidRPr="0074249B">
        <w:rPr>
          <w:rFonts w:ascii="Times New Roman" w:hAnsi="Times New Roman"/>
          <w:sz w:val="24"/>
          <w:szCs w:val="24"/>
        </w:rPr>
        <w:t xml:space="preserve"> považuje za zachovanú aj vtedy, ak v dôsledku zlúčenia operačných programov prestane byť poskytovateľ a prijímateľ tou istou osobou. </w:t>
      </w:r>
    </w:p>
    <w:p w:rsidR="000F5025" w:rsidRPr="00643C2E" w:rsidRDefault="000F5025" w:rsidP="000F5025">
      <w:pPr>
        <w:pStyle w:val="Odsekzoznamu"/>
        <w:numPr>
          <w:ilvl w:val="0"/>
          <w:numId w:val="32"/>
        </w:numPr>
        <w:ind w:left="709" w:hanging="425"/>
        <w:jc w:val="both"/>
      </w:pPr>
      <w:r w:rsidRPr="0074249B">
        <w:rPr>
          <w:rFonts w:ascii="Times New Roman" w:hAnsi="Times New Roman"/>
          <w:sz w:val="24"/>
          <w:szCs w:val="24"/>
        </w:rPr>
        <w:t>Návrh zmluvy podľa § 25 ods</w:t>
      </w:r>
      <w:r>
        <w:rPr>
          <w:rFonts w:ascii="Times New Roman" w:hAnsi="Times New Roman"/>
          <w:sz w:val="24"/>
          <w:szCs w:val="24"/>
        </w:rPr>
        <w:t>.</w:t>
      </w:r>
      <w:r w:rsidRPr="0074249B">
        <w:rPr>
          <w:rFonts w:ascii="Times New Roman" w:hAnsi="Times New Roman"/>
          <w:sz w:val="24"/>
          <w:szCs w:val="24"/>
        </w:rPr>
        <w:t xml:space="preserve"> 5 zasiela orgán, ktorý je oprávnený konať ako poskytovateľ v nástupníckom operačnom programe ku dňu podpisu návrhu zmluvy podľa § 25.</w:t>
      </w:r>
    </w:p>
    <w:p w:rsidR="000F5025" w:rsidRPr="0074249B" w:rsidRDefault="000F5025" w:rsidP="000F5025">
      <w:pPr>
        <w:pStyle w:val="Odsekzoznamu"/>
        <w:numPr>
          <w:ilvl w:val="0"/>
          <w:numId w:val="32"/>
        </w:numPr>
        <w:ind w:left="709" w:hanging="425"/>
        <w:jc w:val="both"/>
      </w:pPr>
      <w:r w:rsidRPr="0074249B">
        <w:rPr>
          <w:rFonts w:ascii="Times New Roman" w:hAnsi="Times New Roman"/>
          <w:bCs/>
          <w:sz w:val="24"/>
          <w:szCs w:val="24"/>
        </w:rPr>
        <w:t>Zlúčením operačných programov prechádza</w:t>
      </w:r>
      <w:r>
        <w:rPr>
          <w:rFonts w:ascii="Times New Roman" w:hAnsi="Times New Roman"/>
          <w:bCs/>
          <w:sz w:val="24"/>
          <w:szCs w:val="24"/>
        </w:rPr>
        <w:t>jú</w:t>
      </w:r>
      <w:r w:rsidRPr="0074249B">
        <w:rPr>
          <w:rFonts w:ascii="Times New Roman" w:hAnsi="Times New Roman"/>
          <w:bCs/>
          <w:sz w:val="24"/>
          <w:szCs w:val="24"/>
        </w:rPr>
        <w:t xml:space="preserve"> práv</w:t>
      </w:r>
      <w:r>
        <w:rPr>
          <w:rFonts w:ascii="Times New Roman" w:hAnsi="Times New Roman"/>
          <w:bCs/>
          <w:sz w:val="24"/>
          <w:szCs w:val="24"/>
        </w:rPr>
        <w:t>a</w:t>
      </w:r>
      <w:r w:rsidRPr="0074249B">
        <w:rPr>
          <w:rFonts w:ascii="Times New Roman" w:hAnsi="Times New Roman"/>
          <w:bCs/>
          <w:sz w:val="24"/>
          <w:szCs w:val="24"/>
        </w:rPr>
        <w:t xml:space="preserve"> a povinnost</w:t>
      </w:r>
      <w:r>
        <w:rPr>
          <w:rFonts w:ascii="Times New Roman" w:hAnsi="Times New Roman"/>
          <w:bCs/>
          <w:sz w:val="24"/>
          <w:szCs w:val="24"/>
        </w:rPr>
        <w:t>i</w:t>
      </w:r>
      <w:r w:rsidRPr="0074249B">
        <w:rPr>
          <w:rFonts w:ascii="Times New Roman" w:hAnsi="Times New Roman"/>
          <w:bCs/>
          <w:sz w:val="24"/>
          <w:szCs w:val="24"/>
        </w:rPr>
        <w:t xml:space="preserve"> zo zmluvy podľa § 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8EA">
        <w:rPr>
          <w:rFonts w:ascii="Times New Roman" w:hAnsi="Times New Roman"/>
          <w:bCs/>
          <w:sz w:val="24"/>
          <w:szCs w:val="24"/>
        </w:rPr>
        <w:t>z  poskytovateľa zanikajúceho operačného programu na poskytovateľa nástupníckeho operačného programu</w:t>
      </w:r>
      <w:r>
        <w:rPr>
          <w:rFonts w:ascii="Times New Roman" w:hAnsi="Times New Roman"/>
          <w:bCs/>
          <w:sz w:val="24"/>
          <w:szCs w:val="24"/>
        </w:rPr>
        <w:t>,</w:t>
      </w:r>
      <w:r w:rsidRPr="009628EA">
        <w:rPr>
          <w:rFonts w:ascii="Times New Roman" w:hAnsi="Times New Roman"/>
          <w:bCs/>
          <w:sz w:val="24"/>
          <w:szCs w:val="24"/>
        </w:rPr>
        <w:t xml:space="preserve"> </w:t>
      </w:r>
      <w:r w:rsidRPr="009628EA">
        <w:rPr>
          <w:rFonts w:ascii="Times New Roman" w:hAnsi="Times New Roman"/>
          <w:sz w:val="24"/>
          <w:szCs w:val="24"/>
        </w:rPr>
        <w:t>bez potreby vykonania osobitného úkonu týkajúceho sa tejto zmeny</w:t>
      </w:r>
      <w:r>
        <w:rPr>
          <w:rFonts w:ascii="Times New Roman" w:hAnsi="Times New Roman"/>
          <w:sz w:val="24"/>
          <w:szCs w:val="24"/>
        </w:rPr>
        <w:t>.</w:t>
      </w:r>
      <w:r w:rsidRPr="0074249B">
        <w:rPr>
          <w:rFonts w:ascii="Times New Roman" w:hAnsi="Times New Roman"/>
          <w:bCs/>
          <w:sz w:val="24"/>
          <w:szCs w:val="24"/>
        </w:rPr>
        <w:t xml:space="preserve"> Zlúčením operačných programov prechádza</w:t>
      </w:r>
      <w:r>
        <w:rPr>
          <w:rFonts w:ascii="Times New Roman" w:hAnsi="Times New Roman"/>
          <w:bCs/>
          <w:sz w:val="24"/>
          <w:szCs w:val="24"/>
        </w:rPr>
        <w:t>jú</w:t>
      </w:r>
      <w:r w:rsidRPr="0074249B">
        <w:rPr>
          <w:rFonts w:ascii="Times New Roman" w:hAnsi="Times New Roman"/>
          <w:bCs/>
          <w:sz w:val="24"/>
          <w:szCs w:val="24"/>
        </w:rPr>
        <w:t xml:space="preserve"> práv</w:t>
      </w:r>
      <w:r>
        <w:rPr>
          <w:rFonts w:ascii="Times New Roman" w:hAnsi="Times New Roman"/>
          <w:bCs/>
          <w:sz w:val="24"/>
          <w:szCs w:val="24"/>
        </w:rPr>
        <w:t>a</w:t>
      </w:r>
      <w:r w:rsidRPr="0074249B">
        <w:rPr>
          <w:rFonts w:ascii="Times New Roman" w:hAnsi="Times New Roman"/>
          <w:bCs/>
          <w:sz w:val="24"/>
          <w:szCs w:val="24"/>
        </w:rPr>
        <w:t xml:space="preserve"> a povinnost</w:t>
      </w:r>
      <w:r>
        <w:rPr>
          <w:rFonts w:ascii="Times New Roman" w:hAnsi="Times New Roman"/>
          <w:bCs/>
          <w:sz w:val="24"/>
          <w:szCs w:val="24"/>
        </w:rPr>
        <w:t>i</w:t>
      </w:r>
      <w:r w:rsidRPr="0074249B">
        <w:rPr>
          <w:rFonts w:ascii="Times New Roman" w:hAnsi="Times New Roman"/>
          <w:bCs/>
          <w:sz w:val="24"/>
          <w:szCs w:val="24"/>
        </w:rPr>
        <w:t xml:space="preserve"> z iných zmlúv uzavretých medzi poskytovateľom a prijímateľom alebo </w:t>
      </w:r>
      <w:r>
        <w:rPr>
          <w:rFonts w:ascii="Times New Roman" w:hAnsi="Times New Roman"/>
          <w:bCs/>
          <w:sz w:val="24"/>
          <w:szCs w:val="24"/>
        </w:rPr>
        <w:t xml:space="preserve">medzi poskytovateľom a </w:t>
      </w:r>
      <w:r w:rsidRPr="0074249B">
        <w:rPr>
          <w:rFonts w:ascii="Times New Roman" w:hAnsi="Times New Roman"/>
          <w:bCs/>
          <w:sz w:val="24"/>
          <w:szCs w:val="24"/>
        </w:rPr>
        <w:t xml:space="preserve">treťou osobou </w:t>
      </w:r>
      <w:r w:rsidRPr="007C63E6">
        <w:rPr>
          <w:rFonts w:ascii="Times" w:hAnsi="Times" w:cs="Times"/>
          <w:sz w:val="24"/>
          <w:szCs w:val="24"/>
        </w:rPr>
        <w:t>alebo z iných právnych úkonov</w:t>
      </w:r>
      <w:r>
        <w:rPr>
          <w:rFonts w:ascii="Times" w:hAnsi="Times" w:cs="Times"/>
          <w:sz w:val="25"/>
          <w:szCs w:val="25"/>
        </w:rPr>
        <w:t xml:space="preserve"> </w:t>
      </w:r>
      <w:r w:rsidRPr="0074249B">
        <w:rPr>
          <w:rFonts w:ascii="Times New Roman" w:hAnsi="Times New Roman"/>
          <w:bCs/>
          <w:sz w:val="24"/>
          <w:szCs w:val="24"/>
        </w:rPr>
        <w:t xml:space="preserve">v súvislosti so zmluvou podľa § 25, z  poskytovateľa zanikajúceho operačného programu na poskytovateľa nástupníckeho operačného programu </w:t>
      </w:r>
      <w:r w:rsidRPr="0074249B">
        <w:rPr>
          <w:rFonts w:ascii="Times New Roman" w:hAnsi="Times New Roman"/>
          <w:sz w:val="24"/>
          <w:szCs w:val="24"/>
        </w:rPr>
        <w:t>bez potreby vykonania osobitného úkonu týkajúceho sa tejto zmeny. Právne účinky zmluvy podľa § 25, iných zmlúv uzavretých medzi</w:t>
      </w:r>
      <w:r w:rsidRPr="0074249B">
        <w:rPr>
          <w:rFonts w:ascii="Times New Roman" w:hAnsi="Times New Roman"/>
          <w:bCs/>
          <w:sz w:val="24"/>
          <w:szCs w:val="24"/>
        </w:rPr>
        <w:t xml:space="preserve"> poskytovateľom a prijímateľom alebo </w:t>
      </w:r>
      <w:r>
        <w:rPr>
          <w:rFonts w:ascii="Times New Roman" w:hAnsi="Times New Roman"/>
          <w:bCs/>
          <w:sz w:val="24"/>
          <w:szCs w:val="24"/>
        </w:rPr>
        <w:t xml:space="preserve">medzi poskytovateľom a </w:t>
      </w:r>
      <w:r w:rsidRPr="0074249B">
        <w:rPr>
          <w:rFonts w:ascii="Times New Roman" w:hAnsi="Times New Roman"/>
          <w:bCs/>
          <w:sz w:val="24"/>
          <w:szCs w:val="24"/>
        </w:rPr>
        <w:t>treťou osobou v súvislosti so zmluvou podľa § 25 alebo iných právnych úkonov vykonaných pri poskytovaní príspevku z európskych štrukturálnych a investičných fondov zostávajú po zlúčení operačných programov zachované.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F5025" w:rsidRPr="0041297A" w:rsidRDefault="000F5025" w:rsidP="000F5025">
      <w:pPr>
        <w:pStyle w:val="Odsekzoznamu"/>
        <w:numPr>
          <w:ilvl w:val="0"/>
          <w:numId w:val="32"/>
        </w:numPr>
        <w:ind w:left="709" w:hanging="425"/>
        <w:jc w:val="both"/>
      </w:pPr>
      <w:bookmarkStart w:id="1" w:name="move237938381"/>
      <w:bookmarkEnd w:id="1"/>
      <w:r w:rsidRPr="0074249B">
        <w:rPr>
          <w:rFonts w:ascii="Times New Roman" w:hAnsi="Times New Roman"/>
          <w:sz w:val="24"/>
          <w:szCs w:val="24"/>
        </w:rPr>
        <w:t>Pohľadávky a</w:t>
      </w:r>
      <w:r>
        <w:rPr>
          <w:rFonts w:ascii="Times New Roman" w:hAnsi="Times New Roman"/>
          <w:sz w:val="24"/>
          <w:szCs w:val="24"/>
        </w:rPr>
        <w:t> </w:t>
      </w:r>
      <w:r w:rsidRPr="0074249B">
        <w:rPr>
          <w:rFonts w:ascii="Times New Roman" w:hAnsi="Times New Roman"/>
          <w:sz w:val="24"/>
          <w:szCs w:val="24"/>
        </w:rPr>
        <w:t>záväzky, ktoré mal v správe riadiaci orgán zanikajúceho operačného programu, prechádzajú zlúčením operačných programov na riadiaci orgán nástupníckeho operačného programu</w:t>
      </w:r>
      <w:r>
        <w:rPr>
          <w:rFonts w:ascii="Times New Roman" w:hAnsi="Times New Roman"/>
          <w:sz w:val="24"/>
          <w:szCs w:val="24"/>
        </w:rPr>
        <w:t>; na zodpovednosť riadiaceho orgánu zanikajúceho operačného programu voči riadiacemu orgánu nástupníckeho operačného programu a na povinnosti týkajúce sa zisťovania a riešenia nezrovnalostí a výkonu nápravných opatrení sa vzťahuje § 7 ods. 12</w:t>
      </w:r>
      <w:r w:rsidRPr="007424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</w:t>
      </w:r>
      <w:r w:rsidRPr="004E2584">
        <w:rPr>
          <w:rFonts w:ascii="Times New Roman" w:hAnsi="Times New Roman"/>
          <w:sz w:val="24"/>
          <w:szCs w:val="24"/>
        </w:rPr>
        <w:t>a zodpovednosť sprostredkovateľského orgánu zanikajúceho operačného programu voči sprostredkovateľskému orgánu nástupníckeho operačného programu a na povinnosti týkajúce sa zisťovania a riešenia nezrovnalostí a výkonu nápravných opatrení sa vzťahuje § 8 ods. 8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F5025" w:rsidRPr="00EE7ECC" w:rsidRDefault="000F5025" w:rsidP="000F5025">
      <w:pPr>
        <w:pStyle w:val="Odsekzoznamu"/>
        <w:numPr>
          <w:ilvl w:val="0"/>
          <w:numId w:val="3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ECC">
        <w:rPr>
          <w:rFonts w:ascii="Times New Roman" w:hAnsi="Times New Roman"/>
          <w:sz w:val="24"/>
          <w:szCs w:val="24"/>
        </w:rPr>
        <w:t>Informačný monitorovací systém podľa § 49 ods. 1 zabezpečí obsah informácii evidovaný</w:t>
      </w:r>
      <w:r>
        <w:rPr>
          <w:rFonts w:ascii="Times New Roman" w:hAnsi="Times New Roman"/>
          <w:sz w:val="24"/>
          <w:szCs w:val="24"/>
        </w:rPr>
        <w:t>ch</w:t>
      </w:r>
      <w:r w:rsidRPr="00EE7ECC">
        <w:rPr>
          <w:rFonts w:ascii="Times New Roman" w:hAnsi="Times New Roman"/>
          <w:sz w:val="24"/>
          <w:szCs w:val="24"/>
        </w:rPr>
        <w:t xml:space="preserve"> v rámci zanikajúceho operačného programu aj po zlúčení operačných programov. Informačný monitorovací systém umožní plynulú implementáciu po zlúčení operačných programov najneskôr do </w:t>
      </w:r>
      <w:r>
        <w:rPr>
          <w:rFonts w:ascii="Times New Roman" w:hAnsi="Times New Roman"/>
          <w:sz w:val="24"/>
          <w:szCs w:val="24"/>
        </w:rPr>
        <w:t xml:space="preserve">6 mesiacov od zlúčenia </w:t>
      </w:r>
      <w:r w:rsidRPr="0074249B">
        <w:rPr>
          <w:rFonts w:ascii="Times New Roman" w:hAnsi="Times New Roman"/>
          <w:sz w:val="24"/>
          <w:szCs w:val="24"/>
        </w:rPr>
        <w:t>operačných programov</w:t>
      </w:r>
      <w:r w:rsidRPr="00EE7EC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Účinky úkonov</w:t>
      </w:r>
      <w:r w:rsidRPr="00D0622B">
        <w:rPr>
          <w:rFonts w:ascii="Times New Roman" w:hAnsi="Times New Roman"/>
          <w:sz w:val="24"/>
          <w:szCs w:val="24"/>
        </w:rPr>
        <w:t xml:space="preserve"> </w:t>
      </w:r>
      <w:r w:rsidRPr="00EE7ECC">
        <w:rPr>
          <w:rFonts w:ascii="Times New Roman" w:hAnsi="Times New Roman"/>
          <w:sz w:val="24"/>
          <w:szCs w:val="24"/>
        </w:rPr>
        <w:t>vykon</w:t>
      </w:r>
      <w:r>
        <w:rPr>
          <w:rFonts w:ascii="Times New Roman" w:hAnsi="Times New Roman"/>
          <w:sz w:val="24"/>
          <w:szCs w:val="24"/>
        </w:rPr>
        <w:t>aných</w:t>
      </w:r>
      <w:r w:rsidRPr="00EE7ECC">
        <w:rPr>
          <w:rFonts w:ascii="Times New Roman" w:hAnsi="Times New Roman"/>
          <w:sz w:val="24"/>
          <w:szCs w:val="24"/>
        </w:rPr>
        <w:t xml:space="preserve"> orgánmi podľa § 49 ods. 2 v rámci zanikajúceho operačného programu zostávajú po zlúčení operačných programov zachované. </w:t>
      </w:r>
      <w:r>
        <w:rPr>
          <w:rFonts w:ascii="Times New Roman" w:hAnsi="Times New Roman"/>
          <w:sz w:val="24"/>
          <w:szCs w:val="24"/>
        </w:rPr>
        <w:t>Účinky úkonov</w:t>
      </w:r>
      <w:r w:rsidRPr="00EE7ECC">
        <w:rPr>
          <w:rFonts w:ascii="Times New Roman" w:hAnsi="Times New Roman"/>
          <w:sz w:val="24"/>
          <w:szCs w:val="24"/>
        </w:rPr>
        <w:t xml:space="preserve"> vykon</w:t>
      </w:r>
      <w:r>
        <w:rPr>
          <w:rFonts w:ascii="Times New Roman" w:hAnsi="Times New Roman"/>
          <w:sz w:val="24"/>
          <w:szCs w:val="24"/>
        </w:rPr>
        <w:t>aných</w:t>
      </w:r>
      <w:r w:rsidRPr="00EE7ECC">
        <w:rPr>
          <w:rFonts w:ascii="Times New Roman" w:hAnsi="Times New Roman"/>
          <w:sz w:val="24"/>
          <w:szCs w:val="24"/>
        </w:rPr>
        <w:t xml:space="preserve"> žiadateľom a prijímateľom podľa § 49 ods. 3 v rámci zanikajúceho operačného programu zostávajú po zlúčení operačných programov zachované.</w:t>
      </w:r>
    </w:p>
    <w:p w:rsidR="000F5025" w:rsidRPr="00723E25" w:rsidRDefault="000F5025" w:rsidP="000F5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sk-SK"/>
        </w:rPr>
      </w:pPr>
      <w:r w:rsidRPr="00723E25">
        <w:rPr>
          <w:rFonts w:ascii="Times New Roman" w:eastAsia="MS Mincho" w:hAnsi="Times New Roman"/>
          <w:b/>
          <w:sz w:val="24"/>
          <w:szCs w:val="24"/>
          <w:lang w:eastAsia="sk-SK"/>
        </w:rPr>
        <w:t>§ 55</w:t>
      </w:r>
    </w:p>
    <w:p w:rsidR="000F5025" w:rsidRPr="00723E25" w:rsidRDefault="000F5025" w:rsidP="000F5025">
      <w:pPr>
        <w:spacing w:after="0" w:line="240" w:lineRule="auto"/>
        <w:ind w:left="1004"/>
        <w:jc w:val="center"/>
        <w:rPr>
          <w:rFonts w:ascii="Times New Roman" w:eastAsia="MS Mincho" w:hAnsi="Times New Roman"/>
          <w:b/>
          <w:sz w:val="24"/>
          <w:szCs w:val="24"/>
          <w:lang w:eastAsia="sk-SK"/>
        </w:rPr>
      </w:pPr>
      <w:r w:rsidRPr="00723E25">
        <w:rPr>
          <w:rFonts w:ascii="Times New Roman" w:eastAsia="MS Mincho" w:hAnsi="Times New Roman"/>
          <w:b/>
          <w:sz w:val="24"/>
          <w:szCs w:val="24"/>
          <w:lang w:eastAsia="sk-SK"/>
        </w:rPr>
        <w:t>Prechodné ustanovenia k úpravám účinným dňom vyhlásenia</w:t>
      </w:r>
    </w:p>
    <w:p w:rsidR="000F5025" w:rsidRDefault="000F5025" w:rsidP="000F5025">
      <w:pPr>
        <w:spacing w:after="0" w:line="240" w:lineRule="auto"/>
        <w:ind w:left="1004"/>
        <w:rPr>
          <w:rFonts w:ascii="Times New Roman" w:eastAsia="MS Mincho" w:hAnsi="Times New Roman"/>
          <w:sz w:val="24"/>
          <w:szCs w:val="24"/>
          <w:lang w:eastAsia="sk-SK"/>
        </w:rPr>
      </w:pPr>
    </w:p>
    <w:p w:rsidR="000F5025" w:rsidRDefault="000F5025" w:rsidP="000F5025">
      <w:pPr>
        <w:ind w:left="709" w:hanging="414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(1)  Tento zákon sa vzťahuje aj na zlúčenie operačných programov, ktoré nastalo pred nadobudnutím účinnosti tohto zákona.</w:t>
      </w:r>
    </w:p>
    <w:p w:rsidR="000F5025" w:rsidRDefault="000F5025" w:rsidP="000F5025">
      <w:pPr>
        <w:ind w:left="709" w:hanging="41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lastRenderedPageBreak/>
        <w:t>(2)  Ak došlo k zlúčeniu operačných programov pred nadobudnutím účinnosti tohto zákona, zlúčenie operačných programov sa považuje za účinné dňom nadobudnutia účinnosti tohto zákona.“.</w:t>
      </w:r>
    </w:p>
    <w:p w:rsidR="000F5025" w:rsidRPr="0074249B" w:rsidRDefault="000F5025" w:rsidP="000F5025">
      <w:pPr>
        <w:pStyle w:val="Odsekzoznamu"/>
        <w:ind w:left="709"/>
        <w:jc w:val="both"/>
      </w:pPr>
    </w:p>
    <w:p w:rsidR="000F5025" w:rsidRDefault="000F5025" w:rsidP="000F5025">
      <w:pPr>
        <w:pStyle w:val="Odsekzoznamu"/>
        <w:spacing w:after="0" w:line="240" w:lineRule="auto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0F5025" w:rsidRDefault="000F5025" w:rsidP="000F502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5025" w:rsidRDefault="000F5025" w:rsidP="000F5025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323/2015 Z. z. o finančných nástrojoch financovaných z európskych štrukturálnych a investičných fondov a o zmene a doplnení niektorých zákonov v znení zákona č. 112/2018 Z. z. a zákona č.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374/2019 Z. z. sa dopĺňa takto:</w:t>
      </w:r>
    </w:p>
    <w:p w:rsidR="000F5025" w:rsidRDefault="000F5025" w:rsidP="000F5025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</w:p>
    <w:p w:rsidR="000F5025" w:rsidRDefault="000F5025" w:rsidP="000F5025">
      <w:pPr>
        <w:pStyle w:val="Odsekzoznamu"/>
        <w:numPr>
          <w:ilvl w:val="0"/>
          <w:numId w:val="34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 sa dopĺňa odsekom 3, ktorý znie:</w:t>
      </w:r>
    </w:p>
    <w:p w:rsidR="000F5025" w:rsidRDefault="000F5025" w:rsidP="000F5025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555AE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555AEE">
        <w:rPr>
          <w:rFonts w:ascii="Times New Roman" w:hAnsi="Times New Roman"/>
          <w:sz w:val="24"/>
          <w:szCs w:val="24"/>
        </w:rPr>
        <w:t>) Ak dôjde k zlúčeniu operačných programov</w:t>
      </w:r>
      <w:r>
        <w:rPr>
          <w:rFonts w:ascii="Times New Roman" w:hAnsi="Times New Roman"/>
          <w:sz w:val="24"/>
          <w:szCs w:val="24"/>
        </w:rPr>
        <w:t>,</w:t>
      </w:r>
      <w:r>
        <w:rPr>
          <w:rStyle w:val="Odkaznapoznmkupodiarou"/>
          <w:rFonts w:ascii="Times New Roman" w:hAnsi="Times New Roman"/>
          <w:sz w:val="24"/>
          <w:szCs w:val="24"/>
        </w:rPr>
        <w:t>1</w:t>
      </w:r>
      <w:r w:rsidRPr="00D41503">
        <w:rPr>
          <w:rStyle w:val="Ukotveniepoznmkypodiarou"/>
          <w:rFonts w:ascii="Times New Roman" w:hAnsi="Times New Roman"/>
          <w:bCs/>
          <w:sz w:val="24"/>
          <w:szCs w:val="24"/>
        </w:rPr>
        <w:t>5a</w:t>
      </w:r>
      <w:r w:rsidRPr="00615B18">
        <w:rPr>
          <w:rStyle w:val="Ukotveniepoznmkypodiarou"/>
          <w:rFonts w:ascii="Times New Roman" w:hAnsi="Times New Roman"/>
          <w:bCs/>
          <w:sz w:val="24"/>
          <w:szCs w:val="24"/>
        </w:rPr>
        <w:t>)</w:t>
      </w:r>
      <w:r w:rsidRPr="00555AEE">
        <w:rPr>
          <w:rFonts w:ascii="Times New Roman" w:hAnsi="Times New Roman"/>
          <w:sz w:val="24"/>
          <w:szCs w:val="24"/>
        </w:rPr>
        <w:t xml:space="preserve"> plnenie úloh vo vzťahu k finančným nástrojom podľa tohto zákona prechádza na riadiaci orgán nástupníckeho operačného programu, ktorý je právnym nástupcom riadiaceho orgánu zanikajúceho operačného programu v celom rozsahu ku dňu účinnosti zlúčenia operačných programov.</w:t>
      </w:r>
      <w:r>
        <w:rPr>
          <w:rFonts w:ascii="Times New Roman" w:hAnsi="Times New Roman"/>
          <w:sz w:val="24"/>
          <w:szCs w:val="24"/>
        </w:rPr>
        <w:t>“.</w:t>
      </w:r>
    </w:p>
    <w:p w:rsidR="000F5025" w:rsidRDefault="000F5025" w:rsidP="000F5025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:rsidR="000F5025" w:rsidRDefault="000F5025" w:rsidP="000F5025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15a znie:</w:t>
      </w:r>
    </w:p>
    <w:p w:rsidR="000F5025" w:rsidRDefault="000F5025" w:rsidP="000F5025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„15a) § 3 ods. 1 písm. l) zákona č. 292/2014 Z. z. v znení zákona č.../2019 Z. z.“.</w:t>
      </w:r>
    </w:p>
    <w:p w:rsidR="000F5025" w:rsidRDefault="000F5025" w:rsidP="000F5025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:rsidR="000F5025" w:rsidRDefault="000F5025" w:rsidP="000F5025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Za § 24 sa dopĺňajú § 25 a 26, ktoré vrátane nadpisov znejú: </w:t>
      </w:r>
    </w:p>
    <w:p w:rsidR="000F5025" w:rsidRDefault="000F5025" w:rsidP="000F502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0F5025" w:rsidRPr="00555AEE" w:rsidRDefault="000F5025" w:rsidP="000F5025">
      <w:pPr>
        <w:pStyle w:val="Odsekzoznamu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55AEE">
        <w:rPr>
          <w:rFonts w:ascii="Times New Roman" w:hAnsi="Times New Roman"/>
          <w:b/>
          <w:sz w:val="24"/>
          <w:szCs w:val="24"/>
        </w:rPr>
        <w:t>„§ 25</w:t>
      </w:r>
    </w:p>
    <w:p w:rsidR="000F5025" w:rsidRPr="0074249B" w:rsidRDefault="000F5025" w:rsidP="000F5025">
      <w:pPr>
        <w:pStyle w:val="Odsekzoznamu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Spoločné</w:t>
      </w:r>
      <w:r w:rsidRPr="0074249B">
        <w:rPr>
          <w:rFonts w:ascii="Times New Roman" w:hAnsi="Times New Roman"/>
          <w:b/>
          <w:sz w:val="24"/>
          <w:szCs w:val="24"/>
        </w:rPr>
        <w:t xml:space="preserve"> ustanovenia </w:t>
      </w:r>
      <w:r>
        <w:rPr>
          <w:rFonts w:ascii="Times New Roman" w:hAnsi="Times New Roman"/>
          <w:b/>
          <w:sz w:val="24"/>
          <w:szCs w:val="24"/>
        </w:rPr>
        <w:t>týkajúce sa zlúčenia operačných programov</w:t>
      </w:r>
    </w:p>
    <w:p w:rsidR="000F5025" w:rsidRPr="00555AEE" w:rsidRDefault="000F5025" w:rsidP="000F502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0F5025" w:rsidRPr="00555AEE" w:rsidRDefault="000F5025" w:rsidP="000F5025">
      <w:pPr>
        <w:pStyle w:val="Odsekzoznamu"/>
        <w:numPr>
          <w:ilvl w:val="0"/>
          <w:numId w:val="33"/>
        </w:numPr>
        <w:ind w:left="426" w:hanging="426"/>
        <w:jc w:val="both"/>
      </w:pPr>
      <w:r w:rsidRPr="00555AEE">
        <w:rPr>
          <w:rFonts w:ascii="Times New Roman" w:hAnsi="Times New Roman"/>
          <w:bCs/>
          <w:sz w:val="24"/>
          <w:szCs w:val="24"/>
        </w:rPr>
        <w:t>Zlúčením operačných programov prechádza</w:t>
      </w:r>
      <w:r>
        <w:rPr>
          <w:rFonts w:ascii="Times New Roman" w:hAnsi="Times New Roman"/>
          <w:bCs/>
          <w:sz w:val="24"/>
          <w:szCs w:val="24"/>
        </w:rPr>
        <w:t>jú</w:t>
      </w:r>
      <w:r w:rsidRPr="00555AEE">
        <w:rPr>
          <w:rFonts w:ascii="Times New Roman" w:hAnsi="Times New Roman"/>
          <w:bCs/>
          <w:sz w:val="24"/>
          <w:szCs w:val="24"/>
        </w:rPr>
        <w:t xml:space="preserve"> práv</w:t>
      </w:r>
      <w:r>
        <w:rPr>
          <w:rFonts w:ascii="Times New Roman" w:hAnsi="Times New Roman"/>
          <w:bCs/>
          <w:sz w:val="24"/>
          <w:szCs w:val="24"/>
        </w:rPr>
        <w:t>a</w:t>
      </w:r>
      <w:r w:rsidRPr="00555AEE">
        <w:rPr>
          <w:rFonts w:ascii="Times New Roman" w:hAnsi="Times New Roman"/>
          <w:bCs/>
          <w:sz w:val="24"/>
          <w:szCs w:val="24"/>
        </w:rPr>
        <w:t xml:space="preserve"> a povinnost</w:t>
      </w:r>
      <w:r>
        <w:rPr>
          <w:rFonts w:ascii="Times New Roman" w:hAnsi="Times New Roman"/>
          <w:bCs/>
          <w:sz w:val="24"/>
          <w:szCs w:val="24"/>
        </w:rPr>
        <w:t>i</w:t>
      </w:r>
      <w:r w:rsidRPr="00555AEE">
        <w:rPr>
          <w:rFonts w:ascii="Times New Roman" w:hAnsi="Times New Roman"/>
          <w:bCs/>
          <w:sz w:val="24"/>
          <w:szCs w:val="24"/>
        </w:rPr>
        <w:t xml:space="preserve"> zo zmluvy podľa § 15 z  poskytovateľa zanikajúceho operačného programu na poskytovateľa nástupníckeho operačného programu </w:t>
      </w:r>
      <w:r w:rsidRPr="00555AEE">
        <w:rPr>
          <w:rFonts w:ascii="Times New Roman" w:hAnsi="Times New Roman"/>
          <w:sz w:val="24"/>
          <w:szCs w:val="24"/>
        </w:rPr>
        <w:t xml:space="preserve">bez potreby vykonania osobitného úkonu týkajúceho sa tejto zmeny. Právne účinky zmluvy podľa § 15 a 16 </w:t>
      </w:r>
      <w:r w:rsidRPr="00555AEE">
        <w:rPr>
          <w:rFonts w:ascii="Times New Roman" w:hAnsi="Times New Roman"/>
          <w:bCs/>
          <w:sz w:val="24"/>
          <w:szCs w:val="24"/>
        </w:rPr>
        <w:t>alebo iných právnych úkonov vykonaných pri poskytovaní príspevku na finančný nástroj, vrátení príspevku na finančný nástroj a pri vykonávaní finančných nástrojov zostávajú po zlúčení operačných programov zachované.</w:t>
      </w:r>
    </w:p>
    <w:p w:rsidR="000F5025" w:rsidRPr="00555AEE" w:rsidRDefault="000F5025" w:rsidP="000F5025">
      <w:pPr>
        <w:pStyle w:val="Odsekzoznamu"/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AEE">
        <w:rPr>
          <w:rFonts w:ascii="Times New Roman" w:hAnsi="Times New Roman"/>
          <w:sz w:val="24"/>
          <w:szCs w:val="24"/>
        </w:rPr>
        <w:t>Konania alebo procesy podľa tohto zákona neukončené do zlúčenia operačných programov dokonč</w:t>
      </w:r>
      <w:r>
        <w:rPr>
          <w:rFonts w:ascii="Times New Roman" w:hAnsi="Times New Roman"/>
          <w:sz w:val="24"/>
          <w:szCs w:val="24"/>
        </w:rPr>
        <w:t>uje</w:t>
      </w:r>
      <w:r w:rsidRPr="00555AEE">
        <w:rPr>
          <w:rFonts w:ascii="Times New Roman" w:hAnsi="Times New Roman"/>
          <w:sz w:val="24"/>
          <w:szCs w:val="24"/>
        </w:rPr>
        <w:t xml:space="preserve"> poskytovateľ nástupníckeho operačného programu.</w:t>
      </w:r>
    </w:p>
    <w:p w:rsidR="000F5025" w:rsidRPr="00094D2A" w:rsidRDefault="000F5025" w:rsidP="000F5025">
      <w:pPr>
        <w:pStyle w:val="Odsekzoznamu"/>
        <w:numPr>
          <w:ilvl w:val="0"/>
          <w:numId w:val="33"/>
        </w:numPr>
        <w:ind w:left="426" w:hanging="426"/>
        <w:jc w:val="both"/>
        <w:rPr>
          <w:rStyle w:val="Ukotveniepoznmkypodiarou"/>
        </w:rPr>
      </w:pPr>
      <w:r w:rsidRPr="00555AEE">
        <w:rPr>
          <w:rFonts w:ascii="Times New Roman" w:hAnsi="Times New Roman"/>
          <w:sz w:val="24"/>
          <w:szCs w:val="24"/>
        </w:rPr>
        <w:t xml:space="preserve">Na úpravu práv, povinností a vzťahov, ktoré sú dotknuté zlúčením operačných programov, sa v prípadoch neupravených v tomto zákone </w:t>
      </w:r>
      <w:r>
        <w:rPr>
          <w:rFonts w:ascii="Times New Roman" w:hAnsi="Times New Roman"/>
          <w:sz w:val="24"/>
          <w:szCs w:val="24"/>
        </w:rPr>
        <w:t>použijú ustanovenia osobitného predpisu.</w:t>
      </w:r>
      <w:r w:rsidRPr="00555AEE">
        <w:rPr>
          <w:rStyle w:val="Ukotveniepoznmkypodiarou"/>
          <w:rFonts w:ascii="Times New Roman" w:hAnsi="Times New Roman"/>
          <w:sz w:val="24"/>
          <w:szCs w:val="24"/>
        </w:rPr>
        <w:t>47</w:t>
      </w:r>
      <w:r w:rsidRPr="00615B18">
        <w:rPr>
          <w:rStyle w:val="Ukotveniepoznmkypodiarou"/>
          <w:rFonts w:ascii="Times New Roman" w:hAnsi="Times New Roman"/>
          <w:sz w:val="24"/>
          <w:szCs w:val="24"/>
        </w:rPr>
        <w:t>)</w:t>
      </w:r>
    </w:p>
    <w:p w:rsidR="000F5025" w:rsidRPr="00723E25" w:rsidRDefault="000F5025" w:rsidP="000F5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sk-SK"/>
        </w:rPr>
      </w:pPr>
      <w:bookmarkStart w:id="2" w:name="_GoBack"/>
      <w:bookmarkEnd w:id="2"/>
      <w:r w:rsidRPr="00723E25">
        <w:rPr>
          <w:rFonts w:ascii="Times New Roman" w:eastAsia="MS Mincho" w:hAnsi="Times New Roman"/>
          <w:b/>
          <w:sz w:val="24"/>
          <w:szCs w:val="24"/>
          <w:lang w:eastAsia="sk-SK"/>
        </w:rPr>
        <w:t>§ 26</w:t>
      </w:r>
    </w:p>
    <w:p w:rsidR="000F5025" w:rsidRPr="00723E25" w:rsidRDefault="000F5025" w:rsidP="000F5025">
      <w:pPr>
        <w:spacing w:after="0" w:line="240" w:lineRule="auto"/>
        <w:ind w:left="1004"/>
        <w:jc w:val="center"/>
        <w:rPr>
          <w:rFonts w:ascii="Times New Roman" w:eastAsia="MS Mincho" w:hAnsi="Times New Roman"/>
          <w:b/>
          <w:sz w:val="24"/>
          <w:szCs w:val="24"/>
          <w:lang w:eastAsia="sk-SK"/>
        </w:rPr>
      </w:pPr>
      <w:r w:rsidRPr="00723E25">
        <w:rPr>
          <w:rFonts w:ascii="Times New Roman" w:eastAsia="MS Mincho" w:hAnsi="Times New Roman"/>
          <w:b/>
          <w:sz w:val="24"/>
          <w:szCs w:val="24"/>
          <w:lang w:eastAsia="sk-SK"/>
        </w:rPr>
        <w:t>Prechodné ustanovenia k úpravám účinným dňom vyhlásenia</w:t>
      </w:r>
    </w:p>
    <w:p w:rsidR="000F5025" w:rsidRDefault="000F5025" w:rsidP="000F5025">
      <w:pPr>
        <w:spacing w:after="0" w:line="240" w:lineRule="auto"/>
        <w:ind w:left="1004"/>
        <w:rPr>
          <w:rFonts w:ascii="Times New Roman" w:eastAsia="MS Mincho" w:hAnsi="Times New Roman"/>
          <w:sz w:val="24"/>
          <w:szCs w:val="24"/>
          <w:lang w:eastAsia="sk-SK"/>
        </w:rPr>
      </w:pPr>
    </w:p>
    <w:p w:rsidR="000F5025" w:rsidRDefault="000F5025" w:rsidP="000F5025">
      <w:pPr>
        <w:ind w:left="426" w:hanging="414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(1)  Tento zákon sa vzťahuje aj na zlúčenie operačných programov, ktoré nastalo pred nadobudnutím účinnosti tohto zákona.</w:t>
      </w:r>
    </w:p>
    <w:p w:rsidR="000F5025" w:rsidRDefault="000F5025" w:rsidP="000F5025">
      <w:pPr>
        <w:ind w:left="426" w:hanging="41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(2)  Ak došlo k zlúčeniu operačných programov pred nadobudnutím účinnosti tohto zákona, zlúčenie operačných programov sa považuje za účinné dňom nadobudnutia účinnosti tohto zákona.“.</w:t>
      </w:r>
    </w:p>
    <w:p w:rsidR="000F5025" w:rsidRPr="00094D2A" w:rsidRDefault="000F5025" w:rsidP="000F50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4D2A">
        <w:rPr>
          <w:rFonts w:ascii="Times New Roman" w:hAnsi="Times New Roman"/>
          <w:sz w:val="24"/>
          <w:szCs w:val="24"/>
        </w:rPr>
        <w:lastRenderedPageBreak/>
        <w:t xml:space="preserve">Poznámka pod čiarou k odkazu </w:t>
      </w:r>
      <w:r>
        <w:rPr>
          <w:rFonts w:ascii="Times New Roman" w:hAnsi="Times New Roman"/>
          <w:sz w:val="24"/>
          <w:szCs w:val="24"/>
        </w:rPr>
        <w:t>47</w:t>
      </w:r>
      <w:r w:rsidRPr="00094D2A">
        <w:rPr>
          <w:rFonts w:ascii="Times New Roman" w:hAnsi="Times New Roman"/>
          <w:sz w:val="24"/>
          <w:szCs w:val="24"/>
        </w:rPr>
        <w:t xml:space="preserve"> znie:</w:t>
      </w:r>
    </w:p>
    <w:p w:rsidR="000F5025" w:rsidRPr="00094D2A" w:rsidRDefault="000F5025" w:rsidP="000F50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„47</w:t>
      </w:r>
      <w:r w:rsidRPr="00094D2A">
        <w:rPr>
          <w:rFonts w:ascii="Times New Roman" w:hAnsi="Times New Roman"/>
          <w:sz w:val="24"/>
          <w:szCs w:val="24"/>
        </w:rPr>
        <w:t xml:space="preserve">) § </w:t>
      </w:r>
      <w:r>
        <w:rPr>
          <w:rFonts w:ascii="Times New Roman" w:hAnsi="Times New Roman"/>
          <w:sz w:val="24"/>
          <w:szCs w:val="24"/>
        </w:rPr>
        <w:t>54</w:t>
      </w:r>
      <w:r w:rsidRPr="00094D2A">
        <w:rPr>
          <w:rFonts w:ascii="Times New Roman" w:hAnsi="Times New Roman"/>
          <w:sz w:val="24"/>
          <w:szCs w:val="24"/>
        </w:rPr>
        <w:t xml:space="preserve"> zákona č. 292/2014 Z. z. v znení zákona č.../2019 Z. z.“.</w:t>
      </w:r>
    </w:p>
    <w:p w:rsidR="000F5025" w:rsidRPr="00094D2A" w:rsidRDefault="000F5025" w:rsidP="000F502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0F5025" w:rsidRDefault="000F5025" w:rsidP="000F5025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</w:p>
    <w:p w:rsidR="000F5025" w:rsidRDefault="000F5025" w:rsidP="000F5025">
      <w:pPr>
        <w:pStyle w:val="Odsekzoznamu"/>
        <w:spacing w:after="0" w:line="240" w:lineRule="auto"/>
        <w:ind w:left="0"/>
        <w:jc w:val="center"/>
      </w:pPr>
    </w:p>
    <w:p w:rsidR="000F5025" w:rsidRPr="00555AEE" w:rsidRDefault="000F5025" w:rsidP="000F5025">
      <w:pPr>
        <w:pStyle w:val="Odsekzoznamu"/>
        <w:spacing w:after="0" w:line="240" w:lineRule="auto"/>
        <w:ind w:left="0"/>
        <w:jc w:val="both"/>
      </w:pPr>
      <w:r w:rsidRPr="00555AEE">
        <w:rPr>
          <w:rFonts w:ascii="Times New Roman" w:hAnsi="Times New Roman"/>
          <w:sz w:val="24"/>
          <w:szCs w:val="24"/>
        </w:rPr>
        <w:t>Tento zákon na</w:t>
      </w:r>
      <w:r>
        <w:rPr>
          <w:rFonts w:ascii="Times New Roman" w:hAnsi="Times New Roman"/>
          <w:sz w:val="24"/>
          <w:szCs w:val="24"/>
        </w:rPr>
        <w:t>dobúda účinnosť dňom vyhlásenia</w:t>
      </w:r>
      <w:r w:rsidRPr="00555AEE">
        <w:rPr>
          <w:rFonts w:ascii="Times New Roman" w:hAnsi="Times New Roman"/>
          <w:sz w:val="24"/>
          <w:szCs w:val="24"/>
        </w:rPr>
        <w:t xml:space="preserve">. </w:t>
      </w:r>
    </w:p>
    <w:p w:rsidR="00CC478E" w:rsidRPr="00502022" w:rsidRDefault="00CC478E" w:rsidP="000F5025">
      <w:pPr>
        <w:pStyle w:val="Odsekzoznamu"/>
        <w:spacing w:after="0" w:line="240" w:lineRule="auto"/>
        <w:ind w:left="0"/>
        <w:jc w:val="center"/>
      </w:pPr>
    </w:p>
    <w:sectPr w:rsidR="00CC478E" w:rsidRPr="00502022" w:rsidSect="00CD0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00" w:rsidRDefault="00772500" w:rsidP="00F07D32">
      <w:pPr>
        <w:spacing w:after="0" w:line="240" w:lineRule="auto"/>
      </w:pPr>
      <w:r>
        <w:separator/>
      </w:r>
    </w:p>
  </w:endnote>
  <w:endnote w:type="continuationSeparator" w:id="0">
    <w:p w:rsidR="00772500" w:rsidRDefault="00772500" w:rsidP="00F0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D1" w:rsidRDefault="00AA63D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D1" w:rsidRPr="00F07D32" w:rsidRDefault="00AA63D1">
    <w:pPr>
      <w:pStyle w:val="Pta"/>
      <w:jc w:val="center"/>
      <w:rPr>
        <w:rFonts w:ascii="Times New Roman" w:hAnsi="Times New Roman"/>
        <w:sz w:val="24"/>
      </w:rPr>
    </w:pPr>
    <w:r w:rsidRPr="00F07D32">
      <w:rPr>
        <w:rFonts w:ascii="Times New Roman" w:hAnsi="Times New Roman"/>
        <w:sz w:val="24"/>
      </w:rPr>
      <w:fldChar w:fldCharType="begin"/>
    </w:r>
    <w:r w:rsidRPr="00F07D32">
      <w:rPr>
        <w:rFonts w:ascii="Times New Roman" w:hAnsi="Times New Roman"/>
        <w:sz w:val="24"/>
      </w:rPr>
      <w:instrText>PAGE   \* MERGEFORMAT</w:instrText>
    </w:r>
    <w:r w:rsidRPr="00F07D32">
      <w:rPr>
        <w:rFonts w:ascii="Times New Roman" w:hAnsi="Times New Roman"/>
        <w:sz w:val="24"/>
      </w:rPr>
      <w:fldChar w:fldCharType="separate"/>
    </w:r>
    <w:r w:rsidR="000F5025">
      <w:rPr>
        <w:rFonts w:ascii="Times New Roman" w:hAnsi="Times New Roman"/>
        <w:noProof/>
        <w:sz w:val="24"/>
      </w:rPr>
      <w:t>5</w:t>
    </w:r>
    <w:r w:rsidRPr="00F07D32">
      <w:rPr>
        <w:rFonts w:ascii="Times New Roman" w:hAnsi="Times New Roman"/>
        <w:sz w:val="24"/>
      </w:rPr>
      <w:fldChar w:fldCharType="end"/>
    </w:r>
  </w:p>
  <w:p w:rsidR="00AA63D1" w:rsidRPr="00F07D32" w:rsidRDefault="00AA63D1">
    <w:pPr>
      <w:pStyle w:val="Pta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D1" w:rsidRDefault="00AA63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00" w:rsidRDefault="00772500" w:rsidP="00F07D32">
      <w:pPr>
        <w:spacing w:after="0" w:line="240" w:lineRule="auto"/>
      </w:pPr>
      <w:r>
        <w:separator/>
      </w:r>
    </w:p>
  </w:footnote>
  <w:footnote w:type="continuationSeparator" w:id="0">
    <w:p w:rsidR="00772500" w:rsidRDefault="00772500" w:rsidP="00F0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D1" w:rsidRDefault="00AA63D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D1" w:rsidRDefault="00AA63D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D1" w:rsidRDefault="00AA63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A86"/>
    <w:multiLevelType w:val="hybridMultilevel"/>
    <w:tmpl w:val="E48A2F28"/>
    <w:lvl w:ilvl="0" w:tplc="20A80DDC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4707631"/>
    <w:multiLevelType w:val="hybridMultilevel"/>
    <w:tmpl w:val="62A4A948"/>
    <w:lvl w:ilvl="0" w:tplc="BAB40856">
      <w:start w:val="40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61D292D"/>
    <w:multiLevelType w:val="hybridMultilevel"/>
    <w:tmpl w:val="1F98872E"/>
    <w:lvl w:ilvl="0" w:tplc="20A80D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7009A"/>
    <w:multiLevelType w:val="hybridMultilevel"/>
    <w:tmpl w:val="FFB0965E"/>
    <w:lvl w:ilvl="0" w:tplc="3D344006">
      <w:start w:val="39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877E40"/>
    <w:multiLevelType w:val="hybridMultilevel"/>
    <w:tmpl w:val="2A3A51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5B37F4"/>
    <w:multiLevelType w:val="hybridMultilevel"/>
    <w:tmpl w:val="E67E2F7E"/>
    <w:lvl w:ilvl="0" w:tplc="717647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C967E48"/>
    <w:multiLevelType w:val="hybridMultilevel"/>
    <w:tmpl w:val="93F495AC"/>
    <w:lvl w:ilvl="0" w:tplc="6D42FA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F1B3036"/>
    <w:multiLevelType w:val="hybridMultilevel"/>
    <w:tmpl w:val="AF04A132"/>
    <w:lvl w:ilvl="0" w:tplc="AB2E7A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094B2D"/>
    <w:multiLevelType w:val="hybridMultilevel"/>
    <w:tmpl w:val="7444E94A"/>
    <w:lvl w:ilvl="0" w:tplc="55704488">
      <w:start w:val="40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5B14C92"/>
    <w:multiLevelType w:val="hybridMultilevel"/>
    <w:tmpl w:val="AAA620C4"/>
    <w:lvl w:ilvl="0" w:tplc="8962E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7DA4AE3"/>
    <w:multiLevelType w:val="hybridMultilevel"/>
    <w:tmpl w:val="9DD2055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203B88"/>
    <w:multiLevelType w:val="hybridMultilevel"/>
    <w:tmpl w:val="E87A4CE2"/>
    <w:lvl w:ilvl="0" w:tplc="1AB623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0A220C"/>
    <w:multiLevelType w:val="hybridMultilevel"/>
    <w:tmpl w:val="C504B468"/>
    <w:lvl w:ilvl="0" w:tplc="8B3615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A317FC8"/>
    <w:multiLevelType w:val="multilevel"/>
    <w:tmpl w:val="BEB24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C5841"/>
    <w:multiLevelType w:val="hybridMultilevel"/>
    <w:tmpl w:val="E272D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FE4E39"/>
    <w:multiLevelType w:val="hybridMultilevel"/>
    <w:tmpl w:val="C08C6630"/>
    <w:lvl w:ilvl="0" w:tplc="2F727F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80F7FCF"/>
    <w:multiLevelType w:val="hybridMultilevel"/>
    <w:tmpl w:val="D596934E"/>
    <w:lvl w:ilvl="0" w:tplc="7412614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7" w15:restartNumberingAfterBreak="0">
    <w:nsid w:val="2AD3271E"/>
    <w:multiLevelType w:val="hybridMultilevel"/>
    <w:tmpl w:val="DC288DFC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B6E4873"/>
    <w:multiLevelType w:val="hybridMultilevel"/>
    <w:tmpl w:val="21587F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D13DB6"/>
    <w:multiLevelType w:val="multilevel"/>
    <w:tmpl w:val="BEB24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B1E2E"/>
    <w:multiLevelType w:val="hybridMultilevel"/>
    <w:tmpl w:val="4BF0CBA4"/>
    <w:lvl w:ilvl="0" w:tplc="CC3CB9B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F0213BF"/>
    <w:multiLevelType w:val="hybridMultilevel"/>
    <w:tmpl w:val="232C98E2"/>
    <w:lvl w:ilvl="0" w:tplc="A6A44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3C3033B4"/>
    <w:multiLevelType w:val="hybridMultilevel"/>
    <w:tmpl w:val="841A81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F05AC6"/>
    <w:multiLevelType w:val="hybridMultilevel"/>
    <w:tmpl w:val="1A244FEC"/>
    <w:lvl w:ilvl="0" w:tplc="583ED26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7E5D0E"/>
    <w:multiLevelType w:val="multilevel"/>
    <w:tmpl w:val="01A2FFBA"/>
    <w:lvl w:ilvl="0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F35D96"/>
    <w:multiLevelType w:val="hybridMultilevel"/>
    <w:tmpl w:val="C7AA60F4"/>
    <w:lvl w:ilvl="0" w:tplc="C50876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6F967E1"/>
    <w:multiLevelType w:val="multilevel"/>
    <w:tmpl w:val="119832EA"/>
    <w:lvl w:ilvl="0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954B24"/>
    <w:multiLevelType w:val="hybridMultilevel"/>
    <w:tmpl w:val="3D381DCC"/>
    <w:lvl w:ilvl="0" w:tplc="2EA8360E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8" w15:restartNumberingAfterBreak="0">
    <w:nsid w:val="6ABD2193"/>
    <w:multiLevelType w:val="hybridMultilevel"/>
    <w:tmpl w:val="A538EF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2F3AB1"/>
    <w:multiLevelType w:val="hybridMultilevel"/>
    <w:tmpl w:val="C84830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2E339B"/>
    <w:multiLevelType w:val="hybridMultilevel"/>
    <w:tmpl w:val="7556C4D0"/>
    <w:lvl w:ilvl="0" w:tplc="3BC452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9A566E"/>
    <w:multiLevelType w:val="hybridMultilevel"/>
    <w:tmpl w:val="10EA5F0A"/>
    <w:lvl w:ilvl="0" w:tplc="D06655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D21881"/>
    <w:multiLevelType w:val="hybridMultilevel"/>
    <w:tmpl w:val="308CBA98"/>
    <w:lvl w:ilvl="0" w:tplc="2A08E5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77E71B4F"/>
    <w:multiLevelType w:val="hybridMultilevel"/>
    <w:tmpl w:val="DD603BF2"/>
    <w:lvl w:ilvl="0" w:tplc="FA8C97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14"/>
  </w:num>
  <w:num w:numId="4">
    <w:abstractNumId w:val="28"/>
  </w:num>
  <w:num w:numId="5">
    <w:abstractNumId w:val="11"/>
  </w:num>
  <w:num w:numId="6">
    <w:abstractNumId w:val="31"/>
  </w:num>
  <w:num w:numId="7">
    <w:abstractNumId w:val="23"/>
  </w:num>
  <w:num w:numId="8">
    <w:abstractNumId w:val="25"/>
  </w:num>
  <w:num w:numId="9">
    <w:abstractNumId w:val="9"/>
  </w:num>
  <w:num w:numId="10">
    <w:abstractNumId w:val="20"/>
  </w:num>
  <w:num w:numId="11">
    <w:abstractNumId w:val="15"/>
  </w:num>
  <w:num w:numId="12">
    <w:abstractNumId w:val="1"/>
  </w:num>
  <w:num w:numId="13">
    <w:abstractNumId w:val="5"/>
  </w:num>
  <w:num w:numId="14">
    <w:abstractNumId w:val="7"/>
  </w:num>
  <w:num w:numId="15">
    <w:abstractNumId w:val="16"/>
  </w:num>
  <w:num w:numId="16">
    <w:abstractNumId w:val="12"/>
  </w:num>
  <w:num w:numId="17">
    <w:abstractNumId w:val="3"/>
  </w:num>
  <w:num w:numId="18">
    <w:abstractNumId w:val="21"/>
  </w:num>
  <w:num w:numId="19">
    <w:abstractNumId w:val="6"/>
  </w:num>
  <w:num w:numId="20">
    <w:abstractNumId w:val="8"/>
  </w:num>
  <w:num w:numId="21">
    <w:abstractNumId w:val="33"/>
  </w:num>
  <w:num w:numId="22">
    <w:abstractNumId w:val="17"/>
  </w:num>
  <w:num w:numId="23">
    <w:abstractNumId w:val="10"/>
  </w:num>
  <w:num w:numId="24">
    <w:abstractNumId w:val="27"/>
  </w:num>
  <w:num w:numId="25">
    <w:abstractNumId w:val="2"/>
  </w:num>
  <w:num w:numId="26">
    <w:abstractNumId w:val="30"/>
  </w:num>
  <w:num w:numId="27">
    <w:abstractNumId w:val="32"/>
  </w:num>
  <w:num w:numId="28">
    <w:abstractNumId w:val="29"/>
  </w:num>
  <w:num w:numId="29">
    <w:abstractNumId w:val="0"/>
  </w:num>
  <w:num w:numId="30">
    <w:abstractNumId w:val="4"/>
  </w:num>
  <w:num w:numId="31">
    <w:abstractNumId w:val="13"/>
  </w:num>
  <w:num w:numId="32">
    <w:abstractNumId w:val="24"/>
  </w:num>
  <w:num w:numId="33">
    <w:abstractNumId w:val="2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E5"/>
    <w:rsid w:val="00000269"/>
    <w:rsid w:val="000003FF"/>
    <w:rsid w:val="000015C4"/>
    <w:rsid w:val="00005DC9"/>
    <w:rsid w:val="000079E3"/>
    <w:rsid w:val="000122BE"/>
    <w:rsid w:val="00016BD7"/>
    <w:rsid w:val="0003277C"/>
    <w:rsid w:val="00034D85"/>
    <w:rsid w:val="000446C1"/>
    <w:rsid w:val="0004492D"/>
    <w:rsid w:val="00046EDD"/>
    <w:rsid w:val="000608DB"/>
    <w:rsid w:val="00063AF1"/>
    <w:rsid w:val="0007230E"/>
    <w:rsid w:val="000737CC"/>
    <w:rsid w:val="0007611A"/>
    <w:rsid w:val="00076A84"/>
    <w:rsid w:val="00077C17"/>
    <w:rsid w:val="00077F6F"/>
    <w:rsid w:val="00084424"/>
    <w:rsid w:val="00095D21"/>
    <w:rsid w:val="0009739D"/>
    <w:rsid w:val="00097EB9"/>
    <w:rsid w:val="000A15FE"/>
    <w:rsid w:val="000B32FD"/>
    <w:rsid w:val="000B5406"/>
    <w:rsid w:val="000C467E"/>
    <w:rsid w:val="000D030D"/>
    <w:rsid w:val="000D177F"/>
    <w:rsid w:val="000D77E1"/>
    <w:rsid w:val="000D7A2C"/>
    <w:rsid w:val="000E0238"/>
    <w:rsid w:val="000E1E96"/>
    <w:rsid w:val="000E1E9F"/>
    <w:rsid w:val="000E205D"/>
    <w:rsid w:val="000F5025"/>
    <w:rsid w:val="000F712F"/>
    <w:rsid w:val="00101571"/>
    <w:rsid w:val="00102362"/>
    <w:rsid w:val="00105884"/>
    <w:rsid w:val="00115976"/>
    <w:rsid w:val="0011673C"/>
    <w:rsid w:val="001172D5"/>
    <w:rsid w:val="00120A90"/>
    <w:rsid w:val="0012344A"/>
    <w:rsid w:val="00123C8D"/>
    <w:rsid w:val="00123E09"/>
    <w:rsid w:val="001273E2"/>
    <w:rsid w:val="00132387"/>
    <w:rsid w:val="001419F3"/>
    <w:rsid w:val="00145F1D"/>
    <w:rsid w:val="00146793"/>
    <w:rsid w:val="00150DF7"/>
    <w:rsid w:val="00151E9D"/>
    <w:rsid w:val="00152E3E"/>
    <w:rsid w:val="00153061"/>
    <w:rsid w:val="00161CF5"/>
    <w:rsid w:val="00162250"/>
    <w:rsid w:val="0016607B"/>
    <w:rsid w:val="00181B4B"/>
    <w:rsid w:val="00185985"/>
    <w:rsid w:val="0018650A"/>
    <w:rsid w:val="00187DB9"/>
    <w:rsid w:val="00197619"/>
    <w:rsid w:val="001A1294"/>
    <w:rsid w:val="001A5DE0"/>
    <w:rsid w:val="001B06CB"/>
    <w:rsid w:val="001B19A4"/>
    <w:rsid w:val="001B778E"/>
    <w:rsid w:val="001C01DF"/>
    <w:rsid w:val="001C1EE7"/>
    <w:rsid w:val="001C258D"/>
    <w:rsid w:val="001C4704"/>
    <w:rsid w:val="001C551C"/>
    <w:rsid w:val="001D2F65"/>
    <w:rsid w:val="001D5F0C"/>
    <w:rsid w:val="001E0B64"/>
    <w:rsid w:val="001E2A63"/>
    <w:rsid w:val="001E2CF6"/>
    <w:rsid w:val="001F42FC"/>
    <w:rsid w:val="001F5A37"/>
    <w:rsid w:val="001F61E7"/>
    <w:rsid w:val="002075E1"/>
    <w:rsid w:val="0021221E"/>
    <w:rsid w:val="0021341D"/>
    <w:rsid w:val="0021351F"/>
    <w:rsid w:val="00213896"/>
    <w:rsid w:val="00214502"/>
    <w:rsid w:val="00216760"/>
    <w:rsid w:val="002228CE"/>
    <w:rsid w:val="00222B86"/>
    <w:rsid w:val="00224B0D"/>
    <w:rsid w:val="00230371"/>
    <w:rsid w:val="00232931"/>
    <w:rsid w:val="00232AEE"/>
    <w:rsid w:val="00234254"/>
    <w:rsid w:val="0023437A"/>
    <w:rsid w:val="00240F9D"/>
    <w:rsid w:val="00243CDE"/>
    <w:rsid w:val="00247E12"/>
    <w:rsid w:val="002529E8"/>
    <w:rsid w:val="002538FD"/>
    <w:rsid w:val="00254823"/>
    <w:rsid w:val="00260090"/>
    <w:rsid w:val="00261E61"/>
    <w:rsid w:val="002632AE"/>
    <w:rsid w:val="002679AF"/>
    <w:rsid w:val="0027547A"/>
    <w:rsid w:val="00275DC1"/>
    <w:rsid w:val="002770F0"/>
    <w:rsid w:val="00291E20"/>
    <w:rsid w:val="0029255B"/>
    <w:rsid w:val="00293245"/>
    <w:rsid w:val="00295719"/>
    <w:rsid w:val="00296FD9"/>
    <w:rsid w:val="002A017F"/>
    <w:rsid w:val="002A6CA3"/>
    <w:rsid w:val="002B1B0F"/>
    <w:rsid w:val="002B55FB"/>
    <w:rsid w:val="002B728F"/>
    <w:rsid w:val="002B79AA"/>
    <w:rsid w:val="002B7EAC"/>
    <w:rsid w:val="002C5DAA"/>
    <w:rsid w:val="002D1AE8"/>
    <w:rsid w:val="002D2A87"/>
    <w:rsid w:val="002D3501"/>
    <w:rsid w:val="002D4800"/>
    <w:rsid w:val="002E4CBD"/>
    <w:rsid w:val="002F010E"/>
    <w:rsid w:val="002F2431"/>
    <w:rsid w:val="002F6A2A"/>
    <w:rsid w:val="002F7154"/>
    <w:rsid w:val="00301658"/>
    <w:rsid w:val="00302201"/>
    <w:rsid w:val="00315197"/>
    <w:rsid w:val="00316164"/>
    <w:rsid w:val="003171DA"/>
    <w:rsid w:val="00317C3B"/>
    <w:rsid w:val="0032030C"/>
    <w:rsid w:val="00321279"/>
    <w:rsid w:val="003217F1"/>
    <w:rsid w:val="00322C7A"/>
    <w:rsid w:val="003246FC"/>
    <w:rsid w:val="003259BE"/>
    <w:rsid w:val="00340B3F"/>
    <w:rsid w:val="00346212"/>
    <w:rsid w:val="00352AFB"/>
    <w:rsid w:val="00356E4D"/>
    <w:rsid w:val="00357BA7"/>
    <w:rsid w:val="00374869"/>
    <w:rsid w:val="00375D4E"/>
    <w:rsid w:val="003801C7"/>
    <w:rsid w:val="00381EC7"/>
    <w:rsid w:val="003845C6"/>
    <w:rsid w:val="00386A75"/>
    <w:rsid w:val="00391E65"/>
    <w:rsid w:val="00397294"/>
    <w:rsid w:val="003A2AED"/>
    <w:rsid w:val="003A5954"/>
    <w:rsid w:val="003A5D87"/>
    <w:rsid w:val="003A5E7F"/>
    <w:rsid w:val="003B0B3E"/>
    <w:rsid w:val="003B17F1"/>
    <w:rsid w:val="003C1586"/>
    <w:rsid w:val="003C277C"/>
    <w:rsid w:val="003D27CF"/>
    <w:rsid w:val="003D3778"/>
    <w:rsid w:val="003D4BA6"/>
    <w:rsid w:val="003D74BD"/>
    <w:rsid w:val="003E5A74"/>
    <w:rsid w:val="003F1D80"/>
    <w:rsid w:val="003F25C0"/>
    <w:rsid w:val="003F36C7"/>
    <w:rsid w:val="003F45CD"/>
    <w:rsid w:val="00400173"/>
    <w:rsid w:val="00404E27"/>
    <w:rsid w:val="004058CE"/>
    <w:rsid w:val="0041756D"/>
    <w:rsid w:val="0041781E"/>
    <w:rsid w:val="004238F9"/>
    <w:rsid w:val="004264A6"/>
    <w:rsid w:val="004328B4"/>
    <w:rsid w:val="00432C14"/>
    <w:rsid w:val="004353E8"/>
    <w:rsid w:val="0043622F"/>
    <w:rsid w:val="00437A60"/>
    <w:rsid w:val="00437C94"/>
    <w:rsid w:val="00451477"/>
    <w:rsid w:val="004533DE"/>
    <w:rsid w:val="004538DD"/>
    <w:rsid w:val="00455279"/>
    <w:rsid w:val="00455670"/>
    <w:rsid w:val="004577D5"/>
    <w:rsid w:val="00464CA6"/>
    <w:rsid w:val="0046582B"/>
    <w:rsid w:val="00466AAB"/>
    <w:rsid w:val="00470786"/>
    <w:rsid w:val="0047082D"/>
    <w:rsid w:val="004812F8"/>
    <w:rsid w:val="00481EED"/>
    <w:rsid w:val="00483530"/>
    <w:rsid w:val="004843CD"/>
    <w:rsid w:val="00495AC8"/>
    <w:rsid w:val="004A5D50"/>
    <w:rsid w:val="004B46D0"/>
    <w:rsid w:val="004B5974"/>
    <w:rsid w:val="004C38E5"/>
    <w:rsid w:val="004C570D"/>
    <w:rsid w:val="004C5A84"/>
    <w:rsid w:val="004C62E7"/>
    <w:rsid w:val="004D48C2"/>
    <w:rsid w:val="004E1A6C"/>
    <w:rsid w:val="004E2E82"/>
    <w:rsid w:val="004E6222"/>
    <w:rsid w:val="004F0CB1"/>
    <w:rsid w:val="004F26C6"/>
    <w:rsid w:val="004F4C3A"/>
    <w:rsid w:val="004F6710"/>
    <w:rsid w:val="00500AED"/>
    <w:rsid w:val="00500D8E"/>
    <w:rsid w:val="00502022"/>
    <w:rsid w:val="00505B39"/>
    <w:rsid w:val="00506160"/>
    <w:rsid w:val="005064B8"/>
    <w:rsid w:val="00506FBB"/>
    <w:rsid w:val="00507082"/>
    <w:rsid w:val="00510DE2"/>
    <w:rsid w:val="005110B9"/>
    <w:rsid w:val="00512754"/>
    <w:rsid w:val="0051465B"/>
    <w:rsid w:val="00516E60"/>
    <w:rsid w:val="005204FA"/>
    <w:rsid w:val="0052155B"/>
    <w:rsid w:val="00521EBF"/>
    <w:rsid w:val="00523205"/>
    <w:rsid w:val="00527149"/>
    <w:rsid w:val="00531009"/>
    <w:rsid w:val="005352C1"/>
    <w:rsid w:val="005408C8"/>
    <w:rsid w:val="00541E82"/>
    <w:rsid w:val="005436B5"/>
    <w:rsid w:val="0055071C"/>
    <w:rsid w:val="00550779"/>
    <w:rsid w:val="0055727A"/>
    <w:rsid w:val="005609AD"/>
    <w:rsid w:val="005620C1"/>
    <w:rsid w:val="005673DD"/>
    <w:rsid w:val="005755A3"/>
    <w:rsid w:val="00576A85"/>
    <w:rsid w:val="00577921"/>
    <w:rsid w:val="00580FE9"/>
    <w:rsid w:val="005810BC"/>
    <w:rsid w:val="00581C94"/>
    <w:rsid w:val="00582D3F"/>
    <w:rsid w:val="0058359D"/>
    <w:rsid w:val="00587038"/>
    <w:rsid w:val="00592465"/>
    <w:rsid w:val="00595B48"/>
    <w:rsid w:val="005A47D1"/>
    <w:rsid w:val="005A776C"/>
    <w:rsid w:val="005A78ED"/>
    <w:rsid w:val="005A7BA7"/>
    <w:rsid w:val="005B1B10"/>
    <w:rsid w:val="005B2954"/>
    <w:rsid w:val="005B71B0"/>
    <w:rsid w:val="005C1DEC"/>
    <w:rsid w:val="005C6CA0"/>
    <w:rsid w:val="005C74D3"/>
    <w:rsid w:val="005C7712"/>
    <w:rsid w:val="005C7A18"/>
    <w:rsid w:val="005E042D"/>
    <w:rsid w:val="005E26C9"/>
    <w:rsid w:val="005F3225"/>
    <w:rsid w:val="005F54CA"/>
    <w:rsid w:val="00602DCC"/>
    <w:rsid w:val="00604831"/>
    <w:rsid w:val="0060537E"/>
    <w:rsid w:val="00617430"/>
    <w:rsid w:val="00622A6E"/>
    <w:rsid w:val="00622DB8"/>
    <w:rsid w:val="00625FF8"/>
    <w:rsid w:val="00630880"/>
    <w:rsid w:val="00633902"/>
    <w:rsid w:val="00640157"/>
    <w:rsid w:val="0064166A"/>
    <w:rsid w:val="006443FA"/>
    <w:rsid w:val="00645223"/>
    <w:rsid w:val="006576E5"/>
    <w:rsid w:val="006643CB"/>
    <w:rsid w:val="006653B8"/>
    <w:rsid w:val="0066641C"/>
    <w:rsid w:val="00670A1B"/>
    <w:rsid w:val="00670CE0"/>
    <w:rsid w:val="00673195"/>
    <w:rsid w:val="00681E8F"/>
    <w:rsid w:val="0068220C"/>
    <w:rsid w:val="006868BF"/>
    <w:rsid w:val="00695355"/>
    <w:rsid w:val="0069788B"/>
    <w:rsid w:val="006A6B3D"/>
    <w:rsid w:val="006B0067"/>
    <w:rsid w:val="006B7ABE"/>
    <w:rsid w:val="006C0D33"/>
    <w:rsid w:val="006C5947"/>
    <w:rsid w:val="006C6E4F"/>
    <w:rsid w:val="006D122B"/>
    <w:rsid w:val="006D4ACD"/>
    <w:rsid w:val="006D5018"/>
    <w:rsid w:val="006E34D6"/>
    <w:rsid w:val="006F194A"/>
    <w:rsid w:val="006F6538"/>
    <w:rsid w:val="006F6E1E"/>
    <w:rsid w:val="00704AA6"/>
    <w:rsid w:val="00706240"/>
    <w:rsid w:val="00707F6B"/>
    <w:rsid w:val="0071066C"/>
    <w:rsid w:val="00712158"/>
    <w:rsid w:val="00721808"/>
    <w:rsid w:val="007225E0"/>
    <w:rsid w:val="007267A6"/>
    <w:rsid w:val="00730385"/>
    <w:rsid w:val="00733658"/>
    <w:rsid w:val="00735E70"/>
    <w:rsid w:val="00741451"/>
    <w:rsid w:val="00741BDD"/>
    <w:rsid w:val="00746667"/>
    <w:rsid w:val="00750AB0"/>
    <w:rsid w:val="00750F91"/>
    <w:rsid w:val="007522E7"/>
    <w:rsid w:val="00752717"/>
    <w:rsid w:val="007532EE"/>
    <w:rsid w:val="00755790"/>
    <w:rsid w:val="00755C18"/>
    <w:rsid w:val="00761A8B"/>
    <w:rsid w:val="00762144"/>
    <w:rsid w:val="00763269"/>
    <w:rsid w:val="00763831"/>
    <w:rsid w:val="00767DDB"/>
    <w:rsid w:val="00772500"/>
    <w:rsid w:val="00773599"/>
    <w:rsid w:val="00774D2D"/>
    <w:rsid w:val="007752CE"/>
    <w:rsid w:val="0077595E"/>
    <w:rsid w:val="00780258"/>
    <w:rsid w:val="00781ACD"/>
    <w:rsid w:val="00782F3D"/>
    <w:rsid w:val="007853EB"/>
    <w:rsid w:val="007935BE"/>
    <w:rsid w:val="00793724"/>
    <w:rsid w:val="00794A41"/>
    <w:rsid w:val="0079765B"/>
    <w:rsid w:val="007A0169"/>
    <w:rsid w:val="007A0BD0"/>
    <w:rsid w:val="007A2613"/>
    <w:rsid w:val="007A4B2B"/>
    <w:rsid w:val="007A5D17"/>
    <w:rsid w:val="007B344F"/>
    <w:rsid w:val="007B44E6"/>
    <w:rsid w:val="007B5961"/>
    <w:rsid w:val="007B68A9"/>
    <w:rsid w:val="007C270A"/>
    <w:rsid w:val="007C2EA6"/>
    <w:rsid w:val="007C4A5E"/>
    <w:rsid w:val="007D4123"/>
    <w:rsid w:val="007E2B18"/>
    <w:rsid w:val="007E438D"/>
    <w:rsid w:val="007E6D0A"/>
    <w:rsid w:val="007F099C"/>
    <w:rsid w:val="007F3ED8"/>
    <w:rsid w:val="00801EC3"/>
    <w:rsid w:val="0080212D"/>
    <w:rsid w:val="00806725"/>
    <w:rsid w:val="0082012D"/>
    <w:rsid w:val="00821318"/>
    <w:rsid w:val="008248C7"/>
    <w:rsid w:val="00827175"/>
    <w:rsid w:val="008275B3"/>
    <w:rsid w:val="0083248E"/>
    <w:rsid w:val="00832C0F"/>
    <w:rsid w:val="00832C5C"/>
    <w:rsid w:val="00835553"/>
    <w:rsid w:val="008367A5"/>
    <w:rsid w:val="008369F2"/>
    <w:rsid w:val="00840A0B"/>
    <w:rsid w:val="008439F3"/>
    <w:rsid w:val="00845AFD"/>
    <w:rsid w:val="00845F06"/>
    <w:rsid w:val="00846849"/>
    <w:rsid w:val="008470C3"/>
    <w:rsid w:val="008507A3"/>
    <w:rsid w:val="00851725"/>
    <w:rsid w:val="00851AA2"/>
    <w:rsid w:val="00854776"/>
    <w:rsid w:val="0086182E"/>
    <w:rsid w:val="00861AF4"/>
    <w:rsid w:val="00862B39"/>
    <w:rsid w:val="00864D9C"/>
    <w:rsid w:val="00864EDD"/>
    <w:rsid w:val="008707BC"/>
    <w:rsid w:val="008721F0"/>
    <w:rsid w:val="00877250"/>
    <w:rsid w:val="008807ED"/>
    <w:rsid w:val="00880AA2"/>
    <w:rsid w:val="00882F0B"/>
    <w:rsid w:val="00886E88"/>
    <w:rsid w:val="00891E06"/>
    <w:rsid w:val="00894F5D"/>
    <w:rsid w:val="00895EBF"/>
    <w:rsid w:val="008A331B"/>
    <w:rsid w:val="008B533F"/>
    <w:rsid w:val="008B5B88"/>
    <w:rsid w:val="008C78EF"/>
    <w:rsid w:val="008D504A"/>
    <w:rsid w:val="008E5386"/>
    <w:rsid w:val="008F0D0D"/>
    <w:rsid w:val="008F1749"/>
    <w:rsid w:val="008F1A86"/>
    <w:rsid w:val="008F429C"/>
    <w:rsid w:val="0090102E"/>
    <w:rsid w:val="00905F24"/>
    <w:rsid w:val="009079B0"/>
    <w:rsid w:val="00910340"/>
    <w:rsid w:val="009117A5"/>
    <w:rsid w:val="0092233D"/>
    <w:rsid w:val="009227CF"/>
    <w:rsid w:val="00924928"/>
    <w:rsid w:val="009253AD"/>
    <w:rsid w:val="00927184"/>
    <w:rsid w:val="00930CB4"/>
    <w:rsid w:val="009320DE"/>
    <w:rsid w:val="009349B2"/>
    <w:rsid w:val="009358C5"/>
    <w:rsid w:val="009461E1"/>
    <w:rsid w:val="00950243"/>
    <w:rsid w:val="009535C8"/>
    <w:rsid w:val="00954985"/>
    <w:rsid w:val="0097119A"/>
    <w:rsid w:val="00972262"/>
    <w:rsid w:val="00972C46"/>
    <w:rsid w:val="00973E00"/>
    <w:rsid w:val="00985068"/>
    <w:rsid w:val="0098772C"/>
    <w:rsid w:val="009969A9"/>
    <w:rsid w:val="009A06CD"/>
    <w:rsid w:val="009A0D76"/>
    <w:rsid w:val="009A3C79"/>
    <w:rsid w:val="009A75DD"/>
    <w:rsid w:val="009B0C49"/>
    <w:rsid w:val="009B4DA5"/>
    <w:rsid w:val="009C37A9"/>
    <w:rsid w:val="009D4DEE"/>
    <w:rsid w:val="009D4F89"/>
    <w:rsid w:val="009D57AF"/>
    <w:rsid w:val="009E5024"/>
    <w:rsid w:val="009E599D"/>
    <w:rsid w:val="009F72B8"/>
    <w:rsid w:val="00A0166D"/>
    <w:rsid w:val="00A02668"/>
    <w:rsid w:val="00A0448D"/>
    <w:rsid w:val="00A04FDF"/>
    <w:rsid w:val="00A06400"/>
    <w:rsid w:val="00A133C8"/>
    <w:rsid w:val="00A20069"/>
    <w:rsid w:val="00A22117"/>
    <w:rsid w:val="00A24757"/>
    <w:rsid w:val="00A24BE8"/>
    <w:rsid w:val="00A30094"/>
    <w:rsid w:val="00A31860"/>
    <w:rsid w:val="00A335C4"/>
    <w:rsid w:val="00A53F51"/>
    <w:rsid w:val="00A631B4"/>
    <w:rsid w:val="00A63DFA"/>
    <w:rsid w:val="00A67022"/>
    <w:rsid w:val="00A72C1E"/>
    <w:rsid w:val="00A73AA2"/>
    <w:rsid w:val="00A75049"/>
    <w:rsid w:val="00A75DD3"/>
    <w:rsid w:val="00A80460"/>
    <w:rsid w:val="00A80609"/>
    <w:rsid w:val="00A81F71"/>
    <w:rsid w:val="00A83462"/>
    <w:rsid w:val="00A86897"/>
    <w:rsid w:val="00A91C02"/>
    <w:rsid w:val="00A9262A"/>
    <w:rsid w:val="00A93F73"/>
    <w:rsid w:val="00A94DED"/>
    <w:rsid w:val="00A95D2C"/>
    <w:rsid w:val="00AA3963"/>
    <w:rsid w:val="00AA43FF"/>
    <w:rsid w:val="00AA60D1"/>
    <w:rsid w:val="00AA63D1"/>
    <w:rsid w:val="00AA6EB1"/>
    <w:rsid w:val="00AB2ADF"/>
    <w:rsid w:val="00AB43AF"/>
    <w:rsid w:val="00AB468C"/>
    <w:rsid w:val="00AC4F38"/>
    <w:rsid w:val="00AC5A30"/>
    <w:rsid w:val="00AC6731"/>
    <w:rsid w:val="00AD0F39"/>
    <w:rsid w:val="00AE7A9B"/>
    <w:rsid w:val="00AF28A8"/>
    <w:rsid w:val="00AF28AC"/>
    <w:rsid w:val="00AF29B9"/>
    <w:rsid w:val="00AF5B94"/>
    <w:rsid w:val="00AF6437"/>
    <w:rsid w:val="00B002D7"/>
    <w:rsid w:val="00B0286B"/>
    <w:rsid w:val="00B05451"/>
    <w:rsid w:val="00B21CF6"/>
    <w:rsid w:val="00B240C1"/>
    <w:rsid w:val="00B30A13"/>
    <w:rsid w:val="00B31108"/>
    <w:rsid w:val="00B36AA3"/>
    <w:rsid w:val="00B42F04"/>
    <w:rsid w:val="00B43C37"/>
    <w:rsid w:val="00B44AE6"/>
    <w:rsid w:val="00B51554"/>
    <w:rsid w:val="00B5603B"/>
    <w:rsid w:val="00B560CC"/>
    <w:rsid w:val="00B572AE"/>
    <w:rsid w:val="00B57B81"/>
    <w:rsid w:val="00B61700"/>
    <w:rsid w:val="00B7389C"/>
    <w:rsid w:val="00B77ADE"/>
    <w:rsid w:val="00B828CF"/>
    <w:rsid w:val="00B8447F"/>
    <w:rsid w:val="00B85E39"/>
    <w:rsid w:val="00B912FB"/>
    <w:rsid w:val="00B91EC8"/>
    <w:rsid w:val="00B95B5C"/>
    <w:rsid w:val="00B97DB3"/>
    <w:rsid w:val="00BA0B86"/>
    <w:rsid w:val="00BA2100"/>
    <w:rsid w:val="00BA25D2"/>
    <w:rsid w:val="00BA63B9"/>
    <w:rsid w:val="00BA6C06"/>
    <w:rsid w:val="00BA6EE7"/>
    <w:rsid w:val="00BB1C10"/>
    <w:rsid w:val="00BB4171"/>
    <w:rsid w:val="00BC00DE"/>
    <w:rsid w:val="00BC42AF"/>
    <w:rsid w:val="00BC43D0"/>
    <w:rsid w:val="00BD170C"/>
    <w:rsid w:val="00BD35C2"/>
    <w:rsid w:val="00BD7DF6"/>
    <w:rsid w:val="00BE7938"/>
    <w:rsid w:val="00C01B00"/>
    <w:rsid w:val="00C03D08"/>
    <w:rsid w:val="00C0626E"/>
    <w:rsid w:val="00C07BE4"/>
    <w:rsid w:val="00C1130C"/>
    <w:rsid w:val="00C11F87"/>
    <w:rsid w:val="00C26EFC"/>
    <w:rsid w:val="00C42BA7"/>
    <w:rsid w:val="00C446C1"/>
    <w:rsid w:val="00C44DEF"/>
    <w:rsid w:val="00C5095B"/>
    <w:rsid w:val="00C54BE3"/>
    <w:rsid w:val="00C6418C"/>
    <w:rsid w:val="00C70E33"/>
    <w:rsid w:val="00C73CA5"/>
    <w:rsid w:val="00C77652"/>
    <w:rsid w:val="00C803E5"/>
    <w:rsid w:val="00C832EB"/>
    <w:rsid w:val="00C83C9F"/>
    <w:rsid w:val="00C84365"/>
    <w:rsid w:val="00C91E75"/>
    <w:rsid w:val="00C9555C"/>
    <w:rsid w:val="00CA3FBB"/>
    <w:rsid w:val="00CA42AA"/>
    <w:rsid w:val="00CB38AC"/>
    <w:rsid w:val="00CB3C3A"/>
    <w:rsid w:val="00CB43E5"/>
    <w:rsid w:val="00CB5196"/>
    <w:rsid w:val="00CB577B"/>
    <w:rsid w:val="00CB75F9"/>
    <w:rsid w:val="00CC3B52"/>
    <w:rsid w:val="00CC478E"/>
    <w:rsid w:val="00CC70B8"/>
    <w:rsid w:val="00CD03E7"/>
    <w:rsid w:val="00CD1EC3"/>
    <w:rsid w:val="00CD2B0E"/>
    <w:rsid w:val="00CE5A5E"/>
    <w:rsid w:val="00CF4AAE"/>
    <w:rsid w:val="00D01730"/>
    <w:rsid w:val="00D04CF2"/>
    <w:rsid w:val="00D11F47"/>
    <w:rsid w:val="00D155D4"/>
    <w:rsid w:val="00D21FE5"/>
    <w:rsid w:val="00D308FD"/>
    <w:rsid w:val="00D327F7"/>
    <w:rsid w:val="00D3445B"/>
    <w:rsid w:val="00D403ED"/>
    <w:rsid w:val="00D44C87"/>
    <w:rsid w:val="00D46504"/>
    <w:rsid w:val="00D47AA1"/>
    <w:rsid w:val="00D56038"/>
    <w:rsid w:val="00D565B7"/>
    <w:rsid w:val="00D571FA"/>
    <w:rsid w:val="00D60C60"/>
    <w:rsid w:val="00D636D2"/>
    <w:rsid w:val="00D6457D"/>
    <w:rsid w:val="00D65BAA"/>
    <w:rsid w:val="00D672F3"/>
    <w:rsid w:val="00D71075"/>
    <w:rsid w:val="00D726FA"/>
    <w:rsid w:val="00D73BB3"/>
    <w:rsid w:val="00D74378"/>
    <w:rsid w:val="00D75468"/>
    <w:rsid w:val="00D75470"/>
    <w:rsid w:val="00D76605"/>
    <w:rsid w:val="00D83615"/>
    <w:rsid w:val="00D90694"/>
    <w:rsid w:val="00D92E48"/>
    <w:rsid w:val="00D9393C"/>
    <w:rsid w:val="00D93F72"/>
    <w:rsid w:val="00D94152"/>
    <w:rsid w:val="00D969F1"/>
    <w:rsid w:val="00D97A5E"/>
    <w:rsid w:val="00DA0CBE"/>
    <w:rsid w:val="00DA2497"/>
    <w:rsid w:val="00DA3F8A"/>
    <w:rsid w:val="00DA553B"/>
    <w:rsid w:val="00DA5BDB"/>
    <w:rsid w:val="00DA66E9"/>
    <w:rsid w:val="00DB0182"/>
    <w:rsid w:val="00DB238B"/>
    <w:rsid w:val="00DB5483"/>
    <w:rsid w:val="00DB5F3E"/>
    <w:rsid w:val="00DC07AB"/>
    <w:rsid w:val="00DC07DA"/>
    <w:rsid w:val="00DD2EF9"/>
    <w:rsid w:val="00DD7CA8"/>
    <w:rsid w:val="00DE2183"/>
    <w:rsid w:val="00DF2E76"/>
    <w:rsid w:val="00DF3A48"/>
    <w:rsid w:val="00DF7124"/>
    <w:rsid w:val="00DF7D29"/>
    <w:rsid w:val="00E03300"/>
    <w:rsid w:val="00E03D01"/>
    <w:rsid w:val="00E04617"/>
    <w:rsid w:val="00E05801"/>
    <w:rsid w:val="00E06D18"/>
    <w:rsid w:val="00E118E1"/>
    <w:rsid w:val="00E2363F"/>
    <w:rsid w:val="00E25524"/>
    <w:rsid w:val="00E32FE8"/>
    <w:rsid w:val="00E355A7"/>
    <w:rsid w:val="00E35D55"/>
    <w:rsid w:val="00E36A5A"/>
    <w:rsid w:val="00E423DB"/>
    <w:rsid w:val="00E42621"/>
    <w:rsid w:val="00E4351A"/>
    <w:rsid w:val="00E54CE1"/>
    <w:rsid w:val="00E56267"/>
    <w:rsid w:val="00E640F3"/>
    <w:rsid w:val="00E64F38"/>
    <w:rsid w:val="00E6557B"/>
    <w:rsid w:val="00E7436C"/>
    <w:rsid w:val="00E7486A"/>
    <w:rsid w:val="00E86741"/>
    <w:rsid w:val="00E9076C"/>
    <w:rsid w:val="00E96FAD"/>
    <w:rsid w:val="00EA18C4"/>
    <w:rsid w:val="00EA1AF0"/>
    <w:rsid w:val="00EA6E3D"/>
    <w:rsid w:val="00EC2C79"/>
    <w:rsid w:val="00ED7573"/>
    <w:rsid w:val="00EE2DEC"/>
    <w:rsid w:val="00F024E6"/>
    <w:rsid w:val="00F02584"/>
    <w:rsid w:val="00F0354B"/>
    <w:rsid w:val="00F03ECC"/>
    <w:rsid w:val="00F04591"/>
    <w:rsid w:val="00F07D32"/>
    <w:rsid w:val="00F1081B"/>
    <w:rsid w:val="00F1315D"/>
    <w:rsid w:val="00F167AD"/>
    <w:rsid w:val="00F248B4"/>
    <w:rsid w:val="00F275CD"/>
    <w:rsid w:val="00F27BC6"/>
    <w:rsid w:val="00F27C26"/>
    <w:rsid w:val="00F31089"/>
    <w:rsid w:val="00F358A6"/>
    <w:rsid w:val="00F37A75"/>
    <w:rsid w:val="00F40952"/>
    <w:rsid w:val="00F423C2"/>
    <w:rsid w:val="00F433D9"/>
    <w:rsid w:val="00F46711"/>
    <w:rsid w:val="00F53FFE"/>
    <w:rsid w:val="00F56DAA"/>
    <w:rsid w:val="00F57B83"/>
    <w:rsid w:val="00F64DE0"/>
    <w:rsid w:val="00F656C9"/>
    <w:rsid w:val="00F65BED"/>
    <w:rsid w:val="00F71C36"/>
    <w:rsid w:val="00F72283"/>
    <w:rsid w:val="00F72557"/>
    <w:rsid w:val="00F73B74"/>
    <w:rsid w:val="00F73E0C"/>
    <w:rsid w:val="00F76B61"/>
    <w:rsid w:val="00F7799D"/>
    <w:rsid w:val="00F804B5"/>
    <w:rsid w:val="00F84007"/>
    <w:rsid w:val="00F8602B"/>
    <w:rsid w:val="00F86BC6"/>
    <w:rsid w:val="00F9004F"/>
    <w:rsid w:val="00F90C91"/>
    <w:rsid w:val="00F94C4D"/>
    <w:rsid w:val="00F954CE"/>
    <w:rsid w:val="00F97FE8"/>
    <w:rsid w:val="00FA492B"/>
    <w:rsid w:val="00FA6115"/>
    <w:rsid w:val="00FA6152"/>
    <w:rsid w:val="00FA717C"/>
    <w:rsid w:val="00FB1401"/>
    <w:rsid w:val="00FB66C8"/>
    <w:rsid w:val="00FC1DB3"/>
    <w:rsid w:val="00FC5BF1"/>
    <w:rsid w:val="00FC62D3"/>
    <w:rsid w:val="00FD130D"/>
    <w:rsid w:val="00FD3B75"/>
    <w:rsid w:val="00FE24E1"/>
    <w:rsid w:val="00FE436E"/>
    <w:rsid w:val="00FE57D3"/>
    <w:rsid w:val="00FE5B94"/>
    <w:rsid w:val="00FE5EE2"/>
    <w:rsid w:val="00FE77FD"/>
    <w:rsid w:val="00FE7FB2"/>
    <w:rsid w:val="00FF3BAD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EBDE9"/>
  <w14:defaultImageDpi w14:val="0"/>
  <w15:docId w15:val="{5788E5A0-DC29-417E-AF88-EEDCE17B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rsid w:val="00CC478E"/>
    <w:rPr>
      <w:rFonts w:cs="Times New Roman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rsid w:val="00F07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locked/>
    <w:rsid w:val="00F07D32"/>
    <w:rPr>
      <w:rFonts w:cs="Times New Roman"/>
    </w:rPr>
  </w:style>
  <w:style w:type="paragraph" w:styleId="Pta">
    <w:name w:val="footer"/>
    <w:basedOn w:val="Normlny"/>
    <w:link w:val="PtaChar"/>
    <w:uiPriority w:val="99"/>
    <w:rsid w:val="00F07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qFormat/>
    <w:locked/>
    <w:rsid w:val="00F07D32"/>
    <w:rPr>
      <w:rFonts w:cs="Times New Roman"/>
    </w:rPr>
  </w:style>
  <w:style w:type="paragraph" w:customStyle="1" w:styleId="Odsekzoznamu1">
    <w:name w:val="Odsek zoznamu1"/>
    <w:basedOn w:val="Normlny"/>
    <w:rsid w:val="009C37A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A63DF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A63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A63DFA"/>
    <w:rPr>
      <w:rFonts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63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63DFA"/>
    <w:rPr>
      <w:rFonts w:cs="Times New Roman"/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rsid w:val="00A6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63DFA"/>
    <w:rPr>
      <w:rFonts w:ascii="Tahoma" w:hAnsi="Tahoma" w:cs="Times New Roman"/>
      <w:sz w:val="16"/>
    </w:rPr>
  </w:style>
  <w:style w:type="paragraph" w:styleId="Odsekzoznamu">
    <w:name w:val="List Paragraph"/>
    <w:basedOn w:val="Normlny"/>
    <w:uiPriority w:val="34"/>
    <w:qFormat/>
    <w:rsid w:val="00930CB4"/>
    <w:pPr>
      <w:ind w:left="720"/>
      <w:contextualSpacing/>
    </w:pPr>
  </w:style>
  <w:style w:type="paragraph" w:customStyle="1" w:styleId="Standard">
    <w:name w:val="Standard"/>
    <w:rsid w:val="00882F0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h1a4">
    <w:name w:val="h1a4"/>
    <w:rsid w:val="0003277C"/>
    <w:rPr>
      <w:rFonts w:ascii="Trebuchet MS" w:hAnsi="Trebuchet MS"/>
      <w:vanish/>
      <w:color w:val="505050"/>
      <w:sz w:val="24"/>
    </w:rPr>
  </w:style>
  <w:style w:type="character" w:customStyle="1" w:styleId="Internetovodkaz">
    <w:name w:val="Internetový odkaz"/>
    <w:basedOn w:val="Predvolenpsmoodseku"/>
    <w:uiPriority w:val="99"/>
    <w:semiHidden/>
    <w:unhideWhenUsed/>
    <w:rsid w:val="00315197"/>
    <w:rPr>
      <w:rFonts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37A6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locked/>
    <w:rsid w:val="00437A60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437A60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910340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9535C8"/>
    <w:pPr>
      <w:spacing w:after="120" w:line="48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535C8"/>
    <w:rPr>
      <w:rFonts w:ascii="Times New Roman" w:hAnsi="Times New Roman" w:cs="Times New Roman"/>
      <w:sz w:val="24"/>
      <w:szCs w:val="24"/>
    </w:rPr>
  </w:style>
  <w:style w:type="character" w:customStyle="1" w:styleId="Ukotveniepoznmkypodiarou">
    <w:name w:val="Ukotvenie poznámky pod čiarou"/>
    <w:rsid w:val="007937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8241-6D9A-47AF-B908-3E2579C6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(Návrh)</vt:lpstr>
    </vt:vector>
  </TitlesOfParts>
  <Company>Hewlett-Packard Company</Company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subject/>
  <dc:creator>BARRY</dc:creator>
  <cp:keywords/>
  <dc:description/>
  <cp:lastModifiedBy>Martin Semanco</cp:lastModifiedBy>
  <cp:revision>5</cp:revision>
  <dcterms:created xsi:type="dcterms:W3CDTF">2019-11-20T08:40:00Z</dcterms:created>
  <dcterms:modified xsi:type="dcterms:W3CDTF">2019-11-26T09:01:00Z</dcterms:modified>
</cp:coreProperties>
</file>