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086B26" w:rsidRDefault="007D5748" w:rsidP="00047B8F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Analýza vplyvov na rozpočet verejnej správy,</w:t>
      </w:r>
    </w:p>
    <w:p w:rsidR="007D5748" w:rsidRPr="00086B26" w:rsidRDefault="007D5748" w:rsidP="00047B8F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na zamestnanosť vo verejnej správe a financovanie návrhu</w:t>
      </w:r>
    </w:p>
    <w:p w:rsidR="00E963A3" w:rsidRPr="00086B26" w:rsidRDefault="00E963A3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51724E" w:rsidRPr="00086B26" w:rsidRDefault="00E963A3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2.1 Zhrnutie vplyvov na rozpočet verejnej správy v</w:t>
      </w:r>
      <w:r w:rsidR="0051724E" w:rsidRPr="00086B26">
        <w:rPr>
          <w:rFonts w:ascii="Arial Narrow" w:hAnsi="Arial Narrow"/>
          <w:b/>
          <w:bCs/>
          <w:sz w:val="20"/>
          <w:szCs w:val="20"/>
          <w:lang w:eastAsia="sk-SK"/>
        </w:rPr>
        <w:t> </w:t>
      </w: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návrhu</w:t>
      </w:r>
    </w:p>
    <w:p w:rsidR="003E196D" w:rsidRPr="00086B26" w:rsidRDefault="003E196D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C14DCC" w:rsidRPr="00086B26" w:rsidRDefault="003E196D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lang w:eastAsia="sk-SK"/>
        </w:rPr>
        <w:t>Tabuľka č. 1</w:t>
      </w:r>
    </w:p>
    <w:tbl>
      <w:tblPr>
        <w:tblW w:w="97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083"/>
        <w:gridCol w:w="1020"/>
        <w:gridCol w:w="1020"/>
        <w:gridCol w:w="1020"/>
      </w:tblGrid>
      <w:tr w:rsidR="00985455" w:rsidRPr="00086B26" w:rsidTr="00985455">
        <w:trPr>
          <w:trHeight w:val="480"/>
        </w:trPr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1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5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13 820 725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ind w:firstLineChars="100" w:firstLine="20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85455" w:rsidRPr="00086B26" w:rsidTr="00985455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-vplyv na štátny rozpočet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rozpočet Sociálnej poisťovne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5455" w:rsidRPr="00086B26" w:rsidTr="00985455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5455" w:rsidRPr="00086B26" w:rsidRDefault="00985455" w:rsidP="00985455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13 820 725</w:t>
            </w:r>
          </w:p>
        </w:tc>
      </w:tr>
    </w:tbl>
    <w:p w:rsidR="009E0530" w:rsidRPr="00086B26" w:rsidRDefault="009E0530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9A17EA" w:rsidRPr="00086B26" w:rsidRDefault="007273C7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</w:t>
      </w:r>
      <w:r w:rsidR="009A17EA" w:rsidRPr="00086B26">
        <w:rPr>
          <w:rFonts w:ascii="Arial Narrow" w:hAnsi="Arial Narrow"/>
          <w:b/>
          <w:bCs/>
          <w:sz w:val="20"/>
          <w:szCs w:val="20"/>
          <w:lang w:eastAsia="sk-SK"/>
        </w:rPr>
        <w:t xml:space="preserve">                            </w:t>
      </w:r>
      <w:r w:rsidR="00866FE4" w:rsidRPr="00086B26">
        <w:rPr>
          <w:rFonts w:ascii="Arial Narrow" w:hAnsi="Arial Narrow"/>
          <w:b/>
          <w:bCs/>
          <w:sz w:val="20"/>
          <w:szCs w:val="20"/>
          <w:lang w:eastAsia="sk-SK"/>
        </w:rPr>
        <w:t xml:space="preserve"> 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656F4B" w:rsidRPr="00086B26" w:rsidRDefault="00EF4610" w:rsidP="00047B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sz w:val="20"/>
          <w:szCs w:val="20"/>
        </w:rPr>
        <w:t>V roku 2020</w:t>
      </w:r>
      <w:r w:rsidR="009028C0" w:rsidRPr="00086B26">
        <w:rPr>
          <w:rFonts w:ascii="Arial Narrow" w:hAnsi="Arial Narrow"/>
          <w:b/>
          <w:sz w:val="20"/>
          <w:szCs w:val="20"/>
        </w:rPr>
        <w:t xml:space="preserve"> budú tieto výdavky finančne kryté z</w:t>
      </w:r>
      <w:r w:rsidRPr="00086B26">
        <w:rPr>
          <w:rFonts w:ascii="Arial Narrow" w:hAnsi="Arial Narrow"/>
          <w:b/>
          <w:sz w:val="20"/>
          <w:szCs w:val="20"/>
        </w:rPr>
        <w:t> prostriedkov správneho fondu</w:t>
      </w:r>
      <w:r w:rsidR="009028C0" w:rsidRPr="00086B26">
        <w:rPr>
          <w:rFonts w:ascii="Arial Narrow" w:hAnsi="Arial Narrow"/>
          <w:b/>
          <w:sz w:val="20"/>
          <w:szCs w:val="20"/>
        </w:rPr>
        <w:t xml:space="preserve"> Sociálnej poisťovne. V nasledujúcich rokoch budú zvýšené výdavky</w:t>
      </w:r>
      <w:r w:rsidR="00E37719" w:rsidRPr="00086B26">
        <w:rPr>
          <w:rFonts w:ascii="Arial Narrow" w:hAnsi="Arial Narrow"/>
          <w:b/>
          <w:sz w:val="20"/>
          <w:szCs w:val="20"/>
        </w:rPr>
        <w:t xml:space="preserve"> </w:t>
      </w:r>
      <w:r w:rsidR="00985455" w:rsidRPr="00086B26">
        <w:rPr>
          <w:rFonts w:ascii="Arial Narrow" w:hAnsi="Arial Narrow"/>
          <w:b/>
          <w:sz w:val="20"/>
          <w:szCs w:val="20"/>
        </w:rPr>
        <w:t>z</w:t>
      </w:r>
      <w:r w:rsidR="003837F0" w:rsidRPr="00086B26">
        <w:rPr>
          <w:rFonts w:ascii="Arial Narrow" w:hAnsi="Arial Narrow"/>
          <w:b/>
          <w:sz w:val="20"/>
          <w:szCs w:val="20"/>
        </w:rPr>
        <w:t xml:space="preserve">apracované </w:t>
      </w:r>
      <w:r w:rsidR="009028C0" w:rsidRPr="00086B26">
        <w:rPr>
          <w:rFonts w:ascii="Arial Narrow" w:hAnsi="Arial Narrow"/>
          <w:b/>
          <w:sz w:val="20"/>
          <w:szCs w:val="20"/>
        </w:rPr>
        <w:t xml:space="preserve">pri tvorbe rozpočtu </w:t>
      </w:r>
      <w:r w:rsidRPr="00086B26">
        <w:rPr>
          <w:rFonts w:ascii="Arial Narrow" w:hAnsi="Arial Narrow"/>
          <w:b/>
          <w:sz w:val="20"/>
          <w:szCs w:val="20"/>
        </w:rPr>
        <w:t>Sociálnej poisťovne na rok 2021</w:t>
      </w:r>
      <w:r w:rsidR="009028C0" w:rsidRPr="00086B26">
        <w:rPr>
          <w:rFonts w:ascii="Arial Narrow" w:hAnsi="Arial Narrow"/>
          <w:b/>
          <w:sz w:val="20"/>
          <w:szCs w:val="20"/>
        </w:rPr>
        <w:t xml:space="preserve"> a r</w:t>
      </w:r>
      <w:r w:rsidRPr="00086B26">
        <w:rPr>
          <w:rFonts w:ascii="Arial Narrow" w:hAnsi="Arial Narrow"/>
          <w:b/>
          <w:sz w:val="20"/>
          <w:szCs w:val="20"/>
        </w:rPr>
        <w:t>ozpočtového výhľadu na roky 2022 a 2023</w:t>
      </w:r>
      <w:r w:rsidR="009028C0" w:rsidRPr="00086B26">
        <w:rPr>
          <w:rFonts w:ascii="Arial Narrow" w:hAnsi="Arial Narrow"/>
          <w:b/>
          <w:sz w:val="20"/>
          <w:szCs w:val="20"/>
        </w:rPr>
        <w:t>.</w:t>
      </w:r>
    </w:p>
    <w:p w:rsidR="00656F4B" w:rsidRPr="00086B26" w:rsidRDefault="00656F4B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2.2. Popis a charakteristika návrhu</w:t>
      </w:r>
    </w:p>
    <w:p w:rsidR="002439B0" w:rsidRPr="00086B26" w:rsidRDefault="00176F52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2.2.1. Popis návrhu:</w:t>
      </w:r>
    </w:p>
    <w:p w:rsidR="0059299E" w:rsidRPr="00086B26" w:rsidRDefault="0059299E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3E4564" w:rsidRPr="00086B26" w:rsidRDefault="003E4564" w:rsidP="00EF461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86B26">
        <w:rPr>
          <w:rFonts w:ascii="Arial Narrow" w:hAnsi="Arial Narrow"/>
          <w:bCs/>
          <w:sz w:val="20"/>
          <w:szCs w:val="20"/>
        </w:rPr>
        <w:t>Cieľom úprav, ktoré navrhuje Ministerstvo práce, sociálnych vecí a rodiny SR v zákone o sociálnom poistení je</w:t>
      </w:r>
      <w:r w:rsidR="00EF4610" w:rsidRPr="00086B26">
        <w:rPr>
          <w:rFonts w:ascii="Arial Narrow" w:hAnsi="Arial Narrow"/>
          <w:bCs/>
          <w:sz w:val="20"/>
          <w:szCs w:val="20"/>
        </w:rPr>
        <w:t>: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EF4610" w:rsidRPr="00086B26" w:rsidRDefault="00EF4610" w:rsidP="00EF461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3E4564" w:rsidRPr="00086B26" w:rsidRDefault="003E4564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86B26">
        <w:rPr>
          <w:rFonts w:ascii="Arial Narrow" w:hAnsi="Arial Narrow"/>
          <w:b/>
          <w:color w:val="000000"/>
          <w:sz w:val="20"/>
          <w:szCs w:val="20"/>
        </w:rPr>
        <w:t>A</w:t>
      </w:r>
      <w:r w:rsidRPr="00086B26">
        <w:rPr>
          <w:rFonts w:ascii="Arial Narrow" w:hAnsi="Arial Narrow"/>
          <w:b/>
          <w:i/>
          <w:color w:val="000000"/>
          <w:sz w:val="20"/>
          <w:szCs w:val="20"/>
        </w:rPr>
        <w:t>)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 </w:t>
      </w:r>
      <w:r w:rsidRPr="00086B26"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="00EF4610" w:rsidRPr="00086B26">
        <w:rPr>
          <w:rFonts w:ascii="Arial Narrow" w:hAnsi="Arial Narrow"/>
          <w:color w:val="000000"/>
          <w:sz w:val="20"/>
          <w:szCs w:val="20"/>
        </w:rPr>
        <w:t>Z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avedenie </w:t>
      </w:r>
      <w:r w:rsidR="00187AA6" w:rsidRPr="00086B26">
        <w:rPr>
          <w:rFonts w:ascii="Arial Narrow" w:hAnsi="Arial Narrow"/>
          <w:color w:val="000000"/>
          <w:sz w:val="20"/>
          <w:szCs w:val="20"/>
        </w:rPr>
        <w:t>osobnej st</w:t>
      </w:r>
      <w:r w:rsidR="00094DB9" w:rsidRPr="00086B26">
        <w:rPr>
          <w:rFonts w:ascii="Arial Narrow" w:hAnsi="Arial Narrow"/>
          <w:color w:val="000000"/>
          <w:sz w:val="20"/>
          <w:szCs w:val="20"/>
        </w:rPr>
        <w:t>arostlivosti v prirodzenom prostredí osoby</w:t>
      </w:r>
      <w:r w:rsidR="00187AA6" w:rsidRPr="00086B26">
        <w:rPr>
          <w:rFonts w:ascii="Arial Narrow" w:hAnsi="Arial Narrow"/>
          <w:color w:val="000000"/>
          <w:sz w:val="20"/>
          <w:szCs w:val="20"/>
        </w:rPr>
        <w:t xml:space="preserve"> (</w:t>
      </w:r>
      <w:r w:rsidR="00EF4610" w:rsidRPr="00086B26">
        <w:rPr>
          <w:rFonts w:ascii="Arial Narrow" w:hAnsi="Arial Narrow"/>
          <w:color w:val="000000"/>
          <w:sz w:val="20"/>
          <w:szCs w:val="20"/>
        </w:rPr>
        <w:t>tzv. domácej starostlivosti</w:t>
      </w:r>
      <w:r w:rsidR="00187AA6" w:rsidRPr="00086B26">
        <w:rPr>
          <w:rFonts w:ascii="Arial Narrow" w:hAnsi="Arial Narrow"/>
          <w:color w:val="000000"/>
          <w:sz w:val="20"/>
          <w:szCs w:val="20"/>
        </w:rPr>
        <w:t>)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 pre osoby zabezpečujúce starostlivosť osobe, ktorá</w:t>
      </w:r>
    </w:p>
    <w:p w:rsidR="00EF4610" w:rsidRPr="00086B26" w:rsidRDefault="00EF4610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3E4564" w:rsidRPr="00086B26" w:rsidRDefault="003E4564" w:rsidP="00047B8F">
      <w:pPr>
        <w:numPr>
          <w:ilvl w:val="0"/>
          <w:numId w:val="13"/>
        </w:numPr>
        <w:spacing w:after="0" w:line="240" w:lineRule="auto"/>
        <w:jc w:val="both"/>
        <w:rPr>
          <w:rFonts w:ascii="Arial Narrow" w:eastAsia="MS Mincho" w:hAnsi="Arial Narrow"/>
          <w:sz w:val="20"/>
          <w:szCs w:val="20"/>
          <w:lang w:eastAsia="ja-JP"/>
        </w:rPr>
      </w:pPr>
      <w:r w:rsidRPr="00086B26">
        <w:rPr>
          <w:rFonts w:ascii="Arial Narrow" w:eastAsia="MS Mincho" w:hAnsi="Arial Narrow"/>
          <w:sz w:val="20"/>
          <w:szCs w:val="20"/>
          <w:lang w:eastAsia="ja-JP"/>
        </w:rPr>
        <w:t xml:space="preserve">po ukončení hospitalizácie (najmenej </w:t>
      </w:r>
      <w:r w:rsidR="00187AA6" w:rsidRPr="00086B26">
        <w:rPr>
          <w:rFonts w:ascii="Arial Narrow" w:eastAsia="MS Mincho" w:hAnsi="Arial Narrow"/>
          <w:sz w:val="20"/>
          <w:szCs w:val="20"/>
          <w:lang w:eastAsia="ja-JP"/>
        </w:rPr>
        <w:t>5</w:t>
      </w:r>
      <w:r w:rsidRPr="00086B26">
        <w:rPr>
          <w:rFonts w:ascii="Arial Narrow" w:eastAsia="MS Mincho" w:hAnsi="Arial Narrow"/>
          <w:sz w:val="20"/>
          <w:szCs w:val="20"/>
          <w:lang w:eastAsia="ja-JP"/>
        </w:rPr>
        <w:t xml:space="preserve"> dní) pre závažnú poruchu zdravia potrebuje poskytovanie domácej starostlivosti (najmenej 30 dní) na základe potvrdenia príslušného ošetrujúceho lekára; ošetrovné sa bude vyplácať najviac 90 dní</w:t>
      </w:r>
      <w:r w:rsidR="00187AA6" w:rsidRPr="00086B26">
        <w:rPr>
          <w:rFonts w:ascii="Arial Narrow" w:eastAsia="MS Mincho" w:hAnsi="Arial Narrow"/>
          <w:sz w:val="20"/>
          <w:szCs w:val="20"/>
          <w:lang w:eastAsia="ja-JP"/>
        </w:rPr>
        <w:t xml:space="preserve"> v úhrne pre všetkých poistencov</w:t>
      </w:r>
      <w:r w:rsidRPr="00086B26">
        <w:rPr>
          <w:rFonts w:ascii="Arial Narrow" w:eastAsia="MS Mincho" w:hAnsi="Arial Narrow"/>
          <w:sz w:val="20"/>
          <w:szCs w:val="20"/>
          <w:lang w:eastAsia="ja-JP"/>
        </w:rPr>
        <w:t xml:space="preserve"> alebo</w:t>
      </w:r>
    </w:p>
    <w:p w:rsidR="003E4564" w:rsidRPr="00086B26" w:rsidRDefault="003E4564" w:rsidP="00047B8F">
      <w:pPr>
        <w:numPr>
          <w:ilvl w:val="0"/>
          <w:numId w:val="13"/>
        </w:numPr>
        <w:spacing w:after="0" w:line="240" w:lineRule="auto"/>
        <w:jc w:val="both"/>
        <w:rPr>
          <w:rFonts w:ascii="Arial Narrow" w:eastAsia="MS Mincho" w:hAnsi="Arial Narrow"/>
          <w:sz w:val="20"/>
          <w:szCs w:val="20"/>
          <w:lang w:eastAsia="ja-JP"/>
        </w:rPr>
      </w:pPr>
      <w:r w:rsidRPr="00086B26">
        <w:rPr>
          <w:rFonts w:ascii="Arial Narrow" w:eastAsia="MS Mincho" w:hAnsi="Arial Narrow"/>
          <w:sz w:val="20"/>
          <w:szCs w:val="20"/>
          <w:lang w:eastAsia="ja-JP"/>
        </w:rPr>
        <w:t>má potvrdené nevyliečiteľné ochorenie a bola mu indikovaná paliatívna starostlivosť.</w:t>
      </w:r>
    </w:p>
    <w:p w:rsidR="00EF4610" w:rsidRPr="00086B26" w:rsidRDefault="00EF4610" w:rsidP="00EF461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0453E6" w:rsidRPr="00086B26" w:rsidRDefault="00EF4610" w:rsidP="000453E6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86B26">
        <w:rPr>
          <w:rFonts w:ascii="Arial Narrow" w:hAnsi="Arial Narrow"/>
          <w:bCs/>
          <w:sz w:val="20"/>
          <w:szCs w:val="20"/>
        </w:rPr>
        <w:t>Ošetrovné dostane blízka osoba, ktorá sa oňho stará. Príspevok bude v rozsahu 55 percent z platu a na dobu najviac tri mesiace</w:t>
      </w:r>
      <w:r w:rsidR="00187AA6" w:rsidRPr="00086B26">
        <w:rPr>
          <w:rFonts w:ascii="Arial Narrow" w:hAnsi="Arial Narrow"/>
          <w:bCs/>
          <w:sz w:val="20"/>
          <w:szCs w:val="20"/>
        </w:rPr>
        <w:t xml:space="preserve"> v úhrne pre všetkých poistencov</w:t>
      </w:r>
      <w:r w:rsidRPr="00086B26">
        <w:rPr>
          <w:rFonts w:ascii="Arial Narrow" w:hAnsi="Arial Narrow"/>
          <w:bCs/>
          <w:sz w:val="20"/>
          <w:szCs w:val="20"/>
        </w:rPr>
        <w:t>. Ide o to, aby ten, kto sa o dlhodobo chorého stará, mal pokryté náklady počas obdobia, kedy poskytuje blízkemu starostlivosť a tým pádom počas tohto obdobia nemôže</w:t>
      </w:r>
      <w:r w:rsidR="00094DB9" w:rsidRPr="00086B26">
        <w:rPr>
          <w:rFonts w:ascii="Arial Narrow" w:hAnsi="Arial Narrow"/>
          <w:bCs/>
          <w:sz w:val="20"/>
          <w:szCs w:val="20"/>
        </w:rPr>
        <w:t xml:space="preserve"> </w:t>
      </w:r>
      <w:r w:rsidR="00187AA6" w:rsidRPr="00086B26">
        <w:rPr>
          <w:rFonts w:ascii="Arial Narrow" w:hAnsi="Arial Narrow"/>
          <w:bCs/>
          <w:sz w:val="20"/>
          <w:szCs w:val="20"/>
        </w:rPr>
        <w:t>vykonávať zárobkovú činnosť</w:t>
      </w:r>
      <w:r w:rsidRPr="00086B26">
        <w:rPr>
          <w:rFonts w:ascii="Arial Narrow" w:hAnsi="Arial Narrow"/>
          <w:bCs/>
          <w:sz w:val="20"/>
          <w:szCs w:val="20"/>
        </w:rPr>
        <w:t xml:space="preserve">. </w:t>
      </w:r>
      <w:r w:rsidR="000453E6" w:rsidRPr="00086B26">
        <w:rPr>
          <w:rFonts w:ascii="Arial Narrow" w:hAnsi="Arial Narrow"/>
          <w:b/>
          <w:sz w:val="20"/>
          <w:szCs w:val="20"/>
        </w:rPr>
        <w:t>Predpokladaná účinnosť navrhovanej právnej úpravy je 1. január  2021.</w:t>
      </w:r>
    </w:p>
    <w:p w:rsidR="003E4564" w:rsidRPr="00086B26" w:rsidRDefault="003E4564" w:rsidP="00047B8F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0453E6" w:rsidRPr="00086B26" w:rsidRDefault="003E4564" w:rsidP="000453E6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86B26">
        <w:rPr>
          <w:rFonts w:ascii="Arial Narrow" w:hAnsi="Arial Narrow"/>
          <w:b/>
          <w:color w:val="000000"/>
          <w:sz w:val="20"/>
          <w:szCs w:val="20"/>
        </w:rPr>
        <w:t xml:space="preserve">B) </w:t>
      </w:r>
      <w:r w:rsidRPr="00086B26">
        <w:rPr>
          <w:rFonts w:ascii="Arial Narrow" w:hAnsi="Arial Narrow"/>
          <w:color w:val="000000"/>
          <w:sz w:val="20"/>
          <w:szCs w:val="20"/>
        </w:rPr>
        <w:t>Rozšírenie</w:t>
      </w:r>
      <w:r w:rsidRPr="00086B26"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086B26">
        <w:rPr>
          <w:rFonts w:ascii="Arial Narrow" w:hAnsi="Arial Narrow"/>
          <w:sz w:val="20"/>
          <w:szCs w:val="20"/>
        </w:rPr>
        <w:t>okruhu oprávnených osôb na ošetrovné o</w:t>
      </w:r>
      <w:r w:rsidR="00187AA6" w:rsidRPr="00086B26">
        <w:rPr>
          <w:rFonts w:ascii="Arial Narrow" w:hAnsi="Arial Narrow"/>
          <w:sz w:val="20"/>
          <w:szCs w:val="20"/>
        </w:rPr>
        <w:t xml:space="preserve"> širší okruh </w:t>
      </w:r>
      <w:r w:rsidRPr="00086B26">
        <w:rPr>
          <w:rFonts w:ascii="Arial Narrow" w:hAnsi="Arial Narrow"/>
          <w:sz w:val="20"/>
          <w:szCs w:val="20"/>
        </w:rPr>
        <w:t> chor</w:t>
      </w:r>
      <w:r w:rsidR="00187AA6" w:rsidRPr="00086B26">
        <w:rPr>
          <w:rFonts w:ascii="Arial Narrow" w:hAnsi="Arial Narrow"/>
          <w:sz w:val="20"/>
          <w:szCs w:val="20"/>
        </w:rPr>
        <w:t>ých</w:t>
      </w:r>
      <w:r w:rsidRPr="00086B26">
        <w:rPr>
          <w:rFonts w:ascii="Arial Narrow" w:hAnsi="Arial Narrow"/>
          <w:sz w:val="20"/>
          <w:szCs w:val="20"/>
        </w:rPr>
        <w:t xml:space="preserve"> príbuzn</w:t>
      </w:r>
      <w:r w:rsidR="00187AA6" w:rsidRPr="00086B26">
        <w:rPr>
          <w:rFonts w:ascii="Arial Narrow" w:hAnsi="Arial Narrow"/>
          <w:sz w:val="20"/>
          <w:szCs w:val="20"/>
        </w:rPr>
        <w:t>ých</w:t>
      </w:r>
      <w:r w:rsidRPr="00086B26">
        <w:rPr>
          <w:rFonts w:ascii="Arial Narrow" w:hAnsi="Arial Narrow"/>
          <w:sz w:val="20"/>
          <w:szCs w:val="20"/>
        </w:rPr>
        <w:t xml:space="preserve"> v priamom rade a súrodenca.  </w:t>
      </w:r>
      <w:r w:rsidR="000453E6" w:rsidRPr="00086B26">
        <w:rPr>
          <w:rFonts w:ascii="Arial Narrow" w:hAnsi="Arial Narrow"/>
          <w:b/>
          <w:sz w:val="20"/>
          <w:szCs w:val="20"/>
        </w:rPr>
        <w:t>Predpokladaná účinnosť navrhovanej právnej úpravy je 1. január  2021.</w:t>
      </w:r>
    </w:p>
    <w:p w:rsidR="003E4564" w:rsidRPr="00086B26" w:rsidRDefault="003E4564" w:rsidP="00047B8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0453E6" w:rsidRPr="00086B26" w:rsidRDefault="003E4564" w:rsidP="000453E6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86B26">
        <w:rPr>
          <w:rFonts w:ascii="Arial Narrow" w:hAnsi="Arial Narrow"/>
          <w:b/>
          <w:sz w:val="20"/>
          <w:szCs w:val="20"/>
        </w:rPr>
        <w:t xml:space="preserve">C) </w:t>
      </w:r>
      <w:r w:rsidRPr="00086B26">
        <w:rPr>
          <w:rFonts w:ascii="Arial Narrow" w:hAnsi="Arial Narrow"/>
          <w:sz w:val="20"/>
          <w:szCs w:val="20"/>
        </w:rPr>
        <w:t>Predĺženie obdobia na poskytovanie dávky ošetrovné</w:t>
      </w:r>
      <w:r w:rsidR="00094DB9" w:rsidRPr="00086B26">
        <w:rPr>
          <w:rFonts w:ascii="Arial Narrow" w:hAnsi="Arial Narrow"/>
          <w:sz w:val="20"/>
          <w:szCs w:val="20"/>
        </w:rPr>
        <w:t xml:space="preserve"> (</w:t>
      </w:r>
      <w:r w:rsidR="00187AA6" w:rsidRPr="00086B26">
        <w:rPr>
          <w:rFonts w:ascii="Arial Narrow" w:hAnsi="Arial Narrow"/>
          <w:sz w:val="20"/>
          <w:szCs w:val="20"/>
        </w:rPr>
        <w:t>tzv. kategórie krátkodobé ošetrovné)</w:t>
      </w:r>
      <w:r w:rsidRPr="00086B26">
        <w:rPr>
          <w:rFonts w:ascii="Arial Narrow" w:hAnsi="Arial Narrow"/>
          <w:sz w:val="20"/>
          <w:szCs w:val="20"/>
        </w:rPr>
        <w:t xml:space="preserve"> zo súčasných 10 </w:t>
      </w:r>
      <w:r w:rsidR="00EF4610" w:rsidRPr="00086B26">
        <w:rPr>
          <w:rFonts w:ascii="Arial Narrow" w:hAnsi="Arial Narrow"/>
          <w:sz w:val="20"/>
          <w:szCs w:val="20"/>
        </w:rPr>
        <w:t xml:space="preserve">dní na 14 dní, </w:t>
      </w:r>
      <w:r w:rsidR="00EF4610" w:rsidRPr="00086B26">
        <w:rPr>
          <w:rFonts w:ascii="Arial Narrow" w:hAnsi="Arial Narrow"/>
          <w:bCs/>
          <w:sz w:val="20"/>
          <w:szCs w:val="20"/>
          <w:lang w:eastAsia="sk-SK"/>
        </w:rPr>
        <w:t>čo zohľadňuje súčasné potreby vyplývajúce z aplikačnej praxe.</w:t>
      </w:r>
      <w:r w:rsidR="000453E6" w:rsidRPr="00086B26">
        <w:rPr>
          <w:rFonts w:ascii="Arial Narrow" w:hAnsi="Arial Narrow"/>
          <w:bCs/>
          <w:sz w:val="20"/>
          <w:szCs w:val="20"/>
          <w:lang w:eastAsia="sk-SK"/>
        </w:rPr>
        <w:t xml:space="preserve"> </w:t>
      </w:r>
      <w:r w:rsidR="000453E6" w:rsidRPr="00086B26">
        <w:rPr>
          <w:rFonts w:ascii="Arial Narrow" w:hAnsi="Arial Narrow"/>
          <w:b/>
          <w:sz w:val="20"/>
          <w:szCs w:val="20"/>
        </w:rPr>
        <w:t>Predpokladaná účinnosť navrhovanej právnej úpravy je 1. január  2021.</w:t>
      </w:r>
    </w:p>
    <w:p w:rsidR="003E4564" w:rsidRPr="00086B26" w:rsidRDefault="003E4564" w:rsidP="00047B8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6936CB" w:rsidRPr="00086B26" w:rsidRDefault="006936CB" w:rsidP="006936C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2.2.2. Charakteristika návrhu: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 </w:t>
      </w:r>
      <w:r w:rsidR="00373484"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</w:t>
      </w:r>
      <w:r w:rsidR="000616B3"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</w:t>
      </w:r>
      <w:r w:rsidR="00373484"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</w:t>
      </w:r>
      <w:r w:rsidRPr="00086B26">
        <w:rPr>
          <w:rFonts w:ascii="Arial Narrow" w:hAnsi="Arial Narrow"/>
          <w:b/>
          <w:sz w:val="20"/>
          <w:szCs w:val="20"/>
          <w:lang w:eastAsia="sk-SK"/>
        </w:rPr>
        <w:t xml:space="preserve">  </w:t>
      </w:r>
      <w:r w:rsidRPr="00086B26">
        <w:rPr>
          <w:rFonts w:ascii="Arial Narrow" w:hAnsi="Arial Narrow"/>
          <w:sz w:val="20"/>
          <w:szCs w:val="20"/>
          <w:lang w:eastAsia="sk-SK"/>
        </w:rPr>
        <w:t>zmena sadzby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="009C576C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="001D1883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>x</w:t>
      </w:r>
      <w:r w:rsidR="00866554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Pr="00086B26">
        <w:rPr>
          <w:rFonts w:ascii="Arial Narrow" w:hAnsi="Arial Narrow"/>
          <w:sz w:val="20"/>
          <w:szCs w:val="20"/>
          <w:lang w:eastAsia="sk-SK"/>
        </w:rPr>
        <w:t xml:space="preserve">  zmena v nároku</w:t>
      </w:r>
    </w:p>
    <w:p w:rsidR="007D5748" w:rsidRPr="00086B26" w:rsidRDefault="009C576C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 </w:t>
      </w:r>
      <w:r w:rsidR="007F3D14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>x</w:t>
      </w:r>
      <w:r w:rsidR="007D5748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="007D5748" w:rsidRPr="00086B26">
        <w:rPr>
          <w:rFonts w:ascii="Arial Narrow" w:hAnsi="Arial Narrow"/>
          <w:sz w:val="20"/>
          <w:szCs w:val="20"/>
          <w:lang w:eastAsia="sk-SK"/>
        </w:rPr>
        <w:t xml:space="preserve">  nová služba alebo nariadenie (alebo ich zrušenie)</w:t>
      </w:r>
    </w:p>
    <w:p w:rsidR="007D5748" w:rsidRPr="00086B26" w:rsidRDefault="00373484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="000616B3"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 </w:t>
      </w:r>
      <w:r w:rsidRPr="00086B26">
        <w:rPr>
          <w:rFonts w:ascii="Arial Narrow" w:hAnsi="Arial Narrow"/>
          <w:b/>
          <w:sz w:val="20"/>
          <w:szCs w:val="20"/>
          <w:bdr w:val="single" w:sz="4" w:space="0" w:color="auto"/>
          <w:lang w:eastAsia="sk-SK"/>
        </w:rPr>
        <w:t xml:space="preserve"> </w:t>
      </w:r>
      <w:r w:rsidR="007D5748"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</w:t>
      </w:r>
      <w:r w:rsidR="007D5748" w:rsidRPr="00086B26">
        <w:rPr>
          <w:rFonts w:ascii="Arial Narrow" w:hAnsi="Arial Narrow"/>
          <w:sz w:val="20"/>
          <w:szCs w:val="20"/>
          <w:lang w:eastAsia="sk-SK"/>
        </w:rPr>
        <w:t xml:space="preserve">  kombinovaný návrh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bdr w:val="single" w:sz="4" w:space="0" w:color="auto"/>
          <w:lang w:eastAsia="sk-SK"/>
        </w:rPr>
        <w:t xml:space="preserve">     </w:t>
      </w:r>
      <w:r w:rsidRPr="00086B26">
        <w:rPr>
          <w:rFonts w:ascii="Arial Narrow" w:hAnsi="Arial Narrow"/>
          <w:sz w:val="20"/>
          <w:szCs w:val="20"/>
          <w:lang w:eastAsia="sk-SK"/>
        </w:rPr>
        <w:t xml:space="preserve">  iné 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2.2.3. Predpoklady vývoja objemu aktivít:</w:t>
      </w:r>
    </w:p>
    <w:p w:rsidR="007D5748" w:rsidRPr="00086B26" w:rsidRDefault="007D57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B51A21" w:rsidRPr="00086B26" w:rsidRDefault="00AD7A6C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86B26">
        <w:rPr>
          <w:rFonts w:ascii="Arial Narrow" w:hAnsi="Arial Narrow"/>
          <w:color w:val="000000"/>
          <w:sz w:val="20"/>
          <w:szCs w:val="20"/>
        </w:rPr>
        <w:t xml:space="preserve">Navrhované zmeny si vyžiadajú zmenu informačného systému Sociálnej </w:t>
      </w:r>
      <w:r w:rsidR="00323AB4" w:rsidRPr="00086B26">
        <w:rPr>
          <w:rFonts w:ascii="Arial Narrow" w:hAnsi="Arial Narrow"/>
          <w:color w:val="000000"/>
          <w:sz w:val="20"/>
          <w:szCs w:val="20"/>
        </w:rPr>
        <w:t>poisť</w:t>
      </w:r>
      <w:r w:rsidR="00D46D23" w:rsidRPr="00086B26">
        <w:rPr>
          <w:rFonts w:ascii="Arial Narrow" w:hAnsi="Arial Narrow"/>
          <w:color w:val="000000"/>
          <w:sz w:val="20"/>
          <w:szCs w:val="20"/>
        </w:rPr>
        <w:t>ovne</w:t>
      </w:r>
      <w:r w:rsidR="009028C0" w:rsidRPr="00086B26">
        <w:rPr>
          <w:rFonts w:ascii="Arial Narrow" w:hAnsi="Arial Narrow"/>
          <w:color w:val="000000"/>
          <w:sz w:val="20"/>
          <w:szCs w:val="20"/>
        </w:rPr>
        <w:t xml:space="preserve">, pričom celkové zvýšenie výdavkov sa odhaduje na úrovni </w:t>
      </w:r>
      <w:r w:rsidR="004418D6" w:rsidRPr="00086B26">
        <w:rPr>
          <w:rFonts w:ascii="Arial Narrow" w:hAnsi="Arial Narrow"/>
          <w:color w:val="000000"/>
          <w:sz w:val="20"/>
          <w:szCs w:val="20"/>
        </w:rPr>
        <w:t>1,2 mil. eur.</w:t>
      </w:r>
      <w:r w:rsidR="006144D0" w:rsidRPr="00086B26">
        <w:rPr>
          <w:rFonts w:ascii="Arial Narrow" w:hAnsi="Arial Narrow"/>
          <w:color w:val="000000"/>
          <w:sz w:val="20"/>
          <w:szCs w:val="20"/>
        </w:rPr>
        <w:t xml:space="preserve"> </w:t>
      </w:r>
      <w:r w:rsidR="00981B3A" w:rsidRPr="00086B26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9028C0" w:rsidRPr="00086B26" w:rsidRDefault="009028C0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9028C0" w:rsidRPr="00086B26" w:rsidRDefault="00F615D8" w:rsidP="00047B8F">
      <w:pPr>
        <w:spacing w:after="0" w:line="240" w:lineRule="auto"/>
        <w:ind w:left="7080" w:firstLine="708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lang w:eastAsia="sk-SK"/>
        </w:rPr>
        <w:t xml:space="preserve">        </w:t>
      </w:r>
      <w:r w:rsidR="009028C0" w:rsidRPr="00086B26">
        <w:rPr>
          <w:rFonts w:ascii="Arial Narrow" w:hAnsi="Arial Narrow"/>
          <w:sz w:val="20"/>
          <w:szCs w:val="20"/>
          <w:lang w:eastAsia="sk-SK"/>
        </w:rPr>
        <w:t xml:space="preserve">Tabuľka č. 2    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134"/>
        <w:gridCol w:w="1060"/>
        <w:gridCol w:w="1060"/>
        <w:gridCol w:w="1060"/>
      </w:tblGrid>
      <w:tr w:rsidR="009028C0" w:rsidRPr="00086B26" w:rsidTr="00C45A01">
        <w:trPr>
          <w:trHeight w:val="315"/>
          <w:jc w:val="center"/>
        </w:trPr>
        <w:tc>
          <w:tcPr>
            <w:tcW w:w="4551" w:type="dxa"/>
            <w:shd w:val="clear" w:color="000000" w:fill="A6A6A6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1134" w:type="dxa"/>
            <w:shd w:val="clear" w:color="000000" w:fill="A6A6A6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2022</w:t>
            </w:r>
          </w:p>
        </w:tc>
      </w:tr>
      <w:tr w:rsidR="009028C0" w:rsidRPr="00086B26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Sociálna poisťovňa</w:t>
            </w:r>
          </w:p>
        </w:tc>
        <w:tc>
          <w:tcPr>
            <w:tcW w:w="1134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46271E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028C0" w:rsidRPr="00086B26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28C0" w:rsidRPr="00086B26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 kapitálové výdavky</w:t>
            </w:r>
          </w:p>
        </w:tc>
        <w:tc>
          <w:tcPr>
            <w:tcW w:w="1134" w:type="dxa"/>
            <w:noWrap/>
            <w:vAlign w:val="center"/>
            <w:hideMark/>
          </w:tcPr>
          <w:p w:rsidR="009028C0" w:rsidRPr="00086B26" w:rsidRDefault="009028C0" w:rsidP="0046271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46271E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028C0" w:rsidRPr="00086B26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  prevádzkové náklady </w:t>
            </w:r>
          </w:p>
        </w:tc>
        <w:tc>
          <w:tcPr>
            <w:tcW w:w="1134" w:type="dxa"/>
            <w:noWrap/>
            <w:vAlign w:val="center"/>
            <w:hideMark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:rsidR="009028C0" w:rsidRPr="00086B26" w:rsidRDefault="009028C0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:rsidR="009028C0" w:rsidRPr="00086B26" w:rsidRDefault="009028C0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9028C0" w:rsidRPr="00086B26" w:rsidRDefault="009028C0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86B26">
        <w:rPr>
          <w:rFonts w:ascii="Arial Narrow" w:hAnsi="Arial Narrow"/>
          <w:color w:val="000000"/>
          <w:sz w:val="20"/>
          <w:szCs w:val="20"/>
        </w:rPr>
        <w:t xml:space="preserve">Z uvedených </w:t>
      </w:r>
      <w:r w:rsidR="004418D6" w:rsidRPr="00086B26">
        <w:rPr>
          <w:rFonts w:ascii="Arial Narrow" w:hAnsi="Arial Narrow"/>
          <w:color w:val="000000"/>
          <w:sz w:val="20"/>
          <w:szCs w:val="20"/>
        </w:rPr>
        <w:t>1,2 mil.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 eur sa predpokladá suma </w:t>
      </w:r>
      <w:r w:rsidR="003E196D" w:rsidRPr="00086B26">
        <w:rPr>
          <w:rFonts w:ascii="Arial Narrow" w:hAnsi="Arial Narrow"/>
          <w:color w:val="000000"/>
          <w:sz w:val="20"/>
          <w:szCs w:val="20"/>
        </w:rPr>
        <w:t>0,</w:t>
      </w:r>
      <w:r w:rsidR="004418D6" w:rsidRPr="00086B26">
        <w:rPr>
          <w:rFonts w:ascii="Arial Narrow" w:hAnsi="Arial Narrow"/>
          <w:color w:val="000000"/>
          <w:sz w:val="20"/>
          <w:szCs w:val="20"/>
        </w:rPr>
        <w:t>7</w:t>
      </w:r>
      <w:r w:rsidR="003E196D" w:rsidRPr="00086B26">
        <w:rPr>
          <w:rFonts w:ascii="Arial Narrow" w:hAnsi="Arial Narrow"/>
          <w:color w:val="000000"/>
          <w:sz w:val="20"/>
          <w:szCs w:val="20"/>
        </w:rPr>
        <w:t xml:space="preserve"> mil</w:t>
      </w:r>
      <w:r w:rsidRPr="00086B26">
        <w:rPr>
          <w:rFonts w:ascii="Arial Narrow" w:hAnsi="Arial Narrow"/>
          <w:color w:val="000000"/>
          <w:sz w:val="20"/>
          <w:szCs w:val="20"/>
        </w:rPr>
        <w:t>. eur na informačný systém nemocenského poistenia a lekárskej posudkovej činnosti a</w:t>
      </w:r>
      <w:r w:rsidR="003E196D" w:rsidRPr="00086B26">
        <w:rPr>
          <w:rFonts w:ascii="Arial Narrow" w:hAnsi="Arial Narrow"/>
          <w:color w:val="000000"/>
          <w:sz w:val="20"/>
          <w:szCs w:val="20"/>
        </w:rPr>
        <w:t> 0,</w:t>
      </w:r>
      <w:r w:rsidRPr="00086B26">
        <w:rPr>
          <w:rFonts w:ascii="Arial Narrow" w:hAnsi="Arial Narrow"/>
          <w:color w:val="000000"/>
          <w:sz w:val="20"/>
          <w:szCs w:val="20"/>
        </w:rPr>
        <w:t>5</w:t>
      </w:r>
      <w:r w:rsidR="003E196D" w:rsidRPr="00086B26">
        <w:rPr>
          <w:rFonts w:ascii="Arial Narrow" w:hAnsi="Arial Narrow"/>
          <w:color w:val="000000"/>
          <w:sz w:val="20"/>
          <w:szCs w:val="20"/>
        </w:rPr>
        <w:t xml:space="preserve"> mil</w:t>
      </w:r>
      <w:r w:rsidRPr="00086B26">
        <w:rPr>
          <w:rFonts w:ascii="Arial Narrow" w:hAnsi="Arial Narrow"/>
          <w:color w:val="000000"/>
          <w:sz w:val="20"/>
          <w:szCs w:val="20"/>
        </w:rPr>
        <w:t>. eur na informačný systém jednotného výberu poistného.  V ďalších rokoch  budú výdavky na podporu informačných systémov súvisiace s uvedenou novelou zabezpečené v rámci paušálov z aktuálnych zmluvných vzťahov.</w:t>
      </w:r>
    </w:p>
    <w:p w:rsidR="009028C0" w:rsidRPr="00086B26" w:rsidRDefault="009028C0" w:rsidP="00047B8F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BC10D8" w:rsidRPr="00086B26" w:rsidRDefault="00BC10D8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D57829" w:rsidRPr="00086B26" w:rsidRDefault="007D5748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lastRenderedPageBreak/>
        <w:t xml:space="preserve">2.2.4. </w:t>
      </w:r>
      <w:r w:rsidR="00D57829" w:rsidRPr="00086B26">
        <w:rPr>
          <w:rFonts w:ascii="Arial Narrow" w:hAnsi="Arial Narrow"/>
          <w:b/>
          <w:bCs/>
          <w:sz w:val="20"/>
          <w:szCs w:val="20"/>
          <w:lang w:eastAsia="sk-SK"/>
        </w:rPr>
        <w:t>Výpočty vplyvov celkovo</w:t>
      </w:r>
    </w:p>
    <w:p w:rsidR="008E59EB" w:rsidRPr="00086B26" w:rsidRDefault="008E59EB" w:rsidP="00047B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8E59EB" w:rsidRPr="00086B26" w:rsidRDefault="008E59EB" w:rsidP="00047B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086B26">
        <w:rPr>
          <w:rFonts w:ascii="Arial Narrow" w:hAnsi="Arial Narrow"/>
          <w:bCs/>
          <w:sz w:val="20"/>
          <w:szCs w:val="20"/>
        </w:rPr>
        <w:t xml:space="preserve">Predmetný </w:t>
      </w:r>
      <w:r w:rsidR="002C6E1C">
        <w:rPr>
          <w:rFonts w:ascii="Arial Narrow" w:hAnsi="Arial Narrow"/>
          <w:bCs/>
          <w:sz w:val="20"/>
          <w:szCs w:val="20"/>
        </w:rPr>
        <w:t>v</w:t>
      </w:r>
      <w:r w:rsidR="002C6E1C" w:rsidRPr="002C6E1C">
        <w:rPr>
          <w:rFonts w:ascii="Arial Narrow" w:hAnsi="Arial Narrow"/>
          <w:bCs/>
          <w:sz w:val="20"/>
          <w:szCs w:val="20"/>
        </w:rPr>
        <w:t xml:space="preserve">ládny </w:t>
      </w:r>
      <w:r w:rsidRPr="00086B26">
        <w:rPr>
          <w:rFonts w:ascii="Arial Narrow" w:hAnsi="Arial Narrow"/>
          <w:bCs/>
          <w:sz w:val="20"/>
          <w:szCs w:val="20"/>
        </w:rPr>
        <w:t xml:space="preserve">návrh zákona </w:t>
      </w:r>
      <w:r w:rsidRPr="00086B26">
        <w:rPr>
          <w:rFonts w:ascii="Arial Narrow" w:hAnsi="Arial Narrow"/>
          <w:sz w:val="20"/>
          <w:szCs w:val="20"/>
        </w:rPr>
        <w:t>má priamy vplyv na rozpočet verejnej správy v rokoch 20</w:t>
      </w:r>
      <w:r w:rsidR="0046271E" w:rsidRPr="00086B26">
        <w:rPr>
          <w:rFonts w:ascii="Arial Narrow" w:hAnsi="Arial Narrow"/>
          <w:sz w:val="20"/>
          <w:szCs w:val="20"/>
        </w:rPr>
        <w:t>20</w:t>
      </w:r>
      <w:r w:rsidRPr="00086B26">
        <w:rPr>
          <w:rFonts w:ascii="Arial Narrow" w:hAnsi="Arial Narrow"/>
          <w:sz w:val="20"/>
          <w:szCs w:val="20"/>
        </w:rPr>
        <w:t xml:space="preserve"> až 2022. Kvantifikácia predpokladá negatívny vplyv na rozp</w:t>
      </w:r>
      <w:r w:rsidR="0046271E" w:rsidRPr="00086B26">
        <w:rPr>
          <w:rFonts w:ascii="Arial Narrow" w:hAnsi="Arial Narrow"/>
          <w:sz w:val="20"/>
          <w:szCs w:val="20"/>
        </w:rPr>
        <w:t>očet verejnej správy v roku 20</w:t>
      </w:r>
      <w:r w:rsidR="00336625" w:rsidRPr="00086B26">
        <w:rPr>
          <w:rFonts w:ascii="Arial Narrow" w:hAnsi="Arial Narrow"/>
          <w:sz w:val="20"/>
          <w:szCs w:val="20"/>
        </w:rPr>
        <w:t>20</w:t>
      </w:r>
      <w:r w:rsidRPr="00086B26">
        <w:rPr>
          <w:rFonts w:ascii="Arial Narrow" w:hAnsi="Arial Narrow"/>
          <w:sz w:val="20"/>
          <w:szCs w:val="20"/>
        </w:rPr>
        <w:t xml:space="preserve"> na úrovni cca  </w:t>
      </w:r>
      <w:r w:rsidR="00762B0D" w:rsidRPr="00086B26">
        <w:rPr>
          <w:rFonts w:ascii="Arial Narrow" w:hAnsi="Arial Narrow"/>
          <w:sz w:val="20"/>
          <w:szCs w:val="20"/>
        </w:rPr>
        <w:t xml:space="preserve">1,2 </w:t>
      </w:r>
      <w:r w:rsidR="00336625" w:rsidRPr="00086B26">
        <w:rPr>
          <w:rFonts w:ascii="Arial Narrow" w:hAnsi="Arial Narrow"/>
          <w:sz w:val="20"/>
          <w:szCs w:val="20"/>
        </w:rPr>
        <w:t>mil. eur; v roku 2021</w:t>
      </w:r>
      <w:r w:rsidRPr="00086B26">
        <w:rPr>
          <w:rFonts w:ascii="Arial Narrow" w:hAnsi="Arial Narrow"/>
          <w:sz w:val="20"/>
          <w:szCs w:val="20"/>
        </w:rPr>
        <w:t xml:space="preserve"> na úrovni cca </w:t>
      </w:r>
      <w:r w:rsidR="009E0530" w:rsidRPr="00086B26">
        <w:rPr>
          <w:rFonts w:ascii="Arial Narrow" w:hAnsi="Arial Narrow"/>
          <w:sz w:val="20"/>
          <w:szCs w:val="20"/>
        </w:rPr>
        <w:t>11,8</w:t>
      </w:r>
      <w:r w:rsidR="00762B0D" w:rsidRPr="00086B26">
        <w:rPr>
          <w:rFonts w:ascii="Arial Narrow" w:hAnsi="Arial Narrow"/>
          <w:sz w:val="20"/>
          <w:szCs w:val="20"/>
        </w:rPr>
        <w:t xml:space="preserve"> </w:t>
      </w:r>
      <w:r w:rsidR="0079572F" w:rsidRPr="00086B26">
        <w:rPr>
          <w:rFonts w:ascii="Arial Narrow" w:hAnsi="Arial Narrow"/>
          <w:sz w:val="20"/>
          <w:szCs w:val="20"/>
        </w:rPr>
        <w:t xml:space="preserve"> mil. eur a </w:t>
      </w:r>
      <w:r w:rsidR="00336625" w:rsidRPr="00086B26">
        <w:rPr>
          <w:rFonts w:ascii="Arial Narrow" w:hAnsi="Arial Narrow"/>
          <w:sz w:val="20"/>
          <w:szCs w:val="20"/>
        </w:rPr>
        <w:t>v roku 2022</w:t>
      </w:r>
      <w:r w:rsidRPr="00086B26">
        <w:rPr>
          <w:rFonts w:ascii="Arial Narrow" w:hAnsi="Arial Narrow"/>
          <w:sz w:val="20"/>
          <w:szCs w:val="20"/>
        </w:rPr>
        <w:t xml:space="preserve"> na úrovni cca</w:t>
      </w:r>
      <w:r w:rsidRPr="00086B2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E0530" w:rsidRPr="00086B26">
        <w:rPr>
          <w:rFonts w:ascii="Arial Narrow" w:hAnsi="Arial Narrow"/>
          <w:color w:val="000000" w:themeColor="text1"/>
          <w:sz w:val="20"/>
          <w:szCs w:val="20"/>
        </w:rPr>
        <w:t>13,8</w:t>
      </w:r>
      <w:r w:rsidRPr="00086B26">
        <w:rPr>
          <w:rFonts w:ascii="Arial Narrow" w:hAnsi="Arial Narrow"/>
          <w:color w:val="000000" w:themeColor="text1"/>
          <w:sz w:val="20"/>
          <w:szCs w:val="20"/>
        </w:rPr>
        <w:t xml:space="preserve"> mil. eur</w:t>
      </w:r>
      <w:r w:rsidR="0079572F" w:rsidRPr="00086B26">
        <w:rPr>
          <w:rFonts w:ascii="Arial Narrow" w:hAnsi="Arial Narrow"/>
          <w:color w:val="000000" w:themeColor="text1"/>
          <w:sz w:val="20"/>
          <w:szCs w:val="20"/>
        </w:rPr>
        <w:t>.</w:t>
      </w:r>
    </w:p>
    <w:p w:rsidR="00D57829" w:rsidRPr="00086B26" w:rsidRDefault="00D57829" w:rsidP="00047B8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4445AD" w:rsidRPr="00086B26" w:rsidRDefault="004445AD" w:rsidP="00047B8F">
      <w:p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631D94" w:rsidRPr="00086B26" w:rsidRDefault="00631D94" w:rsidP="00047B8F">
      <w:pPr>
        <w:spacing w:after="0" w:line="240" w:lineRule="auto"/>
        <w:jc w:val="both"/>
        <w:rPr>
          <w:rFonts w:ascii="Arial Narrow" w:hAnsi="Arial Narrow"/>
          <w:b/>
          <w:bCs/>
          <w:iCs/>
          <w:sz w:val="20"/>
          <w:szCs w:val="20"/>
        </w:rPr>
      </w:pPr>
      <w:r w:rsidRPr="00086B26">
        <w:rPr>
          <w:rFonts w:ascii="Arial Narrow" w:hAnsi="Arial Narrow"/>
          <w:b/>
          <w:bCs/>
          <w:iCs/>
          <w:sz w:val="20"/>
          <w:szCs w:val="20"/>
        </w:rPr>
        <w:t>2.2.4.1 Kvantifikácia príjmov</w:t>
      </w:r>
      <w:r w:rsidR="0079572F" w:rsidRPr="00086B26">
        <w:rPr>
          <w:rFonts w:ascii="Arial Narrow" w:hAnsi="Arial Narrow"/>
          <w:b/>
          <w:bCs/>
          <w:iCs/>
          <w:sz w:val="20"/>
          <w:szCs w:val="20"/>
        </w:rPr>
        <w:t xml:space="preserve"> </w:t>
      </w:r>
    </w:p>
    <w:p w:rsidR="00DB1C7D" w:rsidRPr="00086B26" w:rsidRDefault="00DB1C7D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8E6C99" w:rsidRPr="00086B26" w:rsidRDefault="0079572F" w:rsidP="00985455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086B26">
        <w:rPr>
          <w:rFonts w:ascii="Arial Narrow" w:hAnsi="Arial Narrow"/>
          <w:color w:val="000000"/>
          <w:sz w:val="20"/>
          <w:szCs w:val="20"/>
        </w:rPr>
        <w:t xml:space="preserve">Uvedená právna úprava </w:t>
      </w:r>
      <w:r w:rsidR="00985455" w:rsidRPr="00086B26">
        <w:rPr>
          <w:rFonts w:ascii="Arial Narrow" w:hAnsi="Arial Narrow"/>
          <w:color w:val="000000"/>
          <w:sz w:val="20"/>
          <w:szCs w:val="20"/>
        </w:rPr>
        <w:t>ne</w:t>
      </w:r>
      <w:r w:rsidR="009E0530" w:rsidRPr="00086B26">
        <w:rPr>
          <w:rFonts w:ascii="Arial Narrow" w:hAnsi="Arial Narrow"/>
          <w:color w:val="000000"/>
          <w:sz w:val="20"/>
          <w:szCs w:val="20"/>
        </w:rPr>
        <w:t>zakladá</w:t>
      </w:r>
      <w:r w:rsidR="00985455" w:rsidRPr="00086B26">
        <w:rPr>
          <w:rFonts w:ascii="Arial Narrow" w:hAnsi="Arial Narrow"/>
          <w:color w:val="000000"/>
          <w:sz w:val="20"/>
          <w:szCs w:val="20"/>
        </w:rPr>
        <w:t xml:space="preserve"> vplyvy na </w:t>
      </w:r>
      <w:r w:rsidR="00086B26">
        <w:rPr>
          <w:rFonts w:ascii="Arial Narrow" w:hAnsi="Arial Narrow"/>
          <w:color w:val="000000"/>
          <w:sz w:val="20"/>
          <w:szCs w:val="20"/>
        </w:rPr>
        <w:t>príjmy</w:t>
      </w:r>
      <w:r w:rsidR="00985455" w:rsidRPr="00086B26">
        <w:rPr>
          <w:rFonts w:ascii="Arial Narrow" w:hAnsi="Arial Narrow"/>
          <w:color w:val="000000"/>
          <w:sz w:val="20"/>
          <w:szCs w:val="20"/>
        </w:rPr>
        <w:t xml:space="preserve"> verejnej správy, t. j. nezvyšuje ich ani ich neznižuje.</w:t>
      </w:r>
    </w:p>
    <w:p w:rsidR="0040650B" w:rsidRPr="00086B26" w:rsidRDefault="0040650B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9C4678" w:rsidRPr="00086B26" w:rsidRDefault="009C6B26" w:rsidP="00047B8F">
      <w:pPr>
        <w:spacing w:after="0" w:line="240" w:lineRule="auto"/>
        <w:ind w:left="7080" w:firstLine="708"/>
        <w:jc w:val="both"/>
        <w:rPr>
          <w:rFonts w:ascii="Arial Narrow" w:hAnsi="Arial Narrow"/>
          <w:sz w:val="20"/>
          <w:szCs w:val="20"/>
          <w:lang w:eastAsia="sk-SK"/>
        </w:rPr>
      </w:pPr>
      <w:r w:rsidRPr="00086B26">
        <w:rPr>
          <w:rFonts w:ascii="Arial Narrow" w:hAnsi="Arial Narrow"/>
          <w:sz w:val="20"/>
          <w:szCs w:val="20"/>
          <w:lang w:eastAsia="sk-SK"/>
        </w:rPr>
        <w:t>Tabuľka č. 3</w:t>
      </w:r>
    </w:p>
    <w:tbl>
      <w:tblPr>
        <w:tblW w:w="9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5"/>
        <w:gridCol w:w="992"/>
        <w:gridCol w:w="993"/>
        <w:gridCol w:w="992"/>
        <w:gridCol w:w="992"/>
        <w:gridCol w:w="960"/>
      </w:tblGrid>
      <w:tr w:rsidR="00643592" w:rsidRPr="00086B26" w:rsidTr="00047B8F">
        <w:trPr>
          <w:trHeight w:val="270"/>
          <w:jc w:val="center"/>
        </w:trPr>
        <w:tc>
          <w:tcPr>
            <w:tcW w:w="4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643592" w:rsidRPr="00086B26" w:rsidTr="00047B8F">
        <w:trPr>
          <w:trHeight w:val="270"/>
          <w:jc w:val="center"/>
        </w:trPr>
        <w:tc>
          <w:tcPr>
            <w:tcW w:w="4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43592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43592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43592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43592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79572F" w:rsidRPr="00086B26" w:rsidTr="00047B8F">
        <w:trPr>
          <w:trHeight w:val="315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086B26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2F" w:rsidRPr="00086B26" w:rsidRDefault="00985455" w:rsidP="007957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2F" w:rsidRPr="00086B26" w:rsidRDefault="00985455" w:rsidP="007957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79572F" w:rsidRPr="00086B26" w:rsidTr="00047B8F">
        <w:trPr>
          <w:trHeight w:val="315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Daň z príjmov fyzickej osoby (111)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572F" w:rsidRPr="00086B26" w:rsidRDefault="00985455" w:rsidP="007957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572F" w:rsidRPr="00086B26" w:rsidRDefault="00985455" w:rsidP="007957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</w:tr>
      <w:tr w:rsidR="00643592" w:rsidRPr="00086B26" w:rsidTr="00047B8F">
        <w:trPr>
          <w:trHeight w:val="315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086B26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643592" w:rsidRPr="00086B26" w:rsidTr="00047B8F">
        <w:trPr>
          <w:trHeight w:val="315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086B26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643592" w:rsidRPr="00086B26" w:rsidTr="00047B8F">
        <w:trPr>
          <w:trHeight w:val="525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643592" w:rsidRPr="00086B26" w:rsidTr="00047B8F">
        <w:trPr>
          <w:trHeight w:val="270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592" w:rsidRPr="00086B26" w:rsidRDefault="00643592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3592" w:rsidRPr="00086B26" w:rsidRDefault="0064359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79572F" w:rsidRPr="00086B26" w:rsidTr="00047B8F">
        <w:trPr>
          <w:trHeight w:val="270"/>
          <w:jc w:val="center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72F" w:rsidRPr="00086B26" w:rsidRDefault="00985455" w:rsidP="007957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72F" w:rsidRPr="00086B26" w:rsidRDefault="00985455" w:rsidP="009854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572F" w:rsidRPr="00086B26" w:rsidRDefault="0079572F" w:rsidP="0079572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</w:tbl>
    <w:p w:rsidR="003D6E48" w:rsidRPr="00086B26" w:rsidRDefault="003D6E4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4F27BE" w:rsidRPr="00086B26" w:rsidRDefault="004F27BE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79572F" w:rsidRPr="00086B26" w:rsidRDefault="0079572F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631D94" w:rsidRPr="00086B26" w:rsidRDefault="00631D94" w:rsidP="00047B8F">
      <w:pPr>
        <w:spacing w:after="0" w:line="240" w:lineRule="auto"/>
        <w:jc w:val="both"/>
        <w:rPr>
          <w:rFonts w:ascii="Arial Narrow" w:hAnsi="Arial Narrow"/>
          <w:b/>
          <w:bCs/>
          <w:iCs/>
          <w:sz w:val="20"/>
          <w:szCs w:val="20"/>
        </w:rPr>
      </w:pPr>
      <w:r w:rsidRPr="00086B26">
        <w:rPr>
          <w:rFonts w:ascii="Arial Narrow" w:hAnsi="Arial Narrow"/>
          <w:b/>
          <w:bCs/>
          <w:iCs/>
          <w:sz w:val="20"/>
          <w:szCs w:val="20"/>
        </w:rPr>
        <w:t>2.2.4.2 Kvantifikácia výdavkov</w:t>
      </w:r>
      <w:r w:rsidR="0079572F" w:rsidRPr="00086B26">
        <w:rPr>
          <w:rFonts w:ascii="Arial Narrow" w:hAnsi="Arial Narrow"/>
          <w:b/>
          <w:bCs/>
          <w:iCs/>
          <w:sz w:val="20"/>
          <w:szCs w:val="20"/>
        </w:rPr>
        <w:t xml:space="preserve"> </w:t>
      </w:r>
    </w:p>
    <w:p w:rsidR="0079572F" w:rsidRPr="00086B26" w:rsidRDefault="0079572F" w:rsidP="0079572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79572F" w:rsidRPr="00086B26" w:rsidRDefault="0079572F" w:rsidP="0079572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</w:p>
    <w:p w:rsidR="0079572F" w:rsidRPr="00086B26" w:rsidRDefault="0079572F" w:rsidP="0079572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lang w:eastAsia="sk-SK"/>
        </w:rPr>
      </w:pPr>
      <w:r w:rsidRPr="00086B26">
        <w:rPr>
          <w:rFonts w:ascii="Arial Narrow" w:hAnsi="Arial Narrow"/>
          <w:b/>
          <w:bCs/>
          <w:sz w:val="20"/>
          <w:szCs w:val="20"/>
          <w:lang w:eastAsia="sk-SK"/>
        </w:rPr>
        <w:t>Výpočty vplyvov na Sociálnu poisťovňu</w:t>
      </w:r>
    </w:p>
    <w:p w:rsidR="0079572F" w:rsidRPr="00086B26" w:rsidRDefault="0079572F" w:rsidP="007957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79572F" w:rsidRPr="00086B26" w:rsidRDefault="0079572F" w:rsidP="007957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086B26">
        <w:rPr>
          <w:rFonts w:ascii="Arial Narrow" w:hAnsi="Arial Narrow"/>
          <w:bCs/>
          <w:sz w:val="20"/>
          <w:szCs w:val="20"/>
        </w:rPr>
        <w:t xml:space="preserve">Predmetný </w:t>
      </w:r>
      <w:r w:rsidR="002C6E1C">
        <w:rPr>
          <w:rFonts w:ascii="Arial Narrow" w:hAnsi="Arial Narrow"/>
          <w:bCs/>
          <w:sz w:val="20"/>
          <w:szCs w:val="20"/>
        </w:rPr>
        <w:t>v</w:t>
      </w:r>
      <w:r w:rsidR="002C6E1C" w:rsidRPr="002C6E1C">
        <w:rPr>
          <w:rFonts w:ascii="Arial Narrow" w:hAnsi="Arial Narrow"/>
          <w:bCs/>
          <w:sz w:val="20"/>
          <w:szCs w:val="20"/>
        </w:rPr>
        <w:t>ládny</w:t>
      </w:r>
      <w:r w:rsidR="002C6E1C" w:rsidRPr="00086B26">
        <w:rPr>
          <w:rFonts w:ascii="Arial Narrow" w:hAnsi="Arial Narrow"/>
          <w:bCs/>
          <w:sz w:val="20"/>
          <w:szCs w:val="20"/>
        </w:rPr>
        <w:t xml:space="preserve"> </w:t>
      </w:r>
      <w:r w:rsidRPr="00086B26">
        <w:rPr>
          <w:rFonts w:ascii="Arial Narrow" w:hAnsi="Arial Narrow"/>
          <w:bCs/>
          <w:sz w:val="20"/>
          <w:szCs w:val="20"/>
        </w:rPr>
        <w:t xml:space="preserve">návrh zákona </w:t>
      </w:r>
      <w:r w:rsidRPr="00086B26">
        <w:rPr>
          <w:rFonts w:ascii="Arial Narrow" w:hAnsi="Arial Narrow"/>
          <w:sz w:val="20"/>
          <w:szCs w:val="20"/>
        </w:rPr>
        <w:t>má priamy vplyv na rozpočet verejnej správy v rokoch 20</w:t>
      </w:r>
      <w:r w:rsidR="00985455" w:rsidRPr="00086B26">
        <w:rPr>
          <w:rFonts w:ascii="Arial Narrow" w:hAnsi="Arial Narrow"/>
          <w:sz w:val="20"/>
          <w:szCs w:val="20"/>
        </w:rPr>
        <w:t>20</w:t>
      </w:r>
      <w:r w:rsidRPr="00086B26">
        <w:rPr>
          <w:rFonts w:ascii="Arial Narrow" w:hAnsi="Arial Narrow"/>
          <w:sz w:val="20"/>
          <w:szCs w:val="20"/>
        </w:rPr>
        <w:t xml:space="preserve"> až 2022. Kvantifikácia predpokladá negatívny vplyv na rozpočet verejnej správy v roku 2020 na úrovni cca 1,2 mil. eur; v roku 2021 na úrovni cca </w:t>
      </w:r>
      <w:r w:rsidR="00985455" w:rsidRPr="00086B26">
        <w:rPr>
          <w:rFonts w:ascii="Arial Narrow" w:hAnsi="Arial Narrow"/>
          <w:sz w:val="20"/>
          <w:szCs w:val="20"/>
        </w:rPr>
        <w:t>11,8</w:t>
      </w:r>
      <w:r w:rsidRPr="00086B26">
        <w:rPr>
          <w:rFonts w:ascii="Arial Narrow" w:hAnsi="Arial Narrow"/>
          <w:sz w:val="20"/>
          <w:szCs w:val="20"/>
        </w:rPr>
        <w:t xml:space="preserve"> mil. eur a v roku 2022 na úrovni cca</w:t>
      </w:r>
      <w:r w:rsidRPr="00086B2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85455" w:rsidRPr="00086B26">
        <w:rPr>
          <w:rFonts w:ascii="Arial Narrow" w:hAnsi="Arial Narrow"/>
          <w:color w:val="000000" w:themeColor="text1"/>
          <w:sz w:val="20"/>
          <w:szCs w:val="20"/>
        </w:rPr>
        <w:t>13,8</w:t>
      </w:r>
      <w:r w:rsidRPr="00086B26">
        <w:rPr>
          <w:rFonts w:ascii="Arial Narrow" w:hAnsi="Arial Narrow"/>
          <w:color w:val="000000" w:themeColor="text1"/>
          <w:sz w:val="20"/>
          <w:szCs w:val="20"/>
        </w:rPr>
        <w:t xml:space="preserve"> mil. eur.</w:t>
      </w:r>
    </w:p>
    <w:p w:rsidR="009C576C" w:rsidRPr="00086B26" w:rsidRDefault="009C576C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C576C" w:rsidRPr="00086B26" w:rsidRDefault="009C576C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b/>
          <w:color w:val="000000"/>
          <w:sz w:val="20"/>
          <w:szCs w:val="20"/>
        </w:rPr>
        <w:t>A)</w:t>
      </w:r>
      <w:r w:rsidRPr="00086B26">
        <w:rPr>
          <w:rFonts w:ascii="Arial Narrow" w:hAnsi="Arial Narrow"/>
          <w:color w:val="000000"/>
          <w:sz w:val="20"/>
          <w:szCs w:val="20"/>
        </w:rPr>
        <w:t xml:space="preserve"> </w:t>
      </w:r>
      <w:r w:rsidRPr="00086B26"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086B26">
        <w:rPr>
          <w:rFonts w:ascii="Arial Narrow" w:hAnsi="Arial Narrow"/>
          <w:b/>
          <w:color w:val="000000"/>
          <w:sz w:val="20"/>
          <w:szCs w:val="20"/>
        </w:rPr>
        <w:t xml:space="preserve">Zavedenie možnosti čerpania ošetrovného z dôvodu </w:t>
      </w:r>
      <w:r w:rsidR="00FD3D16" w:rsidRPr="00086B26">
        <w:rPr>
          <w:rFonts w:ascii="Arial Narrow" w:hAnsi="Arial Narrow"/>
          <w:b/>
          <w:color w:val="000000"/>
          <w:sz w:val="20"/>
          <w:szCs w:val="20"/>
        </w:rPr>
        <w:t>tzv. domácej</w:t>
      </w:r>
      <w:r w:rsidRPr="00086B26">
        <w:rPr>
          <w:rFonts w:ascii="Arial Narrow" w:hAnsi="Arial Narrow"/>
          <w:b/>
          <w:color w:val="000000"/>
          <w:sz w:val="20"/>
          <w:szCs w:val="20"/>
        </w:rPr>
        <w:t xml:space="preserve"> starostlivosti</w:t>
      </w:r>
    </w:p>
    <w:p w:rsidR="004253B7" w:rsidRPr="00086B26" w:rsidRDefault="004253B7" w:rsidP="00047B8F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:rsidR="001D1883" w:rsidRPr="00086B26" w:rsidRDefault="007364F5" w:rsidP="00047B8F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</w:rPr>
        <w:t>Priemerný denný vymeriavací základ na určeni</w:t>
      </w:r>
      <w:r w:rsidR="00605468" w:rsidRPr="00086B26">
        <w:rPr>
          <w:rFonts w:ascii="Arial Narrow" w:hAnsi="Arial Narrow"/>
          <w:sz w:val="20"/>
          <w:szCs w:val="20"/>
        </w:rPr>
        <w:t>e dávky ošetrovné sa v roku 20</w:t>
      </w:r>
      <w:r w:rsidR="00CD38F0" w:rsidRPr="00086B26">
        <w:rPr>
          <w:rFonts w:ascii="Arial Narrow" w:hAnsi="Arial Narrow"/>
          <w:sz w:val="20"/>
          <w:szCs w:val="20"/>
        </w:rPr>
        <w:t>21</w:t>
      </w:r>
      <w:r w:rsidRPr="00086B26">
        <w:rPr>
          <w:rFonts w:ascii="Arial Narrow" w:hAnsi="Arial Narrow"/>
          <w:sz w:val="20"/>
          <w:szCs w:val="20"/>
        </w:rPr>
        <w:t xml:space="preserve"> odhaduje na ú</w:t>
      </w:r>
      <w:r w:rsidR="00605468" w:rsidRPr="00086B26">
        <w:rPr>
          <w:rFonts w:ascii="Arial Narrow" w:hAnsi="Arial Narrow"/>
          <w:sz w:val="20"/>
          <w:szCs w:val="20"/>
        </w:rPr>
        <w:t>rovni približne 2</w:t>
      </w:r>
      <w:r w:rsidR="0079572F" w:rsidRPr="00086B26">
        <w:rPr>
          <w:rFonts w:ascii="Arial Narrow" w:hAnsi="Arial Narrow"/>
          <w:sz w:val="20"/>
          <w:szCs w:val="20"/>
        </w:rPr>
        <w:t>9</w:t>
      </w:r>
      <w:r w:rsidR="00605468" w:rsidRPr="00086B26">
        <w:rPr>
          <w:rFonts w:ascii="Arial Narrow" w:hAnsi="Arial Narrow"/>
          <w:sz w:val="20"/>
          <w:szCs w:val="20"/>
        </w:rPr>
        <w:t>,</w:t>
      </w:r>
      <w:r w:rsidR="0079572F" w:rsidRPr="00086B26">
        <w:rPr>
          <w:rFonts w:ascii="Arial Narrow" w:hAnsi="Arial Narrow"/>
          <w:sz w:val="20"/>
          <w:szCs w:val="20"/>
        </w:rPr>
        <w:t>3</w:t>
      </w:r>
      <w:r w:rsidRPr="00086B26">
        <w:rPr>
          <w:rFonts w:ascii="Arial Narrow" w:hAnsi="Arial Narrow"/>
          <w:sz w:val="20"/>
          <w:szCs w:val="20"/>
        </w:rPr>
        <w:t xml:space="preserve"> eura</w:t>
      </w:r>
      <w:r w:rsidR="001869E5" w:rsidRPr="00086B26">
        <w:rPr>
          <w:rFonts w:ascii="Arial Narrow" w:hAnsi="Arial Narrow"/>
          <w:sz w:val="20"/>
          <w:szCs w:val="20"/>
        </w:rPr>
        <w:t xml:space="preserve"> (</w:t>
      </w:r>
      <w:r w:rsidR="00785D60" w:rsidRPr="00086B26">
        <w:rPr>
          <w:rFonts w:ascii="Arial Narrow" w:hAnsi="Arial Narrow"/>
          <w:sz w:val="20"/>
          <w:szCs w:val="20"/>
        </w:rPr>
        <w:t>odhad priemerného vym</w:t>
      </w:r>
      <w:r w:rsidR="00CA2514" w:rsidRPr="00086B26">
        <w:rPr>
          <w:rFonts w:ascii="Arial Narrow" w:hAnsi="Arial Narrow"/>
          <w:sz w:val="20"/>
          <w:szCs w:val="20"/>
        </w:rPr>
        <w:t>eriavacieho základu na roky 2021</w:t>
      </w:r>
      <w:r w:rsidR="00785D60" w:rsidRPr="00086B26">
        <w:rPr>
          <w:rFonts w:ascii="Arial Narrow" w:hAnsi="Arial Narrow"/>
          <w:sz w:val="20"/>
          <w:szCs w:val="20"/>
        </w:rPr>
        <w:t xml:space="preserve"> a 2</w:t>
      </w:r>
      <w:r w:rsidR="00F05B78" w:rsidRPr="00086B26">
        <w:rPr>
          <w:rFonts w:ascii="Arial Narrow" w:hAnsi="Arial Narrow"/>
          <w:sz w:val="20"/>
          <w:szCs w:val="20"/>
        </w:rPr>
        <w:t xml:space="preserve">022 bol kvantifikovaný </w:t>
      </w:r>
      <w:r w:rsidR="001869E5" w:rsidRPr="00086B26">
        <w:rPr>
          <w:rFonts w:ascii="Arial Narrow" w:hAnsi="Arial Narrow"/>
          <w:sz w:val="20"/>
          <w:szCs w:val="20"/>
        </w:rPr>
        <w:t xml:space="preserve"> vzhľadom na rast miezd podľa makroekonomickej </w:t>
      </w:r>
      <w:r w:rsidR="00CD38F0" w:rsidRPr="00086B26">
        <w:rPr>
          <w:rFonts w:ascii="Arial Narrow" w:hAnsi="Arial Narrow"/>
          <w:sz w:val="20"/>
          <w:szCs w:val="20"/>
        </w:rPr>
        <w:t>prognózy zo septembra</w:t>
      </w:r>
      <w:r w:rsidR="00605468" w:rsidRPr="00086B26">
        <w:rPr>
          <w:rFonts w:ascii="Arial Narrow" w:hAnsi="Arial Narrow"/>
          <w:sz w:val="20"/>
          <w:szCs w:val="20"/>
        </w:rPr>
        <w:t xml:space="preserve"> 2019</w:t>
      </w:r>
      <w:r w:rsidR="00D42070" w:rsidRPr="00086B26">
        <w:rPr>
          <w:rFonts w:ascii="Arial Narrow" w:hAnsi="Arial Narrow"/>
          <w:sz w:val="20"/>
          <w:szCs w:val="20"/>
        </w:rPr>
        <w:t>)</w:t>
      </w:r>
      <w:r w:rsidRPr="00086B26">
        <w:rPr>
          <w:rFonts w:ascii="Arial Narrow" w:hAnsi="Arial Narrow"/>
          <w:sz w:val="20"/>
          <w:szCs w:val="20"/>
        </w:rPr>
        <w:t>.</w:t>
      </w:r>
      <w:r w:rsidR="009F645D" w:rsidRPr="00086B26">
        <w:rPr>
          <w:rFonts w:ascii="Arial Narrow" w:hAnsi="Arial Narrow"/>
          <w:sz w:val="20"/>
          <w:szCs w:val="20"/>
        </w:rPr>
        <w:t xml:space="preserve"> </w:t>
      </w:r>
      <w:r w:rsidR="008A1967" w:rsidRPr="00086B26">
        <w:rPr>
          <w:rFonts w:ascii="Arial Narrow" w:hAnsi="Arial Narrow"/>
          <w:sz w:val="20"/>
          <w:szCs w:val="20"/>
        </w:rPr>
        <w:t>Priemerná denná výška ošetrovné</w:t>
      </w:r>
      <w:r w:rsidR="00634A13" w:rsidRPr="00086B26">
        <w:rPr>
          <w:rFonts w:ascii="Arial Narrow" w:hAnsi="Arial Narrow"/>
          <w:sz w:val="20"/>
          <w:szCs w:val="20"/>
        </w:rPr>
        <w:t xml:space="preserve">ho v prípade </w:t>
      </w:r>
      <w:r w:rsidR="00FD3D16" w:rsidRPr="00086B26">
        <w:rPr>
          <w:rFonts w:ascii="Arial Narrow" w:hAnsi="Arial Narrow"/>
          <w:sz w:val="20"/>
          <w:szCs w:val="20"/>
        </w:rPr>
        <w:t>domácej</w:t>
      </w:r>
      <w:r w:rsidR="00634A13" w:rsidRPr="00086B26">
        <w:rPr>
          <w:rFonts w:ascii="Arial Narrow" w:hAnsi="Arial Narrow"/>
          <w:sz w:val="20"/>
          <w:szCs w:val="20"/>
        </w:rPr>
        <w:t xml:space="preserve"> starostlivosti</w:t>
      </w:r>
      <w:r w:rsidR="008A1967" w:rsidRPr="00086B26">
        <w:rPr>
          <w:rFonts w:ascii="Arial Narrow" w:hAnsi="Arial Narrow"/>
          <w:sz w:val="20"/>
          <w:szCs w:val="20"/>
        </w:rPr>
        <w:t xml:space="preserve"> bola vypočítaná ako súčin priemerného denného vymeriavacieho základu dotknutej skupiny osôb a </w:t>
      </w:r>
      <w:r w:rsidR="001100EC" w:rsidRPr="00086B26">
        <w:rPr>
          <w:rFonts w:ascii="Arial Narrow" w:hAnsi="Arial Narrow"/>
          <w:sz w:val="20"/>
          <w:szCs w:val="20"/>
        </w:rPr>
        <w:t xml:space="preserve"> sadzby na určenie dávky</w:t>
      </w:r>
      <w:r w:rsidR="00310F27" w:rsidRPr="00086B26">
        <w:rPr>
          <w:rFonts w:ascii="Arial Narrow" w:hAnsi="Arial Narrow"/>
          <w:sz w:val="20"/>
          <w:szCs w:val="20"/>
        </w:rPr>
        <w:t xml:space="preserve"> ošetrovné</w:t>
      </w:r>
      <w:r w:rsidR="001100EC" w:rsidRPr="00086B26">
        <w:rPr>
          <w:rFonts w:ascii="Arial Narrow" w:hAnsi="Arial Narrow"/>
          <w:sz w:val="20"/>
          <w:szCs w:val="20"/>
        </w:rPr>
        <w:t xml:space="preserve"> na úrovni </w:t>
      </w:r>
      <w:r w:rsidR="008A1967" w:rsidRPr="00086B26">
        <w:rPr>
          <w:rFonts w:ascii="Arial Narrow" w:hAnsi="Arial Narrow"/>
          <w:sz w:val="20"/>
          <w:szCs w:val="20"/>
        </w:rPr>
        <w:t>55</w:t>
      </w:r>
      <w:r w:rsidR="001100EC" w:rsidRPr="00086B26">
        <w:rPr>
          <w:rFonts w:ascii="Arial Narrow" w:hAnsi="Arial Narrow"/>
          <w:sz w:val="20"/>
          <w:szCs w:val="20"/>
        </w:rPr>
        <w:t xml:space="preserve"> %</w:t>
      </w:r>
      <w:r w:rsidRPr="00086B26">
        <w:rPr>
          <w:rFonts w:ascii="Arial Narrow" w:hAnsi="Arial Narrow"/>
          <w:sz w:val="20"/>
          <w:szCs w:val="20"/>
        </w:rPr>
        <w:t xml:space="preserve">. Na základe uvedeného sa </w:t>
      </w:r>
      <w:r w:rsidR="008A1967" w:rsidRPr="00086B26">
        <w:rPr>
          <w:rFonts w:ascii="Arial Narrow" w:hAnsi="Arial Narrow"/>
          <w:sz w:val="20"/>
          <w:szCs w:val="20"/>
        </w:rPr>
        <w:t>v roku 20</w:t>
      </w:r>
      <w:r w:rsidR="00CD38F0" w:rsidRPr="00086B26">
        <w:rPr>
          <w:rFonts w:ascii="Arial Narrow" w:hAnsi="Arial Narrow"/>
          <w:sz w:val="20"/>
          <w:szCs w:val="20"/>
        </w:rPr>
        <w:t>21</w:t>
      </w:r>
      <w:r w:rsidR="008A1967" w:rsidRPr="00086B26">
        <w:rPr>
          <w:rFonts w:ascii="Arial Narrow" w:hAnsi="Arial Narrow"/>
          <w:sz w:val="20"/>
          <w:szCs w:val="20"/>
        </w:rPr>
        <w:t xml:space="preserve"> odhaduje </w:t>
      </w:r>
      <w:r w:rsidR="00310F27" w:rsidRPr="00086B26">
        <w:rPr>
          <w:rFonts w:ascii="Arial Narrow" w:hAnsi="Arial Narrow"/>
          <w:sz w:val="20"/>
          <w:szCs w:val="20"/>
        </w:rPr>
        <w:t xml:space="preserve">priemerná </w:t>
      </w:r>
      <w:r w:rsidR="00FD6DCE" w:rsidRPr="00086B26">
        <w:rPr>
          <w:rFonts w:ascii="Arial Narrow" w:hAnsi="Arial Narrow"/>
          <w:sz w:val="20"/>
          <w:szCs w:val="20"/>
        </w:rPr>
        <w:t xml:space="preserve">mesačná </w:t>
      </w:r>
      <w:r w:rsidRPr="00086B26">
        <w:rPr>
          <w:rFonts w:ascii="Arial Narrow" w:hAnsi="Arial Narrow"/>
          <w:sz w:val="20"/>
          <w:szCs w:val="20"/>
        </w:rPr>
        <w:t xml:space="preserve">výška dávky ošetrovné </w:t>
      </w:r>
      <w:r w:rsidR="00310F27" w:rsidRPr="00086B26">
        <w:rPr>
          <w:rFonts w:ascii="Arial Narrow" w:hAnsi="Arial Narrow"/>
          <w:sz w:val="20"/>
          <w:szCs w:val="20"/>
        </w:rPr>
        <w:t xml:space="preserve">v prípade dotknutej skupiny osôb </w:t>
      </w:r>
      <w:r w:rsidR="008A1967" w:rsidRPr="00086B26">
        <w:rPr>
          <w:rFonts w:ascii="Arial Narrow" w:hAnsi="Arial Narrow"/>
          <w:sz w:val="20"/>
          <w:szCs w:val="20"/>
        </w:rPr>
        <w:t xml:space="preserve">na úrovni </w:t>
      </w:r>
      <w:r w:rsidR="00310F27" w:rsidRPr="00086B26">
        <w:rPr>
          <w:rFonts w:ascii="Arial Narrow" w:hAnsi="Arial Narrow"/>
          <w:sz w:val="20"/>
          <w:szCs w:val="20"/>
        </w:rPr>
        <w:t>približne 4</w:t>
      </w:r>
      <w:r w:rsidR="00C31FE7" w:rsidRPr="00086B26">
        <w:rPr>
          <w:rFonts w:ascii="Arial Narrow" w:hAnsi="Arial Narrow"/>
          <w:sz w:val="20"/>
          <w:szCs w:val="20"/>
        </w:rPr>
        <w:t>90,8</w:t>
      </w:r>
      <w:r w:rsidR="00310F27" w:rsidRPr="00086B26">
        <w:rPr>
          <w:rFonts w:ascii="Arial Narrow" w:hAnsi="Arial Narrow"/>
          <w:sz w:val="20"/>
          <w:szCs w:val="20"/>
        </w:rPr>
        <w:t xml:space="preserve"> eur</w:t>
      </w:r>
      <w:r w:rsidR="00CD38F0" w:rsidRPr="00086B26">
        <w:rPr>
          <w:rFonts w:ascii="Arial Narrow" w:hAnsi="Arial Narrow"/>
          <w:sz w:val="20"/>
          <w:szCs w:val="20"/>
        </w:rPr>
        <w:t xml:space="preserve"> a</w:t>
      </w:r>
      <w:r w:rsidR="0040650B" w:rsidRPr="00086B26">
        <w:rPr>
          <w:rFonts w:ascii="Arial Narrow" w:hAnsi="Arial Narrow"/>
          <w:sz w:val="20"/>
          <w:szCs w:val="20"/>
        </w:rPr>
        <w:t xml:space="preserve"> v roku 202</w:t>
      </w:r>
      <w:r w:rsidR="00CD38F0" w:rsidRPr="00086B26">
        <w:rPr>
          <w:rFonts w:ascii="Arial Narrow" w:hAnsi="Arial Narrow"/>
          <w:sz w:val="20"/>
          <w:szCs w:val="20"/>
        </w:rPr>
        <w:t>2 na úrovni 515,8</w:t>
      </w:r>
      <w:r w:rsidR="0040650B" w:rsidRPr="00086B26">
        <w:rPr>
          <w:rFonts w:ascii="Arial Narrow" w:hAnsi="Arial Narrow"/>
          <w:sz w:val="20"/>
          <w:szCs w:val="20"/>
        </w:rPr>
        <w:t xml:space="preserve"> eur</w:t>
      </w:r>
      <w:r w:rsidR="00CD38F0" w:rsidRPr="00086B26">
        <w:rPr>
          <w:rFonts w:ascii="Arial Narrow" w:hAnsi="Arial Narrow"/>
          <w:sz w:val="20"/>
          <w:szCs w:val="20"/>
        </w:rPr>
        <w:t>.</w:t>
      </w:r>
      <w:r w:rsidR="008A1967" w:rsidRPr="00086B26">
        <w:rPr>
          <w:rFonts w:ascii="Arial Narrow" w:hAnsi="Arial Narrow"/>
          <w:sz w:val="20"/>
          <w:szCs w:val="20"/>
        </w:rPr>
        <w:t xml:space="preserve"> </w:t>
      </w:r>
      <w:r w:rsidR="009F645D" w:rsidRPr="00086B26">
        <w:rPr>
          <w:rFonts w:ascii="Arial Narrow" w:hAnsi="Arial Narrow"/>
          <w:sz w:val="20"/>
          <w:szCs w:val="20"/>
        </w:rPr>
        <w:t>Počet vyplatených dávok sa odhaduje</w:t>
      </w:r>
      <w:r w:rsidR="00CD38F0" w:rsidRPr="00086B26">
        <w:rPr>
          <w:rFonts w:ascii="Arial Narrow" w:hAnsi="Arial Narrow"/>
          <w:sz w:val="20"/>
          <w:szCs w:val="20"/>
        </w:rPr>
        <w:t xml:space="preserve"> v roku 2021</w:t>
      </w:r>
      <w:r w:rsidR="009F645D" w:rsidRPr="00086B26">
        <w:rPr>
          <w:rFonts w:ascii="Arial Narrow" w:hAnsi="Arial Narrow"/>
          <w:sz w:val="20"/>
          <w:szCs w:val="20"/>
        </w:rPr>
        <w:t xml:space="preserve"> na ročnej</w:t>
      </w:r>
      <w:r w:rsidR="00310F27" w:rsidRPr="00086B26">
        <w:rPr>
          <w:rFonts w:ascii="Arial Narrow" w:hAnsi="Arial Narrow"/>
          <w:sz w:val="20"/>
          <w:szCs w:val="20"/>
        </w:rPr>
        <w:t xml:space="preserve"> úrovni</w:t>
      </w:r>
      <w:r w:rsidR="008A1967" w:rsidRPr="00086B26">
        <w:rPr>
          <w:rFonts w:ascii="Arial Narrow" w:hAnsi="Arial Narrow"/>
          <w:sz w:val="20"/>
          <w:szCs w:val="20"/>
        </w:rPr>
        <w:t xml:space="preserve"> </w:t>
      </w:r>
      <w:r w:rsidR="00310F27" w:rsidRPr="00086B26">
        <w:rPr>
          <w:rFonts w:ascii="Arial Narrow" w:hAnsi="Arial Narrow"/>
          <w:sz w:val="20"/>
          <w:szCs w:val="20"/>
        </w:rPr>
        <w:t>4 8</w:t>
      </w:r>
      <w:r w:rsidR="008A1967" w:rsidRPr="00086B26">
        <w:rPr>
          <w:rFonts w:ascii="Arial Narrow" w:hAnsi="Arial Narrow"/>
          <w:sz w:val="20"/>
          <w:szCs w:val="20"/>
        </w:rPr>
        <w:t>00</w:t>
      </w:r>
      <w:r w:rsidR="00310F27" w:rsidRPr="00086B26">
        <w:rPr>
          <w:rFonts w:ascii="Arial Narrow" w:hAnsi="Arial Narrow"/>
          <w:sz w:val="20"/>
          <w:szCs w:val="20"/>
        </w:rPr>
        <w:t xml:space="preserve"> s priemerným mesačným počtom dotknutých osôb na úrovni 400 osôb</w:t>
      </w:r>
      <w:r w:rsidR="0040650B" w:rsidRPr="00086B26">
        <w:rPr>
          <w:rFonts w:ascii="Arial Narrow" w:hAnsi="Arial Narrow"/>
          <w:sz w:val="20"/>
          <w:szCs w:val="20"/>
        </w:rPr>
        <w:t xml:space="preserve"> (predmetný predpoklad vychádza z reálneho nábehu obdobnej právnej úpravy v Českej republike)</w:t>
      </w:r>
      <w:r w:rsidR="00CD38F0" w:rsidRPr="00086B26">
        <w:rPr>
          <w:rFonts w:ascii="Arial Narrow" w:hAnsi="Arial Narrow"/>
          <w:sz w:val="20"/>
          <w:szCs w:val="20"/>
        </w:rPr>
        <w:t xml:space="preserve"> a v roku 2022 na ročnej úrovni 5 040 dávok s priemerným mesačným počtom osôb na úrovni 420 osôb</w:t>
      </w:r>
      <w:r w:rsidR="00310F27" w:rsidRPr="00086B26">
        <w:rPr>
          <w:rFonts w:ascii="Arial Narrow" w:hAnsi="Arial Narrow"/>
          <w:sz w:val="20"/>
          <w:szCs w:val="20"/>
        </w:rPr>
        <w:t>.</w:t>
      </w:r>
      <w:r w:rsidR="001869E5" w:rsidRPr="00086B26">
        <w:rPr>
          <w:rFonts w:ascii="Arial Narrow" w:hAnsi="Arial Narrow"/>
          <w:sz w:val="20"/>
          <w:szCs w:val="20"/>
        </w:rPr>
        <w:t xml:space="preserve"> </w:t>
      </w:r>
      <w:r w:rsidR="008A1967" w:rsidRPr="00086B26">
        <w:rPr>
          <w:rFonts w:ascii="Arial Narrow" w:hAnsi="Arial Narrow"/>
          <w:sz w:val="20"/>
          <w:szCs w:val="20"/>
        </w:rPr>
        <w:t>Na základe uvedených predpokladov sa odhaduje</w:t>
      </w:r>
      <w:r w:rsidR="001D1883" w:rsidRPr="00086B26">
        <w:rPr>
          <w:rFonts w:ascii="Arial Narrow" w:hAnsi="Arial Narrow"/>
          <w:sz w:val="20"/>
          <w:szCs w:val="20"/>
        </w:rPr>
        <w:t xml:space="preserve"> </w:t>
      </w:r>
      <w:r w:rsidR="008A1967" w:rsidRPr="00086B26">
        <w:rPr>
          <w:rFonts w:ascii="Arial Narrow" w:hAnsi="Arial Narrow"/>
          <w:sz w:val="20"/>
          <w:szCs w:val="20"/>
        </w:rPr>
        <w:t>vplyv</w:t>
      </w:r>
      <w:r w:rsidR="0028536C" w:rsidRPr="00086B26">
        <w:rPr>
          <w:rFonts w:ascii="Arial Narrow" w:hAnsi="Arial Narrow"/>
          <w:sz w:val="20"/>
          <w:szCs w:val="20"/>
        </w:rPr>
        <w:t xml:space="preserve"> tohto opatrenia</w:t>
      </w:r>
      <w:r w:rsidR="008A1967" w:rsidRPr="00086B26">
        <w:rPr>
          <w:rFonts w:ascii="Arial Narrow" w:hAnsi="Arial Narrow"/>
          <w:sz w:val="20"/>
          <w:szCs w:val="20"/>
        </w:rPr>
        <w:t xml:space="preserve"> na Sociálnu poisťovň</w:t>
      </w:r>
      <w:r w:rsidR="00310F27" w:rsidRPr="00086B26">
        <w:rPr>
          <w:rFonts w:ascii="Arial Narrow" w:hAnsi="Arial Narrow"/>
          <w:sz w:val="20"/>
          <w:szCs w:val="20"/>
        </w:rPr>
        <w:t xml:space="preserve">u </w:t>
      </w:r>
      <w:r w:rsidR="008A1967" w:rsidRPr="00086B26">
        <w:rPr>
          <w:rFonts w:ascii="Arial Narrow" w:hAnsi="Arial Narrow"/>
          <w:sz w:val="20"/>
          <w:szCs w:val="20"/>
        </w:rPr>
        <w:t>v </w:t>
      </w:r>
      <w:r w:rsidR="00CD38F0" w:rsidRPr="00086B26">
        <w:rPr>
          <w:rFonts w:ascii="Arial Narrow" w:hAnsi="Arial Narrow"/>
          <w:sz w:val="20"/>
          <w:szCs w:val="20"/>
        </w:rPr>
        <w:t>roku 2021</w:t>
      </w:r>
      <w:r w:rsidR="00310F27" w:rsidRPr="00086B26">
        <w:rPr>
          <w:rFonts w:ascii="Arial Narrow" w:hAnsi="Arial Narrow"/>
          <w:sz w:val="20"/>
          <w:szCs w:val="20"/>
        </w:rPr>
        <w:t xml:space="preserve"> na úrovni cca </w:t>
      </w:r>
      <w:r w:rsidR="00CD38F0" w:rsidRPr="00086B26">
        <w:rPr>
          <w:rFonts w:ascii="Arial Narrow" w:hAnsi="Arial Narrow"/>
          <w:sz w:val="20"/>
          <w:szCs w:val="20"/>
        </w:rPr>
        <w:t>2,2</w:t>
      </w:r>
      <w:r w:rsidR="00310F27" w:rsidRPr="00086B26">
        <w:rPr>
          <w:rFonts w:ascii="Arial Narrow" w:hAnsi="Arial Narrow"/>
          <w:sz w:val="20"/>
          <w:szCs w:val="20"/>
        </w:rPr>
        <w:t xml:space="preserve"> mil. eur</w:t>
      </w:r>
      <w:r w:rsidR="00CD38F0" w:rsidRPr="00086B26">
        <w:rPr>
          <w:rFonts w:ascii="Arial Narrow" w:hAnsi="Arial Narrow"/>
          <w:sz w:val="20"/>
          <w:szCs w:val="20"/>
        </w:rPr>
        <w:t xml:space="preserve"> a v roku 2022 na úrovni cca 2,6</w:t>
      </w:r>
      <w:r w:rsidR="00077B21" w:rsidRPr="00086B26">
        <w:rPr>
          <w:rFonts w:ascii="Arial Narrow" w:hAnsi="Arial Narrow"/>
          <w:sz w:val="20"/>
          <w:szCs w:val="20"/>
        </w:rPr>
        <w:t xml:space="preserve"> mil. eur</w:t>
      </w:r>
      <w:r w:rsidR="00CD38F0" w:rsidRPr="00086B26">
        <w:rPr>
          <w:rFonts w:ascii="Arial Narrow" w:hAnsi="Arial Narrow"/>
          <w:sz w:val="20"/>
          <w:szCs w:val="20"/>
        </w:rPr>
        <w:t>.</w:t>
      </w:r>
      <w:r w:rsidR="008A1967" w:rsidRPr="00086B26">
        <w:rPr>
          <w:rFonts w:ascii="Arial Narrow" w:hAnsi="Arial Narrow"/>
          <w:sz w:val="20"/>
          <w:szCs w:val="20"/>
        </w:rPr>
        <w:t xml:space="preserve"> </w:t>
      </w:r>
    </w:p>
    <w:p w:rsidR="009C576C" w:rsidRPr="00086B26" w:rsidRDefault="009C576C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C576C" w:rsidRPr="00086B26" w:rsidRDefault="009C576C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b/>
          <w:color w:val="000000"/>
          <w:sz w:val="20"/>
          <w:szCs w:val="20"/>
        </w:rPr>
        <w:t>B) Rozšírenie</w:t>
      </w:r>
      <w:r w:rsidRPr="00086B26">
        <w:rPr>
          <w:rFonts w:ascii="Arial Narrow" w:hAnsi="Arial Narrow"/>
          <w:b/>
          <w:i/>
          <w:color w:val="000000"/>
          <w:sz w:val="20"/>
          <w:szCs w:val="20"/>
        </w:rPr>
        <w:t xml:space="preserve"> </w:t>
      </w:r>
      <w:r w:rsidRPr="00086B26">
        <w:rPr>
          <w:rFonts w:ascii="Arial Narrow" w:hAnsi="Arial Narrow"/>
          <w:b/>
          <w:sz w:val="20"/>
          <w:szCs w:val="20"/>
        </w:rPr>
        <w:t>okruhu oprávnených osôb na ošetrovné</w:t>
      </w:r>
    </w:p>
    <w:p w:rsidR="004253B7" w:rsidRPr="00086B26" w:rsidRDefault="004253B7" w:rsidP="00047B8F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:rsidR="00D018A5" w:rsidRPr="00086B26" w:rsidRDefault="00F615D8" w:rsidP="00047B8F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</w:rPr>
        <w:t xml:space="preserve">Odhaduje sa, že uvedená právna úprava bude predstavovať zvýšenie priemerného mesačného počtu vyplatených dávok ošetrovné o cca 700 dávok, pričom priemerný mesačný počet </w:t>
      </w:r>
      <w:r w:rsidR="00712ED7" w:rsidRPr="00086B26">
        <w:rPr>
          <w:rFonts w:ascii="Arial Narrow" w:hAnsi="Arial Narrow"/>
          <w:sz w:val="20"/>
          <w:szCs w:val="20"/>
        </w:rPr>
        <w:t>vyplatených dávok</w:t>
      </w:r>
      <w:r w:rsidRPr="00086B26">
        <w:rPr>
          <w:rFonts w:ascii="Arial Narrow" w:hAnsi="Arial Narrow"/>
          <w:sz w:val="20"/>
          <w:szCs w:val="20"/>
        </w:rPr>
        <w:t xml:space="preserve"> ošetrovné bol v roku 2018 na úrovni 14 041. Vzhľadom k tomu, že z údajov Sociálnej poisťovne nebolo možné vyčísliť cieľovú skupinu poistencov, bol zvolený kvalifikovaný</w:t>
      </w:r>
      <w:r w:rsidR="00F05B78" w:rsidRPr="00086B26">
        <w:rPr>
          <w:rFonts w:ascii="Arial Narrow" w:hAnsi="Arial Narrow"/>
          <w:sz w:val="20"/>
          <w:szCs w:val="20"/>
        </w:rPr>
        <w:t>/expertný</w:t>
      </w:r>
      <w:r w:rsidRPr="00086B26">
        <w:rPr>
          <w:rFonts w:ascii="Arial Narrow" w:hAnsi="Arial Narrow"/>
          <w:sz w:val="20"/>
          <w:szCs w:val="20"/>
        </w:rPr>
        <w:t xml:space="preserve"> odhad zvýšenia výdavkov na dávku ošetrovné. Kvalifikovaný odhad predstavuje stredný scenár zvýšenia výdavkov, kde maximalistický scenár predstavoval zvýšenie výdavkov o 10 % a minimalistický scenár predstavoval zanedbateľné zvýšenie výdavkov, t. j. vplyvom uvedeného opatrenia sa predpokladá zvýšenie výdavkov n</w:t>
      </w:r>
      <w:r w:rsidR="00F05B78" w:rsidRPr="00086B26">
        <w:rPr>
          <w:rFonts w:ascii="Arial Narrow" w:hAnsi="Arial Narrow"/>
          <w:sz w:val="20"/>
          <w:szCs w:val="20"/>
        </w:rPr>
        <w:t>a dávku ošetrovné  v rokoch 202</w:t>
      </w:r>
      <w:r w:rsidR="00CD38F0" w:rsidRPr="00086B26">
        <w:rPr>
          <w:rFonts w:ascii="Arial Narrow" w:hAnsi="Arial Narrow"/>
          <w:sz w:val="20"/>
          <w:szCs w:val="20"/>
        </w:rPr>
        <w:t>1 a</w:t>
      </w:r>
      <w:r w:rsidRPr="00086B26">
        <w:rPr>
          <w:rFonts w:ascii="Arial Narrow" w:hAnsi="Arial Narrow"/>
          <w:sz w:val="20"/>
          <w:szCs w:val="20"/>
        </w:rPr>
        <w:t xml:space="preserve"> 2022 približne o 5 %.  Počet dotknutýc</w:t>
      </w:r>
      <w:r w:rsidR="00CD38F0" w:rsidRPr="00086B26">
        <w:rPr>
          <w:rFonts w:ascii="Arial Narrow" w:hAnsi="Arial Narrow"/>
          <w:sz w:val="20"/>
          <w:szCs w:val="20"/>
        </w:rPr>
        <w:t>h osôb sa odhaduje v rokoch 2021 a</w:t>
      </w:r>
      <w:r w:rsidRPr="00086B26">
        <w:rPr>
          <w:rFonts w:ascii="Arial Narrow" w:hAnsi="Arial Narrow"/>
          <w:sz w:val="20"/>
          <w:szCs w:val="20"/>
        </w:rPr>
        <w:t xml:space="preserve">  2022 na úrovni približne 4 550 osôb ročne (výpočet </w:t>
      </w:r>
      <w:r w:rsidRPr="00086B26">
        <w:rPr>
          <w:rFonts w:ascii="Arial Narrow" w:hAnsi="Arial Narrow"/>
          <w:sz w:val="20"/>
          <w:szCs w:val="20"/>
        </w:rPr>
        <w:lastRenderedPageBreak/>
        <w:t>predpokladá, že poistenec môže čerpať dávku ošetrovné aj viackrát za rok). Z</w:t>
      </w:r>
      <w:r w:rsidR="0028536C" w:rsidRPr="00086B26">
        <w:rPr>
          <w:rFonts w:ascii="Arial Narrow" w:hAnsi="Arial Narrow"/>
          <w:sz w:val="20"/>
          <w:szCs w:val="20"/>
        </w:rPr>
        <w:t>vý</w:t>
      </w:r>
      <w:r w:rsidR="0059299E" w:rsidRPr="00086B26">
        <w:rPr>
          <w:rFonts w:ascii="Arial Narrow" w:hAnsi="Arial Narrow"/>
          <w:sz w:val="20"/>
          <w:szCs w:val="20"/>
        </w:rPr>
        <w:t>šenie výdavkov verejnej správy</w:t>
      </w:r>
      <w:r w:rsidRPr="00086B26">
        <w:rPr>
          <w:rFonts w:ascii="Arial Narrow" w:hAnsi="Arial Narrow"/>
          <w:sz w:val="20"/>
          <w:szCs w:val="20"/>
        </w:rPr>
        <w:t xml:space="preserve"> sa predpokladá</w:t>
      </w:r>
      <w:r w:rsidR="0059299E" w:rsidRPr="00086B26">
        <w:rPr>
          <w:rFonts w:ascii="Arial Narrow" w:hAnsi="Arial Narrow"/>
          <w:sz w:val="20"/>
          <w:szCs w:val="20"/>
        </w:rPr>
        <w:t xml:space="preserve"> </w:t>
      </w:r>
      <w:r w:rsidR="0028536C" w:rsidRPr="00086B26">
        <w:rPr>
          <w:rFonts w:ascii="Arial Narrow" w:hAnsi="Arial Narrow"/>
          <w:sz w:val="20"/>
          <w:szCs w:val="20"/>
        </w:rPr>
        <w:t>cca</w:t>
      </w:r>
      <w:r w:rsidR="0040650B" w:rsidRPr="00086B26">
        <w:rPr>
          <w:rFonts w:ascii="Arial Narrow" w:hAnsi="Arial Narrow"/>
          <w:sz w:val="20"/>
          <w:szCs w:val="20"/>
        </w:rPr>
        <w:t xml:space="preserve"> o</w:t>
      </w:r>
      <w:r w:rsidR="00CD38F0" w:rsidRPr="00086B26">
        <w:rPr>
          <w:rFonts w:ascii="Arial Narrow" w:hAnsi="Arial Narrow"/>
          <w:sz w:val="20"/>
          <w:szCs w:val="20"/>
        </w:rPr>
        <w:t> 1,2 mil. eur v roku 2021 a</w:t>
      </w:r>
      <w:r w:rsidR="0059299E" w:rsidRPr="00086B26">
        <w:rPr>
          <w:rFonts w:ascii="Arial Narrow" w:hAnsi="Arial Narrow"/>
          <w:sz w:val="20"/>
          <w:szCs w:val="20"/>
        </w:rPr>
        <w:t> </w:t>
      </w:r>
      <w:r w:rsidR="0028536C" w:rsidRPr="00086B26">
        <w:rPr>
          <w:rFonts w:ascii="Arial Narrow" w:hAnsi="Arial Narrow"/>
          <w:sz w:val="20"/>
          <w:szCs w:val="20"/>
        </w:rPr>
        <w:t>cca</w:t>
      </w:r>
      <w:r w:rsidR="0059299E" w:rsidRPr="00086B26">
        <w:rPr>
          <w:rFonts w:ascii="Arial Narrow" w:hAnsi="Arial Narrow"/>
          <w:sz w:val="20"/>
          <w:szCs w:val="20"/>
        </w:rPr>
        <w:t xml:space="preserve"> o</w:t>
      </w:r>
      <w:r w:rsidR="00996BAC" w:rsidRPr="00086B26">
        <w:rPr>
          <w:rFonts w:ascii="Arial Narrow" w:hAnsi="Arial Narrow"/>
          <w:sz w:val="20"/>
          <w:szCs w:val="20"/>
        </w:rPr>
        <w:t> 1,2</w:t>
      </w:r>
      <w:r w:rsidR="00CD38F0" w:rsidRPr="00086B26">
        <w:rPr>
          <w:rFonts w:ascii="Arial Narrow" w:hAnsi="Arial Narrow"/>
          <w:sz w:val="20"/>
          <w:szCs w:val="20"/>
        </w:rPr>
        <w:t xml:space="preserve"> mil. eur v roku 2022.</w:t>
      </w:r>
      <w:r w:rsidR="00C45A01" w:rsidRPr="00086B26">
        <w:rPr>
          <w:rFonts w:ascii="Arial Narrow" w:hAnsi="Arial Narrow"/>
          <w:sz w:val="20"/>
          <w:szCs w:val="20"/>
        </w:rPr>
        <w:t xml:space="preserve"> </w:t>
      </w:r>
    </w:p>
    <w:p w:rsidR="00C45A01" w:rsidRPr="00086B26" w:rsidRDefault="00C45A01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C45A01" w:rsidRPr="00086B26" w:rsidRDefault="00C45A01" w:rsidP="00047B8F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086B26">
        <w:rPr>
          <w:rFonts w:ascii="Arial Narrow" w:hAnsi="Arial Narrow"/>
          <w:b/>
          <w:sz w:val="20"/>
          <w:szCs w:val="20"/>
        </w:rPr>
        <w:t xml:space="preserve">C) </w:t>
      </w:r>
      <w:r w:rsidR="00213282" w:rsidRPr="00086B26">
        <w:rPr>
          <w:rFonts w:ascii="Arial Narrow" w:hAnsi="Arial Narrow"/>
          <w:b/>
          <w:sz w:val="20"/>
          <w:szCs w:val="20"/>
        </w:rPr>
        <w:t>Predĺženie obdobia poskytovania</w:t>
      </w:r>
      <w:r w:rsidRPr="00086B26">
        <w:rPr>
          <w:rFonts w:ascii="Arial Narrow" w:hAnsi="Arial Narrow"/>
          <w:b/>
          <w:sz w:val="20"/>
          <w:szCs w:val="20"/>
        </w:rPr>
        <w:t xml:space="preserve"> dávky ošetrovné zo súčasných 10 dní na 14 dní.</w:t>
      </w:r>
    </w:p>
    <w:p w:rsidR="00C45A01" w:rsidRPr="00086B26" w:rsidRDefault="00C45A01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</w:rPr>
        <w:tab/>
      </w:r>
      <w:r w:rsidR="00091240" w:rsidRPr="00086B26">
        <w:rPr>
          <w:rFonts w:ascii="Arial Narrow" w:hAnsi="Arial Narrow"/>
          <w:sz w:val="20"/>
          <w:szCs w:val="20"/>
        </w:rPr>
        <w:t>V súčasnosti sa priemerné obdobie poberania dávky ošetrovné blíži k 10 dňom. Vzhľadom k tomu, že nedokážeme spoľahlivo odhadnúť priemerné obdobie poberania dávky ošetrovné po zvýšení maximálnej doby</w:t>
      </w:r>
      <w:r w:rsidR="002B33DB" w:rsidRPr="00086B26">
        <w:rPr>
          <w:rFonts w:ascii="Arial Narrow" w:hAnsi="Arial Narrow"/>
          <w:sz w:val="20"/>
          <w:szCs w:val="20"/>
        </w:rPr>
        <w:t xml:space="preserve"> poberania</w:t>
      </w:r>
      <w:r w:rsidR="00FE3A12" w:rsidRPr="00086B26">
        <w:rPr>
          <w:rFonts w:ascii="Arial Narrow" w:hAnsi="Arial Narrow"/>
          <w:sz w:val="20"/>
          <w:szCs w:val="20"/>
        </w:rPr>
        <w:t xml:space="preserve"> ošetrovného</w:t>
      </w:r>
      <w:r w:rsidR="00091240" w:rsidRPr="00086B26">
        <w:rPr>
          <w:rFonts w:ascii="Arial Narrow" w:hAnsi="Arial Narrow"/>
          <w:sz w:val="20"/>
          <w:szCs w:val="20"/>
        </w:rPr>
        <w:t xml:space="preserve"> zo súčasných 10 dní na 14 dní, boli p</w:t>
      </w:r>
      <w:r w:rsidRPr="00086B26">
        <w:rPr>
          <w:rFonts w:ascii="Arial Narrow" w:hAnsi="Arial Narrow"/>
          <w:sz w:val="20"/>
          <w:szCs w:val="20"/>
        </w:rPr>
        <w:t>ri kvantifikácii</w:t>
      </w:r>
      <w:r w:rsidR="00091240" w:rsidRPr="00086B26">
        <w:rPr>
          <w:rFonts w:ascii="Arial Narrow" w:hAnsi="Arial Narrow"/>
          <w:sz w:val="20"/>
          <w:szCs w:val="20"/>
        </w:rPr>
        <w:t xml:space="preserve"> zvýšených výdavkov</w:t>
      </w:r>
      <w:r w:rsidR="004418D6" w:rsidRPr="00086B26">
        <w:rPr>
          <w:rFonts w:ascii="Arial Narrow" w:hAnsi="Arial Narrow"/>
          <w:sz w:val="20"/>
          <w:szCs w:val="20"/>
        </w:rPr>
        <w:t xml:space="preserve"> navýšené odhadované</w:t>
      </w:r>
      <w:r w:rsidR="00091240" w:rsidRPr="00086B26">
        <w:rPr>
          <w:rFonts w:ascii="Arial Narrow" w:hAnsi="Arial Narrow"/>
          <w:sz w:val="20"/>
          <w:szCs w:val="20"/>
        </w:rPr>
        <w:t xml:space="preserve"> výdavky na dávku</w:t>
      </w:r>
      <w:r w:rsidRPr="00086B26">
        <w:rPr>
          <w:rFonts w:ascii="Arial Narrow" w:hAnsi="Arial Narrow"/>
          <w:sz w:val="20"/>
          <w:szCs w:val="20"/>
        </w:rPr>
        <w:t xml:space="preserve"> ošetrovné</w:t>
      </w:r>
      <w:r w:rsidR="00CA2514" w:rsidRPr="00086B26">
        <w:rPr>
          <w:rFonts w:ascii="Arial Narrow" w:hAnsi="Arial Narrow"/>
          <w:sz w:val="20"/>
          <w:szCs w:val="20"/>
        </w:rPr>
        <w:t xml:space="preserve"> v rokoch 2021 a</w:t>
      </w:r>
      <w:r w:rsidR="00091240" w:rsidRPr="00086B26">
        <w:rPr>
          <w:rFonts w:ascii="Arial Narrow" w:hAnsi="Arial Narrow"/>
          <w:sz w:val="20"/>
          <w:szCs w:val="20"/>
        </w:rPr>
        <w:t xml:space="preserve"> 2022</w:t>
      </w:r>
      <w:r w:rsidRPr="00086B26">
        <w:rPr>
          <w:rFonts w:ascii="Arial Narrow" w:hAnsi="Arial Narrow"/>
          <w:sz w:val="20"/>
          <w:szCs w:val="20"/>
        </w:rPr>
        <w:t xml:space="preserve"> o 40 </w:t>
      </w:r>
      <w:r w:rsidR="00091240" w:rsidRPr="00086B26">
        <w:rPr>
          <w:rFonts w:ascii="Arial Narrow" w:hAnsi="Arial Narrow"/>
          <w:sz w:val="20"/>
          <w:szCs w:val="20"/>
        </w:rPr>
        <w:t xml:space="preserve">%, t. j. kvantifikácia predstavuje maximálne zvýšenie výdavkov, ktoré je možné očakávať pri navrhovanej právnej úprave. Očakávané </w:t>
      </w:r>
      <w:r w:rsidR="00DF688B" w:rsidRPr="00086B26">
        <w:rPr>
          <w:rFonts w:ascii="Arial Narrow" w:hAnsi="Arial Narrow"/>
          <w:sz w:val="20"/>
          <w:szCs w:val="20"/>
        </w:rPr>
        <w:t xml:space="preserve">zvýšené </w:t>
      </w:r>
      <w:r w:rsidR="00091240" w:rsidRPr="00086B26">
        <w:rPr>
          <w:rFonts w:ascii="Arial Narrow" w:hAnsi="Arial Narrow"/>
          <w:sz w:val="20"/>
          <w:szCs w:val="20"/>
        </w:rPr>
        <w:t>výdavky na dávku ošetrovné boli v</w:t>
      </w:r>
      <w:r w:rsidR="00DF688B" w:rsidRPr="00086B26">
        <w:rPr>
          <w:rFonts w:ascii="Arial Narrow" w:hAnsi="Arial Narrow"/>
          <w:sz w:val="20"/>
          <w:szCs w:val="20"/>
        </w:rPr>
        <w:t>ypočítané na základe</w:t>
      </w:r>
      <w:r w:rsidR="00091240" w:rsidRPr="00086B26">
        <w:rPr>
          <w:rFonts w:ascii="Arial Narrow" w:hAnsi="Arial Narrow"/>
          <w:sz w:val="20"/>
          <w:szCs w:val="20"/>
        </w:rPr>
        <w:t xml:space="preserve"> výdavkov </w:t>
      </w:r>
      <w:r w:rsidR="00DF688B" w:rsidRPr="00086B26">
        <w:rPr>
          <w:rFonts w:ascii="Arial Narrow" w:hAnsi="Arial Narrow"/>
          <w:sz w:val="20"/>
          <w:szCs w:val="20"/>
        </w:rPr>
        <w:t xml:space="preserve">základného fondu nemocenského poistenia a očakávaných výdavkov na dávku ošetrovné </w:t>
      </w:r>
      <w:r w:rsidR="00091240" w:rsidRPr="00086B26">
        <w:rPr>
          <w:rFonts w:ascii="Arial Narrow" w:hAnsi="Arial Narrow"/>
          <w:sz w:val="20"/>
          <w:szCs w:val="20"/>
        </w:rPr>
        <w:t>v</w:t>
      </w:r>
      <w:r w:rsidR="00CA2514" w:rsidRPr="00086B26">
        <w:rPr>
          <w:rFonts w:ascii="Arial Narrow" w:hAnsi="Arial Narrow"/>
          <w:sz w:val="20"/>
          <w:szCs w:val="20"/>
        </w:rPr>
        <w:t> rokoch 2021 a</w:t>
      </w:r>
      <w:r w:rsidR="004418D6" w:rsidRPr="00086B26">
        <w:rPr>
          <w:rFonts w:ascii="Arial Narrow" w:hAnsi="Arial Narrow"/>
          <w:sz w:val="20"/>
          <w:szCs w:val="20"/>
        </w:rPr>
        <w:t xml:space="preserve"> 2022.</w:t>
      </w:r>
      <w:r w:rsidR="00091240" w:rsidRPr="00086B26">
        <w:rPr>
          <w:rFonts w:ascii="Arial Narrow" w:hAnsi="Arial Narrow"/>
          <w:sz w:val="20"/>
          <w:szCs w:val="20"/>
        </w:rPr>
        <w:t xml:space="preserve"> </w:t>
      </w:r>
      <w:r w:rsidR="00CB6A72" w:rsidRPr="00086B26">
        <w:rPr>
          <w:rFonts w:ascii="Arial Narrow" w:hAnsi="Arial Narrow"/>
          <w:sz w:val="20"/>
          <w:szCs w:val="20"/>
        </w:rPr>
        <w:t>Vplyvom predĺženia podporného obdobia z 10 dní na 14 dní sa očakáva zvýšenie výdavkov Sociáln</w:t>
      </w:r>
      <w:r w:rsidR="00CA2514" w:rsidRPr="00086B26">
        <w:rPr>
          <w:rFonts w:ascii="Arial Narrow" w:hAnsi="Arial Narrow"/>
          <w:sz w:val="20"/>
          <w:szCs w:val="20"/>
        </w:rPr>
        <w:t>ej poisťovne v roku 2021</w:t>
      </w:r>
      <w:r w:rsidR="004418D6" w:rsidRPr="00086B26">
        <w:rPr>
          <w:rFonts w:ascii="Arial Narrow" w:hAnsi="Arial Narrow"/>
          <w:sz w:val="20"/>
          <w:szCs w:val="20"/>
        </w:rPr>
        <w:t xml:space="preserve"> o cca </w:t>
      </w:r>
      <w:r w:rsidR="00996BAC" w:rsidRPr="00086B26">
        <w:rPr>
          <w:rFonts w:ascii="Arial Narrow" w:hAnsi="Arial Narrow"/>
          <w:sz w:val="20"/>
          <w:szCs w:val="20"/>
        </w:rPr>
        <w:t>8,5</w:t>
      </w:r>
      <w:r w:rsidR="00CA2514" w:rsidRPr="00086B26">
        <w:rPr>
          <w:rFonts w:ascii="Arial Narrow" w:hAnsi="Arial Narrow"/>
          <w:sz w:val="20"/>
          <w:szCs w:val="20"/>
        </w:rPr>
        <w:t xml:space="preserve"> mil. eur </w:t>
      </w:r>
      <w:r w:rsidR="00996BAC" w:rsidRPr="00086B26">
        <w:rPr>
          <w:rFonts w:ascii="Arial Narrow" w:hAnsi="Arial Narrow"/>
          <w:sz w:val="20"/>
          <w:szCs w:val="20"/>
        </w:rPr>
        <w:t>a v roku 2022 o cca 10,0</w:t>
      </w:r>
      <w:r w:rsidR="00CB6A72" w:rsidRPr="00086B26">
        <w:rPr>
          <w:rFonts w:ascii="Arial Narrow" w:hAnsi="Arial Narrow"/>
          <w:sz w:val="20"/>
          <w:szCs w:val="20"/>
        </w:rPr>
        <w:t xml:space="preserve"> mil. eur</w:t>
      </w:r>
      <w:r w:rsidR="00CA2514" w:rsidRPr="00086B26">
        <w:rPr>
          <w:rFonts w:ascii="Arial Narrow" w:hAnsi="Arial Narrow"/>
          <w:sz w:val="20"/>
          <w:szCs w:val="20"/>
        </w:rPr>
        <w:t>.</w:t>
      </w:r>
    </w:p>
    <w:p w:rsidR="006D5C1D" w:rsidRPr="00086B26" w:rsidRDefault="006D5C1D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785D60" w:rsidRPr="00086B26" w:rsidRDefault="0029720E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  <w:lang w:eastAsia="sk-SK"/>
        </w:rPr>
        <w:t xml:space="preserve">                   </w:t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Pr="00086B26">
        <w:rPr>
          <w:rFonts w:ascii="Arial Narrow" w:hAnsi="Arial Narrow"/>
          <w:sz w:val="20"/>
          <w:szCs w:val="20"/>
          <w:lang w:eastAsia="sk-SK"/>
        </w:rPr>
        <w:tab/>
      </w:r>
      <w:r w:rsidR="00F14687" w:rsidRPr="00086B26">
        <w:rPr>
          <w:rFonts w:ascii="Arial Narrow" w:hAnsi="Arial Narrow"/>
          <w:sz w:val="20"/>
          <w:szCs w:val="20"/>
          <w:lang w:eastAsia="sk-SK"/>
        </w:rPr>
        <w:t>Tabuľka č. 4</w:t>
      </w:r>
      <w:r w:rsidR="00D018A5" w:rsidRPr="00086B26">
        <w:rPr>
          <w:rFonts w:ascii="Arial Narrow" w:hAnsi="Arial Narrow"/>
          <w:sz w:val="20"/>
          <w:szCs w:val="20"/>
        </w:rPr>
        <w:t>A</w:t>
      </w:r>
    </w:p>
    <w:tbl>
      <w:tblPr>
        <w:tblW w:w="97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490"/>
        <w:gridCol w:w="1060"/>
        <w:gridCol w:w="1040"/>
        <w:gridCol w:w="1040"/>
        <w:gridCol w:w="920"/>
      </w:tblGrid>
      <w:tr w:rsidR="00996BAC" w:rsidRPr="00086B26" w:rsidTr="00996BAC">
        <w:trPr>
          <w:trHeight w:val="75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Sociálnej poisťovne (v eurách)</w:t>
            </w:r>
          </w:p>
        </w:tc>
        <w:tc>
          <w:tcPr>
            <w:tcW w:w="46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Sociálnej poisťovne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996BAC" w:rsidRPr="00086B26" w:rsidTr="00996BAC">
        <w:trPr>
          <w:trHeight w:val="270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86B26">
              <w:rPr>
                <w:rFonts w:ascii="Arial Narrow" w:hAnsi="Arial Narrow" w:cs="Arial"/>
                <w:lang w:eastAsia="sk-SK"/>
              </w:rPr>
              <w:t xml:space="preserve"> </w:t>
            </w: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Sociálnej poisťovne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CA73EF" w:rsidRPr="00086B26" w:rsidRDefault="00CA73EF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  <w:lang w:eastAsia="sk-SK"/>
        </w:rPr>
      </w:pPr>
    </w:p>
    <w:p w:rsidR="00532C3C" w:rsidRPr="00086B26" w:rsidRDefault="004E3BD9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</w:rPr>
        <w:t>Celkové výdavky verejnej správy sa predpokladajú</w:t>
      </w:r>
      <w:r w:rsidR="00241646" w:rsidRPr="00086B26">
        <w:rPr>
          <w:rFonts w:ascii="Arial Narrow" w:hAnsi="Arial Narrow"/>
          <w:sz w:val="20"/>
          <w:szCs w:val="20"/>
        </w:rPr>
        <w:t xml:space="preserve"> </w:t>
      </w:r>
      <w:r w:rsidR="00CA2514" w:rsidRPr="00086B26">
        <w:rPr>
          <w:rFonts w:ascii="Arial Narrow" w:hAnsi="Arial Narrow"/>
          <w:sz w:val="20"/>
          <w:szCs w:val="20"/>
        </w:rPr>
        <w:t>v roku 2020</w:t>
      </w:r>
      <w:r w:rsidR="00270824" w:rsidRPr="00086B26">
        <w:rPr>
          <w:rFonts w:ascii="Arial Narrow" w:hAnsi="Arial Narrow"/>
          <w:sz w:val="20"/>
          <w:szCs w:val="20"/>
        </w:rPr>
        <w:t xml:space="preserve"> na úrovni </w:t>
      </w:r>
      <w:r w:rsidR="00EF58F5" w:rsidRPr="00086B26">
        <w:rPr>
          <w:rFonts w:ascii="Arial Narrow" w:hAnsi="Arial Narrow"/>
          <w:sz w:val="20"/>
          <w:szCs w:val="20"/>
        </w:rPr>
        <w:t xml:space="preserve">cca </w:t>
      </w:r>
      <w:r w:rsidR="00712ED7" w:rsidRPr="00086B26">
        <w:rPr>
          <w:rFonts w:ascii="Arial Narrow" w:hAnsi="Arial Narrow"/>
          <w:sz w:val="20"/>
          <w:szCs w:val="20"/>
        </w:rPr>
        <w:t>1,2</w:t>
      </w:r>
      <w:r w:rsidR="008E6C99" w:rsidRPr="00086B26">
        <w:rPr>
          <w:rFonts w:ascii="Arial Narrow" w:hAnsi="Arial Narrow"/>
          <w:sz w:val="20"/>
          <w:szCs w:val="20"/>
        </w:rPr>
        <w:t xml:space="preserve"> </w:t>
      </w:r>
      <w:r w:rsidR="00EF58F5" w:rsidRPr="00086B26">
        <w:rPr>
          <w:rFonts w:ascii="Arial Narrow" w:hAnsi="Arial Narrow"/>
          <w:sz w:val="20"/>
          <w:szCs w:val="20"/>
        </w:rPr>
        <w:t xml:space="preserve">mil. eur, </w:t>
      </w:r>
      <w:r w:rsidR="00241646" w:rsidRPr="00086B26">
        <w:rPr>
          <w:rFonts w:ascii="Arial Narrow" w:hAnsi="Arial Narrow"/>
          <w:sz w:val="20"/>
          <w:szCs w:val="20"/>
        </w:rPr>
        <w:t>v roku 20</w:t>
      </w:r>
      <w:r w:rsidR="00CA2514" w:rsidRPr="00086B26">
        <w:rPr>
          <w:rFonts w:ascii="Arial Narrow" w:hAnsi="Arial Narrow"/>
          <w:sz w:val="20"/>
          <w:szCs w:val="20"/>
        </w:rPr>
        <w:t>21</w:t>
      </w:r>
      <w:r w:rsidR="00241646" w:rsidRPr="00086B26">
        <w:rPr>
          <w:rFonts w:ascii="Arial Narrow" w:hAnsi="Arial Narrow"/>
          <w:sz w:val="20"/>
          <w:szCs w:val="20"/>
        </w:rPr>
        <w:t xml:space="preserve"> na úrovni</w:t>
      </w:r>
      <w:r w:rsidR="00EF58F5" w:rsidRPr="00086B26">
        <w:rPr>
          <w:rFonts w:ascii="Arial Narrow" w:hAnsi="Arial Narrow"/>
          <w:sz w:val="20"/>
          <w:szCs w:val="20"/>
        </w:rPr>
        <w:t xml:space="preserve"> cca</w:t>
      </w:r>
      <w:r w:rsidR="00241646" w:rsidRPr="00086B26">
        <w:rPr>
          <w:rFonts w:ascii="Arial Narrow" w:hAnsi="Arial Narrow"/>
          <w:sz w:val="20"/>
          <w:szCs w:val="20"/>
        </w:rPr>
        <w:t xml:space="preserve"> </w:t>
      </w:r>
      <w:r w:rsidR="00996BAC" w:rsidRPr="00086B26">
        <w:rPr>
          <w:rFonts w:ascii="Arial Narrow" w:hAnsi="Arial Narrow"/>
          <w:sz w:val="20"/>
          <w:szCs w:val="20"/>
        </w:rPr>
        <w:t>11,8</w:t>
      </w:r>
      <w:r w:rsidR="00D275C8" w:rsidRPr="00086B26">
        <w:rPr>
          <w:rFonts w:ascii="Arial Narrow" w:hAnsi="Arial Narrow"/>
          <w:sz w:val="20"/>
          <w:szCs w:val="20"/>
        </w:rPr>
        <w:t xml:space="preserve"> mil. eur</w:t>
      </w:r>
      <w:r w:rsidR="00CA2514" w:rsidRPr="00086B26">
        <w:rPr>
          <w:rFonts w:ascii="Arial Narrow" w:hAnsi="Arial Narrow"/>
          <w:sz w:val="20"/>
          <w:szCs w:val="20"/>
        </w:rPr>
        <w:t xml:space="preserve"> a</w:t>
      </w:r>
      <w:r w:rsidR="00077B21" w:rsidRPr="00086B26">
        <w:rPr>
          <w:rFonts w:ascii="Arial Narrow" w:hAnsi="Arial Narrow"/>
          <w:sz w:val="20"/>
          <w:szCs w:val="20"/>
        </w:rPr>
        <w:t xml:space="preserve"> </w:t>
      </w:r>
      <w:r w:rsidR="00241646" w:rsidRPr="00086B26">
        <w:rPr>
          <w:rFonts w:ascii="Arial Narrow" w:hAnsi="Arial Narrow"/>
          <w:sz w:val="20"/>
          <w:szCs w:val="20"/>
        </w:rPr>
        <w:t>v roku 20</w:t>
      </w:r>
      <w:r w:rsidR="00142FE3" w:rsidRPr="00086B26">
        <w:rPr>
          <w:rFonts w:ascii="Arial Narrow" w:hAnsi="Arial Narrow"/>
          <w:sz w:val="20"/>
          <w:szCs w:val="20"/>
        </w:rPr>
        <w:t>2</w:t>
      </w:r>
      <w:r w:rsidR="00CA2514" w:rsidRPr="00086B26">
        <w:rPr>
          <w:rFonts w:ascii="Arial Narrow" w:hAnsi="Arial Narrow"/>
          <w:sz w:val="20"/>
          <w:szCs w:val="20"/>
        </w:rPr>
        <w:t>2</w:t>
      </w:r>
      <w:r w:rsidR="00241646" w:rsidRPr="00086B26">
        <w:rPr>
          <w:rFonts w:ascii="Arial Narrow" w:hAnsi="Arial Narrow"/>
          <w:sz w:val="20"/>
          <w:szCs w:val="20"/>
        </w:rPr>
        <w:t xml:space="preserve"> </w:t>
      </w:r>
      <w:r w:rsidRPr="00086B26">
        <w:rPr>
          <w:rFonts w:ascii="Arial Narrow" w:hAnsi="Arial Narrow"/>
          <w:sz w:val="20"/>
          <w:szCs w:val="20"/>
        </w:rPr>
        <w:t>na úrovni</w:t>
      </w:r>
      <w:r w:rsidR="00EF58F5" w:rsidRPr="00086B26">
        <w:rPr>
          <w:rFonts w:ascii="Arial Narrow" w:hAnsi="Arial Narrow"/>
          <w:sz w:val="20"/>
          <w:szCs w:val="20"/>
        </w:rPr>
        <w:t xml:space="preserve"> cca</w:t>
      </w:r>
      <w:r w:rsidRPr="00086B26">
        <w:rPr>
          <w:rFonts w:ascii="Arial Narrow" w:hAnsi="Arial Narrow"/>
          <w:sz w:val="20"/>
          <w:szCs w:val="20"/>
        </w:rPr>
        <w:t xml:space="preserve"> </w:t>
      </w:r>
      <w:r w:rsidR="00712ED7" w:rsidRPr="00086B26">
        <w:rPr>
          <w:rFonts w:ascii="Arial Narrow" w:hAnsi="Arial Narrow"/>
          <w:sz w:val="20"/>
          <w:szCs w:val="20"/>
        </w:rPr>
        <w:t>1</w:t>
      </w:r>
      <w:r w:rsidR="00996BAC" w:rsidRPr="00086B26">
        <w:rPr>
          <w:rFonts w:ascii="Arial Narrow" w:hAnsi="Arial Narrow"/>
          <w:sz w:val="20"/>
          <w:szCs w:val="20"/>
        </w:rPr>
        <w:t>3,8</w:t>
      </w:r>
      <w:r w:rsidR="008E6C99" w:rsidRPr="00086B26">
        <w:rPr>
          <w:rFonts w:ascii="Arial Narrow" w:hAnsi="Arial Narrow"/>
          <w:sz w:val="20"/>
          <w:szCs w:val="20"/>
        </w:rPr>
        <w:t xml:space="preserve"> </w:t>
      </w:r>
      <w:r w:rsidRPr="00086B26">
        <w:rPr>
          <w:rFonts w:ascii="Arial Narrow" w:hAnsi="Arial Narrow"/>
          <w:sz w:val="20"/>
          <w:szCs w:val="20"/>
        </w:rPr>
        <w:t>mil. eur</w:t>
      </w:r>
      <w:r w:rsidR="00CA2514" w:rsidRPr="00086B26">
        <w:rPr>
          <w:rFonts w:ascii="Arial Narrow" w:hAnsi="Arial Narrow"/>
          <w:sz w:val="20"/>
          <w:szCs w:val="20"/>
        </w:rPr>
        <w:t>.</w:t>
      </w:r>
    </w:p>
    <w:p w:rsidR="00031E18" w:rsidRPr="00086B26" w:rsidRDefault="00031E18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C7B0A" w:rsidRPr="00086B26" w:rsidRDefault="007273C7" w:rsidP="00047B8F">
      <w:pPr>
        <w:spacing w:after="0" w:line="240" w:lineRule="auto"/>
        <w:ind w:left="7080" w:firstLine="708"/>
        <w:jc w:val="both"/>
        <w:rPr>
          <w:rFonts w:ascii="Arial Narrow" w:hAnsi="Arial Narrow"/>
          <w:sz w:val="20"/>
          <w:szCs w:val="20"/>
        </w:rPr>
      </w:pPr>
      <w:r w:rsidRPr="00086B26">
        <w:rPr>
          <w:rFonts w:ascii="Arial Narrow" w:hAnsi="Arial Narrow"/>
          <w:sz w:val="20"/>
          <w:szCs w:val="20"/>
          <w:lang w:eastAsia="sk-SK"/>
        </w:rPr>
        <w:t>Tabuľka č. 4</w:t>
      </w:r>
      <w:r w:rsidR="00D018A5" w:rsidRPr="00086B26">
        <w:rPr>
          <w:rFonts w:ascii="Arial Narrow" w:hAnsi="Arial Narrow"/>
          <w:sz w:val="20"/>
          <w:szCs w:val="20"/>
        </w:rPr>
        <w:t>B</w:t>
      </w:r>
    </w:p>
    <w:tbl>
      <w:tblPr>
        <w:tblW w:w="97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490"/>
        <w:gridCol w:w="1060"/>
        <w:gridCol w:w="1040"/>
        <w:gridCol w:w="1040"/>
        <w:gridCol w:w="920"/>
      </w:tblGrid>
      <w:tr w:rsidR="00996BAC" w:rsidRPr="00086B26" w:rsidTr="00996BAC">
        <w:trPr>
          <w:trHeight w:val="27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rozpočet verejnej správy (v eurách)</w:t>
            </w:r>
          </w:p>
        </w:tc>
        <w:tc>
          <w:tcPr>
            <w:tcW w:w="46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verejnej správy                                                 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996BAC" w:rsidRPr="00086B26" w:rsidTr="00996BAC">
        <w:trPr>
          <w:trHeight w:val="270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86B26">
              <w:rPr>
                <w:rFonts w:ascii="Arial Narrow" w:hAnsi="Arial Narrow" w:cs="Arial"/>
                <w:lang w:eastAsia="sk-SK"/>
              </w:rPr>
              <w:t xml:space="preserve"> </w:t>
            </w: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96BAC" w:rsidRPr="00086B26" w:rsidTr="00996BAC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11 758 058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13 820 725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6BAC" w:rsidRPr="00086B26" w:rsidRDefault="00996BAC" w:rsidP="00996BA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086B26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AC7B0A" w:rsidRPr="00086B26" w:rsidRDefault="00F05B78" w:rsidP="00047B8F">
      <w:pPr>
        <w:tabs>
          <w:tab w:val="num" w:pos="108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sk-SK"/>
        </w:rPr>
      </w:pPr>
      <w:bookmarkStart w:id="0" w:name="_GoBack"/>
      <w:bookmarkEnd w:id="0"/>
      <w:r w:rsidRPr="00086B26">
        <w:rPr>
          <w:rFonts w:ascii="Arial Narrow" w:hAnsi="Arial Narrow"/>
          <w:bCs/>
          <w:sz w:val="20"/>
          <w:szCs w:val="20"/>
          <w:lang w:eastAsia="sk-SK"/>
        </w:rPr>
        <w:lastRenderedPageBreak/>
        <w:t xml:space="preserve"> </w:t>
      </w:r>
      <w:r w:rsidR="00AC7B0A" w:rsidRPr="00086B26">
        <w:rPr>
          <w:rFonts w:ascii="Arial Narrow" w:hAnsi="Arial Narrow"/>
          <w:bCs/>
          <w:sz w:val="20"/>
          <w:szCs w:val="20"/>
          <w:lang w:eastAsia="sk-SK"/>
        </w:rPr>
        <w:t>Tabuľka č. 5</w:t>
      </w:r>
    </w:p>
    <w:p w:rsidR="00CA2514" w:rsidRPr="00086B26" w:rsidRDefault="00CA2514" w:rsidP="00047B8F">
      <w:pPr>
        <w:tabs>
          <w:tab w:val="num" w:pos="108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sk-SK"/>
        </w:rPr>
      </w:pPr>
    </w:p>
    <w:tbl>
      <w:tblPr>
        <w:tblW w:w="10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3"/>
        <w:gridCol w:w="788"/>
        <w:gridCol w:w="1124"/>
        <w:gridCol w:w="1124"/>
        <w:gridCol w:w="1124"/>
        <w:gridCol w:w="960"/>
      </w:tblGrid>
      <w:tr w:rsidR="00AC7B0A" w:rsidRPr="00086B26" w:rsidTr="00047B8F">
        <w:trPr>
          <w:trHeight w:val="255"/>
          <w:jc w:val="center"/>
        </w:trPr>
        <w:tc>
          <w:tcPr>
            <w:tcW w:w="5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AC7B0A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AC7B0A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Vplyv na Sociálnu poisťovňu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AC7B0A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AC7B0A" w:rsidRPr="00086B26" w:rsidTr="00047B8F">
        <w:trPr>
          <w:trHeight w:val="255"/>
          <w:jc w:val="center"/>
        </w:trPr>
        <w:tc>
          <w:tcPr>
            <w:tcW w:w="5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0A" w:rsidRPr="00086B26" w:rsidRDefault="00AC7B0A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CA0683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C7B0A" w:rsidRPr="00086B26" w:rsidRDefault="00AC7B0A" w:rsidP="00047B8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57052" w:rsidRPr="00086B26" w:rsidTr="00047B8F">
        <w:trPr>
          <w:trHeight w:val="255"/>
          <w:jc w:val="center"/>
        </w:trPr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D57052" w:rsidRPr="00086B26" w:rsidTr="00047B8F">
        <w:trPr>
          <w:trHeight w:val="255"/>
          <w:jc w:val="center"/>
        </w:trPr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Priemerný mzdový výdavkov (v eurách)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D57052" w:rsidRPr="00086B26" w:rsidTr="00047B8F">
        <w:trPr>
          <w:trHeight w:val="255"/>
          <w:jc w:val="center"/>
        </w:trPr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D57052" w:rsidRPr="00086B26" w:rsidTr="00047B8F">
        <w:trPr>
          <w:trHeight w:val="510"/>
          <w:jc w:val="center"/>
        </w:trPr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Mzdy, platy, služobné príjmy a ostatné osobné vyrovnania (610)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D57052" w:rsidRPr="00086B26" w:rsidTr="00047B8F">
        <w:trPr>
          <w:trHeight w:val="255"/>
          <w:jc w:val="center"/>
        </w:trPr>
        <w:tc>
          <w:tcPr>
            <w:tcW w:w="5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Poistné a príspevok do poisťovní (620)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052" w:rsidRPr="00086B26" w:rsidRDefault="009F645D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052" w:rsidRPr="00086B26" w:rsidRDefault="00D57052" w:rsidP="00047B8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086B2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CB3623" w:rsidRPr="00086B26" w:rsidRDefault="00CB3623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56F4B" w:rsidRPr="00086B26" w:rsidRDefault="00656F4B" w:rsidP="00047B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56F4B" w:rsidRPr="00086B26" w:rsidSect="00CA251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CA" w:rsidRDefault="003703CA">
      <w:pPr>
        <w:spacing w:after="0" w:line="240" w:lineRule="auto"/>
      </w:pPr>
      <w:r>
        <w:separator/>
      </w:r>
    </w:p>
  </w:endnote>
  <w:endnote w:type="continuationSeparator" w:id="0">
    <w:p w:rsidR="003703CA" w:rsidRDefault="0037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60" w:rsidRDefault="004D5A6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4D5A60" w:rsidRDefault="004D5A6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60" w:rsidRDefault="004D5A6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31E3F">
      <w:rPr>
        <w:noProof/>
      </w:rPr>
      <w:t>5</w:t>
    </w:r>
    <w:r>
      <w:fldChar w:fldCharType="end"/>
    </w:r>
  </w:p>
  <w:p w:rsidR="004D5A60" w:rsidRDefault="004D5A6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60" w:rsidRDefault="004D5A6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4D5A60" w:rsidRDefault="004D5A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CA" w:rsidRDefault="003703CA">
      <w:pPr>
        <w:spacing w:after="0" w:line="240" w:lineRule="auto"/>
      </w:pPr>
      <w:r>
        <w:separator/>
      </w:r>
    </w:p>
  </w:footnote>
  <w:footnote w:type="continuationSeparator" w:id="0">
    <w:p w:rsidR="003703CA" w:rsidRDefault="0037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60" w:rsidRDefault="004D5A60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4D5A60" w:rsidRPr="00EB59C8" w:rsidRDefault="004D5A60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60" w:rsidRPr="000A15AE" w:rsidRDefault="004D5A60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49"/>
    <w:multiLevelType w:val="hybridMultilevel"/>
    <w:tmpl w:val="A02E6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4B9"/>
    <w:multiLevelType w:val="hybridMultilevel"/>
    <w:tmpl w:val="EBB64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54F82"/>
    <w:multiLevelType w:val="hybridMultilevel"/>
    <w:tmpl w:val="CC42ADB2"/>
    <w:lvl w:ilvl="0" w:tplc="A47EE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F01E6"/>
    <w:multiLevelType w:val="hybridMultilevel"/>
    <w:tmpl w:val="96C4874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FB44C8"/>
    <w:multiLevelType w:val="hybridMultilevel"/>
    <w:tmpl w:val="55D43C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9F84998"/>
    <w:multiLevelType w:val="hybridMultilevel"/>
    <w:tmpl w:val="41A24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755E2"/>
    <w:multiLevelType w:val="hybridMultilevel"/>
    <w:tmpl w:val="64963BD2"/>
    <w:lvl w:ilvl="0" w:tplc="C07A7E0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D43E7"/>
    <w:multiLevelType w:val="hybridMultilevel"/>
    <w:tmpl w:val="F48EB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055CCE"/>
    <w:multiLevelType w:val="hybridMultilevel"/>
    <w:tmpl w:val="0E4CF4CA"/>
    <w:lvl w:ilvl="0" w:tplc="668A1E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C150D"/>
    <w:multiLevelType w:val="hybridMultilevel"/>
    <w:tmpl w:val="3EE07DE6"/>
    <w:lvl w:ilvl="0" w:tplc="041B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417EE"/>
    <w:multiLevelType w:val="hybridMultilevel"/>
    <w:tmpl w:val="2626FECC"/>
    <w:lvl w:ilvl="0" w:tplc="0518B6A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14E5F"/>
    <w:multiLevelType w:val="hybridMultilevel"/>
    <w:tmpl w:val="7FC0769C"/>
    <w:lvl w:ilvl="0" w:tplc="ED60257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404A0"/>
    <w:multiLevelType w:val="hybridMultilevel"/>
    <w:tmpl w:val="AD680234"/>
    <w:lvl w:ilvl="0" w:tplc="B92EAA2A">
      <w:start w:val="1"/>
      <w:numFmt w:val="bullet"/>
      <w:lvlText w:val="-"/>
      <w:lvlJc w:val="left"/>
      <w:pPr>
        <w:ind w:left="660" w:hanging="360"/>
      </w:pPr>
      <w:rPr>
        <w:rFonts w:ascii="Liberation Serif" w:eastAsia="SimSun" w:hAnsi="Liberation 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50410380"/>
    <w:multiLevelType w:val="hybridMultilevel"/>
    <w:tmpl w:val="276CD660"/>
    <w:lvl w:ilvl="0" w:tplc="48263D6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6736D"/>
    <w:multiLevelType w:val="hybridMultilevel"/>
    <w:tmpl w:val="FE34D50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82742"/>
    <w:multiLevelType w:val="hybridMultilevel"/>
    <w:tmpl w:val="EBB64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AF3CF2"/>
    <w:multiLevelType w:val="hybridMultilevel"/>
    <w:tmpl w:val="A9220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A040B"/>
    <w:multiLevelType w:val="hybridMultilevel"/>
    <w:tmpl w:val="CD0E0A46"/>
    <w:lvl w:ilvl="0" w:tplc="AA58A2B6">
      <w:numFmt w:val="bullet"/>
      <w:lvlText w:val="-"/>
      <w:lvlJc w:val="left"/>
      <w:pPr>
        <w:ind w:left="1413" w:hanging="705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F2745D0"/>
    <w:multiLevelType w:val="hybridMultilevel"/>
    <w:tmpl w:val="F2B26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9"/>
  </w:num>
  <w:num w:numId="5">
    <w:abstractNumId w:val="7"/>
  </w:num>
  <w:num w:numId="6">
    <w:abstractNumId w:val="14"/>
  </w:num>
  <w:num w:numId="7">
    <w:abstractNumId w:val="9"/>
  </w:num>
  <w:num w:numId="8">
    <w:abstractNumId w:val="17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4"/>
  </w:num>
  <w:num w:numId="14">
    <w:abstractNumId w:val="22"/>
  </w:num>
  <w:num w:numId="15">
    <w:abstractNumId w:val="0"/>
  </w:num>
  <w:num w:numId="16">
    <w:abstractNumId w:val="16"/>
  </w:num>
  <w:num w:numId="17">
    <w:abstractNumId w:val="24"/>
  </w:num>
  <w:num w:numId="18">
    <w:abstractNumId w:val="12"/>
  </w:num>
  <w:num w:numId="19">
    <w:abstractNumId w:val="20"/>
  </w:num>
  <w:num w:numId="20">
    <w:abstractNumId w:val="6"/>
  </w:num>
  <w:num w:numId="21">
    <w:abstractNumId w:val="1"/>
  </w:num>
  <w:num w:numId="22">
    <w:abstractNumId w:val="3"/>
  </w:num>
  <w:num w:numId="23">
    <w:abstractNumId w:val="8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5195"/>
    <w:rsid w:val="00007824"/>
    <w:rsid w:val="00014850"/>
    <w:rsid w:val="00015D2A"/>
    <w:rsid w:val="000206ED"/>
    <w:rsid w:val="0002537D"/>
    <w:rsid w:val="00027B76"/>
    <w:rsid w:val="00031E18"/>
    <w:rsid w:val="00035EB6"/>
    <w:rsid w:val="00037573"/>
    <w:rsid w:val="0004147A"/>
    <w:rsid w:val="000416A5"/>
    <w:rsid w:val="00042CDF"/>
    <w:rsid w:val="00045303"/>
    <w:rsid w:val="000453E6"/>
    <w:rsid w:val="0004584E"/>
    <w:rsid w:val="000468CB"/>
    <w:rsid w:val="00047B8F"/>
    <w:rsid w:val="00054059"/>
    <w:rsid w:val="00054507"/>
    <w:rsid w:val="000552ED"/>
    <w:rsid w:val="00057135"/>
    <w:rsid w:val="00061108"/>
    <w:rsid w:val="000616B3"/>
    <w:rsid w:val="00062570"/>
    <w:rsid w:val="0007019E"/>
    <w:rsid w:val="000737C6"/>
    <w:rsid w:val="00074FD9"/>
    <w:rsid w:val="00077B21"/>
    <w:rsid w:val="00084682"/>
    <w:rsid w:val="00085839"/>
    <w:rsid w:val="00086B26"/>
    <w:rsid w:val="000870A0"/>
    <w:rsid w:val="0008759D"/>
    <w:rsid w:val="0009006D"/>
    <w:rsid w:val="00091240"/>
    <w:rsid w:val="00091FAF"/>
    <w:rsid w:val="000927D0"/>
    <w:rsid w:val="00092D89"/>
    <w:rsid w:val="0009495D"/>
    <w:rsid w:val="00094DB9"/>
    <w:rsid w:val="000977E2"/>
    <w:rsid w:val="00097E01"/>
    <w:rsid w:val="000A044C"/>
    <w:rsid w:val="000A15AE"/>
    <w:rsid w:val="000A19FF"/>
    <w:rsid w:val="000A1E89"/>
    <w:rsid w:val="000A1F6E"/>
    <w:rsid w:val="000A5045"/>
    <w:rsid w:val="000A574A"/>
    <w:rsid w:val="000A764D"/>
    <w:rsid w:val="000B2853"/>
    <w:rsid w:val="000B2DD8"/>
    <w:rsid w:val="000B3BAE"/>
    <w:rsid w:val="000D07CE"/>
    <w:rsid w:val="000D1348"/>
    <w:rsid w:val="000D3884"/>
    <w:rsid w:val="000D3FD8"/>
    <w:rsid w:val="000E29DE"/>
    <w:rsid w:val="000E2BB6"/>
    <w:rsid w:val="000E5AD1"/>
    <w:rsid w:val="000E6561"/>
    <w:rsid w:val="000E6B4D"/>
    <w:rsid w:val="000F09CE"/>
    <w:rsid w:val="000F1438"/>
    <w:rsid w:val="000F32FB"/>
    <w:rsid w:val="000F341B"/>
    <w:rsid w:val="000F37FC"/>
    <w:rsid w:val="000F7999"/>
    <w:rsid w:val="0010124B"/>
    <w:rsid w:val="00102592"/>
    <w:rsid w:val="00107A15"/>
    <w:rsid w:val="001100EC"/>
    <w:rsid w:val="00111923"/>
    <w:rsid w:val="00112088"/>
    <w:rsid w:val="001127A8"/>
    <w:rsid w:val="001158E8"/>
    <w:rsid w:val="00116559"/>
    <w:rsid w:val="001173DB"/>
    <w:rsid w:val="00117CB8"/>
    <w:rsid w:val="00127DFD"/>
    <w:rsid w:val="00127F2A"/>
    <w:rsid w:val="0013517B"/>
    <w:rsid w:val="001357B6"/>
    <w:rsid w:val="0014108D"/>
    <w:rsid w:val="00142FE3"/>
    <w:rsid w:val="001469D7"/>
    <w:rsid w:val="00147982"/>
    <w:rsid w:val="00151256"/>
    <w:rsid w:val="0015307D"/>
    <w:rsid w:val="00153F73"/>
    <w:rsid w:val="0015408E"/>
    <w:rsid w:val="001561F4"/>
    <w:rsid w:val="001576F5"/>
    <w:rsid w:val="0016067B"/>
    <w:rsid w:val="00161774"/>
    <w:rsid w:val="00161CAC"/>
    <w:rsid w:val="00163D7A"/>
    <w:rsid w:val="00163D97"/>
    <w:rsid w:val="00165D3F"/>
    <w:rsid w:val="00165D89"/>
    <w:rsid w:val="00170D2B"/>
    <w:rsid w:val="00170EC7"/>
    <w:rsid w:val="001724F7"/>
    <w:rsid w:val="00173E0C"/>
    <w:rsid w:val="00176F52"/>
    <w:rsid w:val="001770BF"/>
    <w:rsid w:val="001774D8"/>
    <w:rsid w:val="00180079"/>
    <w:rsid w:val="00180D95"/>
    <w:rsid w:val="00184F37"/>
    <w:rsid w:val="001869E5"/>
    <w:rsid w:val="00187AA6"/>
    <w:rsid w:val="00192E67"/>
    <w:rsid w:val="001A1C23"/>
    <w:rsid w:val="001B2749"/>
    <w:rsid w:val="001B4208"/>
    <w:rsid w:val="001B73AD"/>
    <w:rsid w:val="001C039C"/>
    <w:rsid w:val="001C2F03"/>
    <w:rsid w:val="001C7640"/>
    <w:rsid w:val="001D1883"/>
    <w:rsid w:val="001D1AE3"/>
    <w:rsid w:val="001D2A16"/>
    <w:rsid w:val="001D413E"/>
    <w:rsid w:val="001D4B49"/>
    <w:rsid w:val="001D5AE9"/>
    <w:rsid w:val="001D5B06"/>
    <w:rsid w:val="001D6E49"/>
    <w:rsid w:val="001E1809"/>
    <w:rsid w:val="001E27E4"/>
    <w:rsid w:val="001E2FFE"/>
    <w:rsid w:val="001E6300"/>
    <w:rsid w:val="001E757C"/>
    <w:rsid w:val="001F2211"/>
    <w:rsid w:val="001F3071"/>
    <w:rsid w:val="001F3441"/>
    <w:rsid w:val="00200898"/>
    <w:rsid w:val="00201417"/>
    <w:rsid w:val="0020202D"/>
    <w:rsid w:val="00202DBA"/>
    <w:rsid w:val="002051BE"/>
    <w:rsid w:val="002119A8"/>
    <w:rsid w:val="00212894"/>
    <w:rsid w:val="00213282"/>
    <w:rsid w:val="002134EE"/>
    <w:rsid w:val="00214AD1"/>
    <w:rsid w:val="0021508E"/>
    <w:rsid w:val="00215DD3"/>
    <w:rsid w:val="0022148F"/>
    <w:rsid w:val="00232363"/>
    <w:rsid w:val="0024067A"/>
    <w:rsid w:val="00241646"/>
    <w:rsid w:val="002439B0"/>
    <w:rsid w:val="002531B7"/>
    <w:rsid w:val="0026250A"/>
    <w:rsid w:val="0026659F"/>
    <w:rsid w:val="002674E3"/>
    <w:rsid w:val="00270824"/>
    <w:rsid w:val="00270D61"/>
    <w:rsid w:val="002747BB"/>
    <w:rsid w:val="00275BA3"/>
    <w:rsid w:val="00280A57"/>
    <w:rsid w:val="002829F8"/>
    <w:rsid w:val="00282A79"/>
    <w:rsid w:val="00282DD4"/>
    <w:rsid w:val="0028536C"/>
    <w:rsid w:val="00286233"/>
    <w:rsid w:val="00292770"/>
    <w:rsid w:val="002942EB"/>
    <w:rsid w:val="002951C1"/>
    <w:rsid w:val="002970DB"/>
    <w:rsid w:val="0029720E"/>
    <w:rsid w:val="002A0DB9"/>
    <w:rsid w:val="002A48E2"/>
    <w:rsid w:val="002A5E00"/>
    <w:rsid w:val="002B1923"/>
    <w:rsid w:val="002B1C46"/>
    <w:rsid w:val="002B2394"/>
    <w:rsid w:val="002B33DB"/>
    <w:rsid w:val="002B409E"/>
    <w:rsid w:val="002C17FB"/>
    <w:rsid w:val="002C4A2F"/>
    <w:rsid w:val="002C6587"/>
    <w:rsid w:val="002C6E1C"/>
    <w:rsid w:val="002D0BC2"/>
    <w:rsid w:val="002D2B7C"/>
    <w:rsid w:val="002D3478"/>
    <w:rsid w:val="002D420F"/>
    <w:rsid w:val="002D7EF7"/>
    <w:rsid w:val="002E0228"/>
    <w:rsid w:val="002E4461"/>
    <w:rsid w:val="002E6A96"/>
    <w:rsid w:val="002F1733"/>
    <w:rsid w:val="002F34D7"/>
    <w:rsid w:val="002F478A"/>
    <w:rsid w:val="002F71F3"/>
    <w:rsid w:val="00300910"/>
    <w:rsid w:val="00302A6D"/>
    <w:rsid w:val="00303796"/>
    <w:rsid w:val="0030479A"/>
    <w:rsid w:val="00305496"/>
    <w:rsid w:val="00305592"/>
    <w:rsid w:val="00310F27"/>
    <w:rsid w:val="00311651"/>
    <w:rsid w:val="00311E26"/>
    <w:rsid w:val="00312AAC"/>
    <w:rsid w:val="003136D1"/>
    <w:rsid w:val="003162D5"/>
    <w:rsid w:val="00317B90"/>
    <w:rsid w:val="003233CC"/>
    <w:rsid w:val="00323AB4"/>
    <w:rsid w:val="00324AE2"/>
    <w:rsid w:val="0032790C"/>
    <w:rsid w:val="0033117D"/>
    <w:rsid w:val="0033270F"/>
    <w:rsid w:val="003359D7"/>
    <w:rsid w:val="00335BF5"/>
    <w:rsid w:val="00336625"/>
    <w:rsid w:val="003434D4"/>
    <w:rsid w:val="00344928"/>
    <w:rsid w:val="003464DE"/>
    <w:rsid w:val="003470FF"/>
    <w:rsid w:val="00352312"/>
    <w:rsid w:val="00356761"/>
    <w:rsid w:val="00361013"/>
    <w:rsid w:val="00361CE5"/>
    <w:rsid w:val="00361ED3"/>
    <w:rsid w:val="0036280B"/>
    <w:rsid w:val="00362F29"/>
    <w:rsid w:val="00363492"/>
    <w:rsid w:val="00364AD9"/>
    <w:rsid w:val="003667F7"/>
    <w:rsid w:val="003703CA"/>
    <w:rsid w:val="00370A9B"/>
    <w:rsid w:val="00373484"/>
    <w:rsid w:val="00377212"/>
    <w:rsid w:val="003773F5"/>
    <w:rsid w:val="00377CC0"/>
    <w:rsid w:val="00380B23"/>
    <w:rsid w:val="003837F0"/>
    <w:rsid w:val="00385FB7"/>
    <w:rsid w:val="003866C0"/>
    <w:rsid w:val="00390633"/>
    <w:rsid w:val="00391C46"/>
    <w:rsid w:val="00393772"/>
    <w:rsid w:val="003942E4"/>
    <w:rsid w:val="00394973"/>
    <w:rsid w:val="00395F9B"/>
    <w:rsid w:val="003A2583"/>
    <w:rsid w:val="003A28C0"/>
    <w:rsid w:val="003A44C6"/>
    <w:rsid w:val="003A653E"/>
    <w:rsid w:val="003B1714"/>
    <w:rsid w:val="003B1C48"/>
    <w:rsid w:val="003B28C5"/>
    <w:rsid w:val="003B32F6"/>
    <w:rsid w:val="003B4E2C"/>
    <w:rsid w:val="003B5934"/>
    <w:rsid w:val="003B5B9E"/>
    <w:rsid w:val="003C0624"/>
    <w:rsid w:val="003C0E5A"/>
    <w:rsid w:val="003C4968"/>
    <w:rsid w:val="003D394F"/>
    <w:rsid w:val="003D4EC1"/>
    <w:rsid w:val="003D67FB"/>
    <w:rsid w:val="003D6E48"/>
    <w:rsid w:val="003E196D"/>
    <w:rsid w:val="003E4564"/>
    <w:rsid w:val="003E54DA"/>
    <w:rsid w:val="003E5770"/>
    <w:rsid w:val="003F2D31"/>
    <w:rsid w:val="003F4E44"/>
    <w:rsid w:val="003F7F0A"/>
    <w:rsid w:val="00400929"/>
    <w:rsid w:val="004015CE"/>
    <w:rsid w:val="00401613"/>
    <w:rsid w:val="0040228C"/>
    <w:rsid w:val="00402E1D"/>
    <w:rsid w:val="004034F6"/>
    <w:rsid w:val="00404EE8"/>
    <w:rsid w:val="00405513"/>
    <w:rsid w:val="0040650B"/>
    <w:rsid w:val="00407B5E"/>
    <w:rsid w:val="00411423"/>
    <w:rsid w:val="0041579E"/>
    <w:rsid w:val="004214E8"/>
    <w:rsid w:val="004224E4"/>
    <w:rsid w:val="0042351E"/>
    <w:rsid w:val="00424A58"/>
    <w:rsid w:val="004253B7"/>
    <w:rsid w:val="00432070"/>
    <w:rsid w:val="0043248A"/>
    <w:rsid w:val="00434E81"/>
    <w:rsid w:val="00436870"/>
    <w:rsid w:val="00437C3E"/>
    <w:rsid w:val="004418D6"/>
    <w:rsid w:val="004441E1"/>
    <w:rsid w:val="004445AD"/>
    <w:rsid w:val="00445925"/>
    <w:rsid w:val="00457028"/>
    <w:rsid w:val="00461523"/>
    <w:rsid w:val="0046271E"/>
    <w:rsid w:val="00463C0D"/>
    <w:rsid w:val="004645BE"/>
    <w:rsid w:val="00467518"/>
    <w:rsid w:val="0047027A"/>
    <w:rsid w:val="004803EE"/>
    <w:rsid w:val="00482BB2"/>
    <w:rsid w:val="00486E96"/>
    <w:rsid w:val="00486EC0"/>
    <w:rsid w:val="00487203"/>
    <w:rsid w:val="00487795"/>
    <w:rsid w:val="00491E11"/>
    <w:rsid w:val="00491E26"/>
    <w:rsid w:val="00491F36"/>
    <w:rsid w:val="004958FB"/>
    <w:rsid w:val="00496A9D"/>
    <w:rsid w:val="004A077B"/>
    <w:rsid w:val="004A18F4"/>
    <w:rsid w:val="004A245A"/>
    <w:rsid w:val="004A5901"/>
    <w:rsid w:val="004A7B08"/>
    <w:rsid w:val="004B189C"/>
    <w:rsid w:val="004B1CEE"/>
    <w:rsid w:val="004C1869"/>
    <w:rsid w:val="004C5A1C"/>
    <w:rsid w:val="004C71E8"/>
    <w:rsid w:val="004C7AF0"/>
    <w:rsid w:val="004D0ACD"/>
    <w:rsid w:val="004D2ED6"/>
    <w:rsid w:val="004D5843"/>
    <w:rsid w:val="004D5A60"/>
    <w:rsid w:val="004D6793"/>
    <w:rsid w:val="004D6E49"/>
    <w:rsid w:val="004D7493"/>
    <w:rsid w:val="004E147C"/>
    <w:rsid w:val="004E14D2"/>
    <w:rsid w:val="004E39F8"/>
    <w:rsid w:val="004E3BD9"/>
    <w:rsid w:val="004E51D0"/>
    <w:rsid w:val="004E565D"/>
    <w:rsid w:val="004E5B48"/>
    <w:rsid w:val="004F0D89"/>
    <w:rsid w:val="004F27BE"/>
    <w:rsid w:val="005005EC"/>
    <w:rsid w:val="00500886"/>
    <w:rsid w:val="00501F39"/>
    <w:rsid w:val="00502ABF"/>
    <w:rsid w:val="00507678"/>
    <w:rsid w:val="005145FE"/>
    <w:rsid w:val="005157C2"/>
    <w:rsid w:val="00515A7C"/>
    <w:rsid w:val="00515AD0"/>
    <w:rsid w:val="005166A3"/>
    <w:rsid w:val="0051724E"/>
    <w:rsid w:val="00521600"/>
    <w:rsid w:val="00522E95"/>
    <w:rsid w:val="00524E6E"/>
    <w:rsid w:val="005256E6"/>
    <w:rsid w:val="005279EA"/>
    <w:rsid w:val="00531D14"/>
    <w:rsid w:val="00532C3C"/>
    <w:rsid w:val="00546693"/>
    <w:rsid w:val="00551FD9"/>
    <w:rsid w:val="00554D42"/>
    <w:rsid w:val="00555D45"/>
    <w:rsid w:val="00564755"/>
    <w:rsid w:val="005658F0"/>
    <w:rsid w:val="0056590D"/>
    <w:rsid w:val="0056627F"/>
    <w:rsid w:val="00567A1C"/>
    <w:rsid w:val="00573ADA"/>
    <w:rsid w:val="00576CA8"/>
    <w:rsid w:val="00577CEC"/>
    <w:rsid w:val="00580BAC"/>
    <w:rsid w:val="00591933"/>
    <w:rsid w:val="0059299E"/>
    <w:rsid w:val="00592AB1"/>
    <w:rsid w:val="0059365F"/>
    <w:rsid w:val="0059386A"/>
    <w:rsid w:val="00593BED"/>
    <w:rsid w:val="005940E4"/>
    <w:rsid w:val="00594488"/>
    <w:rsid w:val="00596BDF"/>
    <w:rsid w:val="00597118"/>
    <w:rsid w:val="00597781"/>
    <w:rsid w:val="005A30DB"/>
    <w:rsid w:val="005A3BF3"/>
    <w:rsid w:val="005A3D44"/>
    <w:rsid w:val="005B05A8"/>
    <w:rsid w:val="005B102D"/>
    <w:rsid w:val="005B1B3F"/>
    <w:rsid w:val="005B236E"/>
    <w:rsid w:val="005B2694"/>
    <w:rsid w:val="005B58FA"/>
    <w:rsid w:val="005C1701"/>
    <w:rsid w:val="005C1B4B"/>
    <w:rsid w:val="005C33B4"/>
    <w:rsid w:val="005C430E"/>
    <w:rsid w:val="005C4C62"/>
    <w:rsid w:val="005C58B5"/>
    <w:rsid w:val="005C617E"/>
    <w:rsid w:val="005C6EEE"/>
    <w:rsid w:val="005C789C"/>
    <w:rsid w:val="005D0664"/>
    <w:rsid w:val="005D0F6E"/>
    <w:rsid w:val="005D5515"/>
    <w:rsid w:val="005D6DF6"/>
    <w:rsid w:val="005E02FB"/>
    <w:rsid w:val="005E0539"/>
    <w:rsid w:val="005E5A2A"/>
    <w:rsid w:val="005E7E19"/>
    <w:rsid w:val="005F06E8"/>
    <w:rsid w:val="005F077B"/>
    <w:rsid w:val="005F5966"/>
    <w:rsid w:val="005F66F0"/>
    <w:rsid w:val="00602798"/>
    <w:rsid w:val="00602B56"/>
    <w:rsid w:val="00605468"/>
    <w:rsid w:val="00612EE1"/>
    <w:rsid w:val="006139A0"/>
    <w:rsid w:val="006139BF"/>
    <w:rsid w:val="006144D0"/>
    <w:rsid w:val="0061545E"/>
    <w:rsid w:val="0061568D"/>
    <w:rsid w:val="00617AA0"/>
    <w:rsid w:val="00622424"/>
    <w:rsid w:val="00623DD5"/>
    <w:rsid w:val="0062527C"/>
    <w:rsid w:val="00630C6D"/>
    <w:rsid w:val="00631D94"/>
    <w:rsid w:val="00634A13"/>
    <w:rsid w:val="00636D4A"/>
    <w:rsid w:val="006412C5"/>
    <w:rsid w:val="006416F4"/>
    <w:rsid w:val="006417F5"/>
    <w:rsid w:val="00643592"/>
    <w:rsid w:val="0064641C"/>
    <w:rsid w:val="00647F0E"/>
    <w:rsid w:val="00651213"/>
    <w:rsid w:val="00655BA9"/>
    <w:rsid w:val="00656F4B"/>
    <w:rsid w:val="00660017"/>
    <w:rsid w:val="006627D4"/>
    <w:rsid w:val="006632A3"/>
    <w:rsid w:val="00665748"/>
    <w:rsid w:val="00666C20"/>
    <w:rsid w:val="00672D3E"/>
    <w:rsid w:val="0068101F"/>
    <w:rsid w:val="006810A5"/>
    <w:rsid w:val="0068518D"/>
    <w:rsid w:val="00686AC3"/>
    <w:rsid w:val="00691E9B"/>
    <w:rsid w:val="006936CB"/>
    <w:rsid w:val="00694B50"/>
    <w:rsid w:val="00695C65"/>
    <w:rsid w:val="006976FB"/>
    <w:rsid w:val="006A0388"/>
    <w:rsid w:val="006A0F3A"/>
    <w:rsid w:val="006A33C9"/>
    <w:rsid w:val="006A3F82"/>
    <w:rsid w:val="006A60E5"/>
    <w:rsid w:val="006B6A10"/>
    <w:rsid w:val="006C50CB"/>
    <w:rsid w:val="006C6B91"/>
    <w:rsid w:val="006D000F"/>
    <w:rsid w:val="006D3AB5"/>
    <w:rsid w:val="006D5C1D"/>
    <w:rsid w:val="006D788E"/>
    <w:rsid w:val="006E12F5"/>
    <w:rsid w:val="006E5420"/>
    <w:rsid w:val="006F1596"/>
    <w:rsid w:val="006F1EA6"/>
    <w:rsid w:val="006F1F2A"/>
    <w:rsid w:val="00702689"/>
    <w:rsid w:val="00710264"/>
    <w:rsid w:val="00712ED7"/>
    <w:rsid w:val="007150F2"/>
    <w:rsid w:val="00715296"/>
    <w:rsid w:val="00720B31"/>
    <w:rsid w:val="007246BD"/>
    <w:rsid w:val="007267B7"/>
    <w:rsid w:val="007273C7"/>
    <w:rsid w:val="00730703"/>
    <w:rsid w:val="00731CB8"/>
    <w:rsid w:val="00732733"/>
    <w:rsid w:val="007358FC"/>
    <w:rsid w:val="007364F5"/>
    <w:rsid w:val="00740E40"/>
    <w:rsid w:val="0074163D"/>
    <w:rsid w:val="007459C2"/>
    <w:rsid w:val="0074694A"/>
    <w:rsid w:val="00753787"/>
    <w:rsid w:val="00761D02"/>
    <w:rsid w:val="00762B0D"/>
    <w:rsid w:val="00765DE1"/>
    <w:rsid w:val="00782572"/>
    <w:rsid w:val="00782FA7"/>
    <w:rsid w:val="00785D60"/>
    <w:rsid w:val="00786BBF"/>
    <w:rsid w:val="00790DAD"/>
    <w:rsid w:val="00791432"/>
    <w:rsid w:val="00791D0D"/>
    <w:rsid w:val="00793D12"/>
    <w:rsid w:val="007943DC"/>
    <w:rsid w:val="0079543B"/>
    <w:rsid w:val="0079572F"/>
    <w:rsid w:val="00796E57"/>
    <w:rsid w:val="00797253"/>
    <w:rsid w:val="007A0C39"/>
    <w:rsid w:val="007A0D5F"/>
    <w:rsid w:val="007A519D"/>
    <w:rsid w:val="007B1BB4"/>
    <w:rsid w:val="007B5FB7"/>
    <w:rsid w:val="007B6486"/>
    <w:rsid w:val="007C2E7F"/>
    <w:rsid w:val="007C4245"/>
    <w:rsid w:val="007C537C"/>
    <w:rsid w:val="007C684D"/>
    <w:rsid w:val="007D5748"/>
    <w:rsid w:val="007D61B5"/>
    <w:rsid w:val="007E33A6"/>
    <w:rsid w:val="007E778A"/>
    <w:rsid w:val="007F15F4"/>
    <w:rsid w:val="007F1C56"/>
    <w:rsid w:val="007F21A0"/>
    <w:rsid w:val="007F3D14"/>
    <w:rsid w:val="007F511F"/>
    <w:rsid w:val="007F72FB"/>
    <w:rsid w:val="008015DE"/>
    <w:rsid w:val="008046D8"/>
    <w:rsid w:val="008050F8"/>
    <w:rsid w:val="00805DE1"/>
    <w:rsid w:val="008132A4"/>
    <w:rsid w:val="008144ED"/>
    <w:rsid w:val="008147F9"/>
    <w:rsid w:val="008159DF"/>
    <w:rsid w:val="0082106A"/>
    <w:rsid w:val="008210BD"/>
    <w:rsid w:val="008218D2"/>
    <w:rsid w:val="00825F73"/>
    <w:rsid w:val="00831E3F"/>
    <w:rsid w:val="0083222F"/>
    <w:rsid w:val="0083333A"/>
    <w:rsid w:val="00835637"/>
    <w:rsid w:val="00837B07"/>
    <w:rsid w:val="008418DA"/>
    <w:rsid w:val="00843E52"/>
    <w:rsid w:val="00846EFD"/>
    <w:rsid w:val="0085097D"/>
    <w:rsid w:val="008514FB"/>
    <w:rsid w:val="00853413"/>
    <w:rsid w:val="00853959"/>
    <w:rsid w:val="008545D4"/>
    <w:rsid w:val="00857D73"/>
    <w:rsid w:val="00861800"/>
    <w:rsid w:val="00864BAA"/>
    <w:rsid w:val="00866554"/>
    <w:rsid w:val="00866FE4"/>
    <w:rsid w:val="008672BE"/>
    <w:rsid w:val="00870931"/>
    <w:rsid w:val="00872995"/>
    <w:rsid w:val="00873368"/>
    <w:rsid w:val="0089092F"/>
    <w:rsid w:val="00890F15"/>
    <w:rsid w:val="00891B6D"/>
    <w:rsid w:val="00893B84"/>
    <w:rsid w:val="008945CB"/>
    <w:rsid w:val="00897C4C"/>
    <w:rsid w:val="008A0426"/>
    <w:rsid w:val="008A088D"/>
    <w:rsid w:val="008A1967"/>
    <w:rsid w:val="008A1FB3"/>
    <w:rsid w:val="008A7763"/>
    <w:rsid w:val="008B0449"/>
    <w:rsid w:val="008B2AD4"/>
    <w:rsid w:val="008B46D4"/>
    <w:rsid w:val="008B541B"/>
    <w:rsid w:val="008B5A58"/>
    <w:rsid w:val="008B66F5"/>
    <w:rsid w:val="008B6A9F"/>
    <w:rsid w:val="008B7D2A"/>
    <w:rsid w:val="008C6B12"/>
    <w:rsid w:val="008D0181"/>
    <w:rsid w:val="008D0DF3"/>
    <w:rsid w:val="008D2801"/>
    <w:rsid w:val="008D339D"/>
    <w:rsid w:val="008D660F"/>
    <w:rsid w:val="008D6EA1"/>
    <w:rsid w:val="008E15DA"/>
    <w:rsid w:val="008E2736"/>
    <w:rsid w:val="008E59EB"/>
    <w:rsid w:val="008E5C3D"/>
    <w:rsid w:val="008E6C99"/>
    <w:rsid w:val="008E784D"/>
    <w:rsid w:val="008E7C7C"/>
    <w:rsid w:val="008F49A8"/>
    <w:rsid w:val="009012CD"/>
    <w:rsid w:val="00902080"/>
    <w:rsid w:val="009028C0"/>
    <w:rsid w:val="00903CE5"/>
    <w:rsid w:val="009070F0"/>
    <w:rsid w:val="0091065A"/>
    <w:rsid w:val="00910764"/>
    <w:rsid w:val="009121E5"/>
    <w:rsid w:val="00913F1D"/>
    <w:rsid w:val="00915E7E"/>
    <w:rsid w:val="00916C00"/>
    <w:rsid w:val="00920524"/>
    <w:rsid w:val="009235E1"/>
    <w:rsid w:val="00923BB5"/>
    <w:rsid w:val="009253F0"/>
    <w:rsid w:val="00926679"/>
    <w:rsid w:val="00927665"/>
    <w:rsid w:val="00941828"/>
    <w:rsid w:val="00942C13"/>
    <w:rsid w:val="00950DC8"/>
    <w:rsid w:val="009562BB"/>
    <w:rsid w:val="00956D20"/>
    <w:rsid w:val="00957161"/>
    <w:rsid w:val="009619CF"/>
    <w:rsid w:val="00964E1F"/>
    <w:rsid w:val="00967FAC"/>
    <w:rsid w:val="009706A2"/>
    <w:rsid w:val="009706B7"/>
    <w:rsid w:val="00970775"/>
    <w:rsid w:val="00974854"/>
    <w:rsid w:val="00977913"/>
    <w:rsid w:val="0098095C"/>
    <w:rsid w:val="00981B3A"/>
    <w:rsid w:val="00982FC2"/>
    <w:rsid w:val="00985455"/>
    <w:rsid w:val="00987F10"/>
    <w:rsid w:val="009935DA"/>
    <w:rsid w:val="00996BAC"/>
    <w:rsid w:val="00997490"/>
    <w:rsid w:val="009A17C7"/>
    <w:rsid w:val="009A17EA"/>
    <w:rsid w:val="009A5258"/>
    <w:rsid w:val="009A5A3C"/>
    <w:rsid w:val="009A78DA"/>
    <w:rsid w:val="009B23F9"/>
    <w:rsid w:val="009B355C"/>
    <w:rsid w:val="009B39B2"/>
    <w:rsid w:val="009B3D08"/>
    <w:rsid w:val="009B3F00"/>
    <w:rsid w:val="009B5C19"/>
    <w:rsid w:val="009C44BB"/>
    <w:rsid w:val="009C458D"/>
    <w:rsid w:val="009C4678"/>
    <w:rsid w:val="009C4F9A"/>
    <w:rsid w:val="009C576C"/>
    <w:rsid w:val="009C5EF3"/>
    <w:rsid w:val="009C6B26"/>
    <w:rsid w:val="009D34C3"/>
    <w:rsid w:val="009D3C04"/>
    <w:rsid w:val="009E0530"/>
    <w:rsid w:val="009E089E"/>
    <w:rsid w:val="009E1E31"/>
    <w:rsid w:val="009E2092"/>
    <w:rsid w:val="009E4F02"/>
    <w:rsid w:val="009E7615"/>
    <w:rsid w:val="009F5E85"/>
    <w:rsid w:val="009F645D"/>
    <w:rsid w:val="00A037D0"/>
    <w:rsid w:val="00A04DD5"/>
    <w:rsid w:val="00A05BD8"/>
    <w:rsid w:val="00A10009"/>
    <w:rsid w:val="00A1056A"/>
    <w:rsid w:val="00A10C62"/>
    <w:rsid w:val="00A15D2A"/>
    <w:rsid w:val="00A24B84"/>
    <w:rsid w:val="00A26A3F"/>
    <w:rsid w:val="00A26D50"/>
    <w:rsid w:val="00A32642"/>
    <w:rsid w:val="00A356E9"/>
    <w:rsid w:val="00A37599"/>
    <w:rsid w:val="00A40433"/>
    <w:rsid w:val="00A42E80"/>
    <w:rsid w:val="00A45FE2"/>
    <w:rsid w:val="00A50EDC"/>
    <w:rsid w:val="00A51B73"/>
    <w:rsid w:val="00A55131"/>
    <w:rsid w:val="00A61B91"/>
    <w:rsid w:val="00A67A65"/>
    <w:rsid w:val="00A7161B"/>
    <w:rsid w:val="00A71762"/>
    <w:rsid w:val="00A76AEB"/>
    <w:rsid w:val="00A801AD"/>
    <w:rsid w:val="00A8123C"/>
    <w:rsid w:val="00A8316C"/>
    <w:rsid w:val="00A83CB6"/>
    <w:rsid w:val="00A878DE"/>
    <w:rsid w:val="00A90FAC"/>
    <w:rsid w:val="00A94938"/>
    <w:rsid w:val="00A949EA"/>
    <w:rsid w:val="00A95711"/>
    <w:rsid w:val="00A97366"/>
    <w:rsid w:val="00AA1009"/>
    <w:rsid w:val="00AA4948"/>
    <w:rsid w:val="00AA525F"/>
    <w:rsid w:val="00AA5876"/>
    <w:rsid w:val="00AB3C25"/>
    <w:rsid w:val="00AB656A"/>
    <w:rsid w:val="00AC2FC5"/>
    <w:rsid w:val="00AC3971"/>
    <w:rsid w:val="00AC7B0A"/>
    <w:rsid w:val="00AD2874"/>
    <w:rsid w:val="00AD68A9"/>
    <w:rsid w:val="00AD6A93"/>
    <w:rsid w:val="00AD7A6C"/>
    <w:rsid w:val="00AE0791"/>
    <w:rsid w:val="00AE15E2"/>
    <w:rsid w:val="00AE1609"/>
    <w:rsid w:val="00AE56C8"/>
    <w:rsid w:val="00AF5464"/>
    <w:rsid w:val="00B00162"/>
    <w:rsid w:val="00B00DFA"/>
    <w:rsid w:val="00B01F02"/>
    <w:rsid w:val="00B02CB5"/>
    <w:rsid w:val="00B03EF7"/>
    <w:rsid w:val="00B058A4"/>
    <w:rsid w:val="00B109F2"/>
    <w:rsid w:val="00B20067"/>
    <w:rsid w:val="00B2048C"/>
    <w:rsid w:val="00B21D41"/>
    <w:rsid w:val="00B25DDE"/>
    <w:rsid w:val="00B260BE"/>
    <w:rsid w:val="00B36B33"/>
    <w:rsid w:val="00B37D06"/>
    <w:rsid w:val="00B41D28"/>
    <w:rsid w:val="00B42274"/>
    <w:rsid w:val="00B43725"/>
    <w:rsid w:val="00B441A9"/>
    <w:rsid w:val="00B44897"/>
    <w:rsid w:val="00B45419"/>
    <w:rsid w:val="00B45F5B"/>
    <w:rsid w:val="00B51A21"/>
    <w:rsid w:val="00B523CA"/>
    <w:rsid w:val="00B52D80"/>
    <w:rsid w:val="00B5535C"/>
    <w:rsid w:val="00B5556A"/>
    <w:rsid w:val="00B56ACD"/>
    <w:rsid w:val="00B5771B"/>
    <w:rsid w:val="00B604D3"/>
    <w:rsid w:val="00B639D7"/>
    <w:rsid w:val="00B63B10"/>
    <w:rsid w:val="00B65274"/>
    <w:rsid w:val="00B65727"/>
    <w:rsid w:val="00B6611A"/>
    <w:rsid w:val="00B67325"/>
    <w:rsid w:val="00B7109A"/>
    <w:rsid w:val="00B74471"/>
    <w:rsid w:val="00B7738C"/>
    <w:rsid w:val="00B801F3"/>
    <w:rsid w:val="00B80AC2"/>
    <w:rsid w:val="00B8137F"/>
    <w:rsid w:val="00B8447B"/>
    <w:rsid w:val="00B87F25"/>
    <w:rsid w:val="00B90F24"/>
    <w:rsid w:val="00B910BB"/>
    <w:rsid w:val="00B92B88"/>
    <w:rsid w:val="00B941D3"/>
    <w:rsid w:val="00B9629A"/>
    <w:rsid w:val="00BA0784"/>
    <w:rsid w:val="00BA22D7"/>
    <w:rsid w:val="00BA2AFD"/>
    <w:rsid w:val="00BA3E7B"/>
    <w:rsid w:val="00BA5575"/>
    <w:rsid w:val="00BA7754"/>
    <w:rsid w:val="00BB1DFF"/>
    <w:rsid w:val="00BB2B49"/>
    <w:rsid w:val="00BB455C"/>
    <w:rsid w:val="00BB7827"/>
    <w:rsid w:val="00BB7F52"/>
    <w:rsid w:val="00BC10D8"/>
    <w:rsid w:val="00BC2935"/>
    <w:rsid w:val="00BC493F"/>
    <w:rsid w:val="00BC6431"/>
    <w:rsid w:val="00BC79E7"/>
    <w:rsid w:val="00BD00EA"/>
    <w:rsid w:val="00BD05AE"/>
    <w:rsid w:val="00BD097A"/>
    <w:rsid w:val="00BD1F13"/>
    <w:rsid w:val="00BD3422"/>
    <w:rsid w:val="00BD6E96"/>
    <w:rsid w:val="00BD7444"/>
    <w:rsid w:val="00BE1B6D"/>
    <w:rsid w:val="00BE1F89"/>
    <w:rsid w:val="00BF441E"/>
    <w:rsid w:val="00C010A2"/>
    <w:rsid w:val="00C016A5"/>
    <w:rsid w:val="00C06CA5"/>
    <w:rsid w:val="00C14CAE"/>
    <w:rsid w:val="00C14DCC"/>
    <w:rsid w:val="00C15212"/>
    <w:rsid w:val="00C21A4A"/>
    <w:rsid w:val="00C22F3F"/>
    <w:rsid w:val="00C23460"/>
    <w:rsid w:val="00C2384C"/>
    <w:rsid w:val="00C268CD"/>
    <w:rsid w:val="00C26F60"/>
    <w:rsid w:val="00C31FE7"/>
    <w:rsid w:val="00C331FA"/>
    <w:rsid w:val="00C36008"/>
    <w:rsid w:val="00C42A15"/>
    <w:rsid w:val="00C45868"/>
    <w:rsid w:val="00C45A01"/>
    <w:rsid w:val="00C46629"/>
    <w:rsid w:val="00C47831"/>
    <w:rsid w:val="00C51A40"/>
    <w:rsid w:val="00C51FD4"/>
    <w:rsid w:val="00C529EF"/>
    <w:rsid w:val="00C5650A"/>
    <w:rsid w:val="00C61844"/>
    <w:rsid w:val="00C6201D"/>
    <w:rsid w:val="00C62C02"/>
    <w:rsid w:val="00C65C1F"/>
    <w:rsid w:val="00C66E8A"/>
    <w:rsid w:val="00C70956"/>
    <w:rsid w:val="00C7140D"/>
    <w:rsid w:val="00C834B4"/>
    <w:rsid w:val="00C85A2C"/>
    <w:rsid w:val="00C9399B"/>
    <w:rsid w:val="00C96236"/>
    <w:rsid w:val="00CA0683"/>
    <w:rsid w:val="00CA09D8"/>
    <w:rsid w:val="00CA0E25"/>
    <w:rsid w:val="00CA1DC8"/>
    <w:rsid w:val="00CA20AC"/>
    <w:rsid w:val="00CA2514"/>
    <w:rsid w:val="00CA4FA5"/>
    <w:rsid w:val="00CA63E6"/>
    <w:rsid w:val="00CA73EF"/>
    <w:rsid w:val="00CB0644"/>
    <w:rsid w:val="00CB0781"/>
    <w:rsid w:val="00CB1C78"/>
    <w:rsid w:val="00CB2DB6"/>
    <w:rsid w:val="00CB3623"/>
    <w:rsid w:val="00CB5D7B"/>
    <w:rsid w:val="00CB6A72"/>
    <w:rsid w:val="00CC2B42"/>
    <w:rsid w:val="00CC30F8"/>
    <w:rsid w:val="00CC772B"/>
    <w:rsid w:val="00CC7A4B"/>
    <w:rsid w:val="00CD0060"/>
    <w:rsid w:val="00CD2466"/>
    <w:rsid w:val="00CD38F0"/>
    <w:rsid w:val="00CD4629"/>
    <w:rsid w:val="00CD5602"/>
    <w:rsid w:val="00CD64F2"/>
    <w:rsid w:val="00CE156C"/>
    <w:rsid w:val="00CE299A"/>
    <w:rsid w:val="00CE7664"/>
    <w:rsid w:val="00CF049B"/>
    <w:rsid w:val="00CF1CE5"/>
    <w:rsid w:val="00CF3215"/>
    <w:rsid w:val="00CF4703"/>
    <w:rsid w:val="00CF5A55"/>
    <w:rsid w:val="00D01605"/>
    <w:rsid w:val="00D016C1"/>
    <w:rsid w:val="00D018A5"/>
    <w:rsid w:val="00D03701"/>
    <w:rsid w:val="00D0407A"/>
    <w:rsid w:val="00D0485E"/>
    <w:rsid w:val="00D05783"/>
    <w:rsid w:val="00D12056"/>
    <w:rsid w:val="00D150ED"/>
    <w:rsid w:val="00D1539A"/>
    <w:rsid w:val="00D16710"/>
    <w:rsid w:val="00D215D1"/>
    <w:rsid w:val="00D21AA1"/>
    <w:rsid w:val="00D25C88"/>
    <w:rsid w:val="00D275C8"/>
    <w:rsid w:val="00D2773E"/>
    <w:rsid w:val="00D3283A"/>
    <w:rsid w:val="00D42070"/>
    <w:rsid w:val="00D43F66"/>
    <w:rsid w:val="00D440A5"/>
    <w:rsid w:val="00D46D23"/>
    <w:rsid w:val="00D53855"/>
    <w:rsid w:val="00D565B9"/>
    <w:rsid w:val="00D56EB2"/>
    <w:rsid w:val="00D57052"/>
    <w:rsid w:val="00D57829"/>
    <w:rsid w:val="00D57F7E"/>
    <w:rsid w:val="00D61AAD"/>
    <w:rsid w:val="00D71DD4"/>
    <w:rsid w:val="00D746E7"/>
    <w:rsid w:val="00D76073"/>
    <w:rsid w:val="00D76D8F"/>
    <w:rsid w:val="00D80712"/>
    <w:rsid w:val="00D92598"/>
    <w:rsid w:val="00D92D77"/>
    <w:rsid w:val="00DB0DC0"/>
    <w:rsid w:val="00DB1C7D"/>
    <w:rsid w:val="00DB3A11"/>
    <w:rsid w:val="00DB4E90"/>
    <w:rsid w:val="00DB6F7E"/>
    <w:rsid w:val="00DC0505"/>
    <w:rsid w:val="00DC3D83"/>
    <w:rsid w:val="00DC4170"/>
    <w:rsid w:val="00DC521F"/>
    <w:rsid w:val="00DC5470"/>
    <w:rsid w:val="00DC675E"/>
    <w:rsid w:val="00DC6DAE"/>
    <w:rsid w:val="00DD2769"/>
    <w:rsid w:val="00DD2805"/>
    <w:rsid w:val="00DD79A1"/>
    <w:rsid w:val="00DE1CF1"/>
    <w:rsid w:val="00DE392D"/>
    <w:rsid w:val="00DE5BF1"/>
    <w:rsid w:val="00DF1D5B"/>
    <w:rsid w:val="00DF2466"/>
    <w:rsid w:val="00DF688B"/>
    <w:rsid w:val="00E02760"/>
    <w:rsid w:val="00E028F9"/>
    <w:rsid w:val="00E03938"/>
    <w:rsid w:val="00E03BE7"/>
    <w:rsid w:val="00E05595"/>
    <w:rsid w:val="00E07CE9"/>
    <w:rsid w:val="00E14014"/>
    <w:rsid w:val="00E16871"/>
    <w:rsid w:val="00E20D39"/>
    <w:rsid w:val="00E21461"/>
    <w:rsid w:val="00E2311B"/>
    <w:rsid w:val="00E26305"/>
    <w:rsid w:val="00E26D23"/>
    <w:rsid w:val="00E340DD"/>
    <w:rsid w:val="00E3657F"/>
    <w:rsid w:val="00E37719"/>
    <w:rsid w:val="00E410A7"/>
    <w:rsid w:val="00E41370"/>
    <w:rsid w:val="00E41670"/>
    <w:rsid w:val="00E444BE"/>
    <w:rsid w:val="00E45F02"/>
    <w:rsid w:val="00E46F16"/>
    <w:rsid w:val="00E53873"/>
    <w:rsid w:val="00E54194"/>
    <w:rsid w:val="00E57EEA"/>
    <w:rsid w:val="00E6083B"/>
    <w:rsid w:val="00E62409"/>
    <w:rsid w:val="00E63BF2"/>
    <w:rsid w:val="00E63EF2"/>
    <w:rsid w:val="00E64A7D"/>
    <w:rsid w:val="00E65750"/>
    <w:rsid w:val="00E724CF"/>
    <w:rsid w:val="00E73EB1"/>
    <w:rsid w:val="00E775DF"/>
    <w:rsid w:val="00E80F34"/>
    <w:rsid w:val="00E81B3A"/>
    <w:rsid w:val="00E90840"/>
    <w:rsid w:val="00E90C63"/>
    <w:rsid w:val="00E9239A"/>
    <w:rsid w:val="00E929E1"/>
    <w:rsid w:val="00E9528C"/>
    <w:rsid w:val="00E963A3"/>
    <w:rsid w:val="00EA1596"/>
    <w:rsid w:val="00EA1E90"/>
    <w:rsid w:val="00EA2EE3"/>
    <w:rsid w:val="00EA4ABA"/>
    <w:rsid w:val="00EA54B7"/>
    <w:rsid w:val="00EA569D"/>
    <w:rsid w:val="00EB0800"/>
    <w:rsid w:val="00EB188F"/>
    <w:rsid w:val="00EB59C8"/>
    <w:rsid w:val="00EB67AC"/>
    <w:rsid w:val="00EC3664"/>
    <w:rsid w:val="00EC59C8"/>
    <w:rsid w:val="00EC7E4C"/>
    <w:rsid w:val="00ED0E39"/>
    <w:rsid w:val="00EE04E8"/>
    <w:rsid w:val="00EE1A67"/>
    <w:rsid w:val="00EE776C"/>
    <w:rsid w:val="00EF4610"/>
    <w:rsid w:val="00EF4BB2"/>
    <w:rsid w:val="00EF4D62"/>
    <w:rsid w:val="00EF4D78"/>
    <w:rsid w:val="00EF58F5"/>
    <w:rsid w:val="00F007D0"/>
    <w:rsid w:val="00F02D9F"/>
    <w:rsid w:val="00F05B78"/>
    <w:rsid w:val="00F07630"/>
    <w:rsid w:val="00F07B42"/>
    <w:rsid w:val="00F13D7D"/>
    <w:rsid w:val="00F14687"/>
    <w:rsid w:val="00F23342"/>
    <w:rsid w:val="00F253D0"/>
    <w:rsid w:val="00F26881"/>
    <w:rsid w:val="00F26D86"/>
    <w:rsid w:val="00F33299"/>
    <w:rsid w:val="00F337DF"/>
    <w:rsid w:val="00F350C3"/>
    <w:rsid w:val="00F352FB"/>
    <w:rsid w:val="00F35DD6"/>
    <w:rsid w:val="00F40136"/>
    <w:rsid w:val="00F46B32"/>
    <w:rsid w:val="00F526F6"/>
    <w:rsid w:val="00F5330B"/>
    <w:rsid w:val="00F53CFA"/>
    <w:rsid w:val="00F611CE"/>
    <w:rsid w:val="00F615D8"/>
    <w:rsid w:val="00F61C90"/>
    <w:rsid w:val="00F6488A"/>
    <w:rsid w:val="00F67072"/>
    <w:rsid w:val="00F67319"/>
    <w:rsid w:val="00F71DCB"/>
    <w:rsid w:val="00F751CC"/>
    <w:rsid w:val="00F757ED"/>
    <w:rsid w:val="00F77641"/>
    <w:rsid w:val="00F83159"/>
    <w:rsid w:val="00F838ED"/>
    <w:rsid w:val="00F97DAF"/>
    <w:rsid w:val="00FA4FB8"/>
    <w:rsid w:val="00FA68ED"/>
    <w:rsid w:val="00FA6AE4"/>
    <w:rsid w:val="00FA6E17"/>
    <w:rsid w:val="00FA7BF2"/>
    <w:rsid w:val="00FB0211"/>
    <w:rsid w:val="00FB0F68"/>
    <w:rsid w:val="00FB1EF2"/>
    <w:rsid w:val="00FB2E28"/>
    <w:rsid w:val="00FB5424"/>
    <w:rsid w:val="00FC2E87"/>
    <w:rsid w:val="00FC5EC4"/>
    <w:rsid w:val="00FD0692"/>
    <w:rsid w:val="00FD2240"/>
    <w:rsid w:val="00FD3D16"/>
    <w:rsid w:val="00FD4BAF"/>
    <w:rsid w:val="00FD6DCE"/>
    <w:rsid w:val="00FD7059"/>
    <w:rsid w:val="00FE0BE9"/>
    <w:rsid w:val="00FE1945"/>
    <w:rsid w:val="00FE3959"/>
    <w:rsid w:val="00FE3A12"/>
    <w:rsid w:val="00FE4E18"/>
    <w:rsid w:val="00FE50E6"/>
    <w:rsid w:val="00FF004B"/>
    <w:rsid w:val="00FF0EBD"/>
    <w:rsid w:val="00FF12B1"/>
    <w:rsid w:val="00FF4C38"/>
    <w:rsid w:val="00FF5422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453E6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866554"/>
    <w:pPr>
      <w:ind w:left="720"/>
      <w:contextualSpacing/>
    </w:pPr>
    <w:rPr>
      <w:rFonts w:ascii="Calibri" w:hAnsi="Calibri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C7640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9063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90633"/>
    <w:rPr>
      <w:rFonts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qFormat/>
    <w:locked/>
    <w:rsid w:val="00656F4B"/>
    <w:rPr>
      <w:rFonts w:ascii="Calibri" w:hAnsi="Calibri" w:cs="Times New Roman"/>
      <w:lang w:val="en-US"/>
    </w:rPr>
  </w:style>
  <w:style w:type="paragraph" w:styleId="Normlnywebov">
    <w:name w:val="Normal (Web)"/>
    <w:basedOn w:val="Normlny"/>
    <w:uiPriority w:val="99"/>
    <w:rsid w:val="002D7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3B1714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paragraph" w:styleId="Bezriadkovania">
    <w:name w:val="No Spacing"/>
    <w:uiPriority w:val="1"/>
    <w:qFormat/>
    <w:rsid w:val="003B1714"/>
    <w:pPr>
      <w:spacing w:after="0" w:line="240" w:lineRule="auto"/>
    </w:pPr>
    <w:rPr>
      <w:rFonts w:eastAsiaTheme="minorEastAsia" w:cs="Times New Roman"/>
      <w:lang w:eastAsia="sk-SK"/>
    </w:rPr>
  </w:style>
  <w:style w:type="table" w:styleId="Mriekatabuky">
    <w:name w:val="Table Grid"/>
    <w:basedOn w:val="Normlnatabuka"/>
    <w:uiPriority w:val="59"/>
    <w:rsid w:val="002C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453E6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866554"/>
    <w:pPr>
      <w:ind w:left="720"/>
      <w:contextualSpacing/>
    </w:pPr>
    <w:rPr>
      <w:rFonts w:ascii="Calibri" w:hAnsi="Calibri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C7640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9063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90633"/>
    <w:rPr>
      <w:rFonts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qFormat/>
    <w:locked/>
    <w:rsid w:val="00656F4B"/>
    <w:rPr>
      <w:rFonts w:ascii="Calibri" w:hAnsi="Calibri" w:cs="Times New Roman"/>
      <w:lang w:val="en-US"/>
    </w:rPr>
  </w:style>
  <w:style w:type="paragraph" w:styleId="Normlnywebov">
    <w:name w:val="Normal (Web)"/>
    <w:basedOn w:val="Normlny"/>
    <w:uiPriority w:val="99"/>
    <w:rsid w:val="002D7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3B1714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paragraph" w:styleId="Bezriadkovania">
    <w:name w:val="No Spacing"/>
    <w:uiPriority w:val="1"/>
    <w:qFormat/>
    <w:rsid w:val="003B1714"/>
    <w:pPr>
      <w:spacing w:after="0" w:line="240" w:lineRule="auto"/>
    </w:pPr>
    <w:rPr>
      <w:rFonts w:eastAsiaTheme="minorEastAsia" w:cs="Times New Roman"/>
      <w:lang w:eastAsia="sk-SK"/>
    </w:rPr>
  </w:style>
  <w:style w:type="table" w:styleId="Mriekatabuky">
    <w:name w:val="Table Grid"/>
    <w:basedOn w:val="Normlnatabuka"/>
    <w:uiPriority w:val="59"/>
    <w:rsid w:val="002C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analyza_vplyv_na_rozpocet_verejnej_spravy"/>
    <f:field ref="objsubject" par="" edit="true" text=""/>
    <f:field ref="objcreatedby" par="" text="Szakácsová, Zuzana, Mgr."/>
    <f:field ref="objcreatedat" par="" text="4.6.2019 16:27:10"/>
    <f:field ref="objchangedby" par="" text="Administrator, System"/>
    <f:field ref="objmodifiedat" par="" text="4.6.2019 16:27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29C1E-E4D9-473C-904B-E2B5F09CD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CE37984-4287-4FF1-A123-407D125E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Danček Miroslav</dc:creator>
  <cp:lastModifiedBy>Cebulakova Monika</cp:lastModifiedBy>
  <cp:revision>3</cp:revision>
  <cp:lastPrinted>2019-02-27T09:24:00Z</cp:lastPrinted>
  <dcterms:created xsi:type="dcterms:W3CDTF">2019-11-28T09:54:00Z</dcterms:created>
  <dcterms:modified xsi:type="dcterms:W3CDTF">2019-11-28T09:58:00Z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578/2004 Z. z. o poskytovateľoch zdravotnej starostlivosti, zdravotníckych pracovníkoch, stavovských organizáciách v zdravotníctve a o zmene a doplnení niektorých zákon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2019</vt:lpwstr>
  </property>
  <property fmtid="{D5CDD505-2E9C-101B-9397-08002B2CF9AE}" pid="23" name="FSC#SKEDITIONSLOVLEX@103.510:plnynazovpredpis">
    <vt:lpwstr> Zákon,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S06794-2019-OL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LP/2019/453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nie je</vt:lpwstr>
  </property>
  <property fmtid="{D5CDD505-2E9C-101B-9397-08002B2CF9AE}" pid="47" name="FSC#SKEDITIONSLOVLEX@103.510:AttrStrListDocPropSekundarneLegPravoPO">
    <vt:lpwstr>Smernica Rady 2013/59/Euratom z 5. decembra 2013, ktorou sa stanovujú základné bezpečnostné normy ochrany pred nebezpečenstvami vznikajúcimi v dôsledku ionizujúceho žiarenia, a ktorou sa zrušujú smernice 89/618/Euratom, 90/641/Euratom, 96/29/Euratom, 97/4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mie je</vt:lpwstr>
  </property>
  <property fmtid="{D5CDD505-2E9C-101B-9397-08002B2CF9AE}" pid="52" name="FSC#SKEDITIONSLOVLEX@103.510:AttrStrListDocPropLehotaPrebratieSmernice">
    <vt:lpwstr>Smernica prebratá do zákona č. 87/2018 Z. z. o radiačnej ochrane a o zmene a doplnení niektorých zákonov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nezačalo</vt:lpwstr>
  </property>
  <property fmtid="{D5CDD505-2E9C-101B-9397-08002B2CF9AE}" pid="55" name="FSC#SKEDITIONSLOVLEX@103.510:AttrStrListDocPropInfoUzPreberanePP">
    <vt:lpwstr>- zákon č. 87/2018 Z. z. o radiačnej ochrane a o zmene a doplnení niektorých zákonov_x000d_
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Negatívne</vt:lpwstr>
  </property>
  <property fmtid="{D5CDD505-2E9C-101B-9397-08002B2CF9AE}" pid="65" name="FSC#SKEDITIONSLOVLEX@103.510:AttrStrListDocPropPoznamkaVplyv">
    <vt:lpwstr>&lt;p&gt;&lt;u&gt;Vplyvy na rozpočet verejnej správy&lt;/u&gt; – uvedená právna úprava zakladá negatívny vplyv na rozpočet verejnej správy v&amp;nbsp;dôsledku predĺženia obdobia na poskytovanie dávky ošetrovné, zavedenia možnosti čerpania ošetrovného v&amp;nbsp;prípade domácej sta</vt:lpwstr>
  </property>
  <property fmtid="{D5CDD505-2E9C-101B-9397-08002B2CF9AE}" pid="66" name="FSC#SKEDITIONSLOVLEX@103.510:AttrStrListDocPropAltRiesenia">
    <vt:lpwstr>Nie sú. Nulový variant: Slovenská republika napriek zdrojom vynakladaným na zdravotnú starostlivosť, nedosahuje v parametroch kvality poskytovania zdravotnej starostlivosti čísla, ktoré dosahujú vyspelejšie západoeurópske krajiny, či už je to dĺžka hospit</vt:lpwstr>
  </property>
  <property fmtid="{D5CDD505-2E9C-101B-9397-08002B2CF9AE}" pid="67" name="FSC#SKEDITIONSLOVLEX@103.510:AttrStrListDocPropStanoviskoGest">
    <vt:lpwstr>&lt;p style="margin: 0cm 0cm 0pt; text-align: justify;"&gt;&lt;span style="font-size: 10pt;"&gt;Stanovisko komisie&lt;/span&gt;&lt;/p&gt;&lt;p style="margin: 0cm 0cm 0pt; text-align: justify;"&gt;&lt;span style="font-size: 10pt;"&gt;&amp;nbsp;&lt;strong&gt;(K udeleniu výnimky z procesu)&lt;/strong&gt;&lt;/spa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zákona, ktorým sa mení a dopĺňa zákon č. 581/2004 Z. z. o zdravotných poisťovniach, dohľade nad zdravotnou starostlivosťou a o zmene a doplnení niektorých zákonov v znení neskorších predpi</vt:lpwstr>
  </property>
  <property fmtid="{D5CDD505-2E9C-101B-9397-08002B2CF9AE}" pid="150" name="FSC#SKEDITIONSLOVLEX@103.510:vytvorenedna">
    <vt:lpwstr>4. 6. 2019</vt:lpwstr>
  </property>
  <property fmtid="{D5CDD505-2E9C-101B-9397-08002B2CF9AE}" pid="151" name="FSC#COOSYSTEM@1.1:Container">
    <vt:lpwstr>COO.2145.1000.3.3409825</vt:lpwstr>
  </property>
  <property fmtid="{D5CDD505-2E9C-101B-9397-08002B2CF9AE}" pid="152" name="FSC#FSCFOLIO@1.1001:docpropproject">
    <vt:lpwstr/>
  </property>
</Properties>
</file>