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1E" w:rsidRDefault="00CF631E" w:rsidP="00CF631E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CF631E" w:rsidRDefault="00CF631E" w:rsidP="00CF631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CF631E" w:rsidRDefault="00CF631E" w:rsidP="00CF631E">
      <w:pPr>
        <w:jc w:val="center"/>
        <w:rPr>
          <w:rFonts w:ascii="Arial" w:hAnsi="Arial" w:cs="Arial"/>
          <w:b/>
          <w:bCs/>
          <w:sz w:val="28"/>
        </w:rPr>
      </w:pPr>
    </w:p>
    <w:p w:rsidR="00CF631E" w:rsidRDefault="00CF631E" w:rsidP="00CF631E">
      <w:pPr>
        <w:jc w:val="center"/>
        <w:rPr>
          <w:rFonts w:ascii="Arial" w:hAnsi="Arial" w:cs="Arial"/>
          <w:b/>
          <w:bCs/>
          <w:sz w:val="28"/>
        </w:rPr>
      </w:pPr>
    </w:p>
    <w:p w:rsidR="00CF631E" w:rsidRDefault="00CF631E" w:rsidP="00CF631E">
      <w:pPr>
        <w:jc w:val="both"/>
        <w:rPr>
          <w:rFonts w:ascii="Arial" w:hAnsi="Arial" w:cs="Arial"/>
        </w:rPr>
      </w:pPr>
    </w:p>
    <w:p w:rsidR="00CF631E" w:rsidRDefault="00CF631E" w:rsidP="00CF63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CRD-1981/2019</w:t>
      </w:r>
    </w:p>
    <w:p w:rsidR="00CF631E" w:rsidRDefault="00CF631E" w:rsidP="00CF631E">
      <w:pPr>
        <w:jc w:val="both"/>
        <w:rPr>
          <w:rFonts w:ascii="Arial" w:hAnsi="Arial" w:cs="Arial"/>
        </w:rPr>
      </w:pPr>
    </w:p>
    <w:p w:rsidR="00CF631E" w:rsidRDefault="00CF631E" w:rsidP="00CF631E">
      <w:pPr>
        <w:rPr>
          <w:rFonts w:ascii="Arial" w:hAnsi="Arial" w:cs="Arial"/>
          <w:b/>
          <w:bCs/>
          <w:sz w:val="32"/>
          <w:szCs w:val="32"/>
        </w:rPr>
      </w:pPr>
    </w:p>
    <w:p w:rsidR="00CF631E" w:rsidRDefault="00CF631E" w:rsidP="00CF63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F631E" w:rsidRDefault="00CF631E" w:rsidP="00CF631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1683a</w:t>
      </w:r>
    </w:p>
    <w:p w:rsidR="00CF631E" w:rsidRDefault="00CF631E" w:rsidP="00CF631E">
      <w:pPr>
        <w:jc w:val="center"/>
        <w:rPr>
          <w:rFonts w:ascii="Arial" w:hAnsi="Arial" w:cs="Arial"/>
          <w:b/>
          <w:bCs/>
          <w:sz w:val="28"/>
        </w:rPr>
      </w:pPr>
    </w:p>
    <w:p w:rsidR="00CF631E" w:rsidRDefault="00CF631E" w:rsidP="00CF631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CF631E" w:rsidRDefault="00CF631E" w:rsidP="00CF631E">
      <w:pPr>
        <w:jc w:val="center"/>
        <w:rPr>
          <w:rFonts w:ascii="Arial" w:hAnsi="Arial" w:cs="Arial"/>
          <w:b/>
          <w:bCs/>
          <w:sz w:val="28"/>
        </w:rPr>
      </w:pPr>
    </w:p>
    <w:p w:rsidR="00CF631E" w:rsidRDefault="00CF631E" w:rsidP="00CF631E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vládneho návrhu zákona, ktorým sa mení a dopĺňa zákon Slovenskej národnej rady č. 330/1991 Zb. o pozemkových úpravách, usporiadaní pozemkového vlastníctva, pozemkových úradoch, pozemkovom fonde a o pozemkových spoločenstvách v znení neskorších predpisov a ktorým sa menia a dopĺňajú niektoré zákony (tlač 1683) vo výboroch Národnej rady Slovenskej republiky v druhom čítaní</w:t>
      </w:r>
    </w:p>
    <w:p w:rsidR="00CF631E" w:rsidRDefault="00CF631E" w:rsidP="00CF631E">
      <w:pPr>
        <w:jc w:val="both"/>
        <w:rPr>
          <w:rFonts w:ascii="Arial" w:hAnsi="Arial" w:cs="Arial"/>
          <w:b/>
          <w:bCs/>
        </w:rPr>
      </w:pPr>
    </w:p>
    <w:p w:rsidR="00CF631E" w:rsidRDefault="00CF631E" w:rsidP="00CF631E">
      <w:pPr>
        <w:jc w:val="both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CF631E" w:rsidRDefault="00CF631E" w:rsidP="00CF631E">
      <w:pPr>
        <w:jc w:val="both"/>
        <w:rPr>
          <w:rFonts w:ascii="Arial" w:hAnsi="Arial" w:cs="Arial"/>
        </w:rPr>
      </w:pPr>
    </w:p>
    <w:p w:rsidR="00CF631E" w:rsidRDefault="00CF631E" w:rsidP="00CF631E">
      <w:pPr>
        <w:jc w:val="both"/>
        <w:rPr>
          <w:rFonts w:ascii="Arial" w:hAnsi="Arial" w:cs="Arial"/>
        </w:rPr>
      </w:pPr>
    </w:p>
    <w:p w:rsidR="00CF631E" w:rsidRDefault="00CF631E" w:rsidP="00CF631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CF631E" w:rsidRDefault="00CF631E" w:rsidP="00CF631E">
      <w:pPr>
        <w:jc w:val="both"/>
        <w:rPr>
          <w:rFonts w:ascii="Arial" w:hAnsi="Arial" w:cs="Arial"/>
        </w:rPr>
      </w:pPr>
    </w:p>
    <w:p w:rsidR="00CF631E" w:rsidRDefault="00CF631E" w:rsidP="00CF63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25C53">
        <w:rPr>
          <w:rFonts w:ascii="Arial" w:hAnsi="Arial" w:cs="Arial"/>
        </w:rPr>
        <w:t>skej republiky uznesením č. 2123 z 15. októbra</w:t>
      </w:r>
      <w:r w:rsidR="00CF7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pridelila vládny návrh </w:t>
      </w:r>
      <w:r>
        <w:rPr>
          <w:rFonts w:ascii="Arial" w:hAnsi="Arial" w:cs="Arial"/>
          <w:bCs/>
        </w:rPr>
        <w:t xml:space="preserve">zákona, ktorým sa mení a dopĺňa zákon </w:t>
      </w:r>
      <w:r w:rsidRPr="00CF631E">
        <w:rPr>
          <w:rFonts w:ascii="Arial" w:hAnsi="Arial" w:cs="Arial"/>
          <w:bCs/>
        </w:rPr>
        <w:t>Slovenskej národnej rady č. 330/1991 Zb. o pozemkových úpravách, usporiadaní pozemkového vlastníctva, pozemkových úradoch, pozemkovom fonde a o pozemkových spoločenstvách v znení neskorších predpisov a ktorým sa menia a dopĺňajú niektoré zákony (tlač 1683)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CF631E" w:rsidRDefault="00CF631E" w:rsidP="00CF631E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CF631E" w:rsidRDefault="00CF631E" w:rsidP="00CF631E">
      <w:pPr>
        <w:pStyle w:val="Zkladntext"/>
        <w:ind w:left="708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ind w:left="708"/>
        <w:rPr>
          <w:rFonts w:ascii="Arial" w:hAnsi="Arial" w:cs="Arial"/>
          <w:b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CF631E" w:rsidRDefault="00CF631E" w:rsidP="00CF631E">
      <w:pPr>
        <w:pStyle w:val="Zkladntext"/>
        <w:jc w:val="center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CF631E" w:rsidRDefault="00CF631E" w:rsidP="00CF631E">
      <w:pPr>
        <w:pStyle w:val="Zkladntext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</w:t>
      </w:r>
      <w:r w:rsidR="00525C53">
        <w:rPr>
          <w:rFonts w:ascii="Arial" w:hAnsi="Arial" w:cs="Arial"/>
        </w:rPr>
        <w:t xml:space="preserve">  republiky     uznesením č. 775 z 19. novembra</w:t>
      </w:r>
      <w:r>
        <w:rPr>
          <w:rFonts w:ascii="Arial" w:hAnsi="Arial" w:cs="Arial"/>
        </w:rPr>
        <w:t xml:space="preserve"> 2019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CF631E" w:rsidRDefault="00CF631E" w:rsidP="00CF631E">
      <w:pPr>
        <w:jc w:val="both"/>
        <w:rPr>
          <w:rFonts w:ascii="Arial" w:hAnsi="Arial" w:cs="Arial"/>
          <w:b/>
        </w:rPr>
      </w:pPr>
    </w:p>
    <w:p w:rsidR="00CF631E" w:rsidRDefault="00CF631E" w:rsidP="00CF631E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</w:t>
      </w:r>
      <w:r w:rsidR="00BE4A52">
        <w:rPr>
          <w:rFonts w:ascii="Arial" w:hAnsi="Arial" w:cs="Arial"/>
        </w:rPr>
        <w:t>tné prostredie uznesením č. 328 z 19. novembra</w:t>
      </w:r>
      <w:r>
        <w:rPr>
          <w:rFonts w:ascii="Arial" w:hAnsi="Arial" w:cs="Arial"/>
        </w:rPr>
        <w:t xml:space="preserve"> 2019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CF631E" w:rsidRDefault="00CF631E" w:rsidP="00CF631E">
      <w:pPr>
        <w:pStyle w:val="Zkladntext"/>
        <w:rPr>
          <w:rFonts w:ascii="Arial" w:hAnsi="Arial" w:cs="Arial"/>
        </w:rPr>
      </w:pP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F631E" w:rsidRDefault="00CF631E" w:rsidP="00CF631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CF631E" w:rsidRDefault="00CF631E" w:rsidP="00CF631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</w:p>
    <w:p w:rsidR="00BE4A52" w:rsidRDefault="00BE4A52" w:rsidP="00BE4A52">
      <w:pPr>
        <w:pStyle w:val="Odsekzoznamu"/>
        <w:widowControl/>
        <w:numPr>
          <w:ilvl w:val="0"/>
          <w:numId w:val="1"/>
        </w:numPr>
        <w:suppressAutoHyphens w:val="0"/>
        <w:autoSpaceDE/>
        <w:autoSpaceDN w:val="0"/>
        <w:spacing w:before="0" w:after="200"/>
        <w:ind w:left="284" w:hanging="284"/>
        <w:contextualSpacing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čl. I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V čl. I bod 5 § 3 ods. 3 sa za slovo „komisie“ vkladá slovo „aj“.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</w:rPr>
      </w:pPr>
    </w:p>
    <w:p w:rsidR="00BE4A52" w:rsidRDefault="00BE4A52" w:rsidP="00BE4A52">
      <w:pPr>
        <w:pStyle w:val="Odsekzoznamu"/>
        <w:ind w:left="2127"/>
        <w:rPr>
          <w:rFonts w:ascii="Arial" w:hAnsi="Arial" w:cs="Arial"/>
        </w:rPr>
      </w:pPr>
      <w:r>
        <w:rPr>
          <w:rFonts w:ascii="Arial" w:hAnsi="Arial" w:cs="Arial"/>
        </w:rPr>
        <w:t>Navrhovanou zmenou sa jednoznačne určuje, že v prípade pozemkových úprav vo vinohradníckych obciach, sa pôvodný počet členov komisie (5 členov) navyšuje o zástupcu organizácie, ktorá vedie vinohradnícky register.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  <w:u w:val="single"/>
        </w:rPr>
      </w:pP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25C53" w:rsidRPr="00BE4A52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Default="00BE4A52" w:rsidP="00BE4A52">
      <w:pPr>
        <w:pStyle w:val="Odsekzoznamu"/>
        <w:widowControl/>
        <w:numPr>
          <w:ilvl w:val="0"/>
          <w:numId w:val="1"/>
        </w:numPr>
        <w:suppressAutoHyphens w:val="0"/>
        <w:autoSpaceDE/>
        <w:autoSpaceDN w:val="0"/>
        <w:spacing w:before="0" w:after="200"/>
        <w:ind w:left="284" w:hanging="284"/>
        <w:contextualSpacing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K čl. I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V čl. I bod 6 § 3 ods. 3 sa slovo „zástupcovia“ nahrádzajú slovom „zástupcovi“.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4A52" w:rsidRDefault="00BE4A52" w:rsidP="00BE4A52">
      <w:pPr>
        <w:pStyle w:val="Odsekzoznamu"/>
        <w:spacing w:after="0"/>
        <w:ind w:left="4253" w:hanging="2126"/>
        <w:rPr>
          <w:rFonts w:ascii="Arial" w:hAnsi="Arial" w:cs="Arial"/>
        </w:rPr>
      </w:pPr>
      <w:r>
        <w:rPr>
          <w:rFonts w:ascii="Arial" w:hAnsi="Arial" w:cs="Arial"/>
        </w:rPr>
        <w:t>Gramatická úprava slova v kontexte celej vety.</w:t>
      </w:r>
    </w:p>
    <w:p w:rsidR="00BE4A52" w:rsidRDefault="00BE4A52" w:rsidP="00BE4A52">
      <w:pPr>
        <w:rPr>
          <w:rFonts w:ascii="Arial" w:hAnsi="Arial" w:cs="Arial"/>
          <w:u w:val="single"/>
        </w:rPr>
      </w:pP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rPr>
          <w:rFonts w:ascii="Arial" w:hAnsi="Arial" w:cs="Arial"/>
          <w:u w:val="single"/>
        </w:rPr>
      </w:pPr>
    </w:p>
    <w:p w:rsidR="00BE4A52" w:rsidRDefault="00BE4A52" w:rsidP="00BE4A52">
      <w:pPr>
        <w:pStyle w:val="Odsekzoznamu"/>
        <w:widowControl/>
        <w:numPr>
          <w:ilvl w:val="0"/>
          <w:numId w:val="1"/>
        </w:numPr>
        <w:suppressAutoHyphens w:val="0"/>
        <w:autoSpaceDE/>
        <w:autoSpaceDN w:val="0"/>
        <w:spacing w:before="0" w:after="0"/>
        <w:ind w:left="284" w:hanging="284"/>
        <w:contextualSpacing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čl. I</w:t>
      </w:r>
    </w:p>
    <w:p w:rsidR="00BE4A52" w:rsidRDefault="00BE4A52" w:rsidP="00BE4A52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V čl. I bod 13 § 5 ods. 6 sa slová „alebo určenia“ nahrádzajú slovami „alebo od určenia“.</w:t>
      </w:r>
    </w:p>
    <w:p w:rsidR="00BE4A52" w:rsidRDefault="00BE4A52" w:rsidP="00BE4A52">
      <w:pPr>
        <w:ind w:left="4253"/>
        <w:rPr>
          <w:rFonts w:ascii="Arial" w:hAnsi="Arial" w:cs="Arial"/>
        </w:rPr>
      </w:pPr>
    </w:p>
    <w:p w:rsidR="00BE4A52" w:rsidRDefault="00BE4A52" w:rsidP="00BE4A52">
      <w:pPr>
        <w:ind w:left="4253" w:hanging="2126"/>
        <w:rPr>
          <w:rFonts w:ascii="Arial" w:hAnsi="Arial" w:cs="Arial"/>
          <w:u w:val="single"/>
        </w:rPr>
      </w:pPr>
      <w:r>
        <w:rPr>
          <w:rFonts w:ascii="Arial" w:hAnsi="Arial" w:cs="Arial"/>
        </w:rPr>
        <w:t>Legislatívno-technické spresnenie textu.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  <w:u w:val="single"/>
        </w:rPr>
      </w:pP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rPr>
          <w:rFonts w:ascii="Arial" w:hAnsi="Arial" w:cs="Arial"/>
        </w:rPr>
      </w:pPr>
    </w:p>
    <w:p w:rsidR="00BE4A52" w:rsidRDefault="00BE4A52" w:rsidP="00BE4A52">
      <w:pPr>
        <w:ind w:left="284" w:hanging="284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 xml:space="preserve">4. </w:t>
      </w:r>
      <w:r>
        <w:rPr>
          <w:rFonts w:ascii="Arial" w:hAnsi="Arial" w:cs="Arial"/>
          <w:bCs/>
          <w:iCs/>
          <w:u w:val="single"/>
        </w:rPr>
        <w:t>K čl. I</w:t>
      </w:r>
    </w:p>
    <w:p w:rsidR="00BE4A52" w:rsidRDefault="00BE4A52" w:rsidP="00BE4A52">
      <w:pPr>
        <w:ind w:left="284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článku I bode 15 § 6 ods. 8 sa vypúšťajú slová „v priebehu konania o pozemkových úpravách“ a za slová „katastra nehnuteľností“ sa vkladajú slová „na účely konania o pozemkových úpravách“.</w:t>
      </w: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2127" w:hanging="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V aplikačnej praxi pomerne často nastávajú prípady, kedy nie je možné ani po využití všetkých dostupných možností zistiť právneho nástupcu vlastníka pozemku, ktorý zomrel alebo bol vyhlásený za mŕtveho. V takýchto prípadoch potom nastáva situácia, kedy sa konanie zbytočne predlžuje, dokonca aj o niekoľko rokov. Predmetná legislatívno-technická úprava zavádza v danom prípade ešte pred tým, ako bude známy okruh dedičov, možnosť okresnému úradu ustanoviť takému vlastníkovi pozemku opatrovníka výlučne na účely konania o pozemkových úpravách.</w:t>
      </w: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 </w:t>
      </w:r>
    </w:p>
    <w:p w:rsidR="00BE4A52" w:rsidRDefault="00BE4A52" w:rsidP="00BE4A52">
      <w:pPr>
        <w:ind w:left="284" w:hanging="284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>5.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  <w:u w:val="single"/>
        </w:rPr>
        <w:t>K čl. I</w:t>
      </w:r>
    </w:p>
    <w:p w:rsidR="00BE4A52" w:rsidRDefault="00BE4A52" w:rsidP="00BE4A52">
      <w:pPr>
        <w:ind w:firstLine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čl. I sa za bod 16 vkladajú nové body 17 a 18, ktoré znejú:</w:t>
      </w:r>
    </w:p>
    <w:p w:rsidR="00BE4A52" w:rsidRDefault="00BE4A52" w:rsidP="00BE4A52">
      <w:pPr>
        <w:ind w:left="284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„17. V § 7 ods. 2 písm. c) sa slovo „začaté“ nahrádza slovami „ , ak majú byť povolené“ a slová „najmenej polovičnej“ sa nahrádzajú slovami „nadpolovičnej“.</w:t>
      </w: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426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18. V § 7 ods. 2 písm. d) sa slovo „začaté“ nahrádza slovami „ , ak majú byť povolené“.“. </w:t>
      </w:r>
    </w:p>
    <w:p w:rsidR="00BE4A52" w:rsidRDefault="00BE4A52" w:rsidP="00BE4A52">
      <w:pPr>
        <w:ind w:left="1070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firstLine="426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Doterajšie body sa primerane prečíslujú.</w:t>
      </w:r>
    </w:p>
    <w:p w:rsidR="00BE4A52" w:rsidRDefault="00BE4A52" w:rsidP="00BE4A52">
      <w:pPr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2127" w:hanging="1418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Cs/>
          <w:iCs/>
        </w:rPr>
        <w:t>V prípade, ak je možné z dôvodu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>v § 2 ods. 1 písm. b) pozemkové úpravy aj nariadiť, je zbytočné zisťovať záujem vlastníkov. Uvedenou legislatívnou zmenou dochádza k zosúladeniu ustanovenia s predloženým vládnym návrhom zákona. Uvedené platí aj pre pozemkových úpravy, ktoré sa povoľujú z dôvodov v § 2 ods. 1 písm. j) a k), čiže záujem vlastníkov sa bude zisťovať aj naďalej iba v prípade povolených pozemkových úprav. Zároveň sa navrhovanou legislatívnou zmenou mení záujem kvantitatívneho zistenie záujmu o pozemkové úpravy. V praxi častokrát spôsobovali problémy situácie s 50% súhlasom a 50% nesúhlasom vlastníkov pozemkov. V záujme predísť polemikám, ktoré v praxi toto ustanovenie spôsobovalo navrhovaná legislatívna úprava záujem vlastníkov o pozemkové úpravy zavádza jednoznačný súhlas v podobe nadpolovičného súhlasu vlastníkov výmery pozemkov, tvoriacich obvod projektu pozemkových úprav.</w:t>
      </w:r>
    </w:p>
    <w:p w:rsidR="00BE4A52" w:rsidRDefault="00BE4A52" w:rsidP="00BE4A52">
      <w:pPr>
        <w:ind w:left="5103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5103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keepNext/>
        <w:widowControl w:val="0"/>
        <w:ind w:left="284" w:hanging="284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>6.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  <w:u w:val="single"/>
        </w:rPr>
        <w:t>K čl. I</w:t>
      </w:r>
    </w:p>
    <w:p w:rsidR="00BE4A52" w:rsidRDefault="00BE4A52" w:rsidP="00BE4A52">
      <w:pPr>
        <w:keepNext/>
        <w:widowControl w:val="0"/>
        <w:ind w:firstLine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čl. I bod 22 znie:</w:t>
      </w:r>
    </w:p>
    <w:p w:rsidR="00BE4A52" w:rsidRDefault="00BE4A52" w:rsidP="00BE4A52">
      <w:pPr>
        <w:keepNext/>
        <w:widowControl w:val="0"/>
        <w:ind w:firstLine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„22. § 7 sa dopĺňa odsekom 7, ktorý znie:</w:t>
      </w: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„(7) Pred ukončením prípravného konania okresný úrad vypracuje elaborát prípravného konania, ktorého súčasťou je aj správa so zhodnotením výsledkov prípravného konania.“.“.</w:t>
      </w:r>
    </w:p>
    <w:p w:rsidR="00BE4A52" w:rsidRDefault="00BE4A52" w:rsidP="00BE4A52">
      <w:pPr>
        <w:ind w:left="3402"/>
        <w:contextualSpacing/>
        <w:jc w:val="both"/>
        <w:rPr>
          <w:rFonts w:ascii="Arial" w:hAnsi="Arial" w:cs="Arial"/>
          <w:b/>
          <w:bCs/>
          <w:iCs/>
        </w:rPr>
      </w:pPr>
    </w:p>
    <w:p w:rsidR="00BE4A52" w:rsidRDefault="00BE4A52" w:rsidP="00BE4A52">
      <w:pPr>
        <w:ind w:left="2127" w:hanging="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Navrhovanou legislatívnou úpravou dochádza k špecifikovaniu, že súčasťou elaborátu prípravného konania je aj správa so zhodnotením výsledkov prípravného konania, ktorej cieľom je zhodnotiť výsledky prípravného konania.</w:t>
      </w:r>
    </w:p>
    <w:p w:rsidR="00BE4A52" w:rsidRDefault="00BE4A52" w:rsidP="00BE4A52">
      <w:pPr>
        <w:ind w:left="5103"/>
        <w:contextualSpacing/>
        <w:jc w:val="both"/>
        <w:rPr>
          <w:rFonts w:ascii="Arial" w:hAnsi="Arial" w:cs="Arial"/>
          <w:b/>
          <w:bCs/>
          <w:iCs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5103"/>
        <w:contextualSpacing/>
        <w:jc w:val="both"/>
        <w:rPr>
          <w:rFonts w:ascii="Arial" w:hAnsi="Arial" w:cs="Arial"/>
          <w:b/>
          <w:bCs/>
          <w:iCs/>
        </w:rPr>
      </w:pPr>
    </w:p>
    <w:p w:rsidR="00BE4A52" w:rsidRDefault="00BE4A52" w:rsidP="00BE4A52">
      <w:pPr>
        <w:pStyle w:val="Odsekzoznamu"/>
        <w:spacing w:before="0" w:after="0"/>
        <w:ind w:left="0"/>
        <w:rPr>
          <w:rFonts w:ascii="Arial" w:hAnsi="Arial" w:cs="Arial"/>
          <w:u w:val="single"/>
        </w:rPr>
      </w:pPr>
    </w:p>
    <w:p w:rsidR="00BE4A52" w:rsidRDefault="00BE4A52" w:rsidP="00BE4A5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u w:val="single"/>
        </w:rPr>
        <w:t>K čl. I</w:t>
      </w:r>
    </w:p>
    <w:p w:rsidR="00BE4A52" w:rsidRDefault="00BE4A52" w:rsidP="00BE4A52">
      <w:pPr>
        <w:pStyle w:val="Odsekzoznamu"/>
        <w:spacing w:before="0"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V čl. I bod 27 § 8 ods. 5 sa za slovo „vlastníkom“ vkladá slovo „pozemkov“.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</w:rPr>
      </w:pPr>
    </w:p>
    <w:p w:rsidR="00BE4A52" w:rsidRDefault="00BE4A52" w:rsidP="00BE4A52">
      <w:pPr>
        <w:pStyle w:val="Odsekzoznamu"/>
        <w:ind w:left="2127"/>
        <w:rPr>
          <w:rFonts w:ascii="Arial" w:hAnsi="Arial" w:cs="Arial"/>
        </w:rPr>
      </w:pPr>
      <w:r>
        <w:rPr>
          <w:rFonts w:ascii="Arial" w:hAnsi="Arial" w:cs="Arial"/>
        </w:rPr>
        <w:t>Legislatívno-technická úprava, ktorou sa zjednocuje pojem používaný v návrhu zákona (napr. čl. I body 57, 75 a 79).</w:t>
      </w:r>
    </w:p>
    <w:p w:rsidR="00BE4A52" w:rsidRDefault="00BE4A52" w:rsidP="00BE4A52">
      <w:pPr>
        <w:rPr>
          <w:rFonts w:ascii="Arial" w:hAnsi="Arial" w:cs="Arial"/>
          <w:u w:val="single"/>
        </w:rPr>
      </w:pP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rPr>
          <w:rFonts w:ascii="Arial" w:hAnsi="Arial" w:cs="Arial"/>
          <w:u w:val="single"/>
        </w:rPr>
      </w:pPr>
    </w:p>
    <w:p w:rsidR="00BE4A52" w:rsidRDefault="00BE4A52" w:rsidP="00BE4A5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u w:val="single"/>
        </w:rPr>
        <w:t xml:space="preserve"> K čl. I</w:t>
      </w:r>
    </w:p>
    <w:p w:rsidR="00BE4A52" w:rsidRDefault="00BE4A52" w:rsidP="00BE4A52">
      <w:pPr>
        <w:pStyle w:val="Odsekzoznamu"/>
        <w:spacing w:before="0"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V čl. I bod 51 § 11 ods. 11 sa slová „alebo 1000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“ nahrádzajú slovami „alebo do  1000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“.</w:t>
      </w:r>
    </w:p>
    <w:p w:rsidR="00BE4A52" w:rsidRDefault="00BE4A52" w:rsidP="00BE4A52">
      <w:pPr>
        <w:pStyle w:val="Odsekzoznamu"/>
        <w:spacing w:before="0" w:after="0"/>
        <w:ind w:left="0"/>
        <w:rPr>
          <w:rFonts w:ascii="Arial" w:hAnsi="Arial" w:cs="Arial"/>
        </w:rPr>
      </w:pPr>
    </w:p>
    <w:p w:rsidR="00BE4A52" w:rsidRDefault="00BE4A52" w:rsidP="00BE4A52">
      <w:pPr>
        <w:pStyle w:val="Odsekzoznamu"/>
        <w:spacing w:after="0"/>
        <w:ind w:left="4253" w:hanging="2126"/>
        <w:rPr>
          <w:rFonts w:ascii="Arial" w:hAnsi="Arial" w:cs="Arial"/>
        </w:rPr>
      </w:pPr>
      <w:r>
        <w:rPr>
          <w:rFonts w:ascii="Arial" w:hAnsi="Arial" w:cs="Arial"/>
        </w:rPr>
        <w:t>Gramatická úprava textu.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</w:rPr>
      </w:pP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4A52" w:rsidRDefault="00BE4A52" w:rsidP="00BE4A52">
      <w:pPr>
        <w:spacing w:after="200"/>
        <w:ind w:left="142" w:hanging="142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u w:val="single"/>
        </w:rPr>
        <w:t xml:space="preserve"> K čl. I</w:t>
      </w:r>
    </w:p>
    <w:p w:rsidR="00BE4A52" w:rsidRDefault="00BE4A52" w:rsidP="00BE4A52">
      <w:pPr>
        <w:spacing w:after="200"/>
        <w:ind w:left="284" w:hanging="142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V čl. I bod 89 § 42c ods. 1 v poznámke pod čiarou k odkazu 7i sa slová „a </w:t>
      </w:r>
      <w:proofErr w:type="spellStart"/>
      <w:r>
        <w:rPr>
          <w:rFonts w:ascii="Arial" w:hAnsi="Arial" w:cs="Arial"/>
        </w:rPr>
        <w:t>nasl</w:t>
      </w:r>
      <w:proofErr w:type="spellEnd"/>
      <w:r>
        <w:rPr>
          <w:rFonts w:ascii="Arial" w:hAnsi="Arial" w:cs="Arial"/>
        </w:rPr>
        <w:t>.“ nahrádzajú slovami „až 40“.</w:t>
      </w:r>
    </w:p>
    <w:p w:rsidR="00BE4A52" w:rsidRDefault="00BE4A52" w:rsidP="00BE4A52">
      <w:pPr>
        <w:pStyle w:val="Odsekzoznamu"/>
        <w:ind w:left="2127"/>
        <w:rPr>
          <w:rFonts w:ascii="Arial" w:hAnsi="Arial" w:cs="Arial"/>
        </w:rPr>
      </w:pPr>
      <w:r>
        <w:rPr>
          <w:rFonts w:ascii="Arial" w:hAnsi="Arial" w:cs="Arial"/>
        </w:rPr>
        <w:t>Legislatívno-technická úpravu poznámky pod čiarou.</w:t>
      </w:r>
    </w:p>
    <w:p w:rsidR="00BE4A52" w:rsidRDefault="00BE4A52" w:rsidP="00BE4A52">
      <w:pPr>
        <w:pStyle w:val="Odsekzoznamu"/>
        <w:ind w:left="284"/>
        <w:rPr>
          <w:rFonts w:ascii="Arial" w:hAnsi="Arial" w:cs="Arial"/>
          <w:u w:val="single"/>
        </w:rPr>
      </w:pP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5103"/>
        <w:contextualSpacing/>
        <w:jc w:val="both"/>
        <w:rPr>
          <w:rFonts w:ascii="Arial" w:hAnsi="Arial" w:cs="Arial"/>
          <w:b/>
          <w:bCs/>
          <w:iCs/>
        </w:rPr>
      </w:pPr>
    </w:p>
    <w:p w:rsidR="00BE4A52" w:rsidRDefault="00BE4A52" w:rsidP="00BE4A52">
      <w:pPr>
        <w:ind w:left="5103"/>
        <w:contextualSpacing/>
        <w:jc w:val="both"/>
        <w:rPr>
          <w:rFonts w:ascii="Arial" w:hAnsi="Arial" w:cs="Arial"/>
          <w:b/>
          <w:bCs/>
          <w:iCs/>
        </w:rPr>
      </w:pP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 xml:space="preserve">10. </w:t>
      </w:r>
      <w:r>
        <w:rPr>
          <w:rFonts w:ascii="Arial" w:hAnsi="Arial" w:cs="Arial"/>
          <w:bCs/>
          <w:iCs/>
          <w:u w:val="single"/>
        </w:rPr>
        <w:t>K čl. I</w:t>
      </w: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Za čl. I sa vkladá nový článok II, ktorý znie:</w:t>
      </w:r>
    </w:p>
    <w:p w:rsidR="00BE4A52" w:rsidRDefault="00BE4A52" w:rsidP="00BE4A52">
      <w:pPr>
        <w:ind w:left="578"/>
        <w:contextualSpacing/>
        <w:jc w:val="center"/>
        <w:rPr>
          <w:rFonts w:ascii="Arial" w:hAnsi="Arial" w:cs="Arial"/>
          <w:bCs/>
          <w:iCs/>
        </w:rPr>
      </w:pPr>
    </w:p>
    <w:p w:rsidR="00BE4A52" w:rsidRDefault="00BE4A52" w:rsidP="00BE4A52">
      <w:pPr>
        <w:ind w:left="578"/>
        <w:contextualSpacing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„ČI. II</w:t>
      </w:r>
    </w:p>
    <w:p w:rsidR="00BE4A52" w:rsidRDefault="00BE4A52" w:rsidP="00BE4A52">
      <w:pPr>
        <w:jc w:val="both"/>
        <w:rPr>
          <w:rFonts w:ascii="Arial" w:eastAsia="Calibri" w:hAnsi="Arial" w:cs="Arial"/>
        </w:rPr>
      </w:pP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Zákon Národnej rady Slovenskej republiky č. 162/1995 Z. z. o katastri nehnuteľností a o zápise vlastníckych a iných práv k nehnuteľnostiam (katastrálny zákon) v znení zákona č. 222/1996 Z. z., zákona č. 255/2001 Z. z., zákona č. 419/2002 Z. z., zákona č. 173/2004 Z. z., zákona č. 669/2007 Z. z., zákona č. 568/2007 Z. z., zákona č. 384/2008 Z. z., zákona č. 304/2009 Z. z., zákona č. 103/2010 Z. z., zákona č. 345/2012 Z. z., zákona č. 180/2013 Z. z., </w:t>
      </w:r>
      <w:r>
        <w:rPr>
          <w:rFonts w:ascii="Arial" w:eastAsia="Calibri" w:hAnsi="Arial" w:cs="Arial"/>
        </w:rPr>
        <w:lastRenderedPageBreak/>
        <w:t xml:space="preserve">zákona č. 125/2016 Z. z., zákona č. 212/2018 Z. z. a zákona č. 225/2019 Z. z. sa dopĺňa takto: </w:t>
      </w: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§ 3a sa vkladá § 3b, ktorý vrátane nadpisu znie:</w:t>
      </w:r>
    </w:p>
    <w:p w:rsidR="00BE4A52" w:rsidRDefault="00BE4A52" w:rsidP="00BE4A52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„§ 3b</w:t>
      </w:r>
    </w:p>
    <w:p w:rsidR="00BE4A52" w:rsidRDefault="00BE4A52" w:rsidP="00BE4A52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Elektronické podanie</w:t>
      </w:r>
    </w:p>
    <w:p w:rsidR="00BE4A52" w:rsidRDefault="00BE4A52" w:rsidP="00BE4A52">
      <w:pPr>
        <w:rPr>
          <w:rFonts w:ascii="Arial" w:eastAsia="Calibri" w:hAnsi="Arial" w:cs="Arial"/>
        </w:rPr>
      </w:pP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(1) Elektronické</w:t>
      </w:r>
      <w:r>
        <w:rPr>
          <w:rFonts w:ascii="Arial" w:hAnsi="Arial" w:cs="Arial"/>
        </w:rPr>
        <w:t xml:space="preserve"> podanie sa podáva prostredníctvom určeného elektronického formulára elektronickej služby katastra nehnuteľností.</w:t>
      </w:r>
      <w:r>
        <w:rPr>
          <w:rFonts w:ascii="Arial" w:hAnsi="Arial" w:cs="Arial"/>
          <w:vertAlign w:val="superscript"/>
        </w:rPr>
        <w:t>11aaa</w:t>
      </w:r>
      <w:r>
        <w:rPr>
          <w:rFonts w:ascii="Arial" w:hAnsi="Arial" w:cs="Arial"/>
        </w:rPr>
        <w:t xml:space="preserve">) </w:t>
      </w: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hAnsi="Arial" w:cs="Arial"/>
        </w:rPr>
      </w:pP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Na </w:t>
      </w:r>
      <w:r>
        <w:rPr>
          <w:rFonts w:ascii="Arial" w:hAnsi="Arial" w:cs="Arial"/>
          <w:bCs/>
          <w:iCs/>
        </w:rPr>
        <w:t>elektronické</w:t>
      </w:r>
      <w:r>
        <w:rPr>
          <w:rFonts w:ascii="Arial" w:hAnsi="Arial" w:cs="Arial"/>
        </w:rPr>
        <w:t xml:space="preserve"> podanie podané v rozpore s odsekom 1 sa neprihliada a nemá vplyv na poradie zápisov podľa § 41 ods. 2. Okresný úrad o tejto skutočnosti vyrozumie odosielateľa. Ak je zaplatený správny poplatok, okresný úrad tento poplatok vráti odosielateľovi.“. </w:t>
      </w: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hAnsi="Arial" w:cs="Arial"/>
        </w:rPr>
      </w:pPr>
    </w:p>
    <w:p w:rsidR="00BE4A52" w:rsidRDefault="00BE4A52" w:rsidP="00BE4A52">
      <w:pPr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Poznámka pod čiarou k odkazu 11aaa znie:</w:t>
      </w:r>
    </w:p>
    <w:p w:rsidR="00BE4A52" w:rsidRDefault="00BE4A52" w:rsidP="00BE4A52">
      <w:pPr>
        <w:ind w:left="851" w:hanging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>
        <w:rPr>
          <w:rFonts w:ascii="Arial" w:eastAsia="Calibri" w:hAnsi="Arial" w:cs="Arial"/>
          <w:vertAlign w:val="superscript"/>
        </w:rPr>
        <w:t>11aaa</w:t>
      </w:r>
      <w:r>
        <w:rPr>
          <w:rFonts w:ascii="Arial" w:eastAsia="Calibri" w:hAnsi="Arial" w:cs="Arial"/>
        </w:rPr>
        <w:t>) § 3 písm. l) zákona č. 95/2019 Z. z. o informačných technológiách vo verejnej správe a o zmene a doplnení niektorých zákonov.“.“.</w:t>
      </w: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Nasledujúce články sa primerane prečíslujú.</w:t>
      </w: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</w:p>
    <w:p w:rsidR="00BE4A52" w:rsidRDefault="00BE4A52" w:rsidP="00BE4A52">
      <w:pPr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Tento bod (nový čl. II) nadobudne účinnosť 1. júla 2020, čo sa premietne do ustanovenia o účinnosti</w:t>
      </w:r>
    </w:p>
    <w:p w:rsidR="00BE4A52" w:rsidRDefault="00BE4A52" w:rsidP="00BE4A52">
      <w:pPr>
        <w:rPr>
          <w:rFonts w:ascii="Arial" w:eastAsia="Calibri" w:hAnsi="Arial" w:cs="Arial"/>
        </w:rPr>
      </w:pPr>
    </w:p>
    <w:p w:rsidR="00BE4A52" w:rsidRDefault="00BE4A52" w:rsidP="00BE4A52">
      <w:pPr>
        <w:ind w:left="2127" w:hanging="3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 xml:space="preserve">Právna úprava sa týka všetkých podaní v zmysle tohto zákona, ktoré boli podané elektronicky, a teda sa týka návrhu na začatie katastrálneho konania, žiadosti o úradne overenie geodetických činností, žiadosti o zápis alebo výmaz poznámky, ale aj napríklad žiadosti o zmenu adresy, priezviska, objednávky na poskytnutie údajov katastra (zo súboru popisných informácií a zo súboru geodetických informácií katastra nehnuteľností). Použitie špecializovaných elektronických formulárov umožňuje využívať automatizovane spracovateľné pravidlá, prostredníctvom ktorých je možné elektronickými prostriedkami vyplniť a prezentovať vyplnené údaje v štruktúrovanej forme, spracovateľnej aj automatizovaným spôsobom informačnými systémami. </w:t>
      </w:r>
    </w:p>
    <w:p w:rsidR="00BE4A52" w:rsidRDefault="00BE4A52" w:rsidP="00BE4A52">
      <w:pPr>
        <w:ind w:left="2127" w:firstLine="14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Uvedeným ustanovením sa má zabezpečiť ochrana </w:t>
      </w:r>
      <w:r>
        <w:rPr>
          <w:rFonts w:ascii="Arial" w:hAnsi="Arial" w:cs="Arial"/>
          <w:color w:val="000000"/>
        </w:rPr>
        <w:t>vlastníckych</w:t>
      </w:r>
      <w:r>
        <w:rPr>
          <w:rFonts w:ascii="Arial" w:eastAsia="Calibri" w:hAnsi="Arial" w:cs="Arial"/>
        </w:rPr>
        <w:t xml:space="preserve"> práv k nehnuteľnostiam, tak ako ju garantuje aj Ústava SR, a to jednoznačným zabezpečením poradia jednotlivých doručených elektronických podaní. Tým sa vylúči právna neistota podávateľa v prípade súbehu podaní k tej istej nehnuteľnosti a zabráni prípadným podvodným konaniam.</w:t>
      </w:r>
    </w:p>
    <w:p w:rsidR="00BE4A52" w:rsidRDefault="00BE4A52" w:rsidP="00BE4A52">
      <w:pPr>
        <w:ind w:left="2127" w:firstLine="14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prípade, že elektronické podanie nebude podané v súlade so </w:t>
      </w:r>
      <w:r>
        <w:rPr>
          <w:rFonts w:ascii="Arial" w:hAnsi="Arial" w:cs="Arial"/>
          <w:color w:val="000000"/>
        </w:rPr>
        <w:t>zákonom</w:t>
      </w:r>
      <w:r>
        <w:rPr>
          <w:rFonts w:ascii="Arial" w:eastAsia="Calibri" w:hAnsi="Arial" w:cs="Arial"/>
        </w:rPr>
        <w:t xml:space="preserve">, nebude mať pre okresný úrad žiadne účinky, a teda nebude mať vplyv ani na poradie zápisov. O tom, že podanie nebolo podané v súlade so zákonom a o dôsledkoch z toho plynúcich, okresný úrad vyrozumie odosielateľa. </w:t>
      </w:r>
    </w:p>
    <w:p w:rsidR="00BE4A52" w:rsidRDefault="00BE4A52" w:rsidP="00BE4A52">
      <w:pPr>
        <w:ind w:left="2127" w:firstLine="141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Zároveň</w:t>
      </w:r>
      <w:r>
        <w:rPr>
          <w:rFonts w:ascii="Arial" w:eastAsia="Calibri" w:hAnsi="Arial" w:cs="Arial"/>
        </w:rPr>
        <w:t xml:space="preserve"> sa ustanovuje, že ak bol zaplatený správny poplatok, okresný úrad tento poplatok vráti odosielateľovi. O vrátení správneho poplatku vydá okresný úrad rozhodnutie.</w:t>
      </w:r>
    </w:p>
    <w:p w:rsidR="00BE4A52" w:rsidRDefault="00BE4A52" w:rsidP="00BE4A52">
      <w:pPr>
        <w:ind w:left="709"/>
        <w:jc w:val="both"/>
        <w:rPr>
          <w:rFonts w:ascii="Arial" w:eastAsia="Calibri" w:hAnsi="Arial" w:cs="Arial"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709"/>
        <w:jc w:val="both"/>
        <w:rPr>
          <w:rFonts w:ascii="Arial" w:eastAsia="Calibri" w:hAnsi="Arial" w:cs="Arial"/>
        </w:rPr>
      </w:pP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 xml:space="preserve">11. </w:t>
      </w:r>
      <w:r>
        <w:rPr>
          <w:rFonts w:ascii="Arial" w:hAnsi="Arial" w:cs="Arial"/>
          <w:bCs/>
          <w:iCs/>
          <w:u w:val="single"/>
        </w:rPr>
        <w:t>K čl. II</w:t>
      </w: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V čl. II sa pred doterajší bod 1 vkladá nový bod 1, ktorý znie:</w:t>
      </w:r>
    </w:p>
    <w:p w:rsidR="00BE4A52" w:rsidRDefault="00BE4A52" w:rsidP="00BE4A52">
      <w:pPr>
        <w:ind w:left="709" w:hanging="283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„1. § 14 sa dopĺňa odsekom 3, ktorý znie:</w:t>
      </w:r>
    </w:p>
    <w:p w:rsidR="00BE4A52" w:rsidRDefault="00BE4A52" w:rsidP="00BE4A52">
      <w:pPr>
        <w:ind w:left="709"/>
        <w:contextualSpacing/>
        <w:jc w:val="both"/>
        <w:rPr>
          <w:rFonts w:ascii="Arial" w:eastAsia="Calibri" w:hAnsi="Arial" w:cs="Arial"/>
        </w:rPr>
      </w:pPr>
    </w:p>
    <w:p w:rsidR="00BE4A52" w:rsidRDefault="00BE4A52" w:rsidP="00BE4A52">
      <w:pPr>
        <w:keepNext/>
        <w:widowControl w:val="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„(3) Vlastnícke právo k neknihovaným pozemkom, ktoré sa nachádzajú mimo </w:t>
      </w:r>
      <w:r>
        <w:rPr>
          <w:rFonts w:ascii="Arial" w:hAnsi="Arial" w:cs="Arial"/>
          <w:bCs/>
          <w:iCs/>
        </w:rPr>
        <w:t>zastavaného</w:t>
      </w:r>
      <w:r>
        <w:rPr>
          <w:rFonts w:ascii="Arial" w:eastAsia="Calibri" w:hAnsi="Arial" w:cs="Arial"/>
        </w:rPr>
        <w:t xml:space="preserve"> územia obce nemožno scudziť a tieto pozemky sa použijú na účely podľa osobitného predpisu.</w:t>
      </w:r>
      <w:r>
        <w:rPr>
          <w:rFonts w:ascii="Arial" w:eastAsia="Calibri" w:hAnsi="Arial" w:cs="Arial"/>
          <w:vertAlign w:val="superscript"/>
        </w:rPr>
        <w:t>31a</w:t>
      </w:r>
      <w:r>
        <w:rPr>
          <w:rFonts w:ascii="Arial" w:eastAsia="Calibri" w:hAnsi="Arial" w:cs="Arial"/>
        </w:rPr>
        <w:t xml:space="preserve">)“. </w:t>
      </w:r>
    </w:p>
    <w:p w:rsidR="00BE4A52" w:rsidRDefault="00BE4A52" w:rsidP="00BE4A52">
      <w:pPr>
        <w:ind w:left="709"/>
        <w:contextualSpacing/>
        <w:jc w:val="both"/>
        <w:rPr>
          <w:rFonts w:ascii="Arial" w:eastAsia="Calibri" w:hAnsi="Arial" w:cs="Arial"/>
        </w:rPr>
      </w:pPr>
    </w:p>
    <w:p w:rsidR="00BE4A52" w:rsidRDefault="00BE4A52" w:rsidP="00BE4A52">
      <w:pPr>
        <w:pStyle w:val="Odsekzoznamu"/>
        <w:spacing w:after="0"/>
        <w:ind w:left="70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Poznámka pod čiarou k odkazu 31a znie:</w:t>
      </w:r>
    </w:p>
    <w:p w:rsidR="00BE4A52" w:rsidRDefault="00BE4A52" w:rsidP="00BE4A52">
      <w:pPr>
        <w:ind w:left="851" w:hanging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>
        <w:rPr>
          <w:rFonts w:ascii="Arial" w:eastAsia="Calibri" w:hAnsi="Arial" w:cs="Arial"/>
          <w:vertAlign w:val="superscript"/>
        </w:rPr>
        <w:t>31a</w:t>
      </w:r>
      <w:r>
        <w:rPr>
          <w:rFonts w:ascii="Arial" w:eastAsia="Calibri" w:hAnsi="Arial" w:cs="Arial"/>
        </w:rPr>
        <w:t>) § 11 ods. 7 zákona Slovenskej národnej rady č. 330/1991 Zb. v znení neskorších predpisov.</w:t>
      </w:r>
      <w:r>
        <w:rPr>
          <w:rFonts w:ascii="Arial" w:hAnsi="Arial" w:cs="Arial"/>
          <w:shd w:val="clear" w:color="auto" w:fill="FFFFFF"/>
        </w:rPr>
        <w:t>“.“.</w:t>
      </w:r>
    </w:p>
    <w:p w:rsidR="00BE4A52" w:rsidRDefault="00BE4A52" w:rsidP="00BE4A52">
      <w:pPr>
        <w:ind w:left="851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567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Doterajšie body sa primerane prečíslujú. </w:t>
      </w:r>
    </w:p>
    <w:p w:rsidR="00BE4A52" w:rsidRDefault="00BE4A52" w:rsidP="00BE4A52">
      <w:pPr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2127" w:hanging="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Cieľom navrhovanej úpravy je zabrániť scudzeniu bývalého verejného majetku a využiť neknihované pozemky opäť iba pre spoločné zariadenia a opatrenia v konaní o pozemkových úpravách upravených podľa zákona Slovenskej národnej rady č. 330/1991 Zb. o pozemkových úpravách, usporiadaní pozemkového vlastníctva, pozemkových úradoch, pozemkovom fonde a o pozemkových spoločenstvách v znení neskorších predpisov. </w:t>
      </w:r>
    </w:p>
    <w:p w:rsidR="00BE4A52" w:rsidRDefault="00BE4A52" w:rsidP="00BE4A52">
      <w:pPr>
        <w:ind w:left="3402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3402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3402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 xml:space="preserve">12. </w:t>
      </w:r>
      <w:r>
        <w:rPr>
          <w:rFonts w:ascii="Arial" w:hAnsi="Arial" w:cs="Arial"/>
          <w:bCs/>
          <w:iCs/>
          <w:u w:val="single"/>
        </w:rPr>
        <w:t>K čl. II</w:t>
      </w: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Čl. II sa dopĺňa bodom 5, ktorý znie:</w:t>
      </w:r>
    </w:p>
    <w:p w:rsidR="00BE4A52" w:rsidRDefault="00BE4A52" w:rsidP="00BE4A52">
      <w:pPr>
        <w:ind w:left="709" w:hanging="28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„5. Za § 29d sa vkladá § 29e, ktorý vrátane nadpisu znie:</w:t>
      </w:r>
    </w:p>
    <w:p w:rsidR="00BE4A52" w:rsidRDefault="00BE4A52" w:rsidP="00BE4A52">
      <w:pPr>
        <w:rPr>
          <w:rFonts w:ascii="Arial" w:hAnsi="Arial" w:cs="Arial"/>
          <w:bCs/>
          <w:iCs/>
          <w:lang w:eastAsia="zh-CN"/>
        </w:rPr>
      </w:pPr>
    </w:p>
    <w:p w:rsidR="00BE4A52" w:rsidRDefault="00BE4A52" w:rsidP="00BE4A52">
      <w:pPr>
        <w:ind w:left="851"/>
        <w:contextualSpacing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„§ 29e</w:t>
      </w:r>
    </w:p>
    <w:p w:rsidR="00BE4A52" w:rsidRDefault="00BE4A52" w:rsidP="00BE4A52">
      <w:pPr>
        <w:ind w:left="851"/>
        <w:contextualSpacing/>
        <w:jc w:val="center"/>
        <w:rPr>
          <w:rFonts w:ascii="Arial" w:hAnsi="Arial" w:cs="Arial"/>
          <w:bCs/>
          <w:iCs/>
        </w:rPr>
      </w:pPr>
    </w:p>
    <w:p w:rsidR="00BE4A52" w:rsidRDefault="00BE4A52" w:rsidP="00BE4A52">
      <w:pPr>
        <w:ind w:left="851"/>
        <w:contextualSpacing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Prechodné ustanovenia k úpravám účinným od 1. februára 2020</w:t>
      </w:r>
    </w:p>
    <w:p w:rsidR="00BE4A52" w:rsidRDefault="00BE4A52" w:rsidP="00BE4A52">
      <w:pPr>
        <w:widowControl w:val="0"/>
        <w:spacing w:before="120" w:after="6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Ustanovenie § 14 ods. 3 sa nevzťahuje na zmluvy o prevode vlastníctva k neknihovaným pozemkom, ktoré sa nachádzajú mimo zastavaného územia obce, a ktoré boli predložené v konaní o povolení vkladu do 31. januára 2020.“.“.</w:t>
      </w:r>
    </w:p>
    <w:p w:rsidR="00BE4A52" w:rsidRDefault="00BE4A52" w:rsidP="00BE4A52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</w:p>
    <w:p w:rsidR="00BE4A52" w:rsidRDefault="00BE4A52" w:rsidP="00BE4A52">
      <w:pPr>
        <w:ind w:left="2127" w:hanging="1418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Cs/>
          <w:iCs/>
        </w:rPr>
        <w:t>Vzhľadom na odôvodnenie v bode 5 dochádza z dôvodu právnej istoty aj k úprave prechodného ustanovenia v prípade konaní o povolení vkladu vlastníckeho práva k </w:t>
      </w:r>
      <w:proofErr w:type="spellStart"/>
      <w:r>
        <w:rPr>
          <w:rFonts w:ascii="Arial" w:hAnsi="Arial" w:cs="Arial"/>
          <w:bCs/>
          <w:iCs/>
        </w:rPr>
        <w:t>nekhnihovaným</w:t>
      </w:r>
      <w:proofErr w:type="spellEnd"/>
      <w:r>
        <w:rPr>
          <w:rFonts w:ascii="Arial" w:hAnsi="Arial" w:cs="Arial"/>
          <w:bCs/>
          <w:iCs/>
        </w:rPr>
        <w:t xml:space="preserve"> pozemkom, ktoré sa nachádzajú mimo zastavaného územia obce, a ktoré začali a právoplatne neskončili k 31.1.2020.</w:t>
      </w:r>
    </w:p>
    <w:p w:rsidR="00525C53" w:rsidRDefault="00525C53" w:rsidP="00BE4A52">
      <w:pPr>
        <w:ind w:left="2127" w:hanging="1418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578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578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710" w:hanging="710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13. </w:t>
      </w:r>
      <w:r>
        <w:rPr>
          <w:rFonts w:ascii="Arial" w:hAnsi="Arial" w:cs="Arial"/>
          <w:bCs/>
          <w:iCs/>
          <w:u w:val="single"/>
        </w:rPr>
        <w:t>K čl. III.</w:t>
      </w:r>
    </w:p>
    <w:p w:rsidR="00BE4A52" w:rsidRDefault="00BE4A52" w:rsidP="00BE4A52">
      <w:pPr>
        <w:ind w:left="426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čl. III bod 1 znie:</w:t>
      </w:r>
    </w:p>
    <w:p w:rsidR="00BE4A52" w:rsidRDefault="00BE4A52" w:rsidP="00BE4A52">
      <w:pPr>
        <w:ind w:left="1070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„1. § 1 sa dopĺňa odsekom 4, ktorý znie: </w:t>
      </w: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851" w:hanging="142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„(4) Okresný úrad zverejní každoročne k 30. aprílu predbežný údaj o obvyklej výške nájomného za predchádzajúci rok pre každé katastrálne územie. Nájomca môže do 15. mája príslušného roka požiadať okresný úrad o preverenie, či ním poskytnuté údaje podľa § 14 ods. 3 boli použité na stanovenie predbežného údaju o obvyklej výške nájomného za predchádzajúci rok. O výsledku preverenia okresný úrad informuje žiadateľa. Po preverení predbežného údaju o obvyklej výške nájomného okresný úrad postupuje podľa odseku 3. Na preverenie žiadosti sa nevzťahuje všeobecný predpis o správnom konaní.“.“.</w:t>
      </w:r>
    </w:p>
    <w:p w:rsidR="00BE4A52" w:rsidRDefault="00BE4A52" w:rsidP="00BE4A52">
      <w:pPr>
        <w:ind w:left="3544" w:hanging="24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 xml:space="preserve"> </w:t>
      </w:r>
    </w:p>
    <w:p w:rsidR="00BE4A52" w:rsidRDefault="00BE4A52" w:rsidP="00BE4A52">
      <w:pPr>
        <w:ind w:left="2127" w:hanging="14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</w:rPr>
        <w:t>Legislatívna úprava stanovuje postup, ktorým nájomca môže požiadať o preverenie predbežného údaju o obvyklej výške nájomného. Nakoľko nejde o konanie o právach, právom chránených záujmoch alebo povinnostiach osôb, ale iba o prešetrenie správnosti zverejneného štatistického údaju, nevzťahuje sa na tento postup správny poriadok.</w:t>
      </w:r>
    </w:p>
    <w:p w:rsidR="00BE4A52" w:rsidRDefault="00BE4A52" w:rsidP="00BE4A52">
      <w:pPr>
        <w:ind w:left="3544" w:hanging="2409"/>
        <w:contextualSpacing/>
        <w:jc w:val="both"/>
        <w:rPr>
          <w:rFonts w:ascii="Arial" w:hAnsi="Arial" w:cs="Arial"/>
          <w:b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ind w:left="3544" w:hanging="2409"/>
        <w:contextualSpacing/>
        <w:jc w:val="both"/>
        <w:rPr>
          <w:rFonts w:ascii="Arial" w:hAnsi="Arial" w:cs="Arial"/>
          <w:b/>
        </w:rPr>
      </w:pPr>
    </w:p>
    <w:p w:rsidR="00BE4A52" w:rsidRDefault="00BE4A52" w:rsidP="00BE4A52">
      <w:pPr>
        <w:ind w:left="426" w:hanging="426"/>
        <w:contextualSpacing/>
        <w:jc w:val="both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bCs/>
          <w:iCs/>
        </w:rPr>
        <w:t xml:space="preserve">14. </w:t>
      </w:r>
      <w:r>
        <w:rPr>
          <w:rFonts w:ascii="Arial" w:hAnsi="Arial" w:cs="Arial"/>
          <w:bCs/>
          <w:iCs/>
          <w:u w:val="single"/>
        </w:rPr>
        <w:t>K čl. III</w:t>
      </w:r>
    </w:p>
    <w:p w:rsidR="00BE4A52" w:rsidRDefault="00BE4A52" w:rsidP="00BE4A52">
      <w:pPr>
        <w:ind w:left="426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Čl. III sa dopĺňa bodmi 6 a 7, ktoré znejú:</w:t>
      </w:r>
    </w:p>
    <w:p w:rsidR="00BE4A52" w:rsidRDefault="00BE4A52" w:rsidP="00BE4A52">
      <w:pPr>
        <w:ind w:left="709" w:hanging="28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noProof/>
        </w:rPr>
        <w:t xml:space="preserve">„6. </w:t>
      </w:r>
      <w:r>
        <w:rPr>
          <w:rFonts w:ascii="Arial" w:hAnsi="Arial" w:cs="Arial"/>
          <w:bCs/>
          <w:iCs/>
        </w:rPr>
        <w:t xml:space="preserve">Doterajší text § 22 sa označuje ako odsek 1 a dopĺňa sa odsekom 2, ktorý znie: </w:t>
      </w:r>
    </w:p>
    <w:p w:rsidR="00BE4A52" w:rsidRDefault="00BE4A52" w:rsidP="00BE4A52">
      <w:pPr>
        <w:ind w:left="1070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851" w:hanging="142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„(2) Povinnosť viesť evidencie podľa § 14 ods. 2 a 3 sa rovnako vzťahuje aj na nájomcu pri nájme pozemku na poľnohospodárske účely podľa prvej časti zákona, ak nájomca je prijímateľom podpory podľa osobitných predpisov.</w:t>
      </w:r>
      <w:r>
        <w:rPr>
          <w:rFonts w:ascii="Arial" w:hAnsi="Arial" w:cs="Arial"/>
          <w:bCs/>
          <w:iCs/>
          <w:vertAlign w:val="superscript"/>
        </w:rPr>
        <w:t>19b</w:t>
      </w:r>
      <w:r>
        <w:rPr>
          <w:rFonts w:ascii="Arial" w:hAnsi="Arial" w:cs="Arial"/>
          <w:bCs/>
          <w:iCs/>
        </w:rPr>
        <w:t>)“.</w:t>
      </w:r>
    </w:p>
    <w:p w:rsidR="00BE4A52" w:rsidRDefault="00BE4A52" w:rsidP="00BE4A52">
      <w:pPr>
        <w:pStyle w:val="Odsekzoznamu"/>
        <w:spacing w:after="0"/>
        <w:ind w:left="709"/>
        <w:rPr>
          <w:rFonts w:ascii="Arial" w:eastAsia="Calibri" w:hAnsi="Arial" w:cs="Arial"/>
        </w:rPr>
      </w:pPr>
    </w:p>
    <w:p w:rsidR="00BE4A52" w:rsidRDefault="00BE4A52" w:rsidP="00BE4A52">
      <w:pPr>
        <w:pStyle w:val="Odsekzoznamu"/>
        <w:spacing w:after="0"/>
        <w:ind w:left="70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Poznámka pod čiarou k odkazu 19b znie:</w:t>
      </w:r>
    </w:p>
    <w:p w:rsidR="00BE4A52" w:rsidRDefault="00BE4A52" w:rsidP="00BE4A52">
      <w:pPr>
        <w:ind w:left="851" w:hanging="284"/>
        <w:rPr>
          <w:rFonts w:ascii="Arial" w:hAnsi="Arial" w:cs="Arial"/>
          <w:color w:val="494949"/>
          <w:sz w:val="21"/>
          <w:szCs w:val="21"/>
          <w:shd w:val="clear" w:color="auto" w:fill="FFFFFF"/>
        </w:rPr>
      </w:pPr>
      <w:r>
        <w:rPr>
          <w:rFonts w:ascii="Arial" w:eastAsia="Calibri" w:hAnsi="Arial" w:cs="Arial"/>
        </w:rPr>
        <w:lastRenderedPageBreak/>
        <w:t xml:space="preserve"> „</w:t>
      </w:r>
      <w:r>
        <w:rPr>
          <w:rFonts w:ascii="Arial" w:eastAsia="Calibri" w:hAnsi="Arial" w:cs="Arial"/>
          <w:vertAlign w:val="superscript"/>
        </w:rPr>
        <w:t>19b</w:t>
      </w:r>
      <w:r>
        <w:rPr>
          <w:rFonts w:ascii="Arial" w:eastAsia="Calibri" w:hAnsi="Arial" w:cs="Arial"/>
        </w:rPr>
        <w:t>) § 3 písm. e) zákona č. 280/2017 Z. z.</w:t>
      </w:r>
      <w:r>
        <w:rPr>
          <w:rFonts w:ascii="Arial" w:hAnsi="Arial" w:cs="Arial"/>
          <w:color w:val="494949"/>
          <w:sz w:val="21"/>
          <w:szCs w:val="21"/>
          <w:shd w:val="clear" w:color="auto" w:fill="FFFFFF"/>
        </w:rPr>
        <w:t xml:space="preserve"> </w:t>
      </w:r>
    </w:p>
    <w:p w:rsidR="00BE4A52" w:rsidRDefault="00BE4A52" w:rsidP="00BE4A52">
      <w:pPr>
        <w:ind w:left="113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  <w:shd w:val="clear" w:color="auto" w:fill="FFFFFF"/>
        </w:rPr>
        <w:t>Nariadenie vlády Slovenskej republiky č. 342/2014 Z. z., ktorým sa ustanovujú pravidlá poskytovania podpory v poľnohospodárstve v súvislosti so schémami oddelených priamych platieb v znení neskorších predpisov.“.</w:t>
      </w:r>
    </w:p>
    <w:p w:rsidR="00BE4A52" w:rsidRDefault="00BE4A52" w:rsidP="00BE4A52">
      <w:pPr>
        <w:ind w:left="1070"/>
        <w:contextualSpacing/>
        <w:jc w:val="both"/>
        <w:rPr>
          <w:rFonts w:ascii="Arial" w:hAnsi="Arial" w:cs="Arial"/>
          <w:bCs/>
          <w:iCs/>
        </w:rPr>
      </w:pPr>
    </w:p>
    <w:p w:rsidR="00BE4A52" w:rsidRDefault="00BE4A52" w:rsidP="00BE4A52">
      <w:pPr>
        <w:ind w:left="709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7. V § 24c ods. 2 druhá veta znie: „Okresný úrad, ktorému bolo podaných</w:t>
      </w:r>
    </w:p>
    <w:p w:rsidR="00BE4A52" w:rsidRDefault="00BE4A52" w:rsidP="00BE4A52">
      <w:pPr>
        <w:ind w:left="99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a) najviac 1000 návrhov podľa § 12b ods. 1, rozhodne o nich do 29. februára 2020, </w:t>
      </w:r>
    </w:p>
    <w:p w:rsidR="00BE4A52" w:rsidRDefault="00BE4A52" w:rsidP="00BE4A52">
      <w:pPr>
        <w:ind w:left="99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b) viac ako 1000 návrhov podľa § 12b ods. 1, rozhodne o nich do 28. februára 2021,</w:t>
      </w:r>
    </w:p>
    <w:p w:rsidR="00BE4A52" w:rsidRDefault="00BE4A52" w:rsidP="00BE4A52">
      <w:pPr>
        <w:ind w:left="993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c) viac ako 3000 návrhov podľa § 12b ods. 1, rozhodne o nich do 28. februára 2022.“.</w:t>
      </w:r>
    </w:p>
    <w:p w:rsidR="00BE4A52" w:rsidRDefault="00BE4A52" w:rsidP="00BE4A52">
      <w:pPr>
        <w:jc w:val="both"/>
        <w:rPr>
          <w:rFonts w:ascii="Arial" w:hAnsi="Arial" w:cs="Arial"/>
          <w:bCs/>
          <w:color w:val="000000"/>
        </w:rPr>
      </w:pPr>
    </w:p>
    <w:p w:rsidR="00BE4A52" w:rsidRDefault="00BE4A52" w:rsidP="00BE4A52">
      <w:pPr>
        <w:ind w:left="2127" w:hanging="3"/>
        <w:contextualSpacing/>
        <w:jc w:val="both"/>
        <w:rPr>
          <w:rFonts w:ascii="Arial" w:hAnsi="Arial" w:cs="Arial"/>
          <w:noProof/>
        </w:rPr>
      </w:pPr>
      <w:r>
        <w:rPr>
          <w:rFonts w:ascii="Arial" w:hAnsi="Arial" w:cs="Arial"/>
          <w:bCs/>
          <w:iCs/>
        </w:rPr>
        <w:t>K bodu 6 -</w:t>
      </w:r>
      <w:r>
        <w:rPr>
          <w:rFonts w:ascii="Arial" w:hAnsi="Arial" w:cs="Arial"/>
          <w:noProof/>
        </w:rPr>
        <w:t xml:space="preserve"> V súvislosti s požiadavkou </w:t>
      </w:r>
      <w:r>
        <w:rPr>
          <w:rFonts w:ascii="Arial" w:hAnsi="Arial" w:cs="Arial"/>
          <w:bCs/>
          <w:iCs/>
        </w:rPr>
        <w:t>Európskej</w:t>
      </w:r>
      <w:r>
        <w:rPr>
          <w:rFonts w:ascii="Arial" w:hAnsi="Arial" w:cs="Arial"/>
          <w:noProof/>
        </w:rPr>
        <w:t xml:space="preserve"> komisie o </w:t>
      </w:r>
      <w:r>
        <w:rPr>
          <w:rFonts w:ascii="Arial" w:hAnsi="Arial" w:cs="Arial"/>
        </w:rPr>
        <w:t>prijatie opatrení na zvýšenie transparentnosti a zároveň riešenia potreby vedenia centrálnej evidencie právnych vzťahov k poľnohospodárskym pozemkom</w:t>
      </w:r>
      <w:r>
        <w:rPr>
          <w:rFonts w:ascii="Arial" w:hAnsi="Arial" w:cs="Arial"/>
          <w:noProof/>
        </w:rPr>
        <w:t xml:space="preserve"> vyplynula potreba rozšíriť okruh osôb, ktoré sú povinné viesť evidenciu nájomných vzťahov podľa §14 ods.2 a 3 zákona a údaje z tejto evidencie poskytovať okresnému úradu. Doterajšia právna úprava sa vzťahovala výlučne na osoby pri prevádzkovaní podniku. Vzhľadom na to, že aj fyzické osoby nepodnikatelia majú možnosť žiadať o priame podpory bolo potrebné rozšíriť okruh povinných osôb aj o tieto osoby.</w:t>
      </w:r>
    </w:p>
    <w:p w:rsidR="00BE4A52" w:rsidRDefault="00BE4A52" w:rsidP="00BE4A52">
      <w:pPr>
        <w:ind w:left="2127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K bodu 7 -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noProof/>
        </w:rPr>
        <w:t xml:space="preserve">Z údajov o podaných návrhoch vyplynulo, že </w:t>
      </w:r>
      <w:r>
        <w:rPr>
          <w:rFonts w:ascii="Arial" w:hAnsi="Arial" w:cs="Arial"/>
          <w:color w:val="000000"/>
        </w:rPr>
        <w:t xml:space="preserve">v celej SR bolo podaných 15.466 návrhov podľa § 12b ods.1. Nakoľko niektoré okresy disponujú veľkým počtom takýchto návrhov nie je reálne rozhodnúť o návrhoch v lehote do 29. februára 2020. Z uvedeného dôvodu legislatívnou úpravou dochádza k predĺženiu termínu na rozhodnutie v závislosti od počtu prijatých návrhov. </w:t>
      </w:r>
    </w:p>
    <w:p w:rsidR="00BE4A52" w:rsidRDefault="00BE4A52" w:rsidP="00BE4A52">
      <w:pPr>
        <w:rPr>
          <w:rFonts w:ascii="Arial" w:hAnsi="Arial" w:cs="Arial"/>
        </w:rPr>
      </w:pP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rPr>
          <w:rFonts w:ascii="Arial" w:hAnsi="Arial" w:cs="Arial"/>
        </w:rPr>
      </w:pPr>
    </w:p>
    <w:p w:rsidR="00BE4A52" w:rsidRDefault="00BE4A52" w:rsidP="00BE4A5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u w:val="single"/>
        </w:rPr>
        <w:t xml:space="preserve"> K čl. IV</w:t>
      </w:r>
    </w:p>
    <w:p w:rsidR="00BE4A52" w:rsidRDefault="00BE4A52" w:rsidP="00BE4A52">
      <w:pPr>
        <w:pStyle w:val="Odsekzoznamu"/>
        <w:spacing w:before="0"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V čl. IV sa slová „1. januára“ nahrádzajú slovami „1. februára“.</w:t>
      </w:r>
    </w:p>
    <w:p w:rsidR="00BE4A52" w:rsidRDefault="00BE4A52" w:rsidP="00BE4A52">
      <w:pPr>
        <w:spacing w:after="200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súvislosti so zmenou účinnosti v čl. IV sa v predkladanom návrhu zákona vykonajú nasledovné zmeny:</w:t>
      </w:r>
    </w:p>
    <w:p w:rsidR="00BE4A52" w:rsidRDefault="00BE4A52" w:rsidP="00BE4A52">
      <w:pPr>
        <w:numPr>
          <w:ilvl w:val="2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 93 § 42x  v nadpise sa slová „1. januára 2020“ nahrádzajú slovami „1. februára 2020“,</w:t>
      </w:r>
    </w:p>
    <w:p w:rsidR="00BE4A52" w:rsidRDefault="00BE4A52" w:rsidP="00BE4A52">
      <w:pPr>
        <w:numPr>
          <w:ilvl w:val="2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 93 § 42x  sa slová „31. decembra 2019“ vo všetkých tvaroch nahrádzajú slovami „31. januára 2020“ v príslušnom tvare,</w:t>
      </w:r>
    </w:p>
    <w:p w:rsidR="00BE4A52" w:rsidRDefault="00BE4A52" w:rsidP="00BE4A52">
      <w:pPr>
        <w:numPr>
          <w:ilvl w:val="2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bod 93 § 42x sa slová „30. júna 2021“ nahrádzajú slovami „31. júla 2021“,</w:t>
      </w:r>
    </w:p>
    <w:p w:rsidR="00BE4A52" w:rsidRDefault="00BE4A52" w:rsidP="00BE4A52">
      <w:pPr>
        <w:numPr>
          <w:ilvl w:val="2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čl. I bod 93 § 42x sa slová „31. decembra 2024“ nahrádzajú slovami „31. januára 2025“.</w:t>
      </w:r>
    </w:p>
    <w:p w:rsidR="00BE4A52" w:rsidRDefault="00BE4A52" w:rsidP="00BE4A52">
      <w:pPr>
        <w:pStyle w:val="Odsekzoznamu"/>
        <w:ind w:left="4253"/>
        <w:rPr>
          <w:rFonts w:ascii="Arial" w:hAnsi="Arial" w:cs="Arial"/>
        </w:rPr>
      </w:pPr>
    </w:p>
    <w:p w:rsidR="00BE4A52" w:rsidRDefault="00BE4A52" w:rsidP="00BE4A52">
      <w:pPr>
        <w:spacing w:after="160"/>
        <w:ind w:left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Zmena účinnosti sa navrhuje z dôvodu zabezpečenia aspoň minimálnej </w:t>
      </w:r>
      <w:proofErr w:type="spellStart"/>
      <w:r>
        <w:rPr>
          <w:rFonts w:ascii="Arial" w:hAnsi="Arial" w:cs="Arial"/>
        </w:rPr>
        <w:t>legisvakancie</w:t>
      </w:r>
      <w:proofErr w:type="spellEnd"/>
      <w:r>
        <w:rPr>
          <w:rFonts w:ascii="Arial" w:hAnsi="Arial" w:cs="Arial"/>
        </w:rPr>
        <w:t>. Z uvedených dôvodov je potrebné zmeniť účinnosť zákona tak, aby boli dodržané požiadavky a lehoty stanovené Ústavou Slovenskej  republiky  [čl. 87 ods. 2 až 4  a čl. 102 ods. 1 písm. o)]. Zároveň  dochádza k posunu nadväzujúcich účinností v prechodných ustanoveniach.</w:t>
      </w:r>
    </w:p>
    <w:p w:rsidR="00525C53" w:rsidRDefault="00525C53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525C53" w:rsidRDefault="00525C53" w:rsidP="00525C53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E4A52" w:rsidRDefault="00BE4A52" w:rsidP="00525C53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</w:p>
    <w:p w:rsidR="00BE4A52" w:rsidRPr="00BE4A52" w:rsidRDefault="00BE4A52" w:rsidP="00BE4A52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E4A52" w:rsidRDefault="00BE4A52" w:rsidP="00BE4A52">
      <w:pPr>
        <w:rPr>
          <w:rFonts w:ascii="Arial" w:hAnsi="Arial" w:cs="Arial"/>
        </w:rPr>
      </w:pPr>
    </w:p>
    <w:p w:rsidR="00CF631E" w:rsidRDefault="00CF631E" w:rsidP="00CF631E">
      <w:pPr>
        <w:rPr>
          <w:rFonts w:ascii="Arial" w:hAnsi="Arial" w:cs="Arial"/>
        </w:rPr>
      </w:pPr>
    </w:p>
    <w:p w:rsidR="00CF631E" w:rsidRDefault="00CF631E" w:rsidP="00CF631E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F631E" w:rsidRDefault="00CF631E" w:rsidP="00CF631E">
      <w:pPr>
        <w:pStyle w:val="Zkladntext"/>
        <w:widowControl w:val="0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Gestorský výbor odporúča hlasovať o bodoch spoločnej  správy nasledovne:</w:t>
      </w:r>
    </w:p>
    <w:p w:rsidR="00CF631E" w:rsidRDefault="00CF631E" w:rsidP="00CF631E">
      <w:pPr>
        <w:pStyle w:val="Zkladntext"/>
        <w:widowControl w:val="0"/>
        <w:rPr>
          <w:rFonts w:ascii="Arial" w:hAnsi="Arial" w:cs="Arial"/>
          <w:bCs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  <w:bCs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>O bodoch spoločnej správy č.</w:t>
      </w:r>
      <w:r w:rsidR="00525C53">
        <w:rPr>
          <w:rFonts w:ascii="Arial" w:hAnsi="Arial" w:cs="Arial"/>
          <w:bCs/>
        </w:rPr>
        <w:t xml:space="preserve"> 1 až 15</w:t>
      </w:r>
      <w:r>
        <w:rPr>
          <w:rFonts w:ascii="Arial" w:hAnsi="Arial" w:cs="Arial"/>
          <w:bCs/>
        </w:rPr>
        <w:t xml:space="preserve"> hlasovať spoločne s návrhom gestorského výboru uvedené body </w:t>
      </w:r>
      <w:r>
        <w:rPr>
          <w:rFonts w:ascii="Arial" w:hAnsi="Arial" w:cs="Arial"/>
          <w:b/>
          <w:bCs/>
        </w:rPr>
        <w:t>schváliť.</w:t>
      </w:r>
    </w:p>
    <w:p w:rsidR="00CF631E" w:rsidRDefault="00CF631E" w:rsidP="00CF631E">
      <w:pPr>
        <w:pStyle w:val="Zkladntext"/>
        <w:widowControl w:val="0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CF631E" w:rsidRDefault="00CF631E" w:rsidP="00CF631E">
      <w:pPr>
        <w:pStyle w:val="Zkladntext"/>
        <w:widowControl w:val="0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CF631E" w:rsidRDefault="00CF631E" w:rsidP="00CF631E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525C53" w:rsidRDefault="00525C53" w:rsidP="00CF631E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zákona, ktorým sa mení a dopĺňa zákon </w:t>
      </w:r>
      <w:r w:rsidRPr="00CF631E">
        <w:rPr>
          <w:rFonts w:ascii="Arial" w:hAnsi="Arial" w:cs="Arial"/>
          <w:bCs/>
        </w:rPr>
        <w:t>Slovenskej národnej rady č. 330/1991 Zb. o pozemkových úpravách, usporiadaní pozemkového vlastníctva, pozemkových úradoch, pozemkovom fonde a o pozemkových spoločenstvách v znení neskorších predpisov a ktorým sa menia a dopĺňajú niektoré zákony (tlač 1683)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525C53" w:rsidRDefault="00525C53" w:rsidP="00CF631E">
      <w:pPr>
        <w:pStyle w:val="Zkladntext"/>
        <w:widowControl w:val="0"/>
        <w:rPr>
          <w:rFonts w:ascii="Arial" w:hAnsi="Arial" w:cs="Arial"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Spoločná správa výborov Národnej rady Slovenskej republiky o prerokovaní vládneho návrhu zákona</w:t>
      </w:r>
      <w:r>
        <w:rPr>
          <w:rFonts w:ascii="Arial" w:hAnsi="Arial" w:cs="Arial"/>
          <w:bCs/>
        </w:rPr>
        <w:t>, ktorým sa mení a dopĺňa zákon</w:t>
      </w:r>
      <w:r w:rsidRPr="00CF631E">
        <w:rPr>
          <w:rFonts w:ascii="Arial" w:hAnsi="Arial" w:cs="Arial"/>
          <w:bCs/>
        </w:rPr>
        <w:t xml:space="preserve"> Slovenskej národnej rady č. 330/1991 Zb. o pozemkových úpravách, usporiadaní pozemkového vlastníctva, pozemkových úradoch, pozemkovom fonde a o pozemkových spoločenstvách v znení neskorších predpisov a ktorým sa menia a dopĺňajú niektoré zákony (tlač 1683)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vo výboroch Národnej rady Slovenskej republiky v druhom čítaní bola schválená </w:t>
      </w:r>
      <w:r>
        <w:rPr>
          <w:rFonts w:ascii="Arial" w:hAnsi="Arial" w:cs="Arial"/>
        </w:rPr>
        <w:lastRenderedPageBreak/>
        <w:t>uznesením Výboru Národnej rady Slovenskej republiky pre pôdohospodárstv</w:t>
      </w:r>
      <w:r w:rsidR="00525C53">
        <w:rPr>
          <w:rFonts w:ascii="Arial" w:hAnsi="Arial" w:cs="Arial"/>
        </w:rPr>
        <w:t>o a životné  prostredie  č. 338  z 26. novembra</w:t>
      </w:r>
      <w:r>
        <w:rPr>
          <w:rFonts w:ascii="Arial" w:hAnsi="Arial" w:cs="Arial"/>
        </w:rPr>
        <w:t xml:space="preserve"> 2019.   </w:t>
      </w:r>
    </w:p>
    <w:p w:rsidR="00CF631E" w:rsidRDefault="00CF631E" w:rsidP="00CF631E">
      <w:pPr>
        <w:pStyle w:val="Zkladntext"/>
        <w:widowControl w:val="0"/>
        <w:rPr>
          <w:rFonts w:ascii="Arial" w:hAnsi="Arial" w:cs="Arial"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CF631E" w:rsidRDefault="00CF631E" w:rsidP="00CF631E">
      <w:pPr>
        <w:pStyle w:val="Zkladntext"/>
        <w:widowControl w:val="0"/>
        <w:rPr>
          <w:rFonts w:ascii="Arial" w:hAnsi="Arial" w:cs="Arial"/>
        </w:rPr>
      </w:pPr>
    </w:p>
    <w:p w:rsidR="00CF631E" w:rsidRDefault="00CF631E" w:rsidP="00CF631E">
      <w:pPr>
        <w:pStyle w:val="Zkladntext"/>
        <w:widowControl w:val="0"/>
        <w:rPr>
          <w:rFonts w:ascii="Arial" w:hAnsi="Arial" w:cs="Arial"/>
        </w:rPr>
      </w:pPr>
    </w:p>
    <w:p w:rsidR="00CF631E" w:rsidRDefault="00CF631E" w:rsidP="00CF631E"/>
    <w:p w:rsidR="00CF631E" w:rsidRDefault="00CF631E" w:rsidP="00CF631E"/>
    <w:p w:rsidR="00CF631E" w:rsidRDefault="00CF631E" w:rsidP="00CF631E"/>
    <w:p w:rsidR="00CF631E" w:rsidRDefault="00CF631E" w:rsidP="00CF631E"/>
    <w:p w:rsidR="00CF631E" w:rsidRDefault="00CF631E" w:rsidP="00CF631E"/>
    <w:p w:rsidR="009920B8" w:rsidRPr="00E6514C" w:rsidRDefault="00CD0176" w:rsidP="00CD01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E6514C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E6514C">
        <w:rPr>
          <w:rFonts w:ascii="Arial" w:hAnsi="Arial" w:cs="Arial"/>
        </w:rPr>
        <w:t>, v. r.</w:t>
      </w:r>
      <w:bookmarkStart w:id="0" w:name="_GoBack"/>
      <w:bookmarkEnd w:id="0"/>
    </w:p>
    <w:p w:rsidR="00CD0176" w:rsidRPr="00CD0176" w:rsidRDefault="00CD0176" w:rsidP="00CD01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CD0176" w:rsidRPr="00CD0176" w:rsidSect="00525C5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55" w:rsidRDefault="00643455" w:rsidP="00525C53">
      <w:r>
        <w:separator/>
      </w:r>
    </w:p>
  </w:endnote>
  <w:endnote w:type="continuationSeparator" w:id="0">
    <w:p w:rsidR="00643455" w:rsidRDefault="00643455" w:rsidP="0052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686060"/>
      <w:docPartObj>
        <w:docPartGallery w:val="Page Numbers (Bottom of Page)"/>
        <w:docPartUnique/>
      </w:docPartObj>
    </w:sdtPr>
    <w:sdtEndPr/>
    <w:sdtContent>
      <w:p w:rsidR="00525C53" w:rsidRDefault="00525C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14C">
          <w:rPr>
            <w:noProof/>
          </w:rPr>
          <w:t>11</w:t>
        </w:r>
        <w:r>
          <w:fldChar w:fldCharType="end"/>
        </w:r>
      </w:p>
    </w:sdtContent>
  </w:sdt>
  <w:p w:rsidR="00525C53" w:rsidRDefault="00525C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55" w:rsidRDefault="00643455" w:rsidP="00525C53">
      <w:r>
        <w:separator/>
      </w:r>
    </w:p>
  </w:footnote>
  <w:footnote w:type="continuationSeparator" w:id="0">
    <w:p w:rsidR="00643455" w:rsidRDefault="00643455" w:rsidP="0052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407B"/>
    <w:multiLevelType w:val="hybridMultilevel"/>
    <w:tmpl w:val="59F69E40"/>
    <w:lvl w:ilvl="0" w:tplc="4D4A5F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A76676E8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1E"/>
    <w:rsid w:val="00064C2E"/>
    <w:rsid w:val="00525C53"/>
    <w:rsid w:val="00643455"/>
    <w:rsid w:val="0095695E"/>
    <w:rsid w:val="009920B8"/>
    <w:rsid w:val="00BE4A52"/>
    <w:rsid w:val="00CD0176"/>
    <w:rsid w:val="00CF631E"/>
    <w:rsid w:val="00CF7BED"/>
    <w:rsid w:val="00E6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EDE68"/>
  <w15:chartTrackingRefBased/>
  <w15:docId w15:val="{D0EE5B3A-51A3-4321-A6DF-4F7BCE4C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631E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CF631E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F631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F63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F631E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BE4A52"/>
    <w:rPr>
      <w:rFonts w:ascii="Times New Roman" w:eastAsia="Times New Roman" w:hAnsi="Times New Roman" w:cs="Times New Roman"/>
      <w:szCs w:val="24"/>
      <w:lang w:eastAsia="zh-CN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BE4A52"/>
    <w:pPr>
      <w:widowControl w:val="0"/>
      <w:suppressAutoHyphens/>
      <w:autoSpaceDE w:val="0"/>
      <w:spacing w:before="60" w:after="60"/>
      <w:ind w:left="708"/>
      <w:jc w:val="both"/>
    </w:pPr>
    <w:rPr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525C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5C53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5C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5C53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B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B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7</cp:revision>
  <cp:lastPrinted>2019-11-26T06:48:00Z</cp:lastPrinted>
  <dcterms:created xsi:type="dcterms:W3CDTF">2019-10-17T07:28:00Z</dcterms:created>
  <dcterms:modified xsi:type="dcterms:W3CDTF">2019-11-26T06:48:00Z</dcterms:modified>
</cp:coreProperties>
</file>