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CRD - </w:t>
      </w:r>
      <w:r>
        <w:rPr>
          <w:szCs w:val="24"/>
          <w:lang w:eastAsia="sk-SK"/>
        </w:rPr>
        <w:t>1999</w:t>
      </w:r>
      <w:r>
        <w:rPr>
          <w:szCs w:val="24"/>
          <w:lang w:val="cs-CZ" w:eastAsia="sk-SK"/>
        </w:rPr>
        <w:t>/2019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FD1BB4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1682</w:t>
      </w:r>
      <w:r w:rsidR="00D1690F">
        <w:rPr>
          <w:b/>
          <w:bCs/>
          <w:sz w:val="28"/>
          <w:szCs w:val="24"/>
          <w:lang w:eastAsia="sk-SK"/>
        </w:rPr>
        <w:t>a</w:t>
      </w:r>
    </w:p>
    <w:p w:rsidR="00D1690F" w:rsidRDefault="00D1690F" w:rsidP="00D1690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D1690F" w:rsidRDefault="00D1690F" w:rsidP="00D1690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D1690F" w:rsidRDefault="00D1690F" w:rsidP="00D1690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D1690F" w:rsidRDefault="00D1690F" w:rsidP="00D1690F">
      <w:pPr>
        <w:spacing w:after="0" w:line="240" w:lineRule="auto"/>
        <w:jc w:val="both"/>
        <w:rPr>
          <w:rFonts w:cs="Arial"/>
          <w:b/>
          <w:szCs w:val="24"/>
        </w:rPr>
      </w:pPr>
      <w:r>
        <w:rPr>
          <w:szCs w:val="24"/>
          <w:lang w:eastAsia="sk-SK"/>
        </w:rPr>
        <w:t xml:space="preserve">výborov Národnej rady Slovenskej republiky o prerokovaní </w:t>
      </w:r>
      <w:r>
        <w:rPr>
          <w:rFonts w:cs="Arial"/>
          <w:noProof/>
          <w:szCs w:val="24"/>
        </w:rPr>
        <w:t>vládneho</w:t>
      </w:r>
      <w:r w:rsidRPr="00490577">
        <w:rPr>
          <w:rFonts w:cs="Arial"/>
          <w:noProof/>
          <w:szCs w:val="24"/>
        </w:rPr>
        <w:t xml:space="preserve"> návrh</w:t>
      </w:r>
      <w:r>
        <w:rPr>
          <w:rFonts w:cs="Arial"/>
          <w:noProof/>
          <w:szCs w:val="24"/>
        </w:rPr>
        <w:t>u</w:t>
      </w:r>
      <w:r w:rsidRPr="00490577">
        <w:rPr>
          <w:rFonts w:cs="Arial"/>
          <w:noProof/>
          <w:szCs w:val="24"/>
        </w:rPr>
        <w:t xml:space="preserve"> zákona, ktorým sa mení a dopĺňa zákon č. 321/2002 Z. z. o ozbrojených silách Slovenskej republiky v znení neskorších predpisov a ktorým sa menia a dopĺňajú niektoré zákony </w:t>
      </w:r>
      <w:r w:rsidRPr="00490577">
        <w:rPr>
          <w:rFonts w:cs="Arial"/>
          <w:b/>
          <w:szCs w:val="24"/>
        </w:rPr>
        <w:t>(tlač 1682)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– </w:t>
      </w:r>
      <w:r>
        <w:rPr>
          <w:rFonts w:cs="Arial"/>
          <w:b/>
          <w:szCs w:val="24"/>
        </w:rPr>
        <w:t>druhé čítanie</w:t>
      </w:r>
    </w:p>
    <w:p w:rsidR="00D1690F" w:rsidRDefault="00D1690F" w:rsidP="00D1690F">
      <w:pPr>
        <w:pBdr>
          <w:bottom w:val="single" w:sz="12" w:space="1" w:color="auto"/>
        </w:pBdr>
        <w:spacing w:after="0" w:line="240" w:lineRule="auto"/>
        <w:jc w:val="both"/>
        <w:rPr>
          <w:bCs/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</w:t>
      </w:r>
      <w:r w:rsidR="00EB0BA8" w:rsidRPr="00EB0BA8">
        <w:rPr>
          <w:b/>
          <w:szCs w:val="24"/>
          <w:lang w:eastAsia="sk-SK"/>
        </w:rPr>
        <w:t>č. 2127</w:t>
      </w:r>
      <w:r w:rsidRPr="00EB0BA8">
        <w:rPr>
          <w:b/>
          <w:szCs w:val="24"/>
          <w:lang w:eastAsia="sk-SK"/>
        </w:rPr>
        <w:t xml:space="preserve"> </w:t>
      </w:r>
      <w:r w:rsidR="00EB0BA8" w:rsidRPr="00EB0BA8">
        <w:rPr>
          <w:szCs w:val="24"/>
          <w:lang w:eastAsia="sk-SK"/>
        </w:rPr>
        <w:t>z 15. októbra</w:t>
      </w:r>
      <w:r w:rsidRPr="00EB0BA8">
        <w:rPr>
          <w:szCs w:val="24"/>
          <w:lang w:eastAsia="sk-SK"/>
        </w:rPr>
        <w:t xml:space="preserve"> 2019 </w:t>
      </w:r>
      <w:r>
        <w:rPr>
          <w:szCs w:val="24"/>
          <w:lang w:eastAsia="sk-SK"/>
        </w:rPr>
        <w:t>pridelila</w:t>
      </w:r>
      <w:r>
        <w:rPr>
          <w:rFonts w:cs="Arial"/>
          <w:noProof/>
        </w:rPr>
        <w:t xml:space="preserve"> </w:t>
      </w:r>
      <w:r>
        <w:rPr>
          <w:rFonts w:cs="Arial"/>
          <w:noProof/>
          <w:szCs w:val="24"/>
        </w:rPr>
        <w:t>v</w:t>
      </w:r>
      <w:r w:rsidRPr="00490577">
        <w:rPr>
          <w:rFonts w:cs="Arial"/>
          <w:noProof/>
          <w:szCs w:val="24"/>
        </w:rPr>
        <w:t xml:space="preserve">ládny návrh zákona, ktorým sa mení a dopĺňa zákon č. 321/2002 Z. z. o ozbrojených silách Slovenskej republiky v znení neskorších predpisov a ktorým sa menia a dopĺňajú niektoré zákony </w:t>
      </w:r>
      <w:r w:rsidRPr="00490577">
        <w:rPr>
          <w:rFonts w:cs="Arial"/>
          <w:b/>
          <w:szCs w:val="24"/>
        </w:rPr>
        <w:t>(tlač 1682)</w:t>
      </w:r>
      <w:r>
        <w:rPr>
          <w:szCs w:val="24"/>
          <w:lang w:eastAsia="sk-SK"/>
        </w:rPr>
        <w:t>na prerokovanie týmto výborom:</w:t>
      </w:r>
    </w:p>
    <w:p w:rsidR="00D1690F" w:rsidRDefault="00D1690F" w:rsidP="00D1690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D1690F" w:rsidRDefault="00D1690F" w:rsidP="00D1690F">
      <w:pPr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Ústavnoprávnemu výboru Národnej rady Slovenskej republiky   a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lastRenderedPageBreak/>
        <w:t>II.</w:t>
      </w:r>
    </w:p>
    <w:p w:rsidR="00D1690F" w:rsidRDefault="00D1690F" w:rsidP="00D1690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  <w:r>
        <w:rPr>
          <w:b/>
          <w:bCs/>
          <w:szCs w:val="24"/>
          <w:lang w:eastAsia="sk-SK"/>
        </w:rPr>
        <w:tab/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D1690F" w:rsidRPr="00D1690F" w:rsidRDefault="00D1690F" w:rsidP="00D1690F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757901">
        <w:rPr>
          <w:b/>
          <w:bCs/>
          <w:szCs w:val="24"/>
          <w:lang w:eastAsia="sk-SK"/>
        </w:rPr>
        <w:t xml:space="preserve">Ústavnoprávny výbor Národnej rady Slovenskej republiky  </w:t>
      </w:r>
      <w:r w:rsidRPr="00757901">
        <w:rPr>
          <w:bCs/>
          <w:szCs w:val="24"/>
          <w:lang w:eastAsia="sk-SK"/>
        </w:rPr>
        <w:t xml:space="preserve">uznesením č. </w:t>
      </w:r>
      <w:r w:rsidR="00757901" w:rsidRPr="00757901">
        <w:rPr>
          <w:b/>
          <w:bCs/>
          <w:szCs w:val="24"/>
          <w:lang w:eastAsia="sk-SK"/>
        </w:rPr>
        <w:t>774</w:t>
      </w:r>
      <w:r w:rsidRPr="00757901">
        <w:rPr>
          <w:b/>
          <w:bCs/>
          <w:szCs w:val="24"/>
          <w:lang w:eastAsia="sk-SK"/>
        </w:rPr>
        <w:t xml:space="preserve"> </w:t>
      </w:r>
      <w:r w:rsidRPr="00757901">
        <w:rPr>
          <w:bCs/>
          <w:szCs w:val="24"/>
          <w:lang w:eastAsia="sk-SK"/>
        </w:rPr>
        <w:t>z </w:t>
      </w:r>
      <w:r w:rsidR="00757901" w:rsidRPr="00757901">
        <w:rPr>
          <w:bCs/>
          <w:szCs w:val="24"/>
          <w:lang w:eastAsia="sk-SK"/>
        </w:rPr>
        <w:t>19. nove</w:t>
      </w:r>
      <w:r w:rsidRPr="00757901">
        <w:rPr>
          <w:bCs/>
          <w:szCs w:val="24"/>
          <w:lang w:eastAsia="sk-SK"/>
        </w:rPr>
        <w:t xml:space="preserve">mbra 2019 odporučil Národnej rade Slovenskej republiky  </w:t>
      </w:r>
      <w:r>
        <w:rPr>
          <w:bCs/>
          <w:szCs w:val="24"/>
          <w:lang w:eastAsia="sk-SK"/>
        </w:rPr>
        <w:t>vládny návrh zákona schváliť s pozmeňujúcimi a doplňujúcimi návrhmi.</w:t>
      </w: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D1690F" w:rsidRDefault="00D1690F" w:rsidP="00D1690F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ab/>
      </w:r>
      <w:r w:rsidRPr="00D1690F">
        <w:rPr>
          <w:color w:val="FF0000"/>
          <w:szCs w:val="24"/>
          <w:lang w:eastAsia="sk-SK"/>
        </w:rPr>
        <w:t xml:space="preserve"> </w:t>
      </w:r>
      <w:r w:rsidRPr="00A15ECF">
        <w:rPr>
          <w:b/>
          <w:szCs w:val="24"/>
          <w:lang w:eastAsia="sk-SK"/>
        </w:rPr>
        <w:t>Výbor Národnej rady Slovenskej republiky pre obranu a bezpečnosť</w:t>
      </w:r>
      <w:r w:rsidRPr="00A15ECF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uznesením č. </w:t>
      </w:r>
      <w:r w:rsidR="00A15ECF">
        <w:rPr>
          <w:b/>
          <w:szCs w:val="24"/>
          <w:lang w:eastAsia="sk-SK"/>
        </w:rPr>
        <w:t>227</w:t>
      </w:r>
      <w:r>
        <w:rPr>
          <w:szCs w:val="24"/>
          <w:lang w:eastAsia="sk-SK"/>
        </w:rPr>
        <w:t xml:space="preserve"> z</w:t>
      </w:r>
      <w:r w:rsidR="00A15ECF">
        <w:rPr>
          <w:szCs w:val="24"/>
          <w:lang w:eastAsia="sk-SK"/>
        </w:rPr>
        <w:t>o 14. nove</w:t>
      </w:r>
      <w:r>
        <w:rPr>
          <w:szCs w:val="24"/>
          <w:lang w:eastAsia="sk-SK"/>
        </w:rPr>
        <w:t>mbra 2019 odporučil Národnej rade Slovenskej republiky vládny návrh zákona  schváliť s pozmeňujúcimi a doplňujúcimi návrhmi.</w:t>
      </w: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A15ECF" w:rsidRDefault="00A15ECF" w:rsidP="00A15ECF">
      <w:pPr>
        <w:spacing w:after="0" w:line="240" w:lineRule="auto"/>
        <w:jc w:val="both"/>
        <w:rPr>
          <w:rFonts w:cs="Arial"/>
          <w:b/>
        </w:rPr>
      </w:pPr>
    </w:p>
    <w:p w:rsidR="00A15ECF" w:rsidRDefault="00A15ECF" w:rsidP="00A15EC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>
        <w:rPr>
          <w:b/>
          <w:szCs w:val="24"/>
          <w:u w:val="single"/>
          <w:lang w:eastAsia="sk-SK"/>
        </w:rPr>
        <w:t>K čl. I</w:t>
      </w:r>
    </w:p>
    <w:p w:rsidR="00A15ECF" w:rsidRDefault="00A15ECF" w:rsidP="00A15ECF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 čl. I 5. bod Poznámka pod čiarou k odkazu 5b) znie:</w:t>
      </w:r>
    </w:p>
    <w:p w:rsidR="00A15ECF" w:rsidRDefault="00A15ECF" w:rsidP="00A15ECF">
      <w:pPr>
        <w:spacing w:after="0" w:line="360" w:lineRule="auto"/>
        <w:ind w:left="720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„5b) Napríklad Severoatlantická zmluva (oznámenie Ministerstva zahraničných vecí Slovenskej republiky č. 301/2004 Z. z.) v znení protokolu k Severoatlantickej zmluve o pristúpení Chorvátskej republiky (oznámenie Ministerstva zahraničných vecí Slovenskej republiky č. 157/2009 Z. z.), protokolu k Severoatlantickej zmluve o pristúpení Albánskej republiky (oznámenie Ministerstva zahraničných vecí Slovenskej republiky č. 158/2009 Z. z.) a protokolu k Severoatlantickej zmluve o pristúpení Čiernej Hory (oznámenie Ministerstva zahraničných vecí a európskych záležitostí Slovenskej republiky č. 154/2017 Z. z.), Protokol o statuse medzinárodných vojenských veliteľstiev zriadených podľa Severoatlantickej zmluvy (oznámenie Ministerstva zahraničných vecí Slovenskej republiky č. 551/2004 Z. z.).“.</w:t>
      </w:r>
    </w:p>
    <w:p w:rsidR="00A15ECF" w:rsidRDefault="00A15ECF" w:rsidP="00A15ECF">
      <w:pPr>
        <w:spacing w:after="0" w:line="360" w:lineRule="auto"/>
        <w:ind w:left="720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Ide o legislatívno-technickú úpravu uvádzania medzinárodných zmlúv v zmysle ich oficiálnych názvov.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Pr="00757901" w:rsidRDefault="00A15ECF" w:rsidP="00A15ECF">
      <w:pPr>
        <w:ind w:left="1416" w:firstLine="708"/>
        <w:rPr>
          <w:szCs w:val="24"/>
        </w:rPr>
      </w:pPr>
      <w:r w:rsidRPr="00757901">
        <w:rPr>
          <w:szCs w:val="24"/>
        </w:rPr>
        <w:lastRenderedPageBreak/>
        <w:t>Ústavnoprávny výbor Národnej rady Slovenskej republiky</w:t>
      </w:r>
    </w:p>
    <w:p w:rsidR="00A15ECF" w:rsidRDefault="00A15ECF" w:rsidP="00A15ECF">
      <w:pPr>
        <w:ind w:left="1416" w:firstLine="708"/>
        <w:jc w:val="both"/>
      </w:pPr>
      <w:r>
        <w:t>Výbor Národnej rady Slovenskej republiky pre obranu a bezpečnosť</w:t>
      </w:r>
    </w:p>
    <w:p w:rsidR="00A15ECF" w:rsidRDefault="00A15ECF" w:rsidP="00A15ECF">
      <w:pPr>
        <w:pStyle w:val="Odsekzoznamu"/>
        <w:ind w:left="2268"/>
        <w:jc w:val="both"/>
      </w:pPr>
    </w:p>
    <w:p w:rsidR="00A15ECF" w:rsidRDefault="00A15ECF" w:rsidP="00A15EC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spacing w:before="100" w:beforeAutospacing="1" w:line="360" w:lineRule="auto"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sa za 7. bod vkladá nový bod 8, ktorý znie:</w:t>
      </w:r>
    </w:p>
    <w:p w:rsidR="00A15ECF" w:rsidRDefault="00A15ECF" w:rsidP="00A15ECF">
      <w:pPr>
        <w:spacing w:before="100" w:beforeAutospacing="1" w:after="0" w:line="360" w:lineRule="auto"/>
        <w:ind w:left="786" w:hanging="219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„8. V § 4 ods. 4 písm. b) a § 5 ods. 2 písm. c) sa odkaz 5 označuje ako odkaz 5a.“.</w:t>
      </w:r>
    </w:p>
    <w:p w:rsidR="00A15ECF" w:rsidRDefault="00A15ECF" w:rsidP="00A15ECF">
      <w:pPr>
        <w:spacing w:before="100" w:beforeAutospacing="1" w:after="0" w:line="360" w:lineRule="auto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A15ECF" w:rsidRDefault="00A15ECF" w:rsidP="00A15ECF">
      <w:pPr>
        <w:spacing w:before="100" w:beforeAutospacing="1" w:after="0" w:line="360" w:lineRule="auto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Ostatné body sa primerane prečíslujú. 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Ide o legislatívno-technickú úpravu, ktorou sa, v súvislosti s novým znením poznámky pod čiarou k odkazu 5 a zvedením odkazu 5a (v čl. I 5. bod), primerane preznačujú odkazy na poznámky pod čiarou v § 4 ods. 4 písm. b) a § 5 ods. 2 písm. c).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Pr="00757901" w:rsidRDefault="00A15ECF" w:rsidP="00A15ECF">
      <w:pPr>
        <w:ind w:left="1416" w:firstLine="708"/>
        <w:rPr>
          <w:szCs w:val="24"/>
        </w:rPr>
      </w:pPr>
      <w:r w:rsidRPr="00757901">
        <w:rPr>
          <w:szCs w:val="24"/>
        </w:rPr>
        <w:t>Ústavnoprávny výbor Národnej rady Slovenskej republiky</w:t>
      </w:r>
    </w:p>
    <w:p w:rsidR="00A15ECF" w:rsidRDefault="00A15ECF" w:rsidP="00A15ECF">
      <w:pPr>
        <w:ind w:left="1416" w:firstLine="708"/>
        <w:jc w:val="both"/>
      </w:pPr>
      <w:r>
        <w:t>Výbor Národnej rady Slovenskej republiky pre obranu a bezpečnosť</w:t>
      </w:r>
    </w:p>
    <w:p w:rsidR="00A15ECF" w:rsidRDefault="00A15ECF" w:rsidP="00A15ECF">
      <w:pPr>
        <w:pStyle w:val="Odsekzoznamu"/>
        <w:ind w:left="2268"/>
        <w:jc w:val="both"/>
      </w:pPr>
    </w:p>
    <w:p w:rsidR="00A15ECF" w:rsidRDefault="00A15ECF" w:rsidP="00A15EC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11. bod § 4 ods. 5 sa slová „</w:t>
      </w:r>
      <w:r>
        <w:rPr>
          <w:rFonts w:eastAsia="Calibri"/>
          <w:szCs w:val="24"/>
        </w:rPr>
        <w:t>náčelníkom Generálneho štábu ozbrojených síl (ďalej len „generálny štáb“)</w:t>
      </w:r>
      <w:r>
        <w:rPr>
          <w:szCs w:val="24"/>
          <w:lang w:eastAsia="sk-SK"/>
        </w:rPr>
        <w:t>“ nahrádzajú slovami „náčelníkom generálneho štábu“.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u w:val="single"/>
        </w:rPr>
      </w:pPr>
      <w:r>
        <w:rPr>
          <w:szCs w:val="24"/>
          <w:lang w:eastAsia="sk-SK"/>
        </w:rPr>
        <w:t>Ide o legislatívno-technickú úpravu, ktorou sa reaguje na zavedenie legislatívnej skratky v § 2 ods. 4  zákona o ozbrojených silách Slovenskej republiky.</w:t>
      </w:r>
      <w:r>
        <w:rPr>
          <w:u w:val="single"/>
        </w:rPr>
        <w:t xml:space="preserve"> </w:t>
      </w: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Pr="00757901" w:rsidRDefault="00A15ECF" w:rsidP="00A15ECF">
      <w:pPr>
        <w:ind w:left="1416" w:firstLine="708"/>
        <w:rPr>
          <w:szCs w:val="24"/>
        </w:rPr>
      </w:pPr>
      <w:r w:rsidRPr="00757901">
        <w:rPr>
          <w:szCs w:val="24"/>
        </w:rPr>
        <w:t>Ústavnoprávny výbor Národnej rady Slovenskej republiky</w:t>
      </w:r>
    </w:p>
    <w:p w:rsidR="00A15ECF" w:rsidRDefault="00A15ECF" w:rsidP="00A15ECF">
      <w:pPr>
        <w:ind w:left="1416" w:firstLine="708"/>
        <w:jc w:val="both"/>
      </w:pPr>
      <w:r>
        <w:t>Výbor Národnej rady Slovenskej republiky pre obranu a bezpečnosť</w:t>
      </w:r>
    </w:p>
    <w:p w:rsidR="00A15ECF" w:rsidRDefault="00A15ECF" w:rsidP="00A15ECF">
      <w:pPr>
        <w:pStyle w:val="Odsekzoznamu"/>
        <w:ind w:left="2268"/>
        <w:jc w:val="both"/>
      </w:pPr>
    </w:p>
    <w:p w:rsidR="00A15ECF" w:rsidRDefault="00A15ECF" w:rsidP="00A15EC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36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17. bod § 4b ods. 3  písm. b) sa slová „alebo odseku 2“ nahrádzajú slovami „alebo 2“.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o legislatívno-technickú úpravu. 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Pr="00757901" w:rsidRDefault="00A15ECF" w:rsidP="00A15ECF">
      <w:pPr>
        <w:ind w:left="1416" w:firstLine="708"/>
        <w:rPr>
          <w:szCs w:val="24"/>
        </w:rPr>
      </w:pPr>
      <w:r w:rsidRPr="00757901">
        <w:rPr>
          <w:szCs w:val="24"/>
        </w:rPr>
        <w:t>Ústavnoprávny výbor Národnej rady Slovenskej republiky</w:t>
      </w:r>
    </w:p>
    <w:p w:rsidR="00A15ECF" w:rsidRDefault="00A15ECF" w:rsidP="00A15ECF">
      <w:pPr>
        <w:ind w:left="1416" w:firstLine="708"/>
        <w:jc w:val="both"/>
      </w:pPr>
      <w:r>
        <w:t>Výbor Národnej rady Slovenskej republiky pre obranu a bezpečnosť</w:t>
      </w:r>
    </w:p>
    <w:p w:rsidR="00A15ECF" w:rsidRDefault="00A15ECF" w:rsidP="00A15ECF">
      <w:pPr>
        <w:pStyle w:val="Odsekzoznamu"/>
        <w:ind w:left="2268"/>
        <w:jc w:val="both"/>
      </w:pPr>
    </w:p>
    <w:p w:rsidR="00A15ECF" w:rsidRDefault="00A15ECF" w:rsidP="00A15EC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36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19. bod § 6 ods. 3 písm. b) sa slová „</w:t>
      </w:r>
      <w:r>
        <w:rPr>
          <w:rFonts w:eastAsia="Calibri"/>
          <w:szCs w:val="24"/>
        </w:rPr>
        <w:t>generálnym štábom</w:t>
      </w:r>
      <w:r>
        <w:rPr>
          <w:szCs w:val="24"/>
          <w:lang w:eastAsia="sk-SK"/>
        </w:rPr>
        <w:t>“ nahrádzajú slovami „</w:t>
      </w:r>
      <w:r>
        <w:rPr>
          <w:rFonts w:eastAsia="Calibri"/>
          <w:szCs w:val="24"/>
        </w:rPr>
        <w:t>Generálnym štábom ozbrojených síl (ďalej len „generálny štáb“)</w:t>
      </w:r>
      <w:r>
        <w:rPr>
          <w:szCs w:val="24"/>
          <w:lang w:eastAsia="sk-SK"/>
        </w:rPr>
        <w:t>“.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Ide o legislatívno-technickú úpravu, ktorou sa do zákona zavádza legislatívna skratka „generálny štáb“.</w:t>
      </w:r>
    </w:p>
    <w:p w:rsidR="00A15ECF" w:rsidRDefault="00A15ECF" w:rsidP="00A15ECF">
      <w:pPr>
        <w:spacing w:before="100" w:beforeAutospacing="1" w:line="36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Pr="00757901" w:rsidRDefault="00A15ECF" w:rsidP="00A15ECF">
      <w:pPr>
        <w:ind w:left="1416" w:firstLine="708"/>
        <w:rPr>
          <w:szCs w:val="24"/>
        </w:rPr>
      </w:pPr>
      <w:r w:rsidRPr="00757901">
        <w:rPr>
          <w:szCs w:val="24"/>
        </w:rPr>
        <w:t>Ústavnoprávny výbor Národnej rady Slovenskej republiky</w:t>
      </w:r>
    </w:p>
    <w:p w:rsidR="00A15ECF" w:rsidRDefault="00A15ECF" w:rsidP="00A15ECF">
      <w:pPr>
        <w:ind w:left="1416" w:firstLine="708"/>
        <w:jc w:val="both"/>
      </w:pPr>
      <w:r>
        <w:t>Výbor Národnej rady Slovenskej republiky pre obranu a bezpečnosť</w:t>
      </w:r>
    </w:p>
    <w:p w:rsidR="00A15ECF" w:rsidRDefault="00A15ECF" w:rsidP="00A15ECF">
      <w:pPr>
        <w:pStyle w:val="Odsekzoznamu"/>
        <w:ind w:left="2268"/>
        <w:jc w:val="both"/>
      </w:pPr>
    </w:p>
    <w:p w:rsidR="00A15ECF" w:rsidRDefault="00A15ECF" w:rsidP="00A15EC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A15ECF" w:rsidRDefault="00A15ECF" w:rsidP="00A15ECF">
      <w:pPr>
        <w:spacing w:before="100" w:beforeAutospacing="1" w:line="36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 31. bod [§12 ods. 1 písm. e)] v poznámke pod čiarou k odkazu 24a) sa v druhej vete na konci pripájajú tieto slová: „v platnom znení“.</w:t>
      </w:r>
    </w:p>
    <w:p w:rsidR="00A15ECF" w:rsidRDefault="00A15ECF" w:rsidP="00A15ECF">
      <w:pPr>
        <w:spacing w:before="100" w:beforeAutospacing="1" w:after="0" w:line="360" w:lineRule="auto"/>
        <w:ind w:left="720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lastRenderedPageBreak/>
        <w:t>Ide o legislatívno-technickú úpravu spočívajúcu v aktualizácii znenia predmetnej medzinárodnej zmluvy.</w:t>
      </w: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Default="00A15ECF" w:rsidP="00A15ECF">
      <w:pPr>
        <w:pStyle w:val="Zkladntext"/>
        <w:keepLines/>
        <w:ind w:left="720"/>
        <w:rPr>
          <w:u w:val="single"/>
        </w:rPr>
      </w:pPr>
    </w:p>
    <w:p w:rsidR="00A15ECF" w:rsidRPr="00757901" w:rsidRDefault="00A15ECF" w:rsidP="00A15ECF">
      <w:pPr>
        <w:ind w:left="1416" w:firstLine="708"/>
        <w:rPr>
          <w:szCs w:val="24"/>
        </w:rPr>
      </w:pPr>
      <w:r w:rsidRPr="00757901">
        <w:rPr>
          <w:szCs w:val="24"/>
        </w:rPr>
        <w:t>Ústavnoprávny výbor Národnej rady Slovenskej republiky</w:t>
      </w:r>
    </w:p>
    <w:p w:rsidR="00A15ECF" w:rsidRDefault="00A15ECF" w:rsidP="00A15ECF">
      <w:pPr>
        <w:ind w:left="1416" w:firstLine="708"/>
        <w:jc w:val="both"/>
      </w:pPr>
      <w:r>
        <w:t>Výbor Národnej rady Slovenskej republiky pre obranu a bezpečnosť</w:t>
      </w:r>
    </w:p>
    <w:p w:rsidR="00A15ECF" w:rsidRDefault="00A15ECF" w:rsidP="00A15ECF">
      <w:pPr>
        <w:pStyle w:val="Odsekzoznamu"/>
        <w:ind w:left="2268"/>
        <w:jc w:val="both"/>
      </w:pPr>
    </w:p>
    <w:p w:rsidR="00A15ECF" w:rsidRDefault="00A15ECF" w:rsidP="00A15EC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</w:p>
    <w:p w:rsidR="00A15ECF" w:rsidRDefault="00A15ECF" w:rsidP="00A15EC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>
        <w:rPr>
          <w:b/>
          <w:szCs w:val="24"/>
          <w:u w:val="single"/>
          <w:lang w:eastAsia="sk-SK"/>
        </w:rPr>
        <w:t>K čl. IV</w:t>
      </w:r>
    </w:p>
    <w:p w:rsidR="00A15ECF" w:rsidRDefault="00A15ECF" w:rsidP="00A15EC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</w:p>
    <w:p w:rsidR="00A15ECF" w:rsidRDefault="00A15ECF" w:rsidP="00A15ECF">
      <w:pPr>
        <w:pStyle w:val="Odsekzoznamu"/>
        <w:numPr>
          <w:ilvl w:val="0"/>
          <w:numId w:val="2"/>
        </w:numPr>
        <w:spacing w:before="100" w:beforeAutospacing="1" w:after="0"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 čl. IV 2. bod § 37a ods. 2 písm. c) sa slová „písmena a) alebo písmena b)“ nahrádzajú slovami „písmena a) alebo b)“.</w:t>
      </w: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A15ECF" w:rsidRDefault="00A15ECF" w:rsidP="00A15EC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o legislatívno-technickú úpravu. </w:t>
      </w:r>
    </w:p>
    <w:p w:rsidR="00A15ECF" w:rsidRDefault="00A15ECF" w:rsidP="00A15ECF">
      <w:pPr>
        <w:spacing w:after="0" w:line="240" w:lineRule="auto"/>
        <w:jc w:val="both"/>
        <w:rPr>
          <w:rFonts w:cs="Arial"/>
          <w:b/>
        </w:rPr>
      </w:pPr>
    </w:p>
    <w:p w:rsidR="00A15ECF" w:rsidRDefault="00A15ECF" w:rsidP="00A15ECF">
      <w:pPr>
        <w:spacing w:after="0" w:line="240" w:lineRule="auto"/>
        <w:jc w:val="both"/>
        <w:rPr>
          <w:rFonts w:cs="Arial"/>
          <w:b/>
          <w:szCs w:val="24"/>
        </w:rPr>
      </w:pP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D1690F" w:rsidRDefault="00D1690F" w:rsidP="00D1690F">
      <w:pPr>
        <w:pStyle w:val="Zkladntext"/>
        <w:keepLines/>
        <w:ind w:left="720"/>
        <w:rPr>
          <w:u w:val="single"/>
        </w:rPr>
      </w:pPr>
    </w:p>
    <w:p w:rsidR="00D1690F" w:rsidRPr="00757901" w:rsidRDefault="00D1690F" w:rsidP="00D1690F">
      <w:pPr>
        <w:ind w:left="1416" w:firstLine="708"/>
        <w:rPr>
          <w:szCs w:val="24"/>
        </w:rPr>
      </w:pPr>
      <w:r w:rsidRPr="00757901">
        <w:rPr>
          <w:szCs w:val="24"/>
        </w:rPr>
        <w:t>Ústavnoprávny výbor Národnej rady Slovenskej republiky</w:t>
      </w:r>
    </w:p>
    <w:p w:rsidR="00D1690F" w:rsidRDefault="00D1690F" w:rsidP="00D1690F">
      <w:pPr>
        <w:ind w:left="1416" w:firstLine="708"/>
        <w:jc w:val="both"/>
      </w:pPr>
      <w:r>
        <w:t>Výbor Národnej rady Slovenskej republiky pre obranu a bezpečnosť</w:t>
      </w:r>
    </w:p>
    <w:p w:rsidR="00D1690F" w:rsidRDefault="00D1690F" w:rsidP="00D1690F">
      <w:pPr>
        <w:pStyle w:val="Odsekzoznamu"/>
        <w:ind w:left="2268"/>
        <w:jc w:val="both"/>
      </w:pPr>
    </w:p>
    <w:p w:rsidR="00D1690F" w:rsidRDefault="00D1690F" w:rsidP="00D1690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D1690F" w:rsidRDefault="00D1690F" w:rsidP="00D1690F">
      <w:pPr>
        <w:rPr>
          <w:rFonts w:eastAsiaTheme="minorHAnsi" w:cstheme="minorBidi"/>
          <w:szCs w:val="24"/>
        </w:rPr>
      </w:pPr>
    </w:p>
    <w:p w:rsidR="00D1690F" w:rsidRDefault="00D1690F" w:rsidP="00D1690F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D1690F" w:rsidRDefault="00D1690F" w:rsidP="00D1690F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  <w:t>Gestorský výbor odporúča o pozmeňujúcich a doplňujúcich návrhoch hlasovať takto:</w:t>
      </w:r>
      <w:r>
        <w:rPr>
          <w:b/>
          <w:szCs w:val="24"/>
          <w:lang w:eastAsia="sk-SK"/>
        </w:rPr>
        <w:t xml:space="preserve"> 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 xml:space="preserve">        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ab/>
      </w:r>
      <w:r>
        <w:rPr>
          <w:szCs w:val="24"/>
          <w:lang w:eastAsia="sk-SK"/>
        </w:rPr>
        <w:t xml:space="preserve">O bodoch </w:t>
      </w:r>
      <w:r>
        <w:rPr>
          <w:color w:val="FF0000"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1 až </w:t>
      </w:r>
      <w:r w:rsidR="005A2DDB">
        <w:rPr>
          <w:b/>
          <w:szCs w:val="24"/>
          <w:lang w:eastAsia="sk-SK"/>
        </w:rPr>
        <w:t>7</w:t>
      </w:r>
      <w:r>
        <w:rPr>
          <w:b/>
          <w:color w:val="FF0000"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hlasovať spoločne, a tieto </w:t>
      </w:r>
      <w:r>
        <w:rPr>
          <w:b/>
          <w:szCs w:val="24"/>
          <w:lang w:eastAsia="sk-SK"/>
        </w:rPr>
        <w:t xml:space="preserve"> schváliť. </w:t>
      </w:r>
      <w:r>
        <w:rPr>
          <w:szCs w:val="24"/>
          <w:lang w:eastAsia="sk-SK"/>
        </w:rPr>
        <w:t xml:space="preserve">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757901" w:rsidRDefault="00757901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757901" w:rsidRDefault="00757901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bookmarkStart w:id="0" w:name="_GoBack"/>
      <w:bookmarkEnd w:id="0"/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lastRenderedPageBreak/>
        <w:t>IV.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D1690F" w:rsidRDefault="00D1690F" w:rsidP="00D1690F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D1690F" w:rsidRDefault="00D1690F" w:rsidP="00D1690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D1690F" w:rsidRDefault="00D1690F" w:rsidP="00D1690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vládny návrh zákona </w:t>
      </w:r>
      <w:r>
        <w:rPr>
          <w:b/>
          <w:bCs/>
          <w:szCs w:val="24"/>
          <w:lang w:eastAsia="sk-SK"/>
        </w:rPr>
        <w:t xml:space="preserve"> schváliť</w:t>
      </w:r>
      <w:r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v znení schválených pozmeňujúcich a doplňujúcich návrhov uvedených v tejto správe.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>
        <w:rPr>
          <w:b/>
          <w:sz w:val="28"/>
          <w:szCs w:val="28"/>
          <w:lang w:eastAsia="sk-SK"/>
        </w:rPr>
        <w:t xml:space="preserve">Jozefa BUČEKA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 </w:t>
      </w:r>
      <w:r>
        <w:rPr>
          <w:rFonts w:cs="Arial"/>
          <w:noProof/>
          <w:szCs w:val="24"/>
        </w:rPr>
        <w:t>vládnemu</w:t>
      </w:r>
      <w:r w:rsidRPr="00490577">
        <w:rPr>
          <w:rFonts w:cs="Arial"/>
          <w:noProof/>
          <w:szCs w:val="24"/>
        </w:rPr>
        <w:t xml:space="preserve"> návrh</w:t>
      </w:r>
      <w:r>
        <w:rPr>
          <w:rFonts w:cs="Arial"/>
          <w:noProof/>
          <w:szCs w:val="24"/>
        </w:rPr>
        <w:t>u</w:t>
      </w:r>
      <w:r w:rsidRPr="00490577">
        <w:rPr>
          <w:rFonts w:cs="Arial"/>
          <w:noProof/>
          <w:szCs w:val="24"/>
        </w:rPr>
        <w:t xml:space="preserve"> zákona, ktorým sa mení a dopĺňa zákon č. 321/2002 Z. z. o ozbrojených silách Slovenskej republiky v znení neskorších predpisov a ktorým sa menia a dopĺňajú niektoré zákony </w:t>
      </w:r>
      <w:r w:rsidRPr="00490577">
        <w:rPr>
          <w:rFonts w:cs="Arial"/>
          <w:b/>
          <w:szCs w:val="24"/>
        </w:rPr>
        <w:t>(tlač 1682)</w:t>
      </w:r>
      <w:r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b/>
          <w:szCs w:val="24"/>
          <w:lang w:eastAsia="sk-SK"/>
        </w:rPr>
        <w:t xml:space="preserve">  </w:t>
      </w:r>
      <w:r>
        <w:rPr>
          <w:szCs w:val="24"/>
          <w:lang w:eastAsia="sk-SK"/>
        </w:rPr>
        <w:t>č</w:t>
      </w:r>
      <w:r>
        <w:rPr>
          <w:b/>
          <w:szCs w:val="24"/>
          <w:lang w:eastAsia="sk-SK"/>
        </w:rPr>
        <w:t xml:space="preserve">. </w:t>
      </w:r>
      <w:r w:rsidR="005A2DDB" w:rsidRPr="005A2DDB">
        <w:rPr>
          <w:b/>
          <w:szCs w:val="24"/>
          <w:lang w:eastAsia="sk-SK"/>
        </w:rPr>
        <w:t>231</w:t>
      </w:r>
      <w:r w:rsidRPr="005A2DDB">
        <w:rPr>
          <w:b/>
          <w:szCs w:val="24"/>
          <w:lang w:eastAsia="sk-SK"/>
        </w:rPr>
        <w:t xml:space="preserve">  </w:t>
      </w:r>
      <w:r w:rsidRPr="005A2DDB">
        <w:rPr>
          <w:szCs w:val="24"/>
          <w:lang w:eastAsia="sk-SK"/>
        </w:rPr>
        <w:t xml:space="preserve">na svojej </w:t>
      </w:r>
      <w:r w:rsidR="005A2DDB" w:rsidRPr="005A2DDB">
        <w:rPr>
          <w:b/>
          <w:szCs w:val="24"/>
          <w:lang w:eastAsia="sk-SK"/>
        </w:rPr>
        <w:t>85</w:t>
      </w:r>
      <w:r>
        <w:rPr>
          <w:szCs w:val="24"/>
          <w:lang w:eastAsia="sk-SK"/>
        </w:rPr>
        <w:t xml:space="preserve">. 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schôdzi</w:t>
      </w:r>
      <w:r>
        <w:rPr>
          <w:b/>
          <w:szCs w:val="24"/>
          <w:lang w:eastAsia="sk-SK"/>
        </w:rPr>
        <w:t>.</w:t>
      </w:r>
      <w:r>
        <w:rPr>
          <w:szCs w:val="24"/>
          <w:lang w:eastAsia="sk-SK"/>
        </w:rPr>
        <w:tab/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26. novembra  2019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D1690F" w:rsidRDefault="00D1690F" w:rsidP="00D1690F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  <w:t>Anton HRNKO v. r.</w:t>
      </w:r>
    </w:p>
    <w:p w:rsidR="00D1690F" w:rsidRDefault="00D1690F" w:rsidP="00D169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p w:rsidR="00D1690F" w:rsidRDefault="00D1690F" w:rsidP="00D1690F">
      <w:pPr>
        <w:spacing w:after="0" w:line="240" w:lineRule="auto"/>
        <w:rPr>
          <w:szCs w:val="24"/>
          <w:lang w:eastAsia="sk-SK"/>
        </w:rPr>
      </w:pPr>
    </w:p>
    <w:p w:rsidR="00D1690F" w:rsidRDefault="00D1690F" w:rsidP="00D1690F">
      <w:pPr>
        <w:spacing w:after="0" w:line="240" w:lineRule="auto"/>
        <w:rPr>
          <w:szCs w:val="24"/>
          <w:lang w:eastAsia="sk-SK"/>
        </w:rPr>
      </w:pPr>
    </w:p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D1690F" w:rsidRDefault="00D1690F" w:rsidP="00D1690F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B5F"/>
    <w:multiLevelType w:val="hybridMultilevel"/>
    <w:tmpl w:val="79C27534"/>
    <w:lvl w:ilvl="0" w:tplc="45B0F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856"/>
    <w:multiLevelType w:val="hybridMultilevel"/>
    <w:tmpl w:val="847C0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0F"/>
    <w:rsid w:val="005A2DDB"/>
    <w:rsid w:val="00757901"/>
    <w:rsid w:val="007F51A4"/>
    <w:rsid w:val="00A15ECF"/>
    <w:rsid w:val="00D1690F"/>
    <w:rsid w:val="00EB0BA8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F4E05"/>
  <w15:chartTrackingRefBased/>
  <w15:docId w15:val="{3A4878FD-EDCF-4ED2-A458-5944041B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690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1690F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169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Odsek zoznamu2 Char,Odsek zoznamu1 Char,body Char"/>
    <w:link w:val="Odsekzoznamu"/>
    <w:uiPriority w:val="34"/>
    <w:qFormat/>
    <w:locked/>
    <w:rsid w:val="00D1690F"/>
    <w:rPr>
      <w:rFonts w:ascii="Times New Roman" w:hAnsi="Times New Roman" w:cs="Times New Roman"/>
      <w:sz w:val="24"/>
    </w:rPr>
  </w:style>
  <w:style w:type="paragraph" w:styleId="Odsekzoznamu">
    <w:name w:val="List Paragraph"/>
    <w:aliases w:val="Odsek,Odsek zoznamu2,Odsek zoznamu1,body"/>
    <w:basedOn w:val="Normlny"/>
    <w:link w:val="OdsekzoznamuChar"/>
    <w:uiPriority w:val="34"/>
    <w:qFormat/>
    <w:rsid w:val="00D1690F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6</cp:revision>
  <dcterms:created xsi:type="dcterms:W3CDTF">2019-10-30T08:17:00Z</dcterms:created>
  <dcterms:modified xsi:type="dcterms:W3CDTF">2019-11-20T12:39:00Z</dcterms:modified>
</cp:coreProperties>
</file>