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BC303B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0D5F8C">
        <w:t>1999</w:t>
      </w:r>
      <w:r w:rsidRPr="00F607F2">
        <w:t>/</w:t>
      </w:r>
      <w:r>
        <w:t>2019</w:t>
      </w:r>
    </w:p>
    <w:p w:rsidR="004225EC" w:rsidRDefault="004225EC" w:rsidP="00EA0832">
      <w:pPr>
        <w:jc w:val="center"/>
        <w:rPr>
          <w:sz w:val="36"/>
          <w:szCs w:val="36"/>
        </w:rPr>
      </w:pPr>
    </w:p>
    <w:p w:rsidR="00EA0832" w:rsidRPr="00526904" w:rsidRDefault="00526904" w:rsidP="00EA0832">
      <w:pPr>
        <w:jc w:val="center"/>
        <w:rPr>
          <w:sz w:val="36"/>
          <w:szCs w:val="36"/>
        </w:rPr>
      </w:pPr>
      <w:r w:rsidRPr="00526904">
        <w:rPr>
          <w:sz w:val="36"/>
          <w:szCs w:val="36"/>
        </w:rPr>
        <w:t>774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4B51EB" w:rsidRDefault="00BC303B" w:rsidP="00EA0832">
      <w:pPr>
        <w:jc w:val="center"/>
        <w:rPr>
          <w:b/>
        </w:rPr>
      </w:pPr>
      <w:r>
        <w:rPr>
          <w:b/>
        </w:rPr>
        <w:t>z 19</w:t>
      </w:r>
      <w:r w:rsidR="00F84CC5" w:rsidRPr="004B51EB">
        <w:rPr>
          <w:b/>
        </w:rPr>
        <w:t>.</w:t>
      </w:r>
      <w:r w:rsidR="00242A46" w:rsidRPr="004B51EB">
        <w:rPr>
          <w:b/>
        </w:rPr>
        <w:t xml:space="preserve"> </w:t>
      </w:r>
      <w:r w:rsidR="00772D97">
        <w:rPr>
          <w:b/>
        </w:rPr>
        <w:t>novembra</w:t>
      </w:r>
      <w:r w:rsidR="00EA0832" w:rsidRPr="004B51EB">
        <w:rPr>
          <w:b/>
        </w:rPr>
        <w:t xml:space="preserve"> 2019</w:t>
      </w:r>
    </w:p>
    <w:p w:rsidR="00EA0832" w:rsidRPr="004B51EB" w:rsidRDefault="00EA0832" w:rsidP="00EA0832">
      <w:pPr>
        <w:tabs>
          <w:tab w:val="left" w:pos="851"/>
          <w:tab w:val="left" w:pos="993"/>
        </w:tabs>
      </w:pPr>
    </w:p>
    <w:p w:rsidR="00816480" w:rsidRPr="004B51EB" w:rsidRDefault="008757E6" w:rsidP="000D5F8C">
      <w:pPr>
        <w:jc w:val="both"/>
        <w:rPr>
          <w:rStyle w:val="awspan1"/>
        </w:rPr>
      </w:pPr>
      <w:r w:rsidRPr="004B51EB">
        <w:rPr>
          <w:noProof/>
        </w:rPr>
        <w:t xml:space="preserve">k vládnemu </w:t>
      </w:r>
      <w:r w:rsidR="00242A46" w:rsidRPr="004B51EB">
        <w:rPr>
          <w:rFonts w:cs="Arial"/>
          <w:noProof/>
        </w:rPr>
        <w:t xml:space="preserve">návrhu </w:t>
      </w:r>
      <w:r w:rsidR="000D5F8C" w:rsidRPr="004B51EB">
        <w:rPr>
          <w:rStyle w:val="awspan1"/>
        </w:rPr>
        <w:t>zákona,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ktorým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sa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mení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a dopĺňa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zákon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č.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321/2002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Z.</w:t>
      </w:r>
      <w:r w:rsidR="000D5F8C" w:rsidRPr="004B51EB">
        <w:rPr>
          <w:rStyle w:val="awspan1"/>
          <w:spacing w:val="100"/>
        </w:rPr>
        <w:t xml:space="preserve"> </w:t>
      </w:r>
      <w:r w:rsidR="00BD7BDC">
        <w:rPr>
          <w:rStyle w:val="awspan1"/>
        </w:rPr>
        <w:t xml:space="preserve">z. </w:t>
      </w:r>
      <w:r w:rsidR="000D5F8C" w:rsidRPr="004B51EB">
        <w:rPr>
          <w:rStyle w:val="awspan1"/>
        </w:rPr>
        <w:t xml:space="preserve">o </w:t>
      </w:r>
      <w:r w:rsidR="00BD7BDC">
        <w:rPr>
          <w:rStyle w:val="awspan1"/>
        </w:rPr>
        <w:t> </w:t>
      </w:r>
      <w:r w:rsidR="000D5F8C" w:rsidRPr="004B51EB">
        <w:rPr>
          <w:rStyle w:val="awspan1"/>
        </w:rPr>
        <w:t>ozbrojených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silách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Slovenskej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republiky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v znení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neskorších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predpisov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a ktorým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sa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menia a dopĺňajú niektoré zákony (tlač 1682)</w:t>
      </w:r>
    </w:p>
    <w:p w:rsidR="002F60E1" w:rsidRPr="004B51EB" w:rsidRDefault="002F60E1" w:rsidP="000D5F8C">
      <w:pPr>
        <w:jc w:val="both"/>
      </w:pPr>
    </w:p>
    <w:p w:rsidR="00EA0832" w:rsidRPr="004B51EB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4B51EB">
        <w:tab/>
      </w:r>
      <w:r w:rsidRPr="004B51EB">
        <w:rPr>
          <w:b/>
        </w:rPr>
        <w:t>Ústavnoprávny výbor Národnej rady Slovenskej republiky</w:t>
      </w:r>
    </w:p>
    <w:p w:rsidR="00EA0832" w:rsidRPr="004B51EB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4B51EB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B51EB">
        <w:rPr>
          <w:b/>
        </w:rPr>
        <w:tab/>
        <w:t>A.  s ú h l a s í</w:t>
      </w:r>
      <w:r w:rsidRPr="004B51EB">
        <w:t xml:space="preserve"> </w:t>
      </w:r>
    </w:p>
    <w:p w:rsidR="00EA0832" w:rsidRPr="004B51EB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4B51EB" w:rsidRDefault="00EA0832" w:rsidP="00242A46">
      <w:pPr>
        <w:jc w:val="both"/>
        <w:rPr>
          <w:iCs/>
        </w:rPr>
      </w:pPr>
      <w:r w:rsidRPr="004B51EB">
        <w:tab/>
        <w:t xml:space="preserve">        s vládnym </w:t>
      </w:r>
      <w:r w:rsidRPr="004B51EB">
        <w:rPr>
          <w:rFonts w:cs="Arial"/>
          <w:noProof/>
        </w:rPr>
        <w:t xml:space="preserve">návrhom </w:t>
      </w:r>
      <w:r w:rsidR="000D5F8C" w:rsidRPr="004B51EB">
        <w:rPr>
          <w:rStyle w:val="awspan1"/>
        </w:rPr>
        <w:t>zákona,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ktorým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sa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mení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a dopĺňa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zákon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č.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321/2002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Z.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z. o ozbrojených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silách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Slovenskej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republiky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v znení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neskorších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predpisov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a ktorým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sa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menia a dopĺňajú niektoré zákony (tlač 1682)</w:t>
      </w:r>
      <w:r w:rsidR="00242A46" w:rsidRPr="004B51EB">
        <w:rPr>
          <w:rFonts w:cs="Arial"/>
        </w:rPr>
        <w:t xml:space="preserve">; </w:t>
      </w:r>
    </w:p>
    <w:p w:rsidR="00EA0832" w:rsidRPr="004B51EB" w:rsidRDefault="00EA0832" w:rsidP="00EA0832">
      <w:pPr>
        <w:tabs>
          <w:tab w:val="left" w:pos="851"/>
          <w:tab w:val="left" w:pos="993"/>
        </w:tabs>
      </w:pPr>
    </w:p>
    <w:p w:rsidR="00EA0832" w:rsidRPr="004B51EB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B51EB">
        <w:rPr>
          <w:b/>
        </w:rPr>
        <w:tab/>
        <w:t>  B.  o d p o r ú č a</w:t>
      </w:r>
    </w:p>
    <w:p w:rsidR="00EA0832" w:rsidRPr="004B51EB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4B51EB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B51EB">
        <w:rPr>
          <w:b/>
        </w:rPr>
        <w:tab/>
      </w:r>
      <w:r w:rsidRPr="004B51EB">
        <w:rPr>
          <w:b/>
        </w:rPr>
        <w:tab/>
      </w:r>
      <w:r w:rsidRPr="004B51EB">
        <w:rPr>
          <w:b/>
        </w:rPr>
        <w:tab/>
        <w:t xml:space="preserve">    </w:t>
      </w:r>
      <w:r w:rsidRPr="004B51EB">
        <w:t>Národnej rade Slovenskej republiky</w:t>
      </w:r>
    </w:p>
    <w:p w:rsidR="00EA0832" w:rsidRPr="004B51EB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4B51EB" w:rsidRDefault="00EA0832" w:rsidP="00242A46">
      <w:pPr>
        <w:tabs>
          <w:tab w:val="left" w:pos="1276"/>
        </w:tabs>
        <w:jc w:val="both"/>
        <w:rPr>
          <w:iCs/>
        </w:rPr>
      </w:pPr>
      <w:r w:rsidRPr="004B51EB">
        <w:rPr>
          <w:rFonts w:cs="Arial"/>
          <w:noProof/>
        </w:rPr>
        <w:tab/>
        <w:t xml:space="preserve">vládny návrh </w:t>
      </w:r>
      <w:r w:rsidR="000D5F8C" w:rsidRPr="004B51EB">
        <w:rPr>
          <w:rStyle w:val="awspan1"/>
        </w:rPr>
        <w:t>zákona,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ktorým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sa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mení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a dopĺňa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zákon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č.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321/2002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Z.</w:t>
      </w:r>
      <w:r w:rsidR="000D5F8C" w:rsidRPr="004B51EB">
        <w:rPr>
          <w:rStyle w:val="awspan1"/>
          <w:spacing w:val="100"/>
        </w:rPr>
        <w:t xml:space="preserve"> </w:t>
      </w:r>
      <w:r w:rsidR="000D5F8C" w:rsidRPr="004B51EB">
        <w:rPr>
          <w:rStyle w:val="awspan1"/>
        </w:rPr>
        <w:t>z. o  ozbrojených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silách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Slovenskej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republiky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v znení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neskorších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predpisov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a ktorým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sa</w:t>
      </w:r>
      <w:r w:rsidR="000D5F8C" w:rsidRPr="004B51EB">
        <w:rPr>
          <w:rStyle w:val="awspan1"/>
          <w:spacing w:val="27"/>
        </w:rPr>
        <w:t xml:space="preserve"> </w:t>
      </w:r>
      <w:r w:rsidR="000D5F8C" w:rsidRPr="004B51EB">
        <w:rPr>
          <w:rStyle w:val="awspan1"/>
        </w:rPr>
        <w:t>menia a dopĺňajú niektoré zákony (tlač 1682)</w:t>
      </w:r>
      <w:r w:rsidR="00242A46" w:rsidRPr="004B51EB">
        <w:rPr>
          <w:rFonts w:cs="Arial"/>
        </w:rPr>
        <w:t xml:space="preserve"> </w:t>
      </w:r>
      <w:r w:rsidRPr="004B51EB">
        <w:rPr>
          <w:b/>
          <w:bCs/>
        </w:rPr>
        <w:t xml:space="preserve">schváliť </w:t>
      </w:r>
      <w:r w:rsidRPr="004B51EB">
        <w:rPr>
          <w:bCs/>
        </w:rPr>
        <w:t xml:space="preserve">so zmenami a doplnkami uvedenými v prílohe tohto uznesenia; </w:t>
      </w:r>
    </w:p>
    <w:p w:rsidR="00EA0832" w:rsidRPr="004B51EB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4B51EB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4B51EB">
        <w:rPr>
          <w:b/>
        </w:rPr>
        <w:t> C.</w:t>
      </w:r>
      <w:r w:rsidRPr="004B51EB">
        <w:rPr>
          <w:b/>
        </w:rPr>
        <w:tab/>
        <w:t>p o v e r u j e</w:t>
      </w:r>
    </w:p>
    <w:p w:rsidR="00EA0832" w:rsidRPr="004B51EB" w:rsidRDefault="00EA0832" w:rsidP="00EA0832">
      <w:pPr>
        <w:tabs>
          <w:tab w:val="left" w:pos="1134"/>
          <w:tab w:val="left" w:pos="1276"/>
        </w:tabs>
      </w:pPr>
      <w:r w:rsidRPr="004B51EB">
        <w:tab/>
      </w:r>
    </w:p>
    <w:p w:rsidR="00EA0832" w:rsidRPr="004B51EB" w:rsidRDefault="00EA0832" w:rsidP="00EA0832">
      <w:pPr>
        <w:pStyle w:val="Zkladntext"/>
        <w:tabs>
          <w:tab w:val="left" w:pos="1134"/>
          <w:tab w:val="left" w:pos="1276"/>
        </w:tabs>
      </w:pPr>
      <w:r w:rsidRPr="004B51EB">
        <w:tab/>
        <w:t xml:space="preserve">predsedu výboru </w:t>
      </w:r>
    </w:p>
    <w:p w:rsidR="00EA0832" w:rsidRPr="004B51EB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Pr="004B51EB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4B51EB">
        <w:t>predložiť stanovisko výboru k uvedenému návrhu zákona predsed</w:t>
      </w:r>
      <w:r w:rsidR="006F60C9" w:rsidRPr="004B51EB">
        <w:t>ovi</w:t>
      </w:r>
      <w:r w:rsidRPr="004B51EB">
        <w:t xml:space="preserve"> gestorského Výboru Národnej rady Slovenskej republiky pre </w:t>
      </w:r>
      <w:r w:rsidR="000D5F8C" w:rsidRPr="004B51EB">
        <w:t>obranu a bezpečnosť</w:t>
      </w:r>
      <w:r w:rsidRPr="004B51EB"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EA0832" w:rsidRDefault="00EA0832" w:rsidP="00EA0832">
      <w:pPr>
        <w:pStyle w:val="Zkladntext"/>
        <w:tabs>
          <w:tab w:val="left" w:pos="1021"/>
        </w:tabs>
        <w:rPr>
          <w:b/>
        </w:rPr>
      </w:pPr>
    </w:p>
    <w:p w:rsidR="00D95E04" w:rsidRDefault="00D95E04" w:rsidP="00EA0832">
      <w:pPr>
        <w:pStyle w:val="Zkladntext"/>
        <w:tabs>
          <w:tab w:val="left" w:pos="1021"/>
        </w:tabs>
        <w:rPr>
          <w:b/>
        </w:rPr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0A17AC" w:rsidRDefault="000A17AC" w:rsidP="000A17AC">
      <w:pPr>
        <w:rPr>
          <w:b/>
          <w:bCs/>
          <w:lang w:eastAsia="en-US"/>
        </w:rPr>
      </w:pPr>
    </w:p>
    <w:p w:rsidR="00F84CC5" w:rsidRPr="000A17AC" w:rsidRDefault="00F84CC5" w:rsidP="000A17AC">
      <w:pPr>
        <w:rPr>
          <w:lang w:eastAsia="en-US"/>
        </w:rPr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547D37">
        <w:rPr>
          <w:b/>
        </w:rPr>
        <w:t xml:space="preserve"> 77</w:t>
      </w:r>
      <w:r w:rsidR="00526904">
        <w:rPr>
          <w:b/>
        </w:rPr>
        <w:t>4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C518F0">
        <w:rPr>
          <w:b/>
        </w:rPr>
        <w:t> 19.</w:t>
      </w:r>
      <w:r w:rsidR="00242A46">
        <w:rPr>
          <w:b/>
        </w:rPr>
        <w:t xml:space="preserve"> </w:t>
      </w:r>
      <w:r w:rsidR="00772D97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  <w:bookmarkStart w:id="0" w:name="_GoBack"/>
      <w:bookmarkEnd w:id="0"/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</w:t>
      </w:r>
      <w:r w:rsidR="007105F5" w:rsidRPr="007105F5">
        <w:rPr>
          <w:b/>
          <w:noProof/>
        </w:rPr>
        <w:t xml:space="preserve">vládnemu návrhu zákona, ktorým sa mení a dopĺňa zákon č. 321/2002 Z. z. o </w:t>
      </w:r>
      <w:r w:rsidR="007105F5">
        <w:rPr>
          <w:b/>
          <w:noProof/>
        </w:rPr>
        <w:t> </w:t>
      </w:r>
      <w:r w:rsidR="007105F5" w:rsidRPr="007105F5">
        <w:rPr>
          <w:b/>
          <w:noProof/>
        </w:rPr>
        <w:t>ozbrojených silách Slovenskej republiky v znení neskorších predpisov a ktorým sa menia a dopĺňajú niektoré zákony (tlač 1682)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547D37" w:rsidRDefault="00547D37" w:rsidP="00547D37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:rsidR="00547D37" w:rsidRDefault="00547D37" w:rsidP="00547D37">
      <w:pPr>
        <w:spacing w:before="100" w:beforeAutospacing="1" w:line="360" w:lineRule="auto"/>
        <w:contextualSpacing/>
        <w:jc w:val="both"/>
      </w:pPr>
    </w:p>
    <w:p w:rsidR="00547D37" w:rsidRPr="002E0D88" w:rsidRDefault="00547D37" w:rsidP="00547D37">
      <w:pPr>
        <w:numPr>
          <w:ilvl w:val="0"/>
          <w:numId w:val="3"/>
        </w:numPr>
        <w:spacing w:line="360" w:lineRule="auto"/>
        <w:contextualSpacing/>
        <w:jc w:val="both"/>
      </w:pPr>
      <w:r>
        <w:t>V</w:t>
      </w:r>
      <w:r w:rsidRPr="002E0D88">
        <w:t xml:space="preserve"> čl. I</w:t>
      </w:r>
      <w:r>
        <w:t xml:space="preserve"> 5. bod </w:t>
      </w:r>
      <w:r w:rsidRPr="002E0D88">
        <w:t>Poznámka pod čiarou k odkazu 5b) znie:</w:t>
      </w:r>
    </w:p>
    <w:p w:rsidR="00547D37" w:rsidRDefault="00547D37" w:rsidP="00547D37">
      <w:pPr>
        <w:spacing w:line="360" w:lineRule="auto"/>
        <w:ind w:left="720"/>
        <w:contextualSpacing/>
        <w:jc w:val="both"/>
      </w:pPr>
      <w:r w:rsidRPr="002E0D88">
        <w:t>„5b) Napríklad Severoatlantická zmluva (oznámenie Ministerstva zahraničných vecí Slovenskej republiky č. 301/2004 Z. z.) v znení protokolu</w:t>
      </w:r>
      <w:r>
        <w:t xml:space="preserve"> k Severoatlantickej zmluve</w:t>
      </w:r>
      <w:r w:rsidRPr="002E0D88">
        <w:t xml:space="preserve"> o pristúpení Chorvátskej republiky (oznámenie Ministerstva zahraničných vecí Slovenskej republiky č. 157/2009 Z. z.), protokolu</w:t>
      </w:r>
      <w:r>
        <w:t xml:space="preserve"> k Severoatlantickej zmluve</w:t>
      </w:r>
      <w:r w:rsidRPr="002E0D88">
        <w:t xml:space="preserve"> o pristúpení Albánskej republiky (oznámenie Ministerstva zahraničných vecí Slovenskej republiky č. 158/2009 Z. z.) a</w:t>
      </w:r>
      <w:r>
        <w:t> </w:t>
      </w:r>
      <w:r w:rsidRPr="002E0D88">
        <w:t>protokolu</w:t>
      </w:r>
      <w:r>
        <w:t xml:space="preserve"> k Severoatlantickej zmluve</w:t>
      </w:r>
      <w:r w:rsidRPr="002E0D88">
        <w:t xml:space="preserve"> o pristúpení Čiernej Hory (oznámenie Ministerstva zahraničných vecí a európskych záležitostí Slovenskej republiky č. 154/2017 Z. z.), Protokol o statuse medzinárodných vojenských veliteľstiev zriadených podľa Severoatlantickej zmluvy (oznámenie Ministerstva zahraničných vecí Slovenskej republiky č. 551/2004 Z. z.).“.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</w:p>
    <w:p w:rsidR="00547D37" w:rsidRDefault="00547D37" w:rsidP="00547D37">
      <w:pPr>
        <w:spacing w:before="100" w:beforeAutospacing="1"/>
        <w:ind w:left="4247"/>
        <w:contextualSpacing/>
        <w:jc w:val="both"/>
      </w:pPr>
      <w:r>
        <w:t xml:space="preserve">Ide o legislatívno-technickú úpravu </w:t>
      </w:r>
      <w:r w:rsidRPr="002E0D88">
        <w:t>uvádzania medzinárodných zmlúv v zmysle ich oficiálnych názvov</w:t>
      </w:r>
      <w:r>
        <w:t>.</w:t>
      </w:r>
    </w:p>
    <w:p w:rsidR="00547D37" w:rsidRDefault="00547D37" w:rsidP="00547D37">
      <w:pPr>
        <w:spacing w:before="100" w:beforeAutospacing="1" w:line="360" w:lineRule="auto"/>
        <w:ind w:left="4247"/>
        <w:contextualSpacing/>
        <w:jc w:val="both"/>
      </w:pPr>
    </w:p>
    <w:p w:rsidR="00547D37" w:rsidRPr="000602DF" w:rsidRDefault="00547D37" w:rsidP="00547D37">
      <w:pPr>
        <w:numPr>
          <w:ilvl w:val="0"/>
          <w:numId w:val="3"/>
        </w:numPr>
        <w:spacing w:line="360" w:lineRule="auto"/>
        <w:contextualSpacing/>
        <w:jc w:val="both"/>
      </w:pPr>
      <w:r w:rsidRPr="000602DF">
        <w:t xml:space="preserve">V čl. I sa </w:t>
      </w:r>
      <w:r>
        <w:t>za 7. bod vkladá nový bod 8</w:t>
      </w:r>
      <w:r w:rsidRPr="000602DF">
        <w:t>, ktorý znie:</w:t>
      </w:r>
    </w:p>
    <w:p w:rsidR="00547D37" w:rsidRPr="002F277E" w:rsidRDefault="00547D37" w:rsidP="00547D37">
      <w:pPr>
        <w:spacing w:before="100" w:beforeAutospacing="1" w:line="360" w:lineRule="auto"/>
        <w:ind w:left="786" w:hanging="219"/>
        <w:contextualSpacing/>
        <w:jc w:val="both"/>
      </w:pPr>
      <w:r>
        <w:t xml:space="preserve"> „8. </w:t>
      </w:r>
      <w:r w:rsidRPr="002F277E">
        <w:t>V </w:t>
      </w:r>
      <w:r>
        <w:t>§ 4 ods. 4 písm. b) a § 5 ods. 2 písm. c) sa odkaz 5 označuje ako odkaz 5a.“.</w:t>
      </w:r>
    </w:p>
    <w:p w:rsidR="00547D37" w:rsidRDefault="00547D37" w:rsidP="00547D37">
      <w:pPr>
        <w:spacing w:before="100" w:beforeAutospacing="1" w:line="360" w:lineRule="auto"/>
        <w:contextualSpacing/>
        <w:jc w:val="both"/>
      </w:pPr>
      <w:r>
        <w:tab/>
      </w:r>
    </w:p>
    <w:p w:rsidR="00547D37" w:rsidRDefault="00547D37" w:rsidP="00547D37">
      <w:pPr>
        <w:spacing w:before="100" w:beforeAutospacing="1" w:line="360" w:lineRule="auto"/>
        <w:contextualSpacing/>
        <w:jc w:val="both"/>
      </w:pPr>
      <w:r>
        <w:tab/>
      </w:r>
      <w:r w:rsidRPr="00851FE2">
        <w:t xml:space="preserve">Ostatné body sa primerane prečíslujú. 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</w:p>
    <w:p w:rsidR="00547D37" w:rsidRPr="001A656D" w:rsidRDefault="00547D37" w:rsidP="00547D37">
      <w:pPr>
        <w:spacing w:before="100" w:beforeAutospacing="1"/>
        <w:ind w:left="4247"/>
        <w:contextualSpacing/>
        <w:jc w:val="both"/>
      </w:pPr>
      <w:r>
        <w:tab/>
        <w:t>Ide o legislatívno-technickú úpravu, ktorou sa, v</w:t>
      </w:r>
      <w:r w:rsidRPr="001A656D">
        <w:t xml:space="preserve"> súvislosti s novým znením </w:t>
      </w:r>
      <w:r>
        <w:t xml:space="preserve">poznámky pod čiarou </w:t>
      </w:r>
      <w:r>
        <w:lastRenderedPageBreak/>
        <w:t>k odkazu 5 a zvedením odkazu 5a (</w:t>
      </w:r>
      <w:r w:rsidRPr="001A656D">
        <w:t>v čl. I 5. bod</w:t>
      </w:r>
      <w:r>
        <w:t>)</w:t>
      </w:r>
      <w:r w:rsidRPr="001A656D">
        <w:t xml:space="preserve">, </w:t>
      </w:r>
      <w:r>
        <w:t>primerane preznačujú</w:t>
      </w:r>
      <w:r w:rsidRPr="001A656D">
        <w:t xml:space="preserve"> </w:t>
      </w:r>
      <w:r>
        <w:t>odkazy na poznám</w:t>
      </w:r>
      <w:r w:rsidRPr="001A656D">
        <w:t>k</w:t>
      </w:r>
      <w:r>
        <w:t>y pod čiarou</w:t>
      </w:r>
      <w:r w:rsidRPr="001A656D">
        <w:t xml:space="preserve"> </w:t>
      </w:r>
      <w:r>
        <w:t>v § 4 ods. 4 písm. b</w:t>
      </w:r>
      <w:r w:rsidRPr="001A656D">
        <w:t>) a § 5 ods. 2 písm. c).</w:t>
      </w:r>
    </w:p>
    <w:p w:rsidR="00547D37" w:rsidRPr="002F277E" w:rsidRDefault="00547D37" w:rsidP="00547D37">
      <w:pPr>
        <w:spacing w:before="100" w:beforeAutospacing="1" w:line="360" w:lineRule="auto"/>
        <w:ind w:left="4247"/>
        <w:contextualSpacing/>
        <w:jc w:val="both"/>
      </w:pPr>
    </w:p>
    <w:p w:rsidR="00547D37" w:rsidRDefault="00547D37" w:rsidP="00547D37">
      <w:pPr>
        <w:numPr>
          <w:ilvl w:val="0"/>
          <w:numId w:val="3"/>
        </w:numPr>
        <w:spacing w:before="100" w:beforeAutospacing="1" w:line="360" w:lineRule="auto"/>
        <w:contextualSpacing/>
        <w:jc w:val="both"/>
      </w:pPr>
      <w:r>
        <w:t>V čl. I 11. bod § 4 ods. 5 sa slová „</w:t>
      </w:r>
      <w:r w:rsidRPr="008C6C88">
        <w:rPr>
          <w:rFonts w:eastAsia="Calibri"/>
        </w:rPr>
        <w:t>náčelníkom Generálneho štábu ozbrojených síl (ďalej len „generálny štáb“)</w:t>
      </w:r>
      <w:r>
        <w:t>“ nahrádzajú slovami „náčelníkom generálneho štábu“.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</w:p>
    <w:p w:rsidR="00547D37" w:rsidRDefault="00547D37" w:rsidP="00547D37">
      <w:pPr>
        <w:spacing w:before="100" w:beforeAutospacing="1"/>
        <w:ind w:left="4247"/>
        <w:contextualSpacing/>
        <w:jc w:val="both"/>
      </w:pPr>
      <w:r>
        <w:t>Ide o legislatívno-technickú úpravu, ktorou sa reaguje na zavedenie legislatívnej skratky v § 2 ods. 4  zákona o ozbrojených silách Slovenskej republiky.</w:t>
      </w:r>
    </w:p>
    <w:p w:rsidR="00547D37" w:rsidRDefault="00547D37" w:rsidP="00547D37">
      <w:pPr>
        <w:spacing w:before="100" w:beforeAutospacing="1" w:line="360" w:lineRule="auto"/>
        <w:ind w:left="4247"/>
        <w:contextualSpacing/>
        <w:jc w:val="both"/>
      </w:pPr>
    </w:p>
    <w:p w:rsidR="00547D37" w:rsidRDefault="00547D37" w:rsidP="00547D37">
      <w:pPr>
        <w:numPr>
          <w:ilvl w:val="0"/>
          <w:numId w:val="3"/>
        </w:numPr>
        <w:spacing w:before="100" w:beforeAutospacing="1" w:line="360" w:lineRule="auto"/>
        <w:contextualSpacing/>
        <w:jc w:val="both"/>
      </w:pPr>
      <w:r>
        <w:t>V čl. I 17. bod § 4b ods. 3  písm. b) sa slová „alebo odseku 2“ nahrádzajú slovami „alebo 2“.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  <w:r>
        <w:t xml:space="preserve">Ide o legislatívno-technickú úpravu. </w:t>
      </w:r>
    </w:p>
    <w:p w:rsidR="00547D37" w:rsidRDefault="00547D37" w:rsidP="00547D37">
      <w:pPr>
        <w:spacing w:before="100" w:beforeAutospacing="1" w:line="360" w:lineRule="auto"/>
        <w:ind w:left="4247"/>
        <w:contextualSpacing/>
        <w:jc w:val="both"/>
      </w:pPr>
    </w:p>
    <w:p w:rsidR="00547D37" w:rsidRDefault="00547D37" w:rsidP="00547D37">
      <w:pPr>
        <w:numPr>
          <w:ilvl w:val="0"/>
          <w:numId w:val="3"/>
        </w:numPr>
        <w:spacing w:before="100" w:beforeAutospacing="1" w:line="360" w:lineRule="auto"/>
        <w:contextualSpacing/>
        <w:jc w:val="both"/>
      </w:pPr>
      <w:r>
        <w:t>V čl. I 19. bod § 6 ods. 3 písm. b) sa slová „</w:t>
      </w:r>
      <w:r>
        <w:rPr>
          <w:rFonts w:eastAsia="Calibri"/>
        </w:rPr>
        <w:t>generálnym štábom</w:t>
      </w:r>
      <w:r>
        <w:t>“ nahrádzajú slovami „</w:t>
      </w:r>
      <w:r w:rsidRPr="008C6C88">
        <w:rPr>
          <w:rFonts w:eastAsia="Calibri"/>
        </w:rPr>
        <w:t>G</w:t>
      </w:r>
      <w:r>
        <w:rPr>
          <w:rFonts w:eastAsia="Calibri"/>
        </w:rPr>
        <w:t>enerálnym štábom</w:t>
      </w:r>
      <w:r w:rsidRPr="008C6C88">
        <w:rPr>
          <w:rFonts w:eastAsia="Calibri"/>
        </w:rPr>
        <w:t xml:space="preserve"> ozbrojených síl (ďalej len „generálny štáb“)</w:t>
      </w:r>
      <w:r>
        <w:t>“.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</w:p>
    <w:p w:rsidR="00547D37" w:rsidRDefault="00547D37" w:rsidP="00547D37">
      <w:pPr>
        <w:spacing w:before="100" w:beforeAutospacing="1"/>
        <w:ind w:left="4247"/>
        <w:contextualSpacing/>
        <w:jc w:val="both"/>
      </w:pPr>
      <w:r>
        <w:t>Ide o legislatívno-technickú úpravu, ktorou sa do zákona zavádza legislatívna skratka „generálny štáb“.</w:t>
      </w:r>
    </w:p>
    <w:p w:rsidR="00547D37" w:rsidRDefault="00547D37" w:rsidP="00547D37">
      <w:pPr>
        <w:spacing w:before="100" w:beforeAutospacing="1" w:line="360" w:lineRule="auto"/>
        <w:ind w:left="4247"/>
        <w:contextualSpacing/>
        <w:jc w:val="both"/>
      </w:pPr>
    </w:p>
    <w:p w:rsidR="00547D37" w:rsidRPr="000022ED" w:rsidRDefault="00547D37" w:rsidP="00547D37">
      <w:pPr>
        <w:numPr>
          <w:ilvl w:val="0"/>
          <w:numId w:val="3"/>
        </w:numPr>
        <w:spacing w:before="100" w:beforeAutospacing="1" w:line="360" w:lineRule="auto"/>
        <w:contextualSpacing/>
        <w:jc w:val="both"/>
      </w:pPr>
      <w:r>
        <w:t>V čl. I 31. bod [§12 ods. 1 písm. e)] v</w:t>
      </w:r>
      <w:r w:rsidRPr="000022ED">
        <w:t xml:space="preserve"> poznámke pod čiarou k odkazu 24a) sa v druhej vete na konci </w:t>
      </w:r>
      <w:r>
        <w:t>pripájajú tieto slová:</w:t>
      </w:r>
      <w:r w:rsidRPr="000022ED">
        <w:t xml:space="preserve"> „v platnom znení“.</w:t>
      </w:r>
    </w:p>
    <w:p w:rsidR="00547D37" w:rsidRDefault="00547D37" w:rsidP="00547D37">
      <w:pPr>
        <w:spacing w:before="100" w:beforeAutospacing="1" w:line="360" w:lineRule="auto"/>
        <w:ind w:left="720"/>
        <w:contextualSpacing/>
        <w:jc w:val="both"/>
      </w:pPr>
    </w:p>
    <w:p w:rsidR="00547D37" w:rsidRDefault="00547D37" w:rsidP="00547D37">
      <w:pPr>
        <w:spacing w:before="100" w:beforeAutospacing="1"/>
        <w:ind w:left="4247"/>
        <w:contextualSpacing/>
        <w:jc w:val="both"/>
      </w:pPr>
      <w:r>
        <w:t xml:space="preserve">Ide o legislatívno-technickú úpravu spočívajúcu </w:t>
      </w:r>
      <w:r w:rsidRPr="000022ED">
        <w:t>v aktualizácii znenia predmetnej medzinárodnej zmluvy.</w:t>
      </w:r>
    </w:p>
    <w:p w:rsidR="00547D37" w:rsidRDefault="00547D37" w:rsidP="00547D37">
      <w:pPr>
        <w:spacing w:before="120"/>
        <w:jc w:val="both"/>
        <w:rPr>
          <w:b/>
          <w:u w:val="single"/>
        </w:rPr>
      </w:pPr>
    </w:p>
    <w:p w:rsidR="00547D37" w:rsidRDefault="00547D37" w:rsidP="00547D37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IV</w:t>
      </w:r>
    </w:p>
    <w:p w:rsidR="00547D37" w:rsidRDefault="00547D37" w:rsidP="00547D37">
      <w:pPr>
        <w:spacing w:before="120"/>
        <w:jc w:val="both"/>
        <w:rPr>
          <w:b/>
          <w:u w:val="single"/>
        </w:rPr>
      </w:pPr>
    </w:p>
    <w:p w:rsidR="00547D37" w:rsidRDefault="00547D37" w:rsidP="00547D37">
      <w:pPr>
        <w:numPr>
          <w:ilvl w:val="0"/>
          <w:numId w:val="3"/>
        </w:numPr>
        <w:spacing w:before="100" w:beforeAutospacing="1" w:line="360" w:lineRule="auto"/>
        <w:contextualSpacing/>
        <w:jc w:val="both"/>
      </w:pPr>
      <w:r>
        <w:t>V čl. IV 2. bod § 37a ods. 2 písm. c) sa slová „písmena a) alebo písmena b)“ nahrádzajú slovami „písmena a) alebo b)“.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</w:p>
    <w:p w:rsidR="00547D37" w:rsidRDefault="00547D37" w:rsidP="00547D37">
      <w:pPr>
        <w:spacing w:before="100" w:beforeAutospacing="1"/>
        <w:ind w:left="4247"/>
        <w:contextualSpacing/>
        <w:jc w:val="both"/>
      </w:pPr>
      <w:r>
        <w:t xml:space="preserve">Ide o legislatívno-technickú úpravu. </w:t>
      </w:r>
    </w:p>
    <w:p w:rsidR="00547D37" w:rsidRDefault="00547D37" w:rsidP="00547D37">
      <w:pPr>
        <w:spacing w:before="100" w:beforeAutospacing="1"/>
        <w:ind w:left="4247"/>
        <w:contextualSpacing/>
        <w:jc w:val="both"/>
      </w:pPr>
    </w:p>
    <w:p w:rsidR="00547D37" w:rsidRDefault="00547D37" w:rsidP="00547D37">
      <w:pPr>
        <w:autoSpaceDE w:val="0"/>
        <w:autoSpaceDN w:val="0"/>
        <w:spacing w:line="360" w:lineRule="auto"/>
        <w:jc w:val="both"/>
        <w:rPr>
          <w:rFonts w:eastAsia="Calibri"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4B0A"/>
    <w:multiLevelType w:val="hybridMultilevel"/>
    <w:tmpl w:val="0F580D14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D5F8C"/>
    <w:rsid w:val="000E2DB0"/>
    <w:rsid w:val="00102317"/>
    <w:rsid w:val="001025EA"/>
    <w:rsid w:val="001E02CC"/>
    <w:rsid w:val="001E2A34"/>
    <w:rsid w:val="00242A46"/>
    <w:rsid w:val="00275707"/>
    <w:rsid w:val="002F60E1"/>
    <w:rsid w:val="0035597B"/>
    <w:rsid w:val="003A4B06"/>
    <w:rsid w:val="004225EC"/>
    <w:rsid w:val="004A40A5"/>
    <w:rsid w:val="004A6B5E"/>
    <w:rsid w:val="004B51EB"/>
    <w:rsid w:val="004F65BA"/>
    <w:rsid w:val="00516F82"/>
    <w:rsid w:val="00526904"/>
    <w:rsid w:val="00537098"/>
    <w:rsid w:val="00547D37"/>
    <w:rsid w:val="005C46FD"/>
    <w:rsid w:val="005F576B"/>
    <w:rsid w:val="00621E0E"/>
    <w:rsid w:val="0067242B"/>
    <w:rsid w:val="006F60C9"/>
    <w:rsid w:val="007105F5"/>
    <w:rsid w:val="00714F0D"/>
    <w:rsid w:val="00772D97"/>
    <w:rsid w:val="007735BD"/>
    <w:rsid w:val="00774578"/>
    <w:rsid w:val="007B411C"/>
    <w:rsid w:val="00816480"/>
    <w:rsid w:val="008250CB"/>
    <w:rsid w:val="008757E6"/>
    <w:rsid w:val="008B3527"/>
    <w:rsid w:val="0090471E"/>
    <w:rsid w:val="00980C1E"/>
    <w:rsid w:val="00A20894"/>
    <w:rsid w:val="00A4055A"/>
    <w:rsid w:val="00A62C1E"/>
    <w:rsid w:val="00A873F8"/>
    <w:rsid w:val="00B12C71"/>
    <w:rsid w:val="00BC303B"/>
    <w:rsid w:val="00BD7BDC"/>
    <w:rsid w:val="00C518F0"/>
    <w:rsid w:val="00CB75D8"/>
    <w:rsid w:val="00D95E04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1FA6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8418-37CA-43AD-A97F-0598A4ED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13</cp:revision>
  <cp:lastPrinted>2019-11-18T11:35:00Z</cp:lastPrinted>
  <dcterms:created xsi:type="dcterms:W3CDTF">2019-10-16T11:28:00Z</dcterms:created>
  <dcterms:modified xsi:type="dcterms:W3CDTF">2019-11-18T11:35:00Z</dcterms:modified>
</cp:coreProperties>
</file>