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6A" w:rsidRDefault="007F106A" w:rsidP="007F10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bookmarkStart w:id="0" w:name="_GoBack"/>
      <w:bookmarkEnd w:id="0"/>
      <w:r w:rsidRPr="00400F51">
        <w:rPr>
          <w:rFonts w:ascii="Times New Roman" w:hAnsi="Times New Roman"/>
          <w:b/>
          <w:bCs/>
          <w:spacing w:val="20"/>
          <w:sz w:val="24"/>
          <w:szCs w:val="24"/>
        </w:rPr>
        <w:t>NÁRODNÁ  RADA  SLOVENSKEJ  REPUBLIKY</w:t>
      </w:r>
    </w:p>
    <w:p w:rsidR="007F106A" w:rsidRPr="00400F51" w:rsidRDefault="007F106A" w:rsidP="007F10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>VII. volebné obdobie</w:t>
      </w:r>
    </w:p>
    <w:p w:rsidR="007F106A" w:rsidRPr="00400F51" w:rsidRDefault="007F106A" w:rsidP="007F106A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FE6E9B" w:rsidRDefault="00FE6E9B" w:rsidP="007F106A">
      <w:pPr>
        <w:spacing w:after="0" w:line="240" w:lineRule="auto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</w:p>
    <w:p w:rsidR="007F106A" w:rsidRPr="00487C6F" w:rsidRDefault="007F106A" w:rsidP="009C4738">
      <w:pPr>
        <w:spacing w:after="0" w:line="240" w:lineRule="auto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487C6F">
        <w:rPr>
          <w:rFonts w:ascii="Times New Roman" w:hAnsi="Times New Roman"/>
          <w:i/>
          <w:iCs/>
          <w:spacing w:val="30"/>
          <w:sz w:val="24"/>
          <w:szCs w:val="24"/>
        </w:rPr>
        <w:t xml:space="preserve">Návrh </w:t>
      </w:r>
    </w:p>
    <w:p w:rsidR="007F106A" w:rsidRPr="00400F51" w:rsidRDefault="007F106A" w:rsidP="009C4738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7F106A" w:rsidRPr="00400F51" w:rsidRDefault="007F106A" w:rsidP="009C4738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400F51">
        <w:rPr>
          <w:rFonts w:ascii="Times New Roman" w:hAnsi="Times New Roman"/>
          <w:b/>
          <w:bCs/>
          <w:caps/>
          <w:spacing w:val="30"/>
          <w:sz w:val="24"/>
          <w:szCs w:val="24"/>
        </w:rPr>
        <w:t>zákon</w:t>
      </w:r>
    </w:p>
    <w:p w:rsidR="007F106A" w:rsidRDefault="007F106A" w:rsidP="009C4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106A" w:rsidRDefault="007F106A" w:rsidP="009C4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F51">
        <w:rPr>
          <w:rFonts w:ascii="Times New Roman" w:hAnsi="Times New Roman"/>
          <w:sz w:val="24"/>
          <w:szCs w:val="24"/>
        </w:rPr>
        <w:t>z ... 20</w:t>
      </w:r>
      <w:r w:rsidR="002802ED">
        <w:rPr>
          <w:rFonts w:ascii="Times New Roman" w:hAnsi="Times New Roman"/>
          <w:sz w:val="24"/>
          <w:szCs w:val="24"/>
        </w:rPr>
        <w:t>20</w:t>
      </w:r>
      <w:r w:rsidRPr="00400F51">
        <w:rPr>
          <w:rFonts w:ascii="Times New Roman" w:hAnsi="Times New Roman"/>
          <w:sz w:val="24"/>
          <w:szCs w:val="24"/>
        </w:rPr>
        <w:t>,</w:t>
      </w:r>
    </w:p>
    <w:p w:rsidR="009C4738" w:rsidRDefault="009C4738" w:rsidP="009C47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6A45" w:rsidRPr="009C4738" w:rsidRDefault="00E36A45" w:rsidP="009C47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6A45">
        <w:rPr>
          <w:rFonts w:ascii="Times New Roman" w:eastAsia="Verdana" w:hAnsi="Times New Roman"/>
          <w:b/>
          <w:sz w:val="24"/>
          <w:szCs w:val="24"/>
          <w:lang w:eastAsia="cs-CZ"/>
        </w:rPr>
        <w:t>k</w:t>
      </w:r>
      <w:r w:rsidRPr="00E36A4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torým sa mení </w:t>
      </w:r>
      <w:r w:rsidR="007D47E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a dopĺňa </w:t>
      </w:r>
      <w:r w:rsidRPr="00E36A4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zákon č. 385/2000 Z. z.  o sudcoch a prísediacich a o zmene </w:t>
      </w:r>
      <w:r w:rsidR="009C473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       </w:t>
      </w:r>
      <w:r w:rsidRPr="00E36A45"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doplnení niektorých zákonov v znení neskorších predpisov </w:t>
      </w:r>
      <w:r w:rsidR="009C4738" w:rsidRPr="009C4738">
        <w:rPr>
          <w:rFonts w:ascii="Times New Roman" w:hAnsi="Times New Roman"/>
          <w:b/>
          <w:bCs/>
          <w:sz w:val="24"/>
          <w:szCs w:val="24"/>
        </w:rPr>
        <w:t>a ktorým sa mení a dopĺňa zákon č. 314/2018 Z. z. o Ústavnom súde Slovenskej republiky a o zmene a doplnení niektorých zákonov</w:t>
      </w:r>
    </w:p>
    <w:p w:rsidR="009C4738" w:rsidRPr="009C4738" w:rsidRDefault="009C4738" w:rsidP="009C47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F106A" w:rsidRPr="00400F51" w:rsidRDefault="007F106A" w:rsidP="007F1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F51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7F106A" w:rsidRDefault="007F106A" w:rsidP="007F106A">
      <w:pPr>
        <w:rPr>
          <w:rFonts w:ascii="Times New Roman" w:hAnsi="Times New Roman"/>
          <w:sz w:val="24"/>
          <w:szCs w:val="24"/>
        </w:rPr>
      </w:pPr>
    </w:p>
    <w:p w:rsidR="00E36A45" w:rsidRDefault="007F106A" w:rsidP="00E36A45">
      <w:pPr>
        <w:jc w:val="center"/>
        <w:rPr>
          <w:rFonts w:ascii="Times New Roman" w:hAnsi="Times New Roman"/>
          <w:b/>
          <w:sz w:val="24"/>
          <w:szCs w:val="24"/>
        </w:rPr>
      </w:pPr>
      <w:r w:rsidRPr="00FA1B7F">
        <w:rPr>
          <w:rFonts w:ascii="Times New Roman" w:hAnsi="Times New Roman"/>
          <w:b/>
          <w:sz w:val="24"/>
          <w:szCs w:val="24"/>
        </w:rPr>
        <w:t>Čl. I</w:t>
      </w:r>
    </w:p>
    <w:p w:rsidR="00425B6E" w:rsidRDefault="008E4293" w:rsidP="00E073A2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073A2">
        <w:rPr>
          <w:rFonts w:ascii="Times New Roman" w:hAnsi="Times New Roman"/>
          <w:sz w:val="24"/>
          <w:szCs w:val="24"/>
          <w:shd w:val="clear" w:color="auto" w:fill="FFFFFF"/>
        </w:rPr>
        <w:t xml:space="preserve">Zákon č. 385/2000 Z. z. o sudcoch a prísediacich a o zmene a doplnení niektorých zákonov v znení zákona č.185/2002 Z. z., zákona č. 670/2002 Z. z., zákona č. 426/2003 Z. z., zákona č. 458/2003 Z. z., zákona č. 462/2003 Z. z., zákona č. 505/2003 Z. z., zákona                            č. 514/2003 Z. z., zákona č. 548/2003 Z. z., zákona č. 267/2004 Z. z., zákona č. 403/2004 Z. z., zákona č. 530/2004 Z. z., zákona č. 586/2004 Z. z., zákona č. 609/2004 Z. z., zákona                          č. 757/2004 Z. z., zákona č. 122/2005 Z. z., zákona č. 622/2005 Z. z., nálezu Ústavného súdu Slovenskej republiky č. 15/2008 Z. z., zákona č. 517/2008 Z. z., zákona č. 520/2008 Z. z., zákona č. 59/2009 Z. z., nálezu Ústavného súdu Slovenskej republiky č. 290/2009 Z. z., zákona č. 291/2009 Z. z., zákona č. 500/2010 Z. z., zákona č. 543/2010 Z. z., zákona č. 33/2011 Z. z., zákona č. 100/2011 Z. z., zákona č. 467/2011 Z. z., zákona č. 503/2011 Z. z., zákona                                 č. 79/2012 Z. z., zákona č. 335/2012 Z. z., zákona č. 392/2012 Z. z., zákona č. 462/2013 Z. z., zákona č. 195/2014 Z. z., nálezu Ústavného súdu Slovenskej republiky č. 216/2014 Z. z., zákona č. 307/2014 Z. z., zákona č. 322/2014 Z. z., zákona č. 362/2014 Z. z., zákona                                č. 401/2015 Z. z., nálezu Ústavného súdu Slovenskej republiky č. 443/2015 Z. z., zákona                        č. 125/2016 Z. z., zákona č. 152/2017 Z. z., zákona č. 177/2018 Z. z., zákona č. 314/2018 Z. z., nálezu Ústavného súdu Slovenskej republiky č. 40/2019 Z. z., </w:t>
      </w:r>
      <w:r w:rsidRPr="00E073A2">
        <w:rPr>
          <w:rFonts w:ascii="Times New Roman" w:hAnsi="Times New Roman"/>
          <w:sz w:val="24"/>
          <w:szCs w:val="24"/>
        </w:rPr>
        <w:t xml:space="preserve">zákona č. 282/2019 Z. z. a zákona č. ......./2019 Z. z. </w:t>
      </w:r>
      <w:r w:rsidRPr="00E073A2">
        <w:rPr>
          <w:rFonts w:ascii="Times New Roman" w:hAnsi="Times New Roman"/>
          <w:sz w:val="24"/>
          <w:szCs w:val="24"/>
          <w:shd w:val="clear" w:color="auto" w:fill="FFFFFF"/>
        </w:rPr>
        <w:t>sa mení takto:</w:t>
      </w:r>
    </w:p>
    <w:p w:rsidR="007D47EB" w:rsidRDefault="007D47EB" w:rsidP="007D47E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42053">
        <w:rPr>
          <w:rFonts w:ascii="Times New Roman" w:hAnsi="Times New Roman"/>
          <w:b/>
          <w:sz w:val="24"/>
          <w:szCs w:val="24"/>
        </w:rPr>
        <w:t>Čl. I</w:t>
      </w:r>
    </w:p>
    <w:p w:rsidR="007D47EB" w:rsidRPr="005C34CF" w:rsidRDefault="007D47EB" w:rsidP="007D47EB">
      <w:pPr>
        <w:pStyle w:val="Odsekzoznamu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C34CF">
        <w:rPr>
          <w:rFonts w:ascii="Times New Roman" w:hAnsi="Times New Roman"/>
          <w:sz w:val="24"/>
          <w:szCs w:val="24"/>
        </w:rPr>
        <w:t>V § 22 odsek 3 znie:</w:t>
      </w:r>
    </w:p>
    <w:p w:rsidR="007D47EB" w:rsidRPr="005C34CF" w:rsidRDefault="007D47EB" w:rsidP="007D47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7EB" w:rsidRPr="005C34CF" w:rsidRDefault="007D47EB" w:rsidP="007D47E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C34CF">
        <w:rPr>
          <w:rFonts w:ascii="Times New Roman" w:hAnsi="Times New Roman"/>
          <w:sz w:val="24"/>
          <w:szCs w:val="24"/>
        </w:rPr>
        <w:t>„(3) O návrhu na dočasné pozastavenie výkonu funkcie sudcu disciplinárny senát rozhodne v lehote 10 dní od jeho doručenia. Opravný prostriedok na Ústavný súd Slovenskej republiky nemá odkladný účinok.“.</w:t>
      </w:r>
    </w:p>
    <w:p w:rsidR="007D47EB" w:rsidRPr="005C34CF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D47EB" w:rsidRPr="005C34CF" w:rsidRDefault="007D47EB" w:rsidP="007D47EB">
      <w:pPr>
        <w:pStyle w:val="Odsekzoznamu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C34CF">
        <w:rPr>
          <w:rFonts w:ascii="Times New Roman" w:hAnsi="Times New Roman"/>
          <w:sz w:val="24"/>
          <w:szCs w:val="24"/>
        </w:rPr>
        <w:t>V § 22 ods. 4 sa na konci pripája táto veta: „Opravný prostriedok na Ústavný súd Slovenskej republiky proti rozhodnutiu o zrušení dočasného pozastavenia má odkladný účinok.“.</w:t>
      </w:r>
    </w:p>
    <w:p w:rsidR="007D47EB" w:rsidRPr="005C34CF" w:rsidRDefault="007D47EB" w:rsidP="007D47EB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7EB" w:rsidRPr="005C34CF" w:rsidRDefault="007D47EB" w:rsidP="007D47EB">
      <w:pPr>
        <w:pStyle w:val="Odsekzoznamu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C34CF">
        <w:rPr>
          <w:rFonts w:ascii="Times New Roman" w:hAnsi="Times New Roman"/>
          <w:sz w:val="24"/>
          <w:szCs w:val="24"/>
        </w:rPr>
        <w:t xml:space="preserve">V § 41 ods. 2 písm. b) sa slová „disciplinárneho senátu, ktorým uznal sudcu“ nahrádzajú </w:t>
      </w:r>
      <w:r>
        <w:rPr>
          <w:rFonts w:ascii="Times New Roman" w:hAnsi="Times New Roman"/>
          <w:sz w:val="24"/>
        </w:rPr>
        <w:t xml:space="preserve">čiarkou a </w:t>
      </w:r>
      <w:r w:rsidRPr="005C34CF">
        <w:rPr>
          <w:rFonts w:ascii="Times New Roman" w:hAnsi="Times New Roman"/>
          <w:sz w:val="24"/>
          <w:szCs w:val="24"/>
        </w:rPr>
        <w:t xml:space="preserve">slovami </w:t>
      </w:r>
      <w:r>
        <w:rPr>
          <w:rFonts w:ascii="Times New Roman" w:hAnsi="Times New Roman"/>
          <w:sz w:val="24"/>
        </w:rPr>
        <w:t>„</w:t>
      </w:r>
      <w:r w:rsidRPr="005C34CF">
        <w:rPr>
          <w:rFonts w:ascii="Times New Roman" w:hAnsi="Times New Roman"/>
          <w:sz w:val="24"/>
          <w:szCs w:val="24"/>
        </w:rPr>
        <w:t>ktorým bol sudca“.“.</w:t>
      </w:r>
    </w:p>
    <w:p w:rsidR="007D47EB" w:rsidRPr="005C34CF" w:rsidRDefault="007D47EB" w:rsidP="007D47EB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7D47EB" w:rsidRDefault="007D47EB" w:rsidP="007D47EB">
      <w:pPr>
        <w:pStyle w:val="Odsekzoznamu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142053">
        <w:rPr>
          <w:rFonts w:ascii="Times New Roman" w:hAnsi="Times New Roman"/>
          <w:sz w:val="24"/>
        </w:rPr>
        <w:t>V § 78 a § 84 sa slová „disciplinárneho senátu“ nahrádzajú slovami „v disciplinárnom konaní“.</w:t>
      </w:r>
    </w:p>
    <w:p w:rsidR="007D47EB" w:rsidRPr="00142053" w:rsidRDefault="007D47EB" w:rsidP="007D47EB">
      <w:pPr>
        <w:pStyle w:val="Odsekzoznamu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</w:rPr>
      </w:pPr>
    </w:p>
    <w:p w:rsidR="007D47EB" w:rsidRPr="00142053" w:rsidRDefault="007D47EB" w:rsidP="007D47EB">
      <w:pPr>
        <w:pStyle w:val="Odsekzoznamu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142053">
        <w:rPr>
          <w:rFonts w:ascii="Times New Roman" w:hAnsi="Times New Roman"/>
          <w:sz w:val="24"/>
        </w:rPr>
        <w:t>V § 119 odsek 2 znie: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 xml:space="preserve">„(2) Disciplinárny senát je trojčlenný a jeho predseda a jeden člen musia byť sudcovia a jeden člen iná osoba ako sudca.“. </w:t>
      </w:r>
    </w:p>
    <w:p w:rsidR="007D47EB" w:rsidRDefault="007D47EB" w:rsidP="007D47E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D47EB" w:rsidRPr="00142053" w:rsidRDefault="007D47EB" w:rsidP="007D47EB">
      <w:pPr>
        <w:pStyle w:val="Odsekzoznamu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142053">
        <w:rPr>
          <w:rFonts w:ascii="Times New Roman" w:hAnsi="Times New Roman"/>
          <w:sz w:val="24"/>
        </w:rPr>
        <w:t xml:space="preserve">V § 119c ods. 1 sa vypúšťajú slová „prvého stupňa a odvolacích disciplinárnych senátov“. </w:t>
      </w: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142053" w:rsidRDefault="007D47EB" w:rsidP="007D47EB">
      <w:pPr>
        <w:pStyle w:val="Odsekzoznamu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142053">
        <w:rPr>
          <w:rFonts w:ascii="Times New Roman" w:hAnsi="Times New Roman"/>
          <w:sz w:val="24"/>
        </w:rPr>
        <w:t xml:space="preserve"> V § 119c ods. 2 sa vypúšťajú slová „prvého stupňa“.</w:t>
      </w: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142053" w:rsidRDefault="007D47EB" w:rsidP="007D47EB">
      <w:pPr>
        <w:pStyle w:val="Odsekzoznamu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142053">
        <w:rPr>
          <w:rFonts w:ascii="Times New Roman" w:hAnsi="Times New Roman"/>
          <w:sz w:val="24"/>
        </w:rPr>
        <w:t xml:space="preserve">V § 119c sa vypúšťa odsek 3. </w:t>
      </w: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142053" w:rsidRDefault="007D47EB" w:rsidP="007D47EB">
      <w:pPr>
        <w:pStyle w:val="Odsekzoznamu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142053">
        <w:rPr>
          <w:rFonts w:ascii="Times New Roman" w:hAnsi="Times New Roman"/>
          <w:sz w:val="24"/>
        </w:rPr>
        <w:t>V § 119d ods. 1 sa vypúšťajú slová „a odvolanie proti rozhodnutiu disciplinárneho senátu prvého stupňa“.</w:t>
      </w: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142053" w:rsidRDefault="007D47EB" w:rsidP="007D47EB">
      <w:pPr>
        <w:pStyle w:val="Odsekzoznamu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142053">
        <w:rPr>
          <w:rFonts w:ascii="Times New Roman" w:hAnsi="Times New Roman"/>
          <w:sz w:val="24"/>
        </w:rPr>
        <w:t xml:space="preserve">V § 119d sa vypúšťajú odseky 5 a 7. Doterajší odsek 6 sa označuje ako odsek 5. </w:t>
      </w:r>
    </w:p>
    <w:p w:rsidR="007D47E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</w:p>
    <w:p w:rsidR="007D47EB" w:rsidRPr="00142053" w:rsidRDefault="007D47EB" w:rsidP="007D47EB">
      <w:pPr>
        <w:pStyle w:val="Odsekzoznamu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142053">
        <w:rPr>
          <w:rFonts w:ascii="Times New Roman" w:hAnsi="Times New Roman"/>
          <w:sz w:val="24"/>
        </w:rPr>
        <w:t>§ 131 vrátane nadpisu znie:</w:t>
      </w:r>
    </w:p>
    <w:p w:rsidR="007D47EB" w:rsidRPr="0069576B" w:rsidRDefault="007D47EB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69576B">
        <w:rPr>
          <w:rFonts w:ascii="Times New Roman" w:hAnsi="Times New Roman"/>
          <w:sz w:val="24"/>
        </w:rPr>
        <w:t>„</w:t>
      </w:r>
      <w:r w:rsidRPr="0069576B">
        <w:rPr>
          <w:rFonts w:ascii="Times New Roman" w:hAnsi="Times New Roman"/>
          <w:b/>
          <w:bCs/>
          <w:sz w:val="24"/>
        </w:rPr>
        <w:t>§ 131</w:t>
      </w:r>
    </w:p>
    <w:p w:rsidR="007D47EB" w:rsidRPr="0069576B" w:rsidRDefault="007D47EB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69576B">
        <w:rPr>
          <w:rFonts w:ascii="Times New Roman" w:hAnsi="Times New Roman"/>
          <w:b/>
          <w:bCs/>
          <w:sz w:val="24"/>
        </w:rPr>
        <w:t>Opravný prostriedok</w:t>
      </w:r>
    </w:p>
    <w:p w:rsidR="007D47E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(1) Proti rozhodnutiu disciplinárneho senátu možno podať opravný prostriedok na Ústavný súd Slovenskej republiky za podmienok ustanovených osobitným zákonom.</w:t>
      </w:r>
      <w:r w:rsidRPr="0069576B">
        <w:rPr>
          <w:rFonts w:ascii="Times New Roman" w:hAnsi="Times New Roman"/>
          <w:sz w:val="24"/>
          <w:vertAlign w:val="superscript"/>
        </w:rPr>
        <w:t>28d</w:t>
      </w:r>
      <w:r w:rsidRPr="0069576B">
        <w:rPr>
          <w:rFonts w:ascii="Times New Roman" w:hAnsi="Times New Roman"/>
          <w:sz w:val="24"/>
        </w:rPr>
        <w:t>)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(2) Ak bol podaný opravný prostriedok podľa odseku 1, nenadobúda rozhodnutie disciplinárneho senátu právoplatnosť, kým o opravnom prostriedku nebolo právoplatne rozhodnuté.“.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Poznámka pod čiarou k odkazu 28d znie:</w:t>
      </w:r>
    </w:p>
    <w:p w:rsidR="007D47E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</w:p>
    <w:p w:rsidR="007D47EB" w:rsidRDefault="007D47EB" w:rsidP="007D47EB">
      <w:pPr>
        <w:spacing w:after="0" w:line="240" w:lineRule="auto"/>
        <w:ind w:firstLine="360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„</w:t>
      </w:r>
      <w:r w:rsidRPr="0069576B">
        <w:rPr>
          <w:rFonts w:ascii="Times New Roman" w:hAnsi="Times New Roman"/>
          <w:sz w:val="24"/>
          <w:vertAlign w:val="superscript"/>
        </w:rPr>
        <w:t>28d</w:t>
      </w:r>
      <w:r w:rsidRPr="0069576B">
        <w:rPr>
          <w:rFonts w:ascii="Times New Roman" w:hAnsi="Times New Roman"/>
          <w:sz w:val="24"/>
        </w:rPr>
        <w:t>)</w:t>
      </w:r>
      <w:r w:rsidRPr="0069576B">
        <w:rPr>
          <w:rFonts w:ascii="Times New Roman" w:hAnsi="Times New Roman"/>
          <w:sz w:val="24"/>
        </w:rPr>
        <w:tab/>
        <w:t xml:space="preserve">§ 225b zákona č. 314/2018 Z. z. o Ústavnom súde Slovenskej republiky a o zmene a doplnení niektorých zákonov v znení zákona č. </w:t>
      </w:r>
      <w:r w:rsidRPr="005A3EA5">
        <w:rPr>
          <w:rFonts w:ascii="Times New Roman" w:hAnsi="Times New Roman"/>
          <w:sz w:val="24"/>
        </w:rPr>
        <w:t>..../</w:t>
      </w:r>
      <w:r w:rsidRPr="0069576B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19</w:t>
      </w:r>
      <w:r w:rsidRPr="0069576B">
        <w:rPr>
          <w:rFonts w:ascii="Times New Roman" w:hAnsi="Times New Roman"/>
          <w:sz w:val="24"/>
        </w:rPr>
        <w:t xml:space="preserve"> Z. z.“.</w:t>
      </w:r>
      <w:r>
        <w:rPr>
          <w:rFonts w:ascii="Times New Roman" w:hAnsi="Times New Roman"/>
          <w:sz w:val="24"/>
        </w:rPr>
        <w:t xml:space="preserve"> </w:t>
      </w:r>
    </w:p>
    <w:p w:rsidR="007D47E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</w:p>
    <w:p w:rsidR="007D47EB" w:rsidRPr="00142053" w:rsidRDefault="007D47EB" w:rsidP="007D47EB">
      <w:pPr>
        <w:pStyle w:val="Odsekzoznamu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142053">
        <w:rPr>
          <w:rFonts w:ascii="Times New Roman" w:hAnsi="Times New Roman"/>
          <w:sz w:val="24"/>
        </w:rPr>
        <w:t>Za § 151zc sa vkladá § 151zd, ktorý znie:</w:t>
      </w:r>
    </w:p>
    <w:p w:rsidR="007D47EB" w:rsidRPr="00AB604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</w:p>
    <w:p w:rsidR="007D47EB" w:rsidRPr="009F19FB" w:rsidRDefault="007D47EB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9F19FB">
        <w:rPr>
          <w:rFonts w:ascii="Times New Roman" w:hAnsi="Times New Roman"/>
          <w:sz w:val="24"/>
        </w:rPr>
        <w:t>„</w:t>
      </w:r>
      <w:r w:rsidRPr="009F19FB">
        <w:rPr>
          <w:rFonts w:ascii="Times New Roman" w:hAnsi="Times New Roman"/>
          <w:b/>
          <w:bCs/>
          <w:sz w:val="24"/>
        </w:rPr>
        <w:t>§ 15</w:t>
      </w:r>
      <w:r w:rsidRPr="005A3EA5">
        <w:rPr>
          <w:rFonts w:ascii="Times New Roman" w:hAnsi="Times New Roman"/>
          <w:b/>
          <w:bCs/>
          <w:sz w:val="24"/>
        </w:rPr>
        <w:t>1zd</w:t>
      </w:r>
    </w:p>
    <w:p w:rsidR="007D47EB" w:rsidRPr="009F19FB" w:rsidRDefault="007D47EB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9F19FB">
        <w:rPr>
          <w:rFonts w:ascii="Times New Roman" w:hAnsi="Times New Roman"/>
          <w:b/>
          <w:bCs/>
          <w:sz w:val="24"/>
        </w:rPr>
        <w:t>Prechodné ustanovenie</w:t>
      </w:r>
    </w:p>
    <w:p w:rsidR="007D47EB" w:rsidRPr="009F19FB" w:rsidRDefault="007D47EB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9F19FB">
        <w:rPr>
          <w:rFonts w:ascii="Times New Roman" w:hAnsi="Times New Roman"/>
          <w:b/>
          <w:bCs/>
          <w:sz w:val="24"/>
        </w:rPr>
        <w:t xml:space="preserve">k úpravám účinným od 1. </w:t>
      </w:r>
      <w:r>
        <w:rPr>
          <w:rFonts w:ascii="Times New Roman" w:hAnsi="Times New Roman"/>
          <w:b/>
          <w:bCs/>
          <w:sz w:val="24"/>
        </w:rPr>
        <w:t>marca</w:t>
      </w:r>
      <w:r w:rsidRPr="009F19FB">
        <w:rPr>
          <w:rFonts w:ascii="Times New Roman" w:hAnsi="Times New Roman"/>
          <w:b/>
          <w:bCs/>
          <w:sz w:val="24"/>
        </w:rPr>
        <w:t xml:space="preserve"> 2020</w:t>
      </w:r>
    </w:p>
    <w:p w:rsidR="007D47EB" w:rsidRPr="009F19F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</w:t>
      </w:r>
      <w:r w:rsidR="00F40BB6">
        <w:rPr>
          <w:rFonts w:ascii="Times New Roman" w:hAnsi="Times New Roman"/>
          <w:sz w:val="24"/>
        </w:rPr>
        <w:t>1</w:t>
      </w:r>
      <w:r w:rsidRPr="0069576B">
        <w:rPr>
          <w:rFonts w:ascii="Times New Roman" w:hAnsi="Times New Roman"/>
          <w:sz w:val="24"/>
        </w:rPr>
        <w:t xml:space="preserve">) Odvolacie disciplinárne senáty sa uplynutím </w:t>
      </w:r>
      <w:r>
        <w:rPr>
          <w:rFonts w:ascii="Times New Roman" w:hAnsi="Times New Roman"/>
          <w:sz w:val="24"/>
        </w:rPr>
        <w:t xml:space="preserve">29. februára </w:t>
      </w:r>
      <w:r w:rsidRPr="0069576B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20</w:t>
      </w:r>
      <w:r w:rsidRPr="0069576B">
        <w:rPr>
          <w:rFonts w:ascii="Times New Roman" w:hAnsi="Times New Roman"/>
          <w:sz w:val="24"/>
        </w:rPr>
        <w:t xml:space="preserve"> zrušujú; tým nie je dotknuté ich oprávnenie konať podľa tohto paragrafu.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lastRenderedPageBreak/>
        <w:t>(</w:t>
      </w:r>
      <w:r w:rsidR="00F40BB6">
        <w:rPr>
          <w:rFonts w:ascii="Times New Roman" w:hAnsi="Times New Roman"/>
          <w:sz w:val="24"/>
        </w:rPr>
        <w:t>2</w:t>
      </w:r>
      <w:r w:rsidRPr="0069576B">
        <w:rPr>
          <w:rFonts w:ascii="Times New Roman" w:hAnsi="Times New Roman"/>
          <w:sz w:val="24"/>
        </w:rPr>
        <w:t xml:space="preserve">) Konania o odvolaniach proti rozhodnutiam disciplinárnych senátov, o ktorých odvolací disciplinárny senát nerozhodol do </w:t>
      </w:r>
      <w:r>
        <w:rPr>
          <w:rFonts w:ascii="Times New Roman" w:hAnsi="Times New Roman"/>
          <w:sz w:val="24"/>
        </w:rPr>
        <w:t>29. februára 2020</w:t>
      </w:r>
      <w:r w:rsidRPr="0069576B">
        <w:rPr>
          <w:rFonts w:ascii="Times New Roman" w:hAnsi="Times New Roman"/>
          <w:sz w:val="24"/>
        </w:rPr>
        <w:t>, dokončí Ústavný súd Slovenskej republiky ako konania o opravnom prostriedku proti rozhodnutiu disciplinárneho senátu.</w:t>
      </w:r>
      <w:r w:rsidRPr="0069576B">
        <w:rPr>
          <w:rFonts w:ascii="Times New Roman" w:hAnsi="Times New Roman"/>
          <w:sz w:val="24"/>
          <w:vertAlign w:val="superscript"/>
        </w:rPr>
        <w:t>40</w:t>
      </w:r>
      <w:r w:rsidRPr="0069576B">
        <w:rPr>
          <w:rFonts w:ascii="Times New Roman" w:hAnsi="Times New Roman"/>
          <w:sz w:val="24"/>
        </w:rPr>
        <w:t>)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</w:t>
      </w:r>
      <w:r w:rsidR="00F40BB6">
        <w:rPr>
          <w:rFonts w:ascii="Times New Roman" w:hAnsi="Times New Roman"/>
          <w:sz w:val="24"/>
        </w:rPr>
        <w:t>3</w:t>
      </w:r>
      <w:r w:rsidRPr="0069576B">
        <w:rPr>
          <w:rFonts w:ascii="Times New Roman" w:hAnsi="Times New Roman"/>
          <w:sz w:val="24"/>
        </w:rPr>
        <w:t xml:space="preserve">) Predsedovia odvolacích disciplinárnych senátov najneskôr do 15. </w:t>
      </w:r>
      <w:r>
        <w:rPr>
          <w:rFonts w:ascii="Times New Roman" w:hAnsi="Times New Roman"/>
          <w:sz w:val="24"/>
        </w:rPr>
        <w:t xml:space="preserve">marca </w:t>
      </w:r>
      <w:r w:rsidRPr="0069576B">
        <w:rPr>
          <w:rFonts w:ascii="Times New Roman" w:hAnsi="Times New Roman"/>
          <w:sz w:val="24"/>
        </w:rPr>
        <w:t>2020 postúpia spisy v konaniach uvedených v odseku 2 Ústavnému súdu Slovenskej republiky.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</w:t>
      </w:r>
      <w:r w:rsidR="00F40BB6">
        <w:rPr>
          <w:rFonts w:ascii="Times New Roman" w:hAnsi="Times New Roman"/>
          <w:sz w:val="24"/>
        </w:rPr>
        <w:t>4</w:t>
      </w:r>
      <w:r w:rsidRPr="0069576B">
        <w:rPr>
          <w:rFonts w:ascii="Times New Roman" w:hAnsi="Times New Roman"/>
          <w:sz w:val="24"/>
        </w:rPr>
        <w:t>) V prípadoch neuvedených v odseku 2 vykoná odvolací disciplinárny senát všetky úkony potrebné na ukončenie konania o odvolaní podľa doterajších predpisov.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</w:t>
      </w:r>
      <w:r w:rsidR="00F40BB6">
        <w:rPr>
          <w:rFonts w:ascii="Times New Roman" w:hAnsi="Times New Roman"/>
          <w:sz w:val="24"/>
        </w:rPr>
        <w:t>5</w:t>
      </w:r>
      <w:r w:rsidRPr="0069576B">
        <w:rPr>
          <w:rFonts w:ascii="Times New Roman" w:hAnsi="Times New Roman"/>
          <w:sz w:val="24"/>
        </w:rPr>
        <w:t xml:space="preserve">) Ak k 1. </w:t>
      </w:r>
      <w:r>
        <w:rPr>
          <w:rFonts w:ascii="Times New Roman" w:hAnsi="Times New Roman"/>
          <w:sz w:val="24"/>
        </w:rPr>
        <w:t xml:space="preserve">marcu </w:t>
      </w:r>
      <w:r w:rsidRPr="0069576B">
        <w:rPr>
          <w:rFonts w:ascii="Times New Roman" w:hAnsi="Times New Roman"/>
          <w:sz w:val="24"/>
        </w:rPr>
        <w:t xml:space="preserve">2020 podľa predpisov účinných do </w:t>
      </w:r>
      <w:r>
        <w:rPr>
          <w:rFonts w:ascii="Times New Roman" w:hAnsi="Times New Roman"/>
          <w:sz w:val="24"/>
        </w:rPr>
        <w:t xml:space="preserve">29. februára </w:t>
      </w:r>
      <w:r w:rsidRPr="0069576B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20</w:t>
      </w:r>
      <w:r w:rsidRPr="0069576B">
        <w:rPr>
          <w:rFonts w:ascii="Times New Roman" w:hAnsi="Times New Roman"/>
          <w:sz w:val="24"/>
        </w:rPr>
        <w:t xml:space="preserve"> plynula lehota na podanie odvolania proti rozhodnutiu disciplinárneho senátu vydanému pred 1. </w:t>
      </w:r>
      <w:r>
        <w:rPr>
          <w:rFonts w:ascii="Times New Roman" w:hAnsi="Times New Roman"/>
          <w:sz w:val="24"/>
        </w:rPr>
        <w:t xml:space="preserve">marcom </w:t>
      </w:r>
      <w:r w:rsidRPr="0069576B">
        <w:rPr>
          <w:rFonts w:ascii="Times New Roman" w:hAnsi="Times New Roman"/>
          <w:sz w:val="24"/>
        </w:rPr>
        <w:t xml:space="preserve">2020, nemožno ho po </w:t>
      </w:r>
      <w:r>
        <w:rPr>
          <w:rFonts w:ascii="Times New Roman" w:hAnsi="Times New Roman"/>
          <w:sz w:val="24"/>
        </w:rPr>
        <w:t xml:space="preserve">29. februári </w:t>
      </w:r>
      <w:r w:rsidRPr="0069576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020</w:t>
      </w:r>
      <w:r w:rsidRPr="0069576B">
        <w:rPr>
          <w:rFonts w:ascii="Times New Roman" w:hAnsi="Times New Roman"/>
          <w:sz w:val="24"/>
        </w:rPr>
        <w:t xml:space="preserve"> napadnúť odvolaním, ale len opravným prostriedkom na Ústavný súd Slovenskej republiky za podmienok uvedených v osobitnom predpise.</w:t>
      </w:r>
      <w:r w:rsidRPr="0069576B">
        <w:rPr>
          <w:rFonts w:ascii="Times New Roman" w:hAnsi="Times New Roman"/>
          <w:sz w:val="24"/>
          <w:vertAlign w:val="superscript"/>
        </w:rPr>
        <w:t>40</w:t>
      </w:r>
      <w:r w:rsidRPr="0069576B">
        <w:rPr>
          <w:rFonts w:ascii="Times New Roman" w:hAnsi="Times New Roman"/>
          <w:sz w:val="24"/>
        </w:rPr>
        <w:t xml:space="preserve">) Lehota na podanie opravného prostriedku v týchto prípadoch plynie znova od 1. </w:t>
      </w:r>
      <w:r>
        <w:rPr>
          <w:rFonts w:ascii="Times New Roman" w:hAnsi="Times New Roman"/>
          <w:sz w:val="24"/>
        </w:rPr>
        <w:t>marca</w:t>
      </w:r>
      <w:r w:rsidRPr="0069576B">
        <w:rPr>
          <w:rFonts w:ascii="Times New Roman" w:hAnsi="Times New Roman"/>
          <w:sz w:val="24"/>
        </w:rPr>
        <w:t>2020.“.</w:t>
      </w: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Poznámka pod čiarou k odkazu 40 znie:</w:t>
      </w:r>
    </w:p>
    <w:p w:rsidR="00F40BB6" w:rsidRPr="0069576B" w:rsidRDefault="00F40BB6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„40) § 225b zákona č. 314/2018 Z. z. o Ústavnom súde Slovenskej republiky a o zmene a doplnení niektorých zákonov.“.</w:t>
      </w:r>
    </w:p>
    <w:p w:rsidR="007D47EB" w:rsidRDefault="007D47EB" w:rsidP="007D47EB">
      <w:pPr>
        <w:spacing w:after="0" w:line="240" w:lineRule="auto"/>
      </w:pPr>
    </w:p>
    <w:p w:rsidR="007D47EB" w:rsidRPr="0069576B" w:rsidRDefault="007D47EB" w:rsidP="007D47E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3D218E">
        <w:rPr>
          <w:rFonts w:ascii="Times New Roman" w:hAnsi="Times New Roman"/>
          <w:b/>
          <w:bCs/>
          <w:sz w:val="24"/>
        </w:rPr>
        <w:t xml:space="preserve">Čl. </w:t>
      </w:r>
      <w:r>
        <w:rPr>
          <w:rFonts w:ascii="Times New Roman" w:hAnsi="Times New Roman"/>
          <w:b/>
          <w:bCs/>
          <w:sz w:val="24"/>
        </w:rPr>
        <w:t>II</w:t>
      </w: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Zákon č. 314/2018 Z. z. o Ústavnom súde Slovenskej republiky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Pr="0069576B">
        <w:rPr>
          <w:rFonts w:ascii="Times New Roman" w:hAnsi="Times New Roman"/>
          <w:sz w:val="24"/>
        </w:rPr>
        <w:t>sa mení a dopĺňa takto: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1. V § 7 ods. 1 písm. a) sa slová „ods. 2 až 7“ nahrádzajú slovami „ods. 2 až 8“.</w:t>
      </w: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2. V § 27 ods. 3 sa slová „najmenej tri pätiny poslancov národnej rady“ nahrádzajú slovami „prezident alebo najmenej pätina poslancov národnej rady“.</w:t>
      </w: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3. § 42 ods. 2 sa dopĺňa písmenom x), ktoré znie:</w:t>
      </w:r>
    </w:p>
    <w:p w:rsidR="007D47EB" w:rsidRPr="0069576B" w:rsidRDefault="007D47EB" w:rsidP="007D47E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„x) opravný prostriedok proti nečinnosti alebo rozhodnutiu disciplinárneho senátu pre sudcov podľa čl. 129 ods. 8 ústavy.“.</w:t>
      </w: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4. § 221 znie:</w:t>
      </w:r>
    </w:p>
    <w:p w:rsidR="007D47EB" w:rsidRPr="003D218E" w:rsidRDefault="007D47EB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69576B">
        <w:rPr>
          <w:rFonts w:ascii="Times New Roman" w:hAnsi="Times New Roman"/>
          <w:sz w:val="24"/>
        </w:rPr>
        <w:t>„</w:t>
      </w:r>
      <w:r w:rsidRPr="003D218E">
        <w:rPr>
          <w:rFonts w:ascii="Times New Roman" w:hAnsi="Times New Roman"/>
          <w:b/>
          <w:bCs/>
          <w:sz w:val="24"/>
        </w:rPr>
        <w:t>§ 221</w:t>
      </w:r>
    </w:p>
    <w:p w:rsidR="007D47EB" w:rsidRPr="003D218E" w:rsidRDefault="007D47EB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3D218E">
        <w:rPr>
          <w:rFonts w:ascii="Times New Roman" w:hAnsi="Times New Roman"/>
          <w:b/>
          <w:bCs/>
          <w:sz w:val="24"/>
        </w:rPr>
        <w:t>Procesná legitimácia na podanie návrhu</w:t>
      </w:r>
    </w:p>
    <w:p w:rsidR="007D47EB" w:rsidRPr="0069576B" w:rsidRDefault="007D47EB" w:rsidP="007D47E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Návrh na začatie disciplinárneho konania podľa čl. 136 ods. 2 ústavy proti predsedovi najvyššieho súdu, podpredsedovi najvyššieho súdu a generálnemu prokurátorovi môžu podať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a) prezident,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b) najmenej pätina poslancov národnej rady,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c) minister spravodlivosti Slovenskej republiky,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d) predseda súdnej rady,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e) verejný ochranca práv.“.</w:t>
      </w: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5. V dvadsiatej hlave piatej časti sa za prvý diel vkladá nový druhý diel a § 225a až 225e, ktoré vrátane nadpisu druhého dielu znejú:</w:t>
      </w: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Pr="003D218E" w:rsidRDefault="007D47EB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69576B">
        <w:rPr>
          <w:rFonts w:ascii="Times New Roman" w:hAnsi="Times New Roman"/>
          <w:sz w:val="24"/>
        </w:rPr>
        <w:lastRenderedPageBreak/>
        <w:t>„</w:t>
      </w:r>
      <w:r w:rsidRPr="003D218E">
        <w:rPr>
          <w:rFonts w:ascii="Times New Roman" w:hAnsi="Times New Roman"/>
          <w:b/>
          <w:bCs/>
          <w:sz w:val="24"/>
        </w:rPr>
        <w:t>Druhý diel</w:t>
      </w:r>
    </w:p>
    <w:p w:rsidR="007D47EB" w:rsidRPr="0069576B" w:rsidRDefault="007D47EB" w:rsidP="007D47E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D218E">
        <w:rPr>
          <w:rFonts w:ascii="Times New Roman" w:hAnsi="Times New Roman"/>
          <w:b/>
          <w:bCs/>
          <w:sz w:val="24"/>
        </w:rPr>
        <w:t>Opravný prostriedok proti nečin</w:t>
      </w:r>
      <w:r w:rsidRPr="0069576B">
        <w:rPr>
          <w:rFonts w:ascii="Times New Roman" w:hAnsi="Times New Roman"/>
          <w:b/>
          <w:sz w:val="24"/>
        </w:rPr>
        <w:t>nosti a rozhodnutiu disciplinárneho senátu</w:t>
      </w:r>
    </w:p>
    <w:p w:rsidR="007D47EB" w:rsidRPr="0069576B" w:rsidRDefault="007D47EB" w:rsidP="007D47E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D47EB" w:rsidRPr="003D218E" w:rsidRDefault="007D47EB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3D218E">
        <w:rPr>
          <w:rFonts w:ascii="Times New Roman" w:hAnsi="Times New Roman"/>
          <w:b/>
          <w:bCs/>
          <w:sz w:val="24"/>
        </w:rPr>
        <w:t>§ 225a</w:t>
      </w:r>
    </w:p>
    <w:p w:rsidR="007D47EB" w:rsidRPr="003D218E" w:rsidRDefault="007D47EB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3D218E">
        <w:rPr>
          <w:rFonts w:ascii="Times New Roman" w:hAnsi="Times New Roman"/>
          <w:b/>
          <w:bCs/>
          <w:sz w:val="24"/>
        </w:rPr>
        <w:t>Opravný prostriedok proti nečinnosti disciplinárneho senátu</w:t>
      </w:r>
    </w:p>
    <w:p w:rsidR="007D47EB" w:rsidRPr="0069576B" w:rsidRDefault="007D47EB" w:rsidP="007D47E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(1) Ak je predpoklad, že v disciplinárnom konaní proti sudcovi</w:t>
      </w:r>
      <w:r w:rsidRPr="0069576B">
        <w:rPr>
          <w:rFonts w:ascii="Times New Roman" w:hAnsi="Times New Roman"/>
          <w:sz w:val="24"/>
          <w:vertAlign w:val="superscript"/>
        </w:rPr>
        <w:t>11</w:t>
      </w:r>
      <w:r w:rsidRPr="0069576B">
        <w:rPr>
          <w:rFonts w:ascii="Times New Roman" w:hAnsi="Times New Roman"/>
          <w:sz w:val="24"/>
        </w:rPr>
        <w:t>) došlo k prieťahom, môže ten, kto podal disciplinárny návrh, ako aj sudca, proti ktorému sa disciplinárne konanie vedie, podať ústavnému súdu opravný prostriedok proti nečinnosti disciplinárneho senátu.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 xml:space="preserve">(2) Opravný prostriedok proti odseku 1 možno podať, len pokiaľ sa disciplinárne konanie ešte neskončilo, a len ak ten, kto ho podáva, najskôr podal predsedovi disciplinárneho senátu upozornenie na prieťahy a od jeho podania uplynuli aspoň </w:t>
      </w:r>
      <w:r>
        <w:rPr>
          <w:rFonts w:ascii="Times New Roman" w:hAnsi="Times New Roman"/>
          <w:sz w:val="24"/>
        </w:rPr>
        <w:t>dva</w:t>
      </w:r>
      <w:r w:rsidRPr="0069576B">
        <w:rPr>
          <w:rFonts w:ascii="Times New Roman" w:hAnsi="Times New Roman"/>
          <w:sz w:val="24"/>
        </w:rPr>
        <w:t xml:space="preserve"> mesiace.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(3) K opravnému prostriedku proti nečinnosti treba pripojiť dôkaz o podaní upozornenia podľa odseku 2.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 xml:space="preserve">(4) Opravný prostriedok proti nečinnosti </w:t>
      </w:r>
      <w:r>
        <w:rPr>
          <w:rFonts w:ascii="Times New Roman" w:hAnsi="Times New Roman"/>
          <w:sz w:val="24"/>
        </w:rPr>
        <w:t xml:space="preserve">disciplinárneho senátu </w:t>
      </w:r>
      <w:r w:rsidRPr="0069576B">
        <w:rPr>
          <w:rFonts w:ascii="Times New Roman" w:hAnsi="Times New Roman"/>
          <w:sz w:val="24"/>
        </w:rPr>
        <w:t xml:space="preserve">sa predbežne neprerokúva, ale sa bezodkladne doručí </w:t>
      </w:r>
      <w:r>
        <w:rPr>
          <w:rFonts w:ascii="Times New Roman" w:hAnsi="Times New Roman"/>
          <w:sz w:val="24"/>
        </w:rPr>
        <w:t xml:space="preserve">jeho </w:t>
      </w:r>
      <w:r w:rsidRPr="0069576B">
        <w:rPr>
          <w:rFonts w:ascii="Times New Roman" w:hAnsi="Times New Roman"/>
          <w:sz w:val="24"/>
        </w:rPr>
        <w:t>predsedovi. Predseda disciplinárneho senátu bezodkladne, najneskôr do piatich dní predloží ústavnému súdu spisy disciplinárneho konania so svojím stanoviskom.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 xml:space="preserve">(5) Ústavný súd rozhodne o opravnom prostriedku proti nečinnosti bezodkladne uznesením bez ústneho pojednávania. Ústavný súd opravný prostriedok proti nečinnosti odmietne, ak sú tu dôvody uvedené v § 56 ods. 2. Ak </w:t>
      </w:r>
      <w:r>
        <w:rPr>
          <w:rFonts w:ascii="Times New Roman" w:hAnsi="Times New Roman"/>
          <w:sz w:val="24"/>
        </w:rPr>
        <w:t>také</w:t>
      </w:r>
      <w:r w:rsidRPr="0069576B">
        <w:rPr>
          <w:rFonts w:ascii="Times New Roman" w:hAnsi="Times New Roman"/>
          <w:sz w:val="24"/>
        </w:rPr>
        <w:t xml:space="preserve"> dôvody nie sú a ústavný súd zistí, že opravný prostriedok je opodstatnený, určí disciplinárnemu senátu lehotu na vykonanie úkonov, prípadne rozhodnutie vo veci; inak opravnému prostriedku nevyhovie.</w:t>
      </w: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Pr="003D218E" w:rsidRDefault="007D47EB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3D218E">
        <w:rPr>
          <w:rFonts w:ascii="Times New Roman" w:hAnsi="Times New Roman"/>
          <w:b/>
          <w:bCs/>
          <w:sz w:val="24"/>
        </w:rPr>
        <w:t>Opravný prostriedok proti rozhodnutiu disciplinárneho senátu</w:t>
      </w:r>
    </w:p>
    <w:p w:rsidR="007D47EB" w:rsidRPr="0069576B" w:rsidRDefault="007D47EB" w:rsidP="007D47E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3D218E">
        <w:rPr>
          <w:rFonts w:ascii="Times New Roman" w:hAnsi="Times New Roman"/>
          <w:b/>
          <w:bCs/>
          <w:sz w:val="24"/>
        </w:rPr>
        <w:t>§ 225b</w:t>
      </w: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(1) Opravný prostriedok možno podať proti rozhodnutiu disciplinárneho senátu v disciplinárnom konaní pre sudcov o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a) návrhu na dočasné pozastavenie výkonu funkcie sudcu,</w:t>
      </w:r>
      <w:r w:rsidRPr="0069576B">
        <w:rPr>
          <w:rFonts w:ascii="Times New Roman" w:hAnsi="Times New Roman"/>
          <w:sz w:val="24"/>
          <w:vertAlign w:val="superscript"/>
        </w:rPr>
        <w:t>12</w:t>
      </w:r>
      <w:r w:rsidRPr="0069576B">
        <w:rPr>
          <w:rFonts w:ascii="Times New Roman" w:hAnsi="Times New Roman"/>
          <w:sz w:val="24"/>
        </w:rPr>
        <w:t>)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b) zrušení dočasného pozastavenia výkonu funkcie sudcu,</w:t>
      </w:r>
      <w:r w:rsidRPr="0069576B">
        <w:rPr>
          <w:rFonts w:ascii="Times New Roman" w:hAnsi="Times New Roman"/>
          <w:sz w:val="24"/>
          <w:vertAlign w:val="superscript"/>
        </w:rPr>
        <w:t>13</w:t>
      </w:r>
      <w:r w:rsidRPr="0069576B">
        <w:rPr>
          <w:rFonts w:ascii="Times New Roman" w:hAnsi="Times New Roman"/>
          <w:sz w:val="24"/>
        </w:rPr>
        <w:t>)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c) zastavení disciplinárneho konania,</w:t>
      </w:r>
      <w:r w:rsidRPr="0069576B">
        <w:rPr>
          <w:rFonts w:ascii="Times New Roman" w:hAnsi="Times New Roman"/>
          <w:sz w:val="24"/>
          <w:vertAlign w:val="superscript"/>
        </w:rPr>
        <w:t>14</w:t>
      </w:r>
      <w:r w:rsidRPr="0069576B">
        <w:rPr>
          <w:rFonts w:ascii="Times New Roman" w:hAnsi="Times New Roman"/>
          <w:sz w:val="24"/>
        </w:rPr>
        <w:t xml:space="preserve">) 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d) disciplinárnom previnení.</w:t>
      </w:r>
      <w:r w:rsidRPr="0069576B">
        <w:rPr>
          <w:rFonts w:ascii="Times New Roman" w:hAnsi="Times New Roman"/>
          <w:sz w:val="24"/>
          <w:vertAlign w:val="superscript"/>
        </w:rPr>
        <w:t>15</w:t>
      </w:r>
      <w:r w:rsidRPr="0069576B">
        <w:rPr>
          <w:rFonts w:ascii="Times New Roman" w:hAnsi="Times New Roman"/>
          <w:sz w:val="24"/>
        </w:rPr>
        <w:t>)</w:t>
      </w:r>
    </w:p>
    <w:p w:rsidR="007D47E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(2) Opravný prostriedok proti rozhodnutiam podľa odseku 1 môže podať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a) ten, kto podal návrh na začatie disciplinárneho konania proti sudcovi alebo návrh na dočasné pozastavenie výkonu funkcie sudcu, a to len v neprospech sudcu,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b) sudca, proti ktorému sa vedie disciplinárne konanie, len vo svoj prospech,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c) minister spravodlivosti Slovenskej republiky, generálny prokurátor a verejný ochrana práv, ak nie sú navrhovateľom [písmeno a)], a to tak v prospech, ako aj v neprospech sudcu.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</w:p>
    <w:p w:rsidR="007D47EB" w:rsidRPr="003D218E" w:rsidRDefault="007D47EB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3D218E">
        <w:rPr>
          <w:rFonts w:ascii="Times New Roman" w:hAnsi="Times New Roman"/>
          <w:b/>
          <w:bCs/>
          <w:sz w:val="24"/>
        </w:rPr>
        <w:t>§ 225c</w:t>
      </w: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 xml:space="preserve">(1) Opravný prostriedok proti rozhodnutiam podľa § 225b ods. 1 písm. a) až c) možno podať do troch dní od doručenia rozhodnutia disciplinárneho senátu. Opravný prostriedok proti </w:t>
      </w:r>
      <w:r w:rsidRPr="0069576B">
        <w:rPr>
          <w:rFonts w:ascii="Times New Roman" w:hAnsi="Times New Roman"/>
          <w:sz w:val="24"/>
        </w:rPr>
        <w:lastRenderedPageBreak/>
        <w:t>rozhodnutiam podľa § 225b ods. 1 písm. d) možno podať do 15 dní od doručenia rozhodnutia disciplinárneho senátu.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(2) Osobám uvedeným v § 225b ods. 2 písm. c) plynie lehota od toho doručenia, ktoré bolo vykonané najneskôr. Tieto osoby musia v opravnom prostriedku zreteľne uviesť, či ho podávajú v prospech alebo v neprospech sudcu; ak tak neurobia, platí, že je podaný len v prospech sudcu.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(3) Účastníkmi konania o opravnom prostriedku proti rozhodnutiu disciplinárneho senátu je ten, kto opravný prostriedok podal, a osoby uvedené v § 225b ods. 2 písm. a) a b)</w:t>
      </w:r>
      <w:r>
        <w:rPr>
          <w:rFonts w:ascii="Times New Roman" w:hAnsi="Times New Roman"/>
          <w:sz w:val="24"/>
        </w:rPr>
        <w:t>, a to</w:t>
      </w:r>
      <w:r w:rsidRPr="0069576B">
        <w:rPr>
          <w:rFonts w:ascii="Times New Roman" w:hAnsi="Times New Roman"/>
          <w:sz w:val="24"/>
        </w:rPr>
        <w:t xml:space="preserve"> aj ak ho nepodali</w:t>
      </w:r>
      <w:r>
        <w:rPr>
          <w:rFonts w:ascii="Times New Roman" w:hAnsi="Times New Roman"/>
          <w:sz w:val="24"/>
        </w:rPr>
        <w:t xml:space="preserve">; </w:t>
      </w:r>
      <w:r w:rsidRPr="0069576B">
        <w:rPr>
          <w:rFonts w:ascii="Times New Roman" w:hAnsi="Times New Roman"/>
          <w:sz w:val="24"/>
        </w:rPr>
        <w:t>účastníkom konania</w:t>
      </w:r>
      <w:r>
        <w:rPr>
          <w:rFonts w:ascii="Times New Roman" w:hAnsi="Times New Roman"/>
          <w:sz w:val="24"/>
        </w:rPr>
        <w:t xml:space="preserve"> nie je d</w:t>
      </w:r>
      <w:r w:rsidRPr="0069576B">
        <w:rPr>
          <w:rFonts w:ascii="Times New Roman" w:hAnsi="Times New Roman"/>
          <w:sz w:val="24"/>
        </w:rPr>
        <w:t>isciplinárny senát.</w:t>
      </w: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Pr="003D218E" w:rsidRDefault="007D47EB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3D218E">
        <w:rPr>
          <w:rFonts w:ascii="Times New Roman" w:hAnsi="Times New Roman"/>
          <w:b/>
          <w:bCs/>
          <w:sz w:val="24"/>
        </w:rPr>
        <w:t>§ 225d</w:t>
      </w:r>
    </w:p>
    <w:p w:rsidR="007D47EB" w:rsidRPr="0069576B" w:rsidRDefault="007D47EB" w:rsidP="007D47E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(1) Opravný prostriedok proti rozhodnutiu disciplinárneho senátu sa predbežne neprerokúva.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(2) Ústavný súd doručí opravný prostriedok proti rozhodnutiu disciplinárneho senátu ostatným účastníkom konania a vyzve ich na vyjadrenie k nemu v lehote, ktorú určí. Vyjadrenia doručí na vedomie tomu, kto opravný prostriedok podal.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(3) Ústavný súd vyžiada spisy disciplinárneho senátu, ktorý je povinný ich bezodkladne predložiť. Ak je to potrebné, ústavný súd vykoná dokazovanie potrebné na rozhodnutie o opravnom prostriedku, v súlade s § 60.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(4) Ústavný súd rozhoduje o opravnom prostriedku proti rozhodnutiu disciplinárneho senátu podľa § 225b ods. 1 písm. a) až c) uznesením bez ústneho pojednávania. V prípadoch § 225b ods. 1 písm. a) a b) rozhodne bezodkladne, najneskôr do jedného mesiaca od jeho podania.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 xml:space="preserve">(5) O opravnom prostriedku proti rozhodnutiu disciplinárneho senátu podľa § 225b ods. 1 písm. d) rozhoduje ústavný súd </w:t>
      </w:r>
    </w:p>
    <w:p w:rsidR="007D47EB" w:rsidRDefault="007D47EB" w:rsidP="007D47EB">
      <w:pPr>
        <w:pStyle w:val="Odsekzoznamu"/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  <w:r w:rsidRPr="009855AF">
        <w:rPr>
          <w:rFonts w:ascii="Times New Roman" w:hAnsi="Times New Roman"/>
          <w:sz w:val="24"/>
        </w:rPr>
        <w:t>po verejnom ústnom pojednávaní v prípadoch, v ktorých podľa Trestného poriadku odvolací súd rozhoduje o odvolaní po verejnom zasadnutí; inak môže rozhodnúť aj bez ústneho pojednávania,</w:t>
      </w:r>
    </w:p>
    <w:p w:rsidR="007D47EB" w:rsidRPr="009855AF" w:rsidRDefault="007D47EB" w:rsidP="007D47EB">
      <w:pPr>
        <w:pStyle w:val="Odsekzoznamu"/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</w:rPr>
      </w:pPr>
      <w:r w:rsidRPr="009855AF">
        <w:rPr>
          <w:rFonts w:ascii="Times New Roman" w:hAnsi="Times New Roman"/>
          <w:sz w:val="24"/>
        </w:rPr>
        <w:t>nálezom, ak opravnému prostriedku proti rozhodnutiu disciplinárneho senátu vyhovuje alebo nevyhovuje; inak rozhoduje uznesením.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 xml:space="preserve">(6) Ak ústavný súd vyhovie opravnému prostriedku proti rozhodnutiu disciplinárneho senátu, môže toto rozhodnutie zmeniť a sám rozhodnúť tak, ako mal rozhodnúť disciplinárny senát, alebo ho zrušiť a prikázať disciplinárnemu senátu, aby vo veci znova rozhodol. </w:t>
      </w:r>
    </w:p>
    <w:p w:rsidR="00F40BB6" w:rsidRDefault="00F40BB6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:rsidR="007D47EB" w:rsidRPr="003D218E" w:rsidRDefault="007D47EB" w:rsidP="007D47EB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3D218E">
        <w:rPr>
          <w:rFonts w:ascii="Times New Roman" w:hAnsi="Times New Roman"/>
          <w:b/>
          <w:bCs/>
          <w:sz w:val="24"/>
        </w:rPr>
        <w:t>§ 225e</w:t>
      </w: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(1) Na konanie o opravnom prostriedku proti rozhodnutiu disciplinárneho senátu sa primerane použijú ustanovenia osobitného predpisu o disciplinárnom konaní proti sudcom,</w:t>
      </w:r>
      <w:r w:rsidRPr="0069576B">
        <w:rPr>
          <w:rFonts w:ascii="Times New Roman" w:hAnsi="Times New Roman"/>
          <w:sz w:val="24"/>
          <w:vertAlign w:val="superscript"/>
        </w:rPr>
        <w:t>11</w:t>
      </w:r>
      <w:r w:rsidRPr="0069576B">
        <w:rPr>
          <w:rFonts w:ascii="Times New Roman" w:hAnsi="Times New Roman"/>
          <w:sz w:val="24"/>
        </w:rPr>
        <w:t>) a to vrátane tých častí Trestného poriadku, ktoré sa majú použiť podľa tohto osobitného predpisu.</w:t>
      </w:r>
      <w:r w:rsidRPr="0069576B">
        <w:rPr>
          <w:rFonts w:ascii="Times New Roman" w:hAnsi="Times New Roman"/>
          <w:sz w:val="24"/>
          <w:vertAlign w:val="superscript"/>
        </w:rPr>
        <w:t>16</w:t>
      </w:r>
      <w:r w:rsidRPr="0069576B">
        <w:rPr>
          <w:rFonts w:ascii="Times New Roman" w:hAnsi="Times New Roman"/>
          <w:sz w:val="24"/>
        </w:rPr>
        <w:t>)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 xml:space="preserve">(2) Ak tento zákon neustanovuje inak, použije sa na konanie o opravnom prostriedku proti rozhodnutiu disciplinárneho senátu podľa § 225b ods. 1 písm. a) až c) aj primerane ustanovenia </w:t>
      </w:r>
      <w:r w:rsidRPr="0069576B">
        <w:rPr>
          <w:rFonts w:ascii="Times New Roman" w:hAnsi="Times New Roman"/>
          <w:sz w:val="24"/>
        </w:rPr>
        <w:lastRenderedPageBreak/>
        <w:t>Trestného poriadku o konaní o sťažnosti proti uzneseniu súdu a na konanie o opravnom prostriedku proti rozhodnutiu disciplinárneho senátu podľa § 225b ods. 1 písm. d) aj primerane ustanovenia Trestného poriadku o odvolacom konaní.</w:t>
      </w:r>
    </w:p>
    <w:p w:rsidR="007D47E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(3) Ak ústavný súd zmení rozhodnutie disciplinárneho senátu, má jeho rozhodnutie tie isté účinky ako keby rozhodol disciplinárny senát.“.</w:t>
      </w: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Poznámky pod čiarou k odkazom 11 až 16 znejú:</w:t>
      </w: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„11) § 120 až 131 zákona č. 385/2000 Z. z. v znení neskorších predpisov.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12) § 22 ods. 1 a 2 zákona č. 385/2000 Z. z. v znení neskorších predpisov.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13) § 22 ods. 4 zákona č. 385/2000 Z. z. v znení neskorších predpisov.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14) § 124 zákona č. 385/2000 Z. z. v znení neskorších predpisov.</w:t>
      </w:r>
    </w:p>
    <w:p w:rsidR="007D47EB" w:rsidRPr="0069576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15) § 129 zákona č. 385/2000 Z. z. v znení neskorších predpisov.</w:t>
      </w:r>
    </w:p>
    <w:p w:rsidR="007D47EB" w:rsidRDefault="007D47EB" w:rsidP="007D47EB">
      <w:pPr>
        <w:spacing w:after="0" w:line="240" w:lineRule="auto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16) § 150 ods. 2 zákona č. 385/2000 Z. z. v znení neskorších predpisov.“.</w:t>
      </w:r>
    </w:p>
    <w:p w:rsidR="00F40BB6" w:rsidRPr="0069576B" w:rsidRDefault="00F40BB6" w:rsidP="007D47EB">
      <w:pPr>
        <w:spacing w:after="0" w:line="240" w:lineRule="auto"/>
        <w:rPr>
          <w:rFonts w:ascii="Times New Roman" w:hAnsi="Times New Roman"/>
          <w:sz w:val="24"/>
        </w:rPr>
      </w:pPr>
    </w:p>
    <w:p w:rsidR="007D47E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Doterajší druhý diel dvadsiatej hlavy sa označuje ako tretí diel.</w:t>
      </w:r>
    </w:p>
    <w:p w:rsidR="007D47EB" w:rsidRPr="0069576B" w:rsidRDefault="007D47EB" w:rsidP="007D47EB">
      <w:pPr>
        <w:spacing w:after="0" w:line="240" w:lineRule="auto"/>
        <w:ind w:firstLine="540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ind w:firstLine="540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6. Za § 250 sa vkladá § 250a, ktorý znie:</w:t>
      </w:r>
    </w:p>
    <w:p w:rsidR="007D47EB" w:rsidRPr="00115B8A" w:rsidRDefault="007D47EB" w:rsidP="007D47EB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69576B">
        <w:rPr>
          <w:rFonts w:ascii="Times New Roman" w:hAnsi="Times New Roman"/>
          <w:sz w:val="24"/>
        </w:rPr>
        <w:t>„</w:t>
      </w:r>
      <w:r w:rsidRPr="00115B8A">
        <w:rPr>
          <w:rFonts w:ascii="Times New Roman" w:hAnsi="Times New Roman"/>
          <w:b/>
          <w:bCs/>
          <w:sz w:val="24"/>
        </w:rPr>
        <w:t>§ 250a</w:t>
      </w:r>
    </w:p>
    <w:p w:rsidR="007D47EB" w:rsidRDefault="007D47EB" w:rsidP="007D47EB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115B8A">
        <w:rPr>
          <w:rFonts w:ascii="Times New Roman" w:hAnsi="Times New Roman"/>
          <w:b/>
          <w:bCs/>
          <w:sz w:val="24"/>
        </w:rPr>
        <w:t xml:space="preserve">Prechodné ustanovenia účinné k úpravám od 1. </w:t>
      </w:r>
      <w:r>
        <w:rPr>
          <w:rFonts w:ascii="Times New Roman" w:hAnsi="Times New Roman"/>
          <w:b/>
          <w:bCs/>
          <w:sz w:val="24"/>
        </w:rPr>
        <w:t xml:space="preserve">januára </w:t>
      </w:r>
      <w:r w:rsidRPr="00115B8A">
        <w:rPr>
          <w:rFonts w:ascii="Times New Roman" w:hAnsi="Times New Roman"/>
          <w:b/>
          <w:bCs/>
          <w:sz w:val="24"/>
        </w:rPr>
        <w:t>2020</w:t>
      </w:r>
    </w:p>
    <w:p w:rsidR="007D47EB" w:rsidRPr="00115B8A" w:rsidRDefault="007D47EB" w:rsidP="007D47E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7D47EB" w:rsidRPr="0069576B" w:rsidRDefault="007D47EB" w:rsidP="007D47EB">
      <w:pPr>
        <w:spacing w:after="0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 xml:space="preserve">(1) Konania o odvolaniach proti rozhodnutiam disciplinárnych senátov, o ktorých nerozhodol do 31. </w:t>
      </w:r>
      <w:r>
        <w:rPr>
          <w:rFonts w:ascii="Times New Roman" w:hAnsi="Times New Roman"/>
          <w:sz w:val="24"/>
        </w:rPr>
        <w:t xml:space="preserve">decembra </w:t>
      </w:r>
      <w:r w:rsidRPr="0069576B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19</w:t>
      </w:r>
      <w:r w:rsidRPr="0069576B">
        <w:rPr>
          <w:rFonts w:ascii="Times New Roman" w:hAnsi="Times New Roman"/>
          <w:sz w:val="24"/>
        </w:rPr>
        <w:t xml:space="preserve"> odvolací disciplinárny senát, dokončí Ústavný súd Slovenskej republiky ako konania o opravnom prostriedku proti rozhodnutiu disciplinárneho senátu (§ 225b).</w:t>
      </w:r>
    </w:p>
    <w:p w:rsidR="00F40BB6" w:rsidRDefault="00F40BB6" w:rsidP="007D47EB">
      <w:pPr>
        <w:spacing w:after="0"/>
        <w:ind w:firstLine="540"/>
        <w:jc w:val="both"/>
        <w:rPr>
          <w:rFonts w:ascii="Times New Roman" w:hAnsi="Times New Roman"/>
          <w:sz w:val="24"/>
        </w:rPr>
      </w:pPr>
    </w:p>
    <w:p w:rsidR="007D47EB" w:rsidRPr="0069576B" w:rsidRDefault="007D47EB" w:rsidP="007D47EB">
      <w:pPr>
        <w:spacing w:after="0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(2) V konaniach podľa odseku 1 platí:</w:t>
      </w:r>
    </w:p>
    <w:p w:rsidR="007D47EB" w:rsidRPr="0069576B" w:rsidRDefault="007D47EB" w:rsidP="007D47EB">
      <w:pPr>
        <w:spacing w:after="0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a) odvolanie proti rozhodnutiu disciplinárneho senátu sa považuje za opravný prostriedok podľa § 225b, pričom jeho prípustnosť a včasnosť sa posudzuje podľa predpisov účinných v čase jeho podania,</w:t>
      </w:r>
    </w:p>
    <w:p w:rsidR="007D47EB" w:rsidRPr="0069576B" w:rsidRDefault="007D47EB" w:rsidP="007D47EB">
      <w:pPr>
        <w:spacing w:after="0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>b) konanie o opravnom prostriedku sa považuje za začaté dňom začatia konania o odvolaní proti rozhodnutiu disciplinárneho senátu,</w:t>
      </w:r>
    </w:p>
    <w:p w:rsidR="007D47EB" w:rsidRPr="0069576B" w:rsidRDefault="007D47EB" w:rsidP="007D47EB">
      <w:pPr>
        <w:spacing w:after="0"/>
        <w:ind w:firstLine="540"/>
        <w:jc w:val="both"/>
        <w:rPr>
          <w:rFonts w:ascii="Times New Roman" w:hAnsi="Times New Roman"/>
          <w:sz w:val="24"/>
        </w:rPr>
      </w:pPr>
      <w:r w:rsidRPr="0069576B">
        <w:rPr>
          <w:rFonts w:ascii="Times New Roman" w:hAnsi="Times New Roman"/>
          <w:sz w:val="24"/>
        </w:rPr>
        <w:t xml:space="preserve">c) úkony vykonané odvolacím disciplinárnym senátom pred 1. </w:t>
      </w:r>
      <w:r>
        <w:rPr>
          <w:rFonts w:ascii="Times New Roman" w:hAnsi="Times New Roman"/>
          <w:sz w:val="24"/>
        </w:rPr>
        <w:t xml:space="preserve">januárom </w:t>
      </w:r>
      <w:r w:rsidRPr="0069576B">
        <w:rPr>
          <w:rFonts w:ascii="Times New Roman" w:hAnsi="Times New Roman"/>
          <w:sz w:val="24"/>
        </w:rPr>
        <w:t xml:space="preserve">2020 v súlade s predpismi účinným pred týmto dňom sa posudzujú tak, ako by boli vykonané ústavným súdom v konaní o opravnom prostriedku proti rozhodnutiu disciplinárneho súdu a nie je potrebné ich opakovať len preto, že sa zmenilo zloženie orgánu, ktorý o odvolaní rozhoduje; ak však tento zákon ustanovuje, že o opravnom prostriedku sa môže rozhodnúť len po verejnom ústnom pojednávaní, nepostačuje, že verejné pojednávanie vykonal odvolací disciplinárny senát podľa predpisov účinných pred 1. </w:t>
      </w:r>
      <w:r>
        <w:rPr>
          <w:rFonts w:ascii="Times New Roman" w:hAnsi="Times New Roman"/>
          <w:sz w:val="24"/>
        </w:rPr>
        <w:t xml:space="preserve">januárom </w:t>
      </w:r>
      <w:r w:rsidRPr="0069576B">
        <w:rPr>
          <w:rFonts w:ascii="Times New Roman" w:hAnsi="Times New Roman"/>
          <w:sz w:val="24"/>
        </w:rPr>
        <w:t>2020.“.</w:t>
      </w:r>
    </w:p>
    <w:p w:rsidR="009C4738" w:rsidRDefault="009C4738" w:rsidP="007D47EB">
      <w:pPr>
        <w:spacing w:after="120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D47EB" w:rsidRPr="00142053" w:rsidRDefault="007D47EB" w:rsidP="007D47EB">
      <w:pPr>
        <w:spacing w:after="12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42053">
        <w:rPr>
          <w:rFonts w:ascii="Times New Roman" w:hAnsi="Times New Roman"/>
          <w:b/>
          <w:sz w:val="24"/>
          <w:szCs w:val="24"/>
        </w:rPr>
        <w:t>K Čl. III</w:t>
      </w:r>
    </w:p>
    <w:p w:rsidR="007F106A" w:rsidRDefault="009C4738" w:rsidP="00E073A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7F106A">
        <w:rPr>
          <w:rFonts w:ascii="Times New Roman" w:hAnsi="Times New Roman"/>
          <w:sz w:val="24"/>
          <w:szCs w:val="24"/>
        </w:rPr>
        <w:t xml:space="preserve">ento zákon nadobúda účinnosť 1. </w:t>
      </w:r>
      <w:r w:rsidR="00E36A45">
        <w:rPr>
          <w:rFonts w:ascii="Times New Roman" w:hAnsi="Times New Roman"/>
          <w:sz w:val="24"/>
          <w:szCs w:val="24"/>
        </w:rPr>
        <w:t>marca</w:t>
      </w:r>
      <w:r w:rsidR="007F106A">
        <w:rPr>
          <w:rFonts w:ascii="Times New Roman" w:hAnsi="Times New Roman"/>
          <w:sz w:val="24"/>
          <w:szCs w:val="24"/>
        </w:rPr>
        <w:t xml:space="preserve"> 2020.</w:t>
      </w:r>
    </w:p>
    <w:sectPr w:rsidR="007F106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F8" w:rsidRDefault="00B71BF8" w:rsidP="00E03969">
      <w:pPr>
        <w:spacing w:after="0" w:line="240" w:lineRule="auto"/>
      </w:pPr>
      <w:r>
        <w:separator/>
      </w:r>
    </w:p>
  </w:endnote>
  <w:endnote w:type="continuationSeparator" w:id="0">
    <w:p w:rsidR="00B71BF8" w:rsidRDefault="00B71BF8" w:rsidP="00E03969">
      <w:pPr>
        <w:spacing w:after="0" w:line="240" w:lineRule="auto"/>
      </w:pPr>
      <w:r>
        <w:continuationSeparator/>
      </w:r>
    </w:p>
  </w:endnote>
  <w:endnote w:type="continuationNotice" w:id="1">
    <w:p w:rsidR="00B71BF8" w:rsidRDefault="00B71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1A1" w:rsidRPr="00E03969" w:rsidRDefault="00EA01A1" w:rsidP="00E03969">
    <w:pPr>
      <w:pStyle w:val="Pta"/>
      <w:spacing w:after="0" w:line="240" w:lineRule="atLeast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F8" w:rsidRDefault="00B71BF8" w:rsidP="00E03969">
      <w:pPr>
        <w:spacing w:after="0" w:line="240" w:lineRule="auto"/>
      </w:pPr>
      <w:r>
        <w:separator/>
      </w:r>
    </w:p>
  </w:footnote>
  <w:footnote w:type="continuationSeparator" w:id="0">
    <w:p w:rsidR="00B71BF8" w:rsidRDefault="00B71BF8" w:rsidP="00E03969">
      <w:pPr>
        <w:spacing w:after="0" w:line="240" w:lineRule="auto"/>
      </w:pPr>
      <w:r>
        <w:continuationSeparator/>
      </w:r>
    </w:p>
  </w:footnote>
  <w:footnote w:type="continuationNotice" w:id="1">
    <w:p w:rsidR="00B71BF8" w:rsidRDefault="00B71B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81B"/>
    <w:multiLevelType w:val="hybridMultilevel"/>
    <w:tmpl w:val="5444436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3E6"/>
    <w:multiLevelType w:val="hybridMultilevel"/>
    <w:tmpl w:val="C62E5AE8"/>
    <w:lvl w:ilvl="0" w:tplc="5F466060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934317"/>
    <w:multiLevelType w:val="hybridMultilevel"/>
    <w:tmpl w:val="0ED6AA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9D0C71"/>
    <w:multiLevelType w:val="hybridMultilevel"/>
    <w:tmpl w:val="DF3C8E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E013C"/>
    <w:multiLevelType w:val="hybridMultilevel"/>
    <w:tmpl w:val="6EE0EC7C"/>
    <w:lvl w:ilvl="0" w:tplc="F2F093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8D3E1D"/>
    <w:multiLevelType w:val="hybridMultilevel"/>
    <w:tmpl w:val="4864A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94642"/>
    <w:multiLevelType w:val="hybridMultilevel"/>
    <w:tmpl w:val="679EA4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C1F4D"/>
    <w:multiLevelType w:val="hybridMultilevel"/>
    <w:tmpl w:val="ABDA7E90"/>
    <w:lvl w:ilvl="0" w:tplc="9402987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FA738F6"/>
    <w:multiLevelType w:val="hybridMultilevel"/>
    <w:tmpl w:val="0ED6AA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B1"/>
    <w:rsid w:val="00013086"/>
    <w:rsid w:val="0001384A"/>
    <w:rsid w:val="00020265"/>
    <w:rsid w:val="000221CD"/>
    <w:rsid w:val="0004395B"/>
    <w:rsid w:val="00044FB3"/>
    <w:rsid w:val="00045923"/>
    <w:rsid w:val="00053BA8"/>
    <w:rsid w:val="00056CD6"/>
    <w:rsid w:val="0006764C"/>
    <w:rsid w:val="0007035E"/>
    <w:rsid w:val="00075772"/>
    <w:rsid w:val="00080557"/>
    <w:rsid w:val="000B0C05"/>
    <w:rsid w:val="000B629A"/>
    <w:rsid w:val="000C19DD"/>
    <w:rsid w:val="000D3ED4"/>
    <w:rsid w:val="000E7035"/>
    <w:rsid w:val="000E743E"/>
    <w:rsid w:val="000F61BC"/>
    <w:rsid w:val="000F6D15"/>
    <w:rsid w:val="000F74CA"/>
    <w:rsid w:val="001024E3"/>
    <w:rsid w:val="0010324D"/>
    <w:rsid w:val="00107E98"/>
    <w:rsid w:val="001223BF"/>
    <w:rsid w:val="00123D79"/>
    <w:rsid w:val="0013035B"/>
    <w:rsid w:val="001353F7"/>
    <w:rsid w:val="00145D52"/>
    <w:rsid w:val="00163FA5"/>
    <w:rsid w:val="001941F2"/>
    <w:rsid w:val="001A19DE"/>
    <w:rsid w:val="001A6375"/>
    <w:rsid w:val="001B6FE6"/>
    <w:rsid w:val="001C1F58"/>
    <w:rsid w:val="001C50AA"/>
    <w:rsid w:val="001D3C36"/>
    <w:rsid w:val="001F348E"/>
    <w:rsid w:val="001F7613"/>
    <w:rsid w:val="002043A6"/>
    <w:rsid w:val="00206AB0"/>
    <w:rsid w:val="0022029C"/>
    <w:rsid w:val="0022097D"/>
    <w:rsid w:val="0025197E"/>
    <w:rsid w:val="00254300"/>
    <w:rsid w:val="0026440C"/>
    <w:rsid w:val="00270D88"/>
    <w:rsid w:val="002715DD"/>
    <w:rsid w:val="0027361C"/>
    <w:rsid w:val="00273C11"/>
    <w:rsid w:val="002802ED"/>
    <w:rsid w:val="002809E9"/>
    <w:rsid w:val="0028681B"/>
    <w:rsid w:val="0029007E"/>
    <w:rsid w:val="00290BFD"/>
    <w:rsid w:val="002A01FF"/>
    <w:rsid w:val="002A6FC4"/>
    <w:rsid w:val="002B3EFB"/>
    <w:rsid w:val="002B5DD3"/>
    <w:rsid w:val="002D3318"/>
    <w:rsid w:val="002F28DC"/>
    <w:rsid w:val="00301A56"/>
    <w:rsid w:val="00315DDA"/>
    <w:rsid w:val="0033097A"/>
    <w:rsid w:val="00335D32"/>
    <w:rsid w:val="00342539"/>
    <w:rsid w:val="00354186"/>
    <w:rsid w:val="00361BB7"/>
    <w:rsid w:val="00366D57"/>
    <w:rsid w:val="00376D8C"/>
    <w:rsid w:val="00390137"/>
    <w:rsid w:val="00392533"/>
    <w:rsid w:val="003A1725"/>
    <w:rsid w:val="003C62FF"/>
    <w:rsid w:val="003C7137"/>
    <w:rsid w:val="003D0C60"/>
    <w:rsid w:val="003E69A8"/>
    <w:rsid w:val="003F7943"/>
    <w:rsid w:val="0040060D"/>
    <w:rsid w:val="00410695"/>
    <w:rsid w:val="004132D7"/>
    <w:rsid w:val="00425B6E"/>
    <w:rsid w:val="0043505B"/>
    <w:rsid w:val="00437AB8"/>
    <w:rsid w:val="00450B5A"/>
    <w:rsid w:val="004770D1"/>
    <w:rsid w:val="0048294C"/>
    <w:rsid w:val="00487CB6"/>
    <w:rsid w:val="00495661"/>
    <w:rsid w:val="004A1C5D"/>
    <w:rsid w:val="004B3FAC"/>
    <w:rsid w:val="004D226C"/>
    <w:rsid w:val="004E1D03"/>
    <w:rsid w:val="004E2542"/>
    <w:rsid w:val="004E434C"/>
    <w:rsid w:val="004F6C91"/>
    <w:rsid w:val="00510A04"/>
    <w:rsid w:val="00510C65"/>
    <w:rsid w:val="00515182"/>
    <w:rsid w:val="00520080"/>
    <w:rsid w:val="0054443E"/>
    <w:rsid w:val="00550896"/>
    <w:rsid w:val="00555ECD"/>
    <w:rsid w:val="005A29B6"/>
    <w:rsid w:val="005A398E"/>
    <w:rsid w:val="005A3EA5"/>
    <w:rsid w:val="005C348E"/>
    <w:rsid w:val="005E1341"/>
    <w:rsid w:val="0060114B"/>
    <w:rsid w:val="00622592"/>
    <w:rsid w:val="00623BB1"/>
    <w:rsid w:val="00623F6A"/>
    <w:rsid w:val="00635C6F"/>
    <w:rsid w:val="00636563"/>
    <w:rsid w:val="00654C08"/>
    <w:rsid w:val="006559FB"/>
    <w:rsid w:val="00661587"/>
    <w:rsid w:val="006638BE"/>
    <w:rsid w:val="00676707"/>
    <w:rsid w:val="006772F1"/>
    <w:rsid w:val="006A07FB"/>
    <w:rsid w:val="006B4F47"/>
    <w:rsid w:val="006D0926"/>
    <w:rsid w:val="006D1DE0"/>
    <w:rsid w:val="006D4BA7"/>
    <w:rsid w:val="006E7660"/>
    <w:rsid w:val="006F2D62"/>
    <w:rsid w:val="006F3EA4"/>
    <w:rsid w:val="00711F91"/>
    <w:rsid w:val="00713481"/>
    <w:rsid w:val="00737E0E"/>
    <w:rsid w:val="0074301A"/>
    <w:rsid w:val="00791EF6"/>
    <w:rsid w:val="007978B6"/>
    <w:rsid w:val="007B266E"/>
    <w:rsid w:val="007B5915"/>
    <w:rsid w:val="007C3DB9"/>
    <w:rsid w:val="007C7A3D"/>
    <w:rsid w:val="007D47EB"/>
    <w:rsid w:val="007F106A"/>
    <w:rsid w:val="007F7A1C"/>
    <w:rsid w:val="00806CA5"/>
    <w:rsid w:val="00807902"/>
    <w:rsid w:val="00823BC3"/>
    <w:rsid w:val="00832E86"/>
    <w:rsid w:val="00836BDB"/>
    <w:rsid w:val="008375A6"/>
    <w:rsid w:val="0084673D"/>
    <w:rsid w:val="00846D33"/>
    <w:rsid w:val="008624D4"/>
    <w:rsid w:val="0087460A"/>
    <w:rsid w:val="00895EBB"/>
    <w:rsid w:val="008A3DE7"/>
    <w:rsid w:val="008A4328"/>
    <w:rsid w:val="008B62F4"/>
    <w:rsid w:val="008C16A3"/>
    <w:rsid w:val="008D4113"/>
    <w:rsid w:val="008E4293"/>
    <w:rsid w:val="008F5AC2"/>
    <w:rsid w:val="008F6850"/>
    <w:rsid w:val="00900DC4"/>
    <w:rsid w:val="00902FD2"/>
    <w:rsid w:val="0091044C"/>
    <w:rsid w:val="0094335D"/>
    <w:rsid w:val="00944B0F"/>
    <w:rsid w:val="00950D77"/>
    <w:rsid w:val="00973CD8"/>
    <w:rsid w:val="00985571"/>
    <w:rsid w:val="009A654A"/>
    <w:rsid w:val="009C4738"/>
    <w:rsid w:val="009C7B39"/>
    <w:rsid w:val="009E0217"/>
    <w:rsid w:val="009F1A9C"/>
    <w:rsid w:val="009F427D"/>
    <w:rsid w:val="00A001DE"/>
    <w:rsid w:val="00A24CE8"/>
    <w:rsid w:val="00A65B44"/>
    <w:rsid w:val="00A75E68"/>
    <w:rsid w:val="00A92FAB"/>
    <w:rsid w:val="00AB4905"/>
    <w:rsid w:val="00AB65B6"/>
    <w:rsid w:val="00AC07C9"/>
    <w:rsid w:val="00AD54AF"/>
    <w:rsid w:val="00AD54B6"/>
    <w:rsid w:val="00AD5A86"/>
    <w:rsid w:val="00AE69F3"/>
    <w:rsid w:val="00AF419D"/>
    <w:rsid w:val="00B04975"/>
    <w:rsid w:val="00B11007"/>
    <w:rsid w:val="00B12B51"/>
    <w:rsid w:val="00B20BA8"/>
    <w:rsid w:val="00B2149E"/>
    <w:rsid w:val="00B3751E"/>
    <w:rsid w:val="00B4149E"/>
    <w:rsid w:val="00B45BA7"/>
    <w:rsid w:val="00B45D2F"/>
    <w:rsid w:val="00B532FD"/>
    <w:rsid w:val="00B57002"/>
    <w:rsid w:val="00B71BF8"/>
    <w:rsid w:val="00B86BB0"/>
    <w:rsid w:val="00BA4BB7"/>
    <w:rsid w:val="00BA7BCE"/>
    <w:rsid w:val="00BB2284"/>
    <w:rsid w:val="00BB6848"/>
    <w:rsid w:val="00BC1821"/>
    <w:rsid w:val="00BD163A"/>
    <w:rsid w:val="00BE3BA8"/>
    <w:rsid w:val="00BE690C"/>
    <w:rsid w:val="00BE7218"/>
    <w:rsid w:val="00BF2D96"/>
    <w:rsid w:val="00C04B9A"/>
    <w:rsid w:val="00C13582"/>
    <w:rsid w:val="00C27317"/>
    <w:rsid w:val="00C33F0F"/>
    <w:rsid w:val="00C373FA"/>
    <w:rsid w:val="00C56B79"/>
    <w:rsid w:val="00C56D80"/>
    <w:rsid w:val="00C614B0"/>
    <w:rsid w:val="00C77748"/>
    <w:rsid w:val="00C941D7"/>
    <w:rsid w:val="00C94905"/>
    <w:rsid w:val="00CA4F63"/>
    <w:rsid w:val="00CA7C9F"/>
    <w:rsid w:val="00CB7D28"/>
    <w:rsid w:val="00CC4300"/>
    <w:rsid w:val="00CD1BD1"/>
    <w:rsid w:val="00CD6824"/>
    <w:rsid w:val="00CE4100"/>
    <w:rsid w:val="00D01B46"/>
    <w:rsid w:val="00D15046"/>
    <w:rsid w:val="00D31FD7"/>
    <w:rsid w:val="00D36BE1"/>
    <w:rsid w:val="00D411CC"/>
    <w:rsid w:val="00D41A53"/>
    <w:rsid w:val="00D46A36"/>
    <w:rsid w:val="00D50E07"/>
    <w:rsid w:val="00D63310"/>
    <w:rsid w:val="00D66B08"/>
    <w:rsid w:val="00D725B1"/>
    <w:rsid w:val="00D74093"/>
    <w:rsid w:val="00D77C84"/>
    <w:rsid w:val="00D8382B"/>
    <w:rsid w:val="00D86547"/>
    <w:rsid w:val="00DC29E7"/>
    <w:rsid w:val="00E03969"/>
    <w:rsid w:val="00E073A2"/>
    <w:rsid w:val="00E07C5F"/>
    <w:rsid w:val="00E12BCD"/>
    <w:rsid w:val="00E15564"/>
    <w:rsid w:val="00E35C9F"/>
    <w:rsid w:val="00E36A45"/>
    <w:rsid w:val="00E4432D"/>
    <w:rsid w:val="00E46728"/>
    <w:rsid w:val="00E6565C"/>
    <w:rsid w:val="00E92FC7"/>
    <w:rsid w:val="00E96D1E"/>
    <w:rsid w:val="00EA01A1"/>
    <w:rsid w:val="00ED33B6"/>
    <w:rsid w:val="00EE10CB"/>
    <w:rsid w:val="00EF6549"/>
    <w:rsid w:val="00EF76C1"/>
    <w:rsid w:val="00EF7DB2"/>
    <w:rsid w:val="00F038A3"/>
    <w:rsid w:val="00F211AF"/>
    <w:rsid w:val="00F369FB"/>
    <w:rsid w:val="00F40BB6"/>
    <w:rsid w:val="00F50DE8"/>
    <w:rsid w:val="00F5595B"/>
    <w:rsid w:val="00F67FBE"/>
    <w:rsid w:val="00F83514"/>
    <w:rsid w:val="00F84DB3"/>
    <w:rsid w:val="00F85DB8"/>
    <w:rsid w:val="00F918EC"/>
    <w:rsid w:val="00FB5CEB"/>
    <w:rsid w:val="00FD17DF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60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KSS">
    <w:name w:val="AKSS"/>
    <w:basedOn w:val="Normlny"/>
    <w:qFormat/>
    <w:rsid w:val="00C56D80"/>
    <w:pPr>
      <w:spacing w:after="0" w:line="240" w:lineRule="atLeast"/>
      <w:jc w:val="both"/>
    </w:pPr>
    <w:rPr>
      <w:rFonts w:ascii="Verdana" w:hAnsi="Verdana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039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03969"/>
    <w:rPr>
      <w:rFonts w:cs="Times New Roman"/>
      <w:sz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E039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03969"/>
    <w:rPr>
      <w:rFonts w:cs="Times New Roman"/>
      <w:sz w:val="22"/>
      <w:lang w:val="x-none" w:eastAsia="en-US"/>
    </w:rPr>
  </w:style>
  <w:style w:type="paragraph" w:styleId="Odsekzoznamu">
    <w:name w:val="List Paragraph"/>
    <w:basedOn w:val="Normlny"/>
    <w:uiPriority w:val="34"/>
    <w:qFormat/>
    <w:rsid w:val="00206AB0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E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69F3"/>
    <w:rPr>
      <w:rFonts w:ascii="Tahoma" w:hAnsi="Tahoma" w:cs="Times New Roman"/>
      <w:sz w:val="16"/>
      <w:lang w:val="x-none" w:eastAsia="en-US"/>
    </w:rPr>
  </w:style>
  <w:style w:type="character" w:customStyle="1" w:styleId="ZkladntextChar">
    <w:name w:val="Základný text Char"/>
    <w:link w:val="Telotextu"/>
    <w:uiPriority w:val="99"/>
    <w:locked/>
    <w:rsid w:val="008A3DE7"/>
    <w:rPr>
      <w:color w:val="000000"/>
      <w:sz w:val="24"/>
      <w:u w:color="000000"/>
      <w:lang w:val="en-US" w:eastAsia="x-none"/>
    </w:rPr>
  </w:style>
  <w:style w:type="paragraph" w:customStyle="1" w:styleId="Telotextu">
    <w:name w:val="Telo textu"/>
    <w:basedOn w:val="Normlny"/>
    <w:link w:val="ZkladntextChar"/>
    <w:rsid w:val="008A3DE7"/>
    <w:pPr>
      <w:widowControl w:val="0"/>
      <w:suppressAutoHyphens/>
      <w:spacing w:after="0" w:line="288" w:lineRule="auto"/>
      <w:jc w:val="both"/>
    </w:pPr>
    <w:rPr>
      <w:rFonts w:cs="Arial Unicode MS"/>
      <w:color w:val="000000"/>
      <w:sz w:val="24"/>
      <w:szCs w:val="24"/>
      <w:u w:color="000000"/>
      <w:lang w:val="en-US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8E4293"/>
    <w:rPr>
      <w:color w:val="0000FF"/>
      <w:u w:val="single"/>
    </w:rPr>
  </w:style>
  <w:style w:type="paragraph" w:styleId="Zkladntext">
    <w:name w:val="Body Text"/>
    <w:basedOn w:val="Normlny"/>
    <w:uiPriority w:val="99"/>
    <w:rsid w:val="007D47EB"/>
    <w:pPr>
      <w:autoSpaceDE w:val="0"/>
      <w:autoSpaceDN w:val="0"/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7D47E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38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812E8-52A6-45A8-98C8-8CE02FA0B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E5604-9F03-4854-A8AC-C00C30B5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2019-11-11T08:53:00Z</dcterms:created>
  <dcterms:modified xsi:type="dcterms:W3CDTF">2019-11-11T08:53:00Z</dcterms:modified>
</cp:coreProperties>
</file>