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5BF" w:rsidRPr="001C5680" w:rsidRDefault="00C71784" w:rsidP="001C5680">
      <w:pPr>
        <w:pStyle w:val="Normlnywebov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bookmarkStart w:id="0" w:name="_GoBack"/>
      <w:bookmarkEnd w:id="0"/>
      <w:r w:rsidRPr="001C5680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2F45BF" w:rsidRPr="001C5680" w:rsidRDefault="002F45BF" w:rsidP="001C5680">
      <w:pPr>
        <w:pStyle w:val="Nadpis1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2F45BF" w:rsidRPr="001C5680" w:rsidRDefault="00C71784" w:rsidP="001C5680">
      <w:pPr>
        <w:pStyle w:val="Nadpis1"/>
        <w:numPr>
          <w:ilvl w:val="0"/>
          <w:numId w:val="2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C5680">
        <w:rPr>
          <w:rFonts w:ascii="Book Antiqua" w:hAnsi="Book Antiqua"/>
          <w:sz w:val="22"/>
          <w:szCs w:val="22"/>
        </w:rPr>
        <w:t>Všeobecná časť</w:t>
      </w:r>
    </w:p>
    <w:p w:rsidR="002F45BF" w:rsidRPr="001C5680" w:rsidRDefault="00C71784" w:rsidP="001C5680">
      <w:pPr>
        <w:spacing w:before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1C5680">
        <w:rPr>
          <w:rFonts w:ascii="Book Antiqua" w:hAnsi="Book Antiqua"/>
          <w:sz w:val="22"/>
          <w:szCs w:val="22"/>
        </w:rPr>
        <w:t>Návrh zákona</w:t>
      </w:r>
      <w:r w:rsidR="008A7965" w:rsidRPr="001C5680">
        <w:rPr>
          <w:rFonts w:ascii="Book Antiqua" w:hAnsi="Book Antiqua"/>
          <w:bCs/>
          <w:sz w:val="22"/>
          <w:szCs w:val="22"/>
        </w:rPr>
        <w:t>, ktorým sa mení a dopĺňa zákon č. 50/1976 Zb. o územnom plánovaní a stavebnom poriadku (stavebný zákon) v znení n</w:t>
      </w:r>
      <w:r w:rsidR="00027525">
        <w:rPr>
          <w:rFonts w:ascii="Book Antiqua" w:hAnsi="Book Antiqua"/>
          <w:bCs/>
          <w:sz w:val="22"/>
          <w:szCs w:val="22"/>
        </w:rPr>
        <w:t>eskorších predpisov</w:t>
      </w:r>
      <w:r w:rsidRPr="001C5680">
        <w:rPr>
          <w:rFonts w:ascii="Book Antiqua" w:hAnsi="Book Antiqua"/>
          <w:sz w:val="22"/>
          <w:szCs w:val="22"/>
        </w:rPr>
        <w:t xml:space="preserve"> (ďalej len „návrh zákona“) predkladá do legislatívneho procesu </w:t>
      </w:r>
      <w:r w:rsidRPr="001C5680">
        <w:rPr>
          <w:rFonts w:ascii="Book Antiqua" w:hAnsi="Book Antiqua" w:cs="Book Antiqua"/>
          <w:sz w:val="22"/>
          <w:szCs w:val="22"/>
        </w:rPr>
        <w:t>skupina poslancov Národnej rady Slovenskej republiky.</w:t>
      </w:r>
    </w:p>
    <w:p w:rsidR="001C5680" w:rsidRDefault="00C71784" w:rsidP="001C5680">
      <w:pPr>
        <w:spacing w:before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1C5680">
        <w:rPr>
          <w:rFonts w:ascii="Book Antiqua" w:hAnsi="Book Antiqua"/>
          <w:b/>
          <w:sz w:val="22"/>
          <w:szCs w:val="22"/>
        </w:rPr>
        <w:t xml:space="preserve">Hlavným účelom predloženého návrhu zákona je </w:t>
      </w:r>
      <w:r w:rsidR="00727FCF" w:rsidRPr="001C5680">
        <w:rPr>
          <w:rFonts w:ascii="Book Antiqua" w:hAnsi="Book Antiqua"/>
          <w:b/>
          <w:sz w:val="22"/>
          <w:szCs w:val="22"/>
        </w:rPr>
        <w:t>dosiahnuť priame odškodňovanie obyvateľov tzv. obytného prostredia, a to z dôvodu znižovania kvality ich bývania na základe napríklad nevh</w:t>
      </w:r>
      <w:r w:rsidR="001C5680">
        <w:rPr>
          <w:rFonts w:ascii="Book Antiqua" w:hAnsi="Book Antiqua"/>
          <w:b/>
          <w:sz w:val="22"/>
          <w:szCs w:val="22"/>
        </w:rPr>
        <w:t>odnej výstavby v ich okolí, keď</w:t>
      </w:r>
      <w:r w:rsidR="00727FCF" w:rsidRPr="001C5680">
        <w:rPr>
          <w:rFonts w:ascii="Book Antiqua" w:hAnsi="Book Antiqua"/>
          <w:b/>
          <w:sz w:val="22"/>
          <w:szCs w:val="22"/>
        </w:rPr>
        <w:t xml:space="preserve"> sa často pri obytných budovách stavajú priemyslené budovy, v ktorých prevádzkovaná činnosť spôsobuje narúšanie obytného prostredia či už hlukom, vibráciami alebo iným spôsobom, a</w:t>
      </w:r>
      <w:r w:rsidR="001C5680">
        <w:rPr>
          <w:rFonts w:ascii="Book Antiqua" w:hAnsi="Book Antiqua"/>
          <w:b/>
          <w:sz w:val="22"/>
          <w:szCs w:val="22"/>
        </w:rPr>
        <w:t> tým dochádza k</w:t>
      </w:r>
      <w:r w:rsidR="00727FCF" w:rsidRPr="001C5680">
        <w:rPr>
          <w:rFonts w:ascii="Book Antiqua" w:hAnsi="Book Antiqua"/>
          <w:b/>
          <w:sz w:val="22"/>
          <w:szCs w:val="22"/>
        </w:rPr>
        <w:t xml:space="preserve"> zníženiu kvality obytného pr</w:t>
      </w:r>
      <w:r w:rsidR="001F72A8" w:rsidRPr="001C5680">
        <w:rPr>
          <w:rFonts w:ascii="Book Antiqua" w:hAnsi="Book Antiqua"/>
          <w:b/>
          <w:sz w:val="22"/>
          <w:szCs w:val="22"/>
        </w:rPr>
        <w:t>o</w:t>
      </w:r>
      <w:r w:rsidR="00727FCF" w:rsidRPr="001C5680">
        <w:rPr>
          <w:rFonts w:ascii="Book Antiqua" w:hAnsi="Book Antiqua"/>
          <w:b/>
          <w:sz w:val="22"/>
          <w:szCs w:val="22"/>
        </w:rPr>
        <w:t xml:space="preserve">stredia. </w:t>
      </w:r>
    </w:p>
    <w:p w:rsidR="002F45BF" w:rsidRPr="001C5680" w:rsidRDefault="00727FCF" w:rsidP="001C5680">
      <w:pPr>
        <w:spacing w:before="120" w:line="276" w:lineRule="auto"/>
        <w:ind w:firstLine="708"/>
        <w:jc w:val="both"/>
        <w:rPr>
          <w:rFonts w:ascii="Book Antiqua" w:hAnsi="Book Antiqua"/>
          <w:b/>
          <w:color w:val="000000"/>
          <w:sz w:val="22"/>
          <w:szCs w:val="22"/>
        </w:rPr>
      </w:pPr>
      <w:r w:rsidRPr="001C5680">
        <w:rPr>
          <w:rFonts w:ascii="Book Antiqua" w:hAnsi="Book Antiqua"/>
          <w:b/>
          <w:sz w:val="22"/>
          <w:szCs w:val="22"/>
        </w:rPr>
        <w:t>Na základe predloženého návrhu zákona by</w:t>
      </w:r>
      <w:r w:rsidR="001C5680">
        <w:rPr>
          <w:rFonts w:ascii="Book Antiqua" w:hAnsi="Book Antiqua"/>
          <w:b/>
          <w:sz w:val="22"/>
          <w:szCs w:val="22"/>
        </w:rPr>
        <w:t xml:space="preserve"> malo dôjsť v takomto prípade k</w:t>
      </w:r>
      <w:r w:rsidRPr="001C5680">
        <w:rPr>
          <w:rFonts w:ascii="Book Antiqua" w:hAnsi="Book Antiqua"/>
          <w:b/>
          <w:sz w:val="22"/>
          <w:szCs w:val="22"/>
        </w:rPr>
        <w:t xml:space="preserve"> priamemu odškodneniu poškodených obyvateľov obytného prostredia, pretože práve oni sú tí priamo dotknutí, na ktorých má napríklad hlučná prevádzka priamy vplyv. V súčasnosti je právny systém nastavený tak, že prevádzkovateľ „škodlivej“ prevádzky môže dostať p</w:t>
      </w:r>
      <w:r w:rsidR="001F72A8" w:rsidRPr="001C5680">
        <w:rPr>
          <w:rFonts w:ascii="Book Antiqua" w:hAnsi="Book Antiqua"/>
          <w:b/>
          <w:sz w:val="22"/>
          <w:szCs w:val="22"/>
        </w:rPr>
        <w:t>okutu, tá však plynie do verejn</w:t>
      </w:r>
      <w:r w:rsidRPr="001C5680">
        <w:rPr>
          <w:rFonts w:ascii="Book Antiqua" w:hAnsi="Book Antiqua"/>
          <w:b/>
          <w:sz w:val="22"/>
          <w:szCs w:val="22"/>
        </w:rPr>
        <w:t>ého rozpočtu a priamy poškodený, obyvateľ, z toho nemá vôbec nič. Navyše, uložená pokuta často</w:t>
      </w:r>
      <w:r w:rsidR="001C5680">
        <w:rPr>
          <w:rFonts w:ascii="Book Antiqua" w:hAnsi="Book Antiqua"/>
          <w:b/>
          <w:sz w:val="22"/>
          <w:szCs w:val="22"/>
        </w:rPr>
        <w:t xml:space="preserve"> nevedie k</w:t>
      </w:r>
      <w:r w:rsidRPr="001C5680">
        <w:rPr>
          <w:rFonts w:ascii="Book Antiqua" w:hAnsi="Book Antiqua"/>
          <w:b/>
          <w:sz w:val="22"/>
          <w:szCs w:val="22"/>
        </w:rPr>
        <w:t xml:space="preserve"> náprave škodlivého stavu, a tak sú obyvatelia obytných prostredí poškodzovan</w:t>
      </w:r>
      <w:r w:rsidR="001F72A8" w:rsidRPr="001C5680">
        <w:rPr>
          <w:rFonts w:ascii="Book Antiqua" w:hAnsi="Book Antiqua"/>
          <w:b/>
          <w:sz w:val="22"/>
          <w:szCs w:val="22"/>
        </w:rPr>
        <w:t>í</w:t>
      </w:r>
      <w:r w:rsidRPr="001C5680">
        <w:rPr>
          <w:rFonts w:ascii="Book Antiqua" w:hAnsi="Book Antiqua"/>
          <w:b/>
          <w:sz w:val="22"/>
          <w:szCs w:val="22"/>
        </w:rPr>
        <w:t xml:space="preserve"> ďalej. Táto nespravodlivá situácia má byť napravená práve na základe predloženého návr</w:t>
      </w:r>
      <w:r w:rsidR="001C5680">
        <w:rPr>
          <w:rFonts w:ascii="Book Antiqua" w:hAnsi="Book Antiqua"/>
          <w:b/>
          <w:sz w:val="22"/>
          <w:szCs w:val="22"/>
        </w:rPr>
        <w:t>h</w:t>
      </w:r>
      <w:r w:rsidRPr="001C5680">
        <w:rPr>
          <w:rFonts w:ascii="Book Antiqua" w:hAnsi="Book Antiqua"/>
          <w:b/>
          <w:sz w:val="22"/>
          <w:szCs w:val="22"/>
        </w:rPr>
        <w:t xml:space="preserve">u zákona. </w:t>
      </w:r>
    </w:p>
    <w:p w:rsidR="00823CDC" w:rsidRPr="001C5680" w:rsidRDefault="00727FCF" w:rsidP="001C5680">
      <w:pPr>
        <w:spacing w:before="120" w:line="276" w:lineRule="auto"/>
        <w:ind w:firstLine="708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1C5680">
        <w:rPr>
          <w:rFonts w:ascii="Book Antiqua" w:hAnsi="Book Antiqua"/>
          <w:color w:val="000000"/>
          <w:sz w:val="22"/>
          <w:szCs w:val="22"/>
        </w:rPr>
        <w:t>Predloženým návrhom zákona sa za</w:t>
      </w:r>
      <w:r w:rsidR="001F72A8" w:rsidRPr="001C5680">
        <w:rPr>
          <w:rFonts w:ascii="Book Antiqua" w:hAnsi="Book Antiqua"/>
          <w:color w:val="000000"/>
          <w:sz w:val="22"/>
          <w:szCs w:val="22"/>
        </w:rPr>
        <w:t>v</w:t>
      </w:r>
      <w:r w:rsidRPr="001C5680">
        <w:rPr>
          <w:rFonts w:ascii="Book Antiqua" w:hAnsi="Book Antiqua"/>
          <w:color w:val="000000"/>
          <w:sz w:val="22"/>
          <w:szCs w:val="22"/>
        </w:rPr>
        <w:t>ádza okrem iných aj pojem „znížená kvalita obytného prostredia</w:t>
      </w:r>
      <w:r w:rsidR="001C5680">
        <w:rPr>
          <w:rFonts w:ascii="Book Antiqua" w:hAnsi="Book Antiqua"/>
          <w:color w:val="000000"/>
          <w:sz w:val="22"/>
          <w:szCs w:val="22"/>
        </w:rPr>
        <w:t xml:space="preserve">“. </w:t>
      </w:r>
      <w:r w:rsidR="00823CDC" w:rsidRPr="001C5680">
        <w:rPr>
          <w:rFonts w:ascii="Book Antiqua" w:hAnsi="Book Antiqua"/>
          <w:bCs/>
          <w:color w:val="000000"/>
          <w:sz w:val="22"/>
          <w:szCs w:val="22"/>
        </w:rPr>
        <w:t>Pojem zníženia kvality obytného prostredia je v </w:t>
      </w:r>
      <w:r w:rsidR="001C5680">
        <w:rPr>
          <w:rFonts w:ascii="Book Antiqua" w:hAnsi="Book Antiqua"/>
          <w:bCs/>
          <w:color w:val="000000"/>
          <w:sz w:val="22"/>
          <w:szCs w:val="22"/>
        </w:rPr>
        <w:t xml:space="preserve">návrhu zákona spresnený aj v </w:t>
      </w:r>
      <w:r w:rsidR="00823CDC" w:rsidRPr="001C5680">
        <w:rPr>
          <w:rFonts w:ascii="Book Antiqua" w:hAnsi="Book Antiqua"/>
          <w:bCs/>
          <w:color w:val="000000"/>
          <w:sz w:val="22"/>
          <w:szCs w:val="22"/>
        </w:rPr>
        <w:t xml:space="preserve">ďalších ustanoveniach. Podstatné však je, že na základe definície tohto pojmu bude možné jednoznančne vyvodiť zodpovednosť voči každému, kto spôsobil obyvateľovi obytného prostredia </w:t>
      </w:r>
      <w:r w:rsidR="001C5680">
        <w:rPr>
          <w:rFonts w:ascii="Book Antiqua" w:hAnsi="Book Antiqua"/>
          <w:bCs/>
          <w:color w:val="000000"/>
          <w:sz w:val="22"/>
          <w:szCs w:val="22"/>
        </w:rPr>
        <w:t>škodu, a to spôsobom vymedzeným</w:t>
      </w:r>
      <w:r w:rsidR="00823CDC" w:rsidRPr="001C5680">
        <w:rPr>
          <w:rFonts w:ascii="Book Antiqua" w:hAnsi="Book Antiqua"/>
          <w:bCs/>
          <w:color w:val="000000"/>
          <w:sz w:val="22"/>
          <w:szCs w:val="22"/>
        </w:rPr>
        <w:t xml:space="preserve"> v návrhu zákona. Túto zodpovednosť možno vyvodiť priamo, pri</w:t>
      </w:r>
      <w:r w:rsidR="0070488C" w:rsidRPr="001C5680">
        <w:rPr>
          <w:rFonts w:ascii="Book Antiqua" w:hAnsi="Book Antiqua"/>
          <w:bCs/>
          <w:color w:val="000000"/>
          <w:sz w:val="22"/>
          <w:szCs w:val="22"/>
        </w:rPr>
        <w:t>č</w:t>
      </w:r>
      <w:r w:rsidR="00823CDC" w:rsidRPr="001C5680">
        <w:rPr>
          <w:rFonts w:ascii="Book Antiqua" w:hAnsi="Book Antiqua"/>
          <w:bCs/>
          <w:color w:val="000000"/>
          <w:sz w:val="22"/>
          <w:szCs w:val="22"/>
        </w:rPr>
        <w:t>om náhrada spôsobenej škody sa má vyplácať v peniazoch, a to priamo poškodenému. Náhrada škody zároveň nebude vylučovať možnosť uplatniť sankcie (pokuty) voči tomu, kto škodu spôsobil.</w:t>
      </w:r>
    </w:p>
    <w:p w:rsidR="00823CDC" w:rsidRPr="00CE17CF" w:rsidRDefault="00823CDC" w:rsidP="00CE17CF">
      <w:pPr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 w:rsidRPr="001C5680">
        <w:rPr>
          <w:rFonts w:ascii="Book Antiqua" w:hAnsi="Book Antiqua"/>
          <w:bCs/>
          <w:color w:val="000000"/>
          <w:sz w:val="22"/>
          <w:szCs w:val="22"/>
        </w:rPr>
        <w:t>Týmto bude zabezpečené priame a spravodlivé odškodnenie tých osôb, ktoré boli neoprávneným zásahom priamo dotknuté.</w:t>
      </w:r>
    </w:p>
    <w:p w:rsidR="002F45BF" w:rsidRPr="001C5680" w:rsidRDefault="00C71784" w:rsidP="001C5680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C5680">
        <w:rPr>
          <w:rFonts w:ascii="Book Antiqua" w:hAnsi="Book Antiqua"/>
          <w:sz w:val="22"/>
          <w:szCs w:val="22"/>
        </w:rPr>
        <w:t xml:space="preserve">Návrh zákona </w:t>
      </w:r>
      <w:r w:rsidR="008A7965" w:rsidRPr="001C5680">
        <w:rPr>
          <w:rFonts w:ascii="Book Antiqua" w:hAnsi="Book Antiqua"/>
          <w:sz w:val="22"/>
          <w:szCs w:val="22"/>
        </w:rPr>
        <w:t>ne</w:t>
      </w:r>
      <w:r w:rsidRPr="001C5680">
        <w:rPr>
          <w:rFonts w:ascii="Book Antiqua" w:hAnsi="Book Antiqua"/>
          <w:sz w:val="22"/>
          <w:szCs w:val="22"/>
        </w:rPr>
        <w:t xml:space="preserve">má </w:t>
      </w:r>
      <w:r w:rsidR="008A7965" w:rsidRPr="001C5680">
        <w:rPr>
          <w:rFonts w:ascii="Book Antiqua" w:hAnsi="Book Antiqua"/>
          <w:sz w:val="22"/>
          <w:szCs w:val="22"/>
        </w:rPr>
        <w:t>žiadne</w:t>
      </w:r>
      <w:r w:rsidRPr="001C5680">
        <w:rPr>
          <w:rFonts w:ascii="Book Antiqua" w:hAnsi="Book Antiqua"/>
          <w:sz w:val="22"/>
          <w:szCs w:val="22"/>
        </w:rPr>
        <w:t xml:space="preserve"> sociálne vplyvy </w:t>
      </w:r>
      <w:r w:rsidR="003E2F36" w:rsidRPr="001C5680">
        <w:rPr>
          <w:rFonts w:ascii="Book Antiqua" w:hAnsi="Book Antiqua"/>
          <w:sz w:val="22"/>
          <w:szCs w:val="22"/>
        </w:rPr>
        <w:t>a</w:t>
      </w:r>
      <w:r w:rsidR="008A7965" w:rsidRPr="001C5680">
        <w:rPr>
          <w:rFonts w:ascii="Book Antiqua" w:hAnsi="Book Antiqua"/>
          <w:sz w:val="22"/>
          <w:szCs w:val="22"/>
        </w:rPr>
        <w:t xml:space="preserve"> ani </w:t>
      </w:r>
      <w:r w:rsidRPr="001C5680">
        <w:rPr>
          <w:rFonts w:ascii="Book Antiqua" w:hAnsi="Book Antiqua"/>
          <w:sz w:val="22"/>
          <w:szCs w:val="22"/>
        </w:rPr>
        <w:t>vplyv</w:t>
      </w:r>
      <w:r w:rsidR="008A7965" w:rsidRPr="001C5680">
        <w:rPr>
          <w:rFonts w:ascii="Book Antiqua" w:hAnsi="Book Antiqua"/>
          <w:sz w:val="22"/>
          <w:szCs w:val="22"/>
        </w:rPr>
        <w:t>y</w:t>
      </w:r>
      <w:r w:rsidRPr="001C5680">
        <w:rPr>
          <w:rFonts w:ascii="Book Antiqua" w:hAnsi="Book Antiqua"/>
          <w:sz w:val="22"/>
          <w:szCs w:val="22"/>
        </w:rPr>
        <w:t xml:space="preserve"> na </w:t>
      </w:r>
      <w:r w:rsidR="003E2F36" w:rsidRPr="001C5680">
        <w:rPr>
          <w:rFonts w:ascii="Book Antiqua" w:hAnsi="Book Antiqua"/>
          <w:sz w:val="22"/>
          <w:szCs w:val="22"/>
        </w:rPr>
        <w:t>rozpočet verejnej správy</w:t>
      </w:r>
      <w:r w:rsidRPr="001C5680">
        <w:rPr>
          <w:rFonts w:ascii="Book Antiqua" w:hAnsi="Book Antiqua"/>
          <w:sz w:val="22"/>
          <w:szCs w:val="22"/>
        </w:rPr>
        <w:t xml:space="preserve">. Návrh zákona nemá vplyv na </w:t>
      </w:r>
      <w:r w:rsidR="003E2F36" w:rsidRPr="001C5680">
        <w:rPr>
          <w:rFonts w:ascii="Book Antiqua" w:hAnsi="Book Antiqua"/>
          <w:sz w:val="22"/>
          <w:szCs w:val="22"/>
        </w:rPr>
        <w:t xml:space="preserve">podnikateľské prostredie, na životné prostredie </w:t>
      </w:r>
      <w:r w:rsidRPr="001C5680">
        <w:rPr>
          <w:rFonts w:ascii="Book Antiqua" w:hAnsi="Book Antiqua"/>
          <w:sz w:val="22"/>
          <w:szCs w:val="22"/>
        </w:rPr>
        <w:t>a ani na informatizáciu spoločnosti.</w:t>
      </w:r>
    </w:p>
    <w:p w:rsidR="002F45BF" w:rsidRPr="001C5680" w:rsidRDefault="00C71784" w:rsidP="001C5680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C5680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2F45BF" w:rsidRPr="001C5680" w:rsidRDefault="00C71784" w:rsidP="001C5680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C5680">
        <w:rPr>
          <w:rFonts w:ascii="Book Antiqua" w:hAnsi="Book Antiqua"/>
          <w:sz w:val="22"/>
          <w:szCs w:val="22"/>
        </w:rPr>
        <w:br w:type="page"/>
      </w:r>
    </w:p>
    <w:p w:rsidR="002F45BF" w:rsidRPr="001C5680" w:rsidRDefault="00C71784" w:rsidP="001C5680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C5680">
        <w:rPr>
          <w:rFonts w:ascii="Book Antiqua" w:hAnsi="Book Antiqua"/>
          <w:b/>
          <w:sz w:val="22"/>
          <w:szCs w:val="22"/>
        </w:rPr>
        <w:lastRenderedPageBreak/>
        <w:t>B. Osobitná časť</w:t>
      </w:r>
    </w:p>
    <w:p w:rsidR="002F45BF" w:rsidRPr="001C5680" w:rsidRDefault="002F45BF" w:rsidP="001C5680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2F45BF" w:rsidRPr="001C5680" w:rsidRDefault="00C71784" w:rsidP="001C5680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1C5680">
        <w:rPr>
          <w:rFonts w:ascii="Book Antiqua" w:hAnsi="Book Antiqua"/>
          <w:b/>
          <w:sz w:val="22"/>
          <w:szCs w:val="22"/>
        </w:rPr>
        <w:t>K Čl. I</w:t>
      </w:r>
    </w:p>
    <w:p w:rsidR="002F45BF" w:rsidRPr="00CE17CF" w:rsidRDefault="00C71784" w:rsidP="001C5680">
      <w:pPr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CE17CF">
        <w:rPr>
          <w:rFonts w:ascii="Book Antiqua" w:hAnsi="Book Antiqua"/>
          <w:sz w:val="22"/>
          <w:szCs w:val="22"/>
          <w:u w:val="single"/>
        </w:rPr>
        <w:t>K</w:t>
      </w:r>
      <w:r w:rsidR="008A7965" w:rsidRPr="00CE17CF">
        <w:rPr>
          <w:rFonts w:ascii="Book Antiqua" w:hAnsi="Book Antiqua"/>
          <w:sz w:val="22"/>
          <w:szCs w:val="22"/>
          <w:u w:val="single"/>
        </w:rPr>
        <w:t xml:space="preserve"> bodom </w:t>
      </w:r>
      <w:r w:rsidRPr="00CE17CF">
        <w:rPr>
          <w:rFonts w:ascii="Book Antiqua" w:hAnsi="Book Antiqua"/>
          <w:sz w:val="22"/>
          <w:szCs w:val="22"/>
          <w:u w:val="single"/>
        </w:rPr>
        <w:t>1</w:t>
      </w:r>
      <w:r w:rsidR="00CE17CF" w:rsidRPr="00CE17CF">
        <w:rPr>
          <w:rFonts w:ascii="Book Antiqua" w:hAnsi="Book Antiqua"/>
          <w:sz w:val="22"/>
          <w:szCs w:val="22"/>
          <w:u w:val="single"/>
        </w:rPr>
        <w:t xml:space="preserve"> až 23</w:t>
      </w:r>
    </w:p>
    <w:p w:rsidR="002F45BF" w:rsidRPr="001C5680" w:rsidRDefault="00C71784" w:rsidP="001C5680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C5680">
        <w:rPr>
          <w:rFonts w:ascii="Book Antiqua" w:hAnsi="Book Antiqua"/>
          <w:sz w:val="22"/>
          <w:szCs w:val="22"/>
        </w:rPr>
        <w:tab/>
      </w:r>
      <w:r w:rsidR="003E2F36" w:rsidRPr="001C5680">
        <w:rPr>
          <w:rFonts w:ascii="Book Antiqua" w:hAnsi="Book Antiqua"/>
          <w:sz w:val="22"/>
          <w:szCs w:val="22"/>
        </w:rPr>
        <w:t>V</w:t>
      </w:r>
      <w:r w:rsidR="00CE17CF">
        <w:rPr>
          <w:rFonts w:ascii="Book Antiqua" w:hAnsi="Book Antiqua"/>
          <w:sz w:val="22"/>
          <w:szCs w:val="22"/>
        </w:rPr>
        <w:t> čl. I bodoch 1 až 23</w:t>
      </w:r>
      <w:r w:rsidR="008A7965" w:rsidRPr="001C5680">
        <w:rPr>
          <w:rFonts w:ascii="Book Antiqua" w:hAnsi="Book Antiqua"/>
          <w:sz w:val="22"/>
          <w:szCs w:val="22"/>
        </w:rPr>
        <w:t xml:space="preserve"> návrhu zákona ide o legislatívno-technické úpravy, ktoré bezprostredne súvisia s úpravami uvedenými v bodoch 25 a 26.</w:t>
      </w:r>
      <w:r w:rsidR="003E2F36" w:rsidRPr="001C5680">
        <w:rPr>
          <w:rFonts w:ascii="Book Antiqua" w:hAnsi="Book Antiqua"/>
          <w:bCs/>
          <w:sz w:val="22"/>
          <w:szCs w:val="22"/>
        </w:rPr>
        <w:t xml:space="preserve"> </w:t>
      </w:r>
      <w:r w:rsidR="0070488C" w:rsidRPr="001C5680">
        <w:rPr>
          <w:rFonts w:ascii="Book Antiqua" w:hAnsi="Book Antiqua"/>
          <w:bCs/>
          <w:sz w:val="22"/>
          <w:szCs w:val="22"/>
        </w:rPr>
        <w:t>I</w:t>
      </w:r>
      <w:r w:rsidR="00CE17CF">
        <w:rPr>
          <w:rFonts w:ascii="Book Antiqua" w:hAnsi="Book Antiqua"/>
          <w:bCs/>
          <w:sz w:val="22"/>
          <w:szCs w:val="22"/>
        </w:rPr>
        <w:t>d</w:t>
      </w:r>
      <w:r w:rsidR="0070488C" w:rsidRPr="001C5680">
        <w:rPr>
          <w:rFonts w:ascii="Book Antiqua" w:hAnsi="Book Antiqua"/>
          <w:bCs/>
          <w:sz w:val="22"/>
          <w:szCs w:val="22"/>
        </w:rPr>
        <w:t>e predovšetkým o dopl</w:t>
      </w:r>
      <w:r w:rsidR="00CE17CF">
        <w:rPr>
          <w:rFonts w:ascii="Book Antiqua" w:hAnsi="Book Antiqua"/>
          <w:bCs/>
          <w:sz w:val="22"/>
          <w:szCs w:val="22"/>
        </w:rPr>
        <w:t>n</w:t>
      </w:r>
      <w:r w:rsidR="0070488C" w:rsidRPr="001C5680">
        <w:rPr>
          <w:rFonts w:ascii="Book Antiqua" w:hAnsi="Book Antiqua"/>
          <w:bCs/>
          <w:sz w:val="22"/>
          <w:szCs w:val="22"/>
        </w:rPr>
        <w:t>enie pojmu „obytné prostredie“ do príslušných ustanovení stavebného zákona.</w:t>
      </w:r>
    </w:p>
    <w:p w:rsidR="002F45BF" w:rsidRPr="00CE17CF" w:rsidRDefault="00C71784" w:rsidP="001C5680">
      <w:pPr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CE17CF">
        <w:rPr>
          <w:rFonts w:ascii="Book Antiqua" w:hAnsi="Book Antiqua"/>
          <w:sz w:val="22"/>
          <w:szCs w:val="22"/>
          <w:u w:val="single"/>
        </w:rPr>
        <w:t>K </w:t>
      </w:r>
      <w:r w:rsidR="008A7965" w:rsidRPr="00CE17CF">
        <w:rPr>
          <w:rFonts w:ascii="Book Antiqua" w:hAnsi="Book Antiqua"/>
          <w:sz w:val="22"/>
          <w:szCs w:val="22"/>
          <w:u w:val="single"/>
        </w:rPr>
        <w:t>bodu</w:t>
      </w:r>
      <w:r w:rsidRPr="00CE17CF">
        <w:rPr>
          <w:rFonts w:ascii="Book Antiqua" w:hAnsi="Book Antiqua"/>
          <w:sz w:val="22"/>
          <w:szCs w:val="22"/>
          <w:u w:val="single"/>
        </w:rPr>
        <w:t xml:space="preserve"> 2</w:t>
      </w:r>
      <w:r w:rsidR="00CE17CF" w:rsidRPr="00CE17CF">
        <w:rPr>
          <w:rFonts w:ascii="Book Antiqua" w:hAnsi="Book Antiqua"/>
          <w:sz w:val="22"/>
          <w:szCs w:val="22"/>
          <w:u w:val="single"/>
        </w:rPr>
        <w:t>4</w:t>
      </w:r>
    </w:p>
    <w:p w:rsidR="00BC7063" w:rsidRPr="001C5680" w:rsidRDefault="00CE17CF" w:rsidP="001C5680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 tomto ustanovení</w:t>
      </w:r>
      <w:r w:rsidR="00823CDC" w:rsidRPr="001C5680">
        <w:rPr>
          <w:rFonts w:ascii="Book Antiqua" w:hAnsi="Book Antiqua"/>
          <w:sz w:val="22"/>
          <w:szCs w:val="22"/>
        </w:rPr>
        <w:t xml:space="preserve"> návrhu zákona sa ustanovujú podmienky náhrady škody za zníženie kvality obytného prostredia. </w:t>
      </w:r>
      <w:r w:rsidR="0070488C" w:rsidRPr="001C5680">
        <w:rPr>
          <w:rFonts w:ascii="Book Antiqua" w:hAnsi="Book Antiqua"/>
          <w:sz w:val="22"/>
          <w:szCs w:val="22"/>
        </w:rPr>
        <w:t xml:space="preserve">Navrhované </w:t>
      </w:r>
      <w:r w:rsidR="00823CDC" w:rsidRPr="001C5680">
        <w:rPr>
          <w:rFonts w:ascii="Book Antiqua" w:hAnsi="Book Antiqua"/>
          <w:sz w:val="22"/>
          <w:szCs w:val="22"/>
        </w:rPr>
        <w:t>stanovenie § 107a určuje základné podmienky. Prvou z nich je, že náhrad</w:t>
      </w:r>
      <w:r w:rsidR="0070488C" w:rsidRPr="001C5680">
        <w:rPr>
          <w:rFonts w:ascii="Book Antiqua" w:hAnsi="Book Antiqua"/>
          <w:sz w:val="22"/>
          <w:szCs w:val="22"/>
        </w:rPr>
        <w:t>a</w:t>
      </w:r>
      <w:r w:rsidR="00823CDC" w:rsidRPr="001C5680">
        <w:rPr>
          <w:rFonts w:ascii="Book Antiqua" w:hAnsi="Book Antiqua"/>
          <w:sz w:val="22"/>
          <w:szCs w:val="22"/>
        </w:rPr>
        <w:t xml:space="preserve"> škody za zníženie kvality obytného prostredia (ďalej len „náhrada škody“) sa poskytuje jednorazovo</w:t>
      </w:r>
      <w:r w:rsidR="00BC7063" w:rsidRPr="001C5680">
        <w:rPr>
          <w:rFonts w:ascii="Book Antiqua" w:hAnsi="Book Antiqua"/>
          <w:sz w:val="22"/>
          <w:szCs w:val="22"/>
        </w:rPr>
        <w:t>. Ďalej sa ustanovuje, že náhrada škody musí zodpovedať zistenému stavu, t.j. skutočnému zníženiu kvality obytného prostredia. Výnimkou je situácia, keď sa poškodený a ten, kto škodu spôsobil, dohodnú či už na vyššej alebo nižšej sume odškodnenia v tzv. dohode o vyrovnaní. Samozrejme je možnosť, aby namiesto vyplatenia škody v peniazoch došlo zo strany toho, kto škodu spôsobil, k odstráneniu následkov spôsobenej škody, ak je to možné. V prípade, a</w:t>
      </w:r>
      <w:r>
        <w:rPr>
          <w:rFonts w:ascii="Book Antiqua" w:hAnsi="Book Antiqua"/>
          <w:sz w:val="22"/>
          <w:szCs w:val="22"/>
        </w:rPr>
        <w:t>k to nie je možné, musí dôjsť k</w:t>
      </w:r>
      <w:r w:rsidR="00BC7063" w:rsidRPr="001C5680">
        <w:rPr>
          <w:rFonts w:ascii="Book Antiqua" w:hAnsi="Book Antiqua"/>
          <w:sz w:val="22"/>
          <w:szCs w:val="22"/>
        </w:rPr>
        <w:t xml:space="preserve"> vyplateniu zistenej škody v peniazoch, a to priamo poškodenému.</w:t>
      </w:r>
    </w:p>
    <w:p w:rsidR="002F45BF" w:rsidRPr="001C5680" w:rsidRDefault="00BC7063" w:rsidP="001C5680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C5680">
        <w:rPr>
          <w:rFonts w:ascii="Book Antiqua" w:hAnsi="Book Antiqua"/>
          <w:sz w:val="22"/>
          <w:szCs w:val="22"/>
        </w:rPr>
        <w:t xml:space="preserve">Výšku škody zisťuje a v konaní o náhradu škody prejednáva stavebný úrad. Druhou možnosťou je už spomínaná dohoda o vyrovnaní, v ktorej si výšku škody určia strany dohody samostatne. V prípade, že výšku požadovanej škody zo strany poškodeného ten, kto škodu spôsobil, nie je ochotný akceptovať, musí sa poškodený obrátiť s nárokom </w:t>
      </w:r>
      <w:r w:rsidR="0070488C" w:rsidRPr="001C5680">
        <w:rPr>
          <w:rFonts w:ascii="Book Antiqua" w:hAnsi="Book Antiqua"/>
          <w:sz w:val="22"/>
          <w:szCs w:val="22"/>
        </w:rPr>
        <w:t>na náhradu škody na staveb</w:t>
      </w:r>
      <w:r w:rsidRPr="001C5680">
        <w:rPr>
          <w:rFonts w:ascii="Book Antiqua" w:hAnsi="Book Antiqua"/>
          <w:sz w:val="22"/>
          <w:szCs w:val="22"/>
        </w:rPr>
        <w:t>ný úrad, ktorý náhradu škody prejedná v správnom konaní.</w:t>
      </w:r>
    </w:p>
    <w:p w:rsidR="00BC7063" w:rsidRPr="001C5680" w:rsidRDefault="00BC7063" w:rsidP="001C5680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C5680">
        <w:rPr>
          <w:rFonts w:ascii="Book Antiqua" w:hAnsi="Book Antiqua"/>
          <w:sz w:val="22"/>
          <w:szCs w:val="22"/>
        </w:rPr>
        <w:t>V nasledujúcom ustanovení § 107b sa určujú bližšie podmienky uzatvorenia už spomínanej dohody o vyrovnaní. Určuje sa, že dohoda musí mať písomnú formu a že v prípade, ak do troch mesiacov odo dňa podania návrhu na uzatv</w:t>
      </w:r>
      <w:r w:rsidR="0070488C" w:rsidRPr="001C5680">
        <w:rPr>
          <w:rFonts w:ascii="Book Antiqua" w:hAnsi="Book Antiqua"/>
          <w:sz w:val="22"/>
          <w:szCs w:val="22"/>
        </w:rPr>
        <w:t>o</w:t>
      </w:r>
      <w:r w:rsidRPr="001C5680">
        <w:rPr>
          <w:rFonts w:ascii="Book Antiqua" w:hAnsi="Book Antiqua"/>
          <w:sz w:val="22"/>
          <w:szCs w:val="22"/>
        </w:rPr>
        <w:t>renie dohody nebol</w:t>
      </w:r>
      <w:r w:rsidR="0070488C" w:rsidRPr="001C5680">
        <w:rPr>
          <w:rFonts w:ascii="Book Antiqua" w:hAnsi="Book Antiqua"/>
          <w:sz w:val="22"/>
          <w:szCs w:val="22"/>
        </w:rPr>
        <w:t>i uspokojené nároky poškodeného,</w:t>
      </w:r>
      <w:r w:rsidRPr="001C5680">
        <w:rPr>
          <w:rFonts w:ascii="Book Antiqua" w:hAnsi="Book Antiqua"/>
          <w:sz w:val="22"/>
          <w:szCs w:val="22"/>
        </w:rPr>
        <w:t xml:space="preserve"> </w:t>
      </w:r>
      <w:r w:rsidR="0070488C" w:rsidRPr="001C5680">
        <w:rPr>
          <w:rFonts w:ascii="Book Antiqua" w:hAnsi="Book Antiqua"/>
          <w:sz w:val="22"/>
          <w:szCs w:val="22"/>
        </w:rPr>
        <w:t>j</w:t>
      </w:r>
      <w:r w:rsidRPr="001C5680">
        <w:rPr>
          <w:rFonts w:ascii="Book Antiqua" w:hAnsi="Book Antiqua"/>
          <w:sz w:val="22"/>
          <w:szCs w:val="22"/>
        </w:rPr>
        <w:t>e poškodený oprávnený obrátiť sa so svojím nárokom na stavebný úrad.</w:t>
      </w:r>
    </w:p>
    <w:p w:rsidR="00BC7063" w:rsidRPr="001C5680" w:rsidRDefault="00BC7063" w:rsidP="001C5680">
      <w:pPr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1C5680">
        <w:rPr>
          <w:rFonts w:ascii="Book Antiqua" w:hAnsi="Book Antiqua"/>
          <w:sz w:val="22"/>
          <w:szCs w:val="22"/>
        </w:rPr>
        <w:t xml:space="preserve">V ustanovení § 107c </w:t>
      </w:r>
      <w:r w:rsidR="006F07B5" w:rsidRPr="001C5680">
        <w:rPr>
          <w:rFonts w:ascii="Book Antiqua" w:hAnsi="Book Antiqua"/>
          <w:sz w:val="22"/>
          <w:szCs w:val="22"/>
        </w:rPr>
        <w:t xml:space="preserve">sa určuje, že na konanie a </w:t>
      </w:r>
      <w:r w:rsidR="006F07B5" w:rsidRPr="001C5680">
        <w:rPr>
          <w:rFonts w:ascii="Book Antiqua" w:hAnsi="Book Antiqua"/>
          <w:bCs/>
          <w:sz w:val="22"/>
          <w:szCs w:val="22"/>
        </w:rPr>
        <w:t xml:space="preserve">rozhodovanie vo veci náhrady škody sa vzťahuje všeobecný predpis o správnom konaní, ktorým je zákon č. 71/1967 Zb. o správnom konaní (správny poriadok) v znení neskorších predpisov. </w:t>
      </w:r>
      <w:r w:rsidR="006F07B5" w:rsidRPr="001C5680">
        <w:rPr>
          <w:rFonts w:ascii="Book Antiqua" w:hAnsi="Book Antiqua"/>
          <w:sz w:val="22"/>
          <w:szCs w:val="22"/>
        </w:rPr>
        <w:t xml:space="preserve">Na konanie a </w:t>
      </w:r>
      <w:r w:rsidR="006F07B5" w:rsidRPr="001C5680">
        <w:rPr>
          <w:rFonts w:ascii="Book Antiqua" w:hAnsi="Book Antiqua"/>
          <w:bCs/>
          <w:sz w:val="22"/>
          <w:szCs w:val="22"/>
        </w:rPr>
        <w:t>rozhodovanie vo veci náhrady škody je príslušný stavebný úrad, ktorý vydáva rozhodnutie o náhrade škody za zníženie kvality obytného prostredia.</w:t>
      </w:r>
    </w:p>
    <w:p w:rsidR="006F07B5" w:rsidRPr="001C5680" w:rsidRDefault="006F07B5" w:rsidP="001C5680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C5680">
        <w:rPr>
          <w:rFonts w:ascii="Book Antiqua" w:hAnsi="Book Antiqua"/>
          <w:bCs/>
          <w:sz w:val="22"/>
          <w:szCs w:val="22"/>
        </w:rPr>
        <w:t xml:space="preserve">V nasledujúcich ustanoveniach sa upravujú ďalšie podmienky súvisiace s náhradou škody, a to že uloženie sankcie podľa stavebného zákona nemá vplyv na nárok na náhradu škody, a že nárok na náhradu škody sa </w:t>
      </w:r>
      <w:r w:rsidR="00CE17CF">
        <w:rPr>
          <w:rFonts w:ascii="Book Antiqua" w:hAnsi="Book Antiqua"/>
          <w:bCs/>
          <w:sz w:val="22"/>
          <w:szCs w:val="22"/>
        </w:rPr>
        <w:t xml:space="preserve">primerane </w:t>
      </w:r>
      <w:r w:rsidRPr="001C5680">
        <w:rPr>
          <w:rFonts w:ascii="Book Antiqua" w:hAnsi="Book Antiqua"/>
          <w:bCs/>
          <w:sz w:val="22"/>
          <w:szCs w:val="22"/>
        </w:rPr>
        <w:t>spravuje tiež všeobecným predpisom o zodpovednosti za škodu, ktorým je Obč</w:t>
      </w:r>
      <w:r w:rsidR="00CE17CF">
        <w:rPr>
          <w:rFonts w:ascii="Book Antiqua" w:hAnsi="Book Antiqua"/>
          <w:bCs/>
          <w:sz w:val="22"/>
          <w:szCs w:val="22"/>
        </w:rPr>
        <w:t xml:space="preserve">iansky zákonník, konkrétne </w:t>
      </w:r>
      <w:r w:rsidRPr="001C5680">
        <w:rPr>
          <w:rFonts w:ascii="Book Antiqua" w:hAnsi="Book Antiqua"/>
          <w:bCs/>
          <w:sz w:val="22"/>
          <w:szCs w:val="22"/>
        </w:rPr>
        <w:t>ustanovenia</w:t>
      </w:r>
      <w:r w:rsidR="00CE17CF">
        <w:rPr>
          <w:rFonts w:ascii="Book Antiqua" w:hAnsi="Book Antiqua"/>
          <w:bCs/>
          <w:sz w:val="22"/>
          <w:szCs w:val="22"/>
        </w:rPr>
        <w:t>mi jeho</w:t>
      </w:r>
      <w:r w:rsidRPr="001C5680">
        <w:rPr>
          <w:rFonts w:ascii="Book Antiqua" w:hAnsi="Book Antiqua"/>
          <w:bCs/>
          <w:sz w:val="22"/>
          <w:szCs w:val="22"/>
        </w:rPr>
        <w:t xml:space="preserve"> </w:t>
      </w:r>
      <w:r w:rsidR="00CE17CF">
        <w:rPr>
          <w:rFonts w:ascii="Book Antiqua" w:hAnsi="Book Antiqua"/>
          <w:bCs/>
          <w:sz w:val="22"/>
          <w:szCs w:val="22"/>
        </w:rPr>
        <w:t xml:space="preserve">     </w:t>
      </w:r>
      <w:r w:rsidRPr="001C5680">
        <w:rPr>
          <w:rFonts w:ascii="Book Antiqua" w:hAnsi="Book Antiqua"/>
          <w:bCs/>
          <w:sz w:val="22"/>
          <w:szCs w:val="22"/>
        </w:rPr>
        <w:t>§ 415 až 450.</w:t>
      </w:r>
    </w:p>
    <w:p w:rsidR="0070488C" w:rsidRPr="001C5680" w:rsidRDefault="0070488C" w:rsidP="001C5680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  <w:u w:val="single"/>
        </w:rPr>
      </w:pPr>
    </w:p>
    <w:p w:rsidR="0070488C" w:rsidRPr="001C5680" w:rsidRDefault="0070488C" w:rsidP="001C5680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  <w:u w:val="single"/>
        </w:rPr>
      </w:pPr>
    </w:p>
    <w:p w:rsidR="00673440" w:rsidRPr="00CE17CF" w:rsidRDefault="00673440" w:rsidP="001C5680">
      <w:pPr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CE17CF">
        <w:rPr>
          <w:rFonts w:ascii="Book Antiqua" w:hAnsi="Book Antiqua"/>
          <w:sz w:val="22"/>
          <w:szCs w:val="22"/>
          <w:u w:val="single"/>
        </w:rPr>
        <w:lastRenderedPageBreak/>
        <w:t>K </w:t>
      </w:r>
      <w:r w:rsidR="008A7965" w:rsidRPr="00CE17CF">
        <w:rPr>
          <w:rFonts w:ascii="Book Antiqua" w:hAnsi="Book Antiqua"/>
          <w:sz w:val="22"/>
          <w:szCs w:val="22"/>
          <w:u w:val="single"/>
        </w:rPr>
        <w:t>bodu</w:t>
      </w:r>
      <w:r w:rsidRPr="00CE17CF">
        <w:rPr>
          <w:rFonts w:ascii="Book Antiqua" w:hAnsi="Book Antiqua"/>
          <w:sz w:val="22"/>
          <w:szCs w:val="22"/>
          <w:u w:val="single"/>
        </w:rPr>
        <w:t xml:space="preserve"> </w:t>
      </w:r>
      <w:r w:rsidR="00CE17CF" w:rsidRPr="00CE17CF">
        <w:rPr>
          <w:rFonts w:ascii="Book Antiqua" w:hAnsi="Book Antiqua"/>
          <w:sz w:val="22"/>
          <w:szCs w:val="22"/>
          <w:u w:val="single"/>
        </w:rPr>
        <w:t>25</w:t>
      </w:r>
    </w:p>
    <w:p w:rsidR="0044392D" w:rsidRPr="001C5680" w:rsidRDefault="006F07B5" w:rsidP="001C5680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C5680">
        <w:rPr>
          <w:rFonts w:ascii="Book Antiqua" w:hAnsi="Book Antiqua"/>
          <w:sz w:val="22"/>
          <w:szCs w:val="22"/>
        </w:rPr>
        <w:t>V tomto bode návrhu zákona sa vkladajú nové ustanovenia do § 139 stavebného zákona, ktoré obsahujú vymedzeni</w:t>
      </w:r>
      <w:r w:rsidR="0070488C" w:rsidRPr="001C5680">
        <w:rPr>
          <w:rFonts w:ascii="Book Antiqua" w:hAnsi="Book Antiqua"/>
          <w:sz w:val="22"/>
          <w:szCs w:val="22"/>
        </w:rPr>
        <w:t>a</w:t>
      </w:r>
      <w:r w:rsidRPr="001C5680">
        <w:rPr>
          <w:rFonts w:ascii="Book Antiqua" w:hAnsi="Book Antiqua"/>
          <w:sz w:val="22"/>
          <w:szCs w:val="22"/>
        </w:rPr>
        <w:t xml:space="preserve"> nových pojmov.</w:t>
      </w:r>
    </w:p>
    <w:p w:rsidR="006F07B5" w:rsidRPr="001C5680" w:rsidRDefault="006F07B5" w:rsidP="001C5680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C5680">
        <w:rPr>
          <w:rFonts w:ascii="Book Antiqua" w:hAnsi="Book Antiqua"/>
          <w:sz w:val="22"/>
          <w:szCs w:val="22"/>
        </w:rPr>
        <w:t>Prvým z novo zavádzaných pojmov je pojem „obytné prostredie“. Ide o základný pojem, o ktorý sa opiera celá problematika tohto návrhu zákona. Pojem obytné prostredie možno jednoducho charakterizovať ako akýkoľvek priestor, v ktorom ľudia bývajú. Je to pri</w:t>
      </w:r>
      <w:r w:rsidR="0070488C" w:rsidRPr="001C5680">
        <w:rPr>
          <w:rFonts w:ascii="Book Antiqua" w:hAnsi="Book Antiqua"/>
          <w:sz w:val="22"/>
          <w:szCs w:val="22"/>
        </w:rPr>
        <w:t>e</w:t>
      </w:r>
      <w:r w:rsidRPr="001C5680">
        <w:rPr>
          <w:rFonts w:ascii="Book Antiqua" w:hAnsi="Book Antiqua"/>
          <w:sz w:val="22"/>
          <w:szCs w:val="22"/>
        </w:rPr>
        <w:t>stor, ktorý slúži ľuďom ako ich základné útočisko, v ktorom by mali vždy nájsť pokoj, oddych, priestor na regeneráciu po náročnom dni, atď. Odhliadnuc od vnútorných záležitostí každej rodiny a v nich vznikajúci</w:t>
      </w:r>
      <w:r w:rsidR="00CE17CF">
        <w:rPr>
          <w:rFonts w:ascii="Book Antiqua" w:hAnsi="Book Antiqua"/>
          <w:sz w:val="22"/>
          <w:szCs w:val="22"/>
        </w:rPr>
        <w:t xml:space="preserve">ch prípadných rušivých vplyvov by mal </w:t>
      </w:r>
      <w:r w:rsidRPr="001C5680">
        <w:rPr>
          <w:rFonts w:ascii="Book Antiqua" w:hAnsi="Book Antiqua"/>
          <w:sz w:val="22"/>
          <w:szCs w:val="22"/>
        </w:rPr>
        <w:t xml:space="preserve">byť obytný </w:t>
      </w:r>
      <w:proofErr w:type="spellStart"/>
      <w:r w:rsidRPr="001C5680">
        <w:rPr>
          <w:rFonts w:ascii="Book Antiqua" w:hAnsi="Book Antiqua"/>
          <w:sz w:val="22"/>
          <w:szCs w:val="22"/>
        </w:rPr>
        <w:t>pristor</w:t>
      </w:r>
      <w:proofErr w:type="spellEnd"/>
      <w:r w:rsidRPr="001C5680">
        <w:rPr>
          <w:rFonts w:ascii="Book Antiqua" w:hAnsi="Book Antiqua"/>
          <w:sz w:val="22"/>
          <w:szCs w:val="22"/>
        </w:rPr>
        <w:t xml:space="preserve"> nerušený z hľadiska externých vplyv</w:t>
      </w:r>
      <w:r w:rsidR="00305B84" w:rsidRPr="001C5680">
        <w:rPr>
          <w:rFonts w:ascii="Book Antiqua" w:hAnsi="Book Antiqua"/>
          <w:sz w:val="22"/>
          <w:szCs w:val="22"/>
        </w:rPr>
        <w:t>ov. Inak povedané, mal by mať za</w:t>
      </w:r>
      <w:r w:rsidRPr="001C5680">
        <w:rPr>
          <w:rFonts w:ascii="Book Antiqua" w:hAnsi="Book Antiqua"/>
          <w:sz w:val="22"/>
          <w:szCs w:val="22"/>
        </w:rPr>
        <w:t>ručenú svoju kvality</w:t>
      </w:r>
      <w:r w:rsidR="00305B84" w:rsidRPr="001C5680">
        <w:rPr>
          <w:rFonts w:ascii="Book Antiqua" w:hAnsi="Book Antiqua"/>
          <w:sz w:val="22"/>
          <w:szCs w:val="22"/>
        </w:rPr>
        <w:t xml:space="preserve"> vzhľadom na jeho základnú funkcionalitu, ktorou je už vyššie </w:t>
      </w:r>
      <w:r w:rsidR="0070488C" w:rsidRPr="001C5680">
        <w:rPr>
          <w:rFonts w:ascii="Book Antiqua" w:hAnsi="Book Antiqua"/>
          <w:sz w:val="22"/>
          <w:szCs w:val="22"/>
        </w:rPr>
        <w:t>s</w:t>
      </w:r>
      <w:r w:rsidR="00305B84" w:rsidRPr="001C5680">
        <w:rPr>
          <w:rFonts w:ascii="Book Antiqua" w:hAnsi="Book Antiqua"/>
          <w:sz w:val="22"/>
          <w:szCs w:val="22"/>
        </w:rPr>
        <w:t xml:space="preserve">pomínané „útočisko“, teda miesto kľudu, relaxu, nerušeného oddychu a regenerácie. Na túto kvalitu </w:t>
      </w:r>
      <w:r w:rsidR="0070488C" w:rsidRPr="001C5680">
        <w:rPr>
          <w:rFonts w:ascii="Book Antiqua" w:hAnsi="Book Antiqua"/>
          <w:sz w:val="22"/>
          <w:szCs w:val="22"/>
        </w:rPr>
        <w:t>reflektuje</w:t>
      </w:r>
      <w:r w:rsidR="00305B84" w:rsidRPr="001C5680">
        <w:rPr>
          <w:rFonts w:ascii="Book Antiqua" w:hAnsi="Book Antiqua"/>
          <w:sz w:val="22"/>
          <w:szCs w:val="22"/>
        </w:rPr>
        <w:t xml:space="preserve"> ďalší zo zavádzaných pojmov „kvalita obytného prostredia“.</w:t>
      </w:r>
    </w:p>
    <w:p w:rsidR="00305B84" w:rsidRPr="001C5680" w:rsidRDefault="00305B84" w:rsidP="001C5680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C5680">
        <w:rPr>
          <w:rFonts w:ascii="Book Antiqua" w:hAnsi="Book Antiqua"/>
          <w:sz w:val="22"/>
          <w:szCs w:val="22"/>
        </w:rPr>
        <w:t>Kvalitou obytného prostredia sa rozumie stupeň nerušeného využívania jeho základnej funkcie popísanej vyššie. Kvalitou je však zároveň tiež ho</w:t>
      </w:r>
      <w:r w:rsidR="0070488C" w:rsidRPr="001C5680">
        <w:rPr>
          <w:rFonts w:ascii="Book Antiqua" w:hAnsi="Book Antiqua"/>
          <w:sz w:val="22"/>
          <w:szCs w:val="22"/>
        </w:rPr>
        <w:t>d</w:t>
      </w:r>
      <w:r w:rsidRPr="001C5680">
        <w:rPr>
          <w:rFonts w:ascii="Book Antiqua" w:hAnsi="Book Antiqua"/>
          <w:sz w:val="22"/>
          <w:szCs w:val="22"/>
        </w:rPr>
        <w:t>nota obytného prostredia vyjadriteľná v peniazoch. Tým sa rozumie trhová cena bytu, rodinného domu</w:t>
      </w:r>
      <w:r w:rsidR="00CE17CF">
        <w:rPr>
          <w:rFonts w:ascii="Book Antiqua" w:hAnsi="Book Antiqua"/>
          <w:sz w:val="22"/>
          <w:szCs w:val="22"/>
        </w:rPr>
        <w:t>,</w:t>
      </w:r>
      <w:r w:rsidRPr="001C5680">
        <w:rPr>
          <w:rFonts w:ascii="Book Antiqua" w:hAnsi="Book Antiqua"/>
          <w:sz w:val="22"/>
          <w:szCs w:val="22"/>
        </w:rPr>
        <w:t xml:space="preserve"> či iného prostredia určeného na bývanie.</w:t>
      </w:r>
    </w:p>
    <w:p w:rsidR="00305B84" w:rsidRPr="001C5680" w:rsidRDefault="00305B84" w:rsidP="001C5680">
      <w:pPr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1C5680">
        <w:rPr>
          <w:rFonts w:ascii="Book Antiqua" w:hAnsi="Book Antiqua"/>
          <w:sz w:val="22"/>
          <w:szCs w:val="22"/>
        </w:rPr>
        <w:t xml:space="preserve">Ďalším z nových pojmov je pojem „zníženie kvality obytného prostredia“. V zásade možno povedať, že ide o akýkoľvek </w:t>
      </w:r>
      <w:r w:rsidR="00265ED7" w:rsidRPr="001C5680">
        <w:rPr>
          <w:rFonts w:ascii="Book Antiqua" w:hAnsi="Book Antiqua"/>
          <w:sz w:val="22"/>
          <w:szCs w:val="22"/>
        </w:rPr>
        <w:t>vplyv na obytné</w:t>
      </w:r>
      <w:r w:rsidRPr="001C5680">
        <w:rPr>
          <w:rFonts w:ascii="Book Antiqua" w:hAnsi="Book Antiqua"/>
          <w:sz w:val="22"/>
          <w:szCs w:val="22"/>
        </w:rPr>
        <w:t xml:space="preserve"> prostredie, ktorý znižuje jeho kvalitu, a na základe korého vzniká škoda osobe alebo osobám, ktoré v obytnom prostredí bývajú, alebo ktoré obytný priestor vlastnia. Vo väčšine prípadov pôjde o spôsobovanie škody priamo bývajúcim osobám, a to zväčša na základe napríklad blízkej obchodnej prevádzk</w:t>
      </w:r>
      <w:r w:rsidR="0070488C" w:rsidRPr="001C5680">
        <w:rPr>
          <w:rFonts w:ascii="Book Antiqua" w:hAnsi="Book Antiqua"/>
          <w:sz w:val="22"/>
          <w:szCs w:val="22"/>
        </w:rPr>
        <w:t>y</w:t>
      </w:r>
      <w:r w:rsidRPr="001C5680">
        <w:rPr>
          <w:rFonts w:ascii="Book Antiqua" w:hAnsi="Book Antiqua"/>
          <w:sz w:val="22"/>
          <w:szCs w:val="22"/>
        </w:rPr>
        <w:t>, ktorá znižuje kvalitu obytného prostredia či už nadmerným hlukom, svetlom alebo vibráciami, atď. V dôsledku toho je kvalita bývania osôb v obytnom prostredí znížená, čím dochádza k poškodzovaniu týchto osôb (napríklad nemajú priestor na kvalitný spánok a pod.).</w:t>
      </w:r>
      <w:r w:rsidR="00265ED7" w:rsidRPr="001C5680">
        <w:rPr>
          <w:rFonts w:ascii="Book Antiqua" w:hAnsi="Book Antiqua"/>
          <w:sz w:val="22"/>
          <w:szCs w:val="22"/>
        </w:rPr>
        <w:t xml:space="preserve"> Zníženie kvality obytného prostredia musí byť</w:t>
      </w:r>
      <w:r w:rsidR="0070488C" w:rsidRPr="001C5680">
        <w:rPr>
          <w:rFonts w:ascii="Book Antiqua" w:hAnsi="Book Antiqua"/>
          <w:sz w:val="22"/>
          <w:szCs w:val="22"/>
        </w:rPr>
        <w:t xml:space="preserve"> dlhodobé, t.j. musí trvať minim</w:t>
      </w:r>
      <w:r w:rsidR="00265ED7" w:rsidRPr="001C5680">
        <w:rPr>
          <w:rFonts w:ascii="Book Antiqua" w:hAnsi="Book Antiqua"/>
          <w:sz w:val="22"/>
          <w:szCs w:val="22"/>
        </w:rPr>
        <w:t xml:space="preserve">álne po dobu troch dní. Výnimkou je prípad tzv. havárie, t.j. náhleho jednorazového úniku </w:t>
      </w:r>
      <w:r w:rsidR="00265ED7" w:rsidRPr="001C5680">
        <w:rPr>
          <w:rFonts w:ascii="Book Antiqua" w:hAnsi="Book Antiqua"/>
          <w:bCs/>
          <w:sz w:val="22"/>
          <w:szCs w:val="22"/>
        </w:rPr>
        <w:t>hluku, prachu, popolčeku, dymu, plynu, pary, pachu, pevných a tekutých odpadov, svetla a vibrácií, ktoré znížia kvalitu obytného prostredia v značnom rozsahu. Znížením kvality obytného prostredia je tiež zníženie jeho hodnoty vyjadriteľnej v peniazoch nevhodnou výstavbou v okolí obytného prostredia alebo takým užívaním blízkych nehnuteľností, ktoré svojou povahou znižuje hodnotu obytného prostredia. Ide napríklad o také situácie, keď sa vlastník susedného rodinného domu rozhodne zriadiť v ňom tzv. „nevestinec“</w:t>
      </w:r>
      <w:r w:rsidR="00CE17CF">
        <w:rPr>
          <w:rFonts w:ascii="Book Antiqua" w:hAnsi="Book Antiqua"/>
          <w:bCs/>
          <w:sz w:val="22"/>
          <w:szCs w:val="22"/>
        </w:rPr>
        <w:t xml:space="preserve"> alebo „zvierací hotel“</w:t>
      </w:r>
      <w:r w:rsidR="00265ED7" w:rsidRPr="001C5680">
        <w:rPr>
          <w:rFonts w:ascii="Book Antiqua" w:hAnsi="Book Antiqua"/>
          <w:bCs/>
          <w:sz w:val="22"/>
          <w:szCs w:val="22"/>
        </w:rPr>
        <w:t>. Je zrejmé, že táto skutočnosť bude mať negatívny vplyv na cenu nehnuteľnosti susediacej s nevestincom,</w:t>
      </w:r>
      <w:r w:rsidR="00CE17CF">
        <w:rPr>
          <w:rFonts w:ascii="Book Antiqua" w:hAnsi="Book Antiqua"/>
          <w:bCs/>
          <w:sz w:val="22"/>
          <w:szCs w:val="22"/>
        </w:rPr>
        <w:t xml:space="preserve"> resp. zvieracím</w:t>
      </w:r>
      <w:r w:rsidR="00027525">
        <w:rPr>
          <w:rFonts w:ascii="Book Antiqua" w:hAnsi="Book Antiqua"/>
          <w:bCs/>
          <w:sz w:val="22"/>
          <w:szCs w:val="22"/>
        </w:rPr>
        <w:t xml:space="preserve"> hotelom,</w:t>
      </w:r>
      <w:r w:rsidR="00265ED7" w:rsidRPr="001C5680">
        <w:rPr>
          <w:rFonts w:ascii="Book Antiqua" w:hAnsi="Book Antiqua"/>
          <w:bCs/>
          <w:sz w:val="22"/>
          <w:szCs w:val="22"/>
        </w:rPr>
        <w:t xml:space="preserve"> čím vznikne vlastníkovi tejto nehnuteľnosti (obytného prostredia) škoda.</w:t>
      </w:r>
    </w:p>
    <w:p w:rsidR="00265ED7" w:rsidRPr="001C5680" w:rsidRDefault="00265ED7" w:rsidP="001C5680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C5680">
        <w:rPr>
          <w:rFonts w:ascii="Book Antiqua" w:hAnsi="Book Antiqua"/>
          <w:bCs/>
          <w:sz w:val="22"/>
          <w:szCs w:val="22"/>
        </w:rPr>
        <w:t xml:space="preserve">Posledným zo </w:t>
      </w:r>
      <w:r w:rsidR="0070488C" w:rsidRPr="001C5680">
        <w:rPr>
          <w:rFonts w:ascii="Book Antiqua" w:hAnsi="Book Antiqua"/>
          <w:bCs/>
          <w:sz w:val="22"/>
          <w:szCs w:val="22"/>
        </w:rPr>
        <w:t>z</w:t>
      </w:r>
      <w:r w:rsidRPr="001C5680">
        <w:rPr>
          <w:rFonts w:ascii="Book Antiqua" w:hAnsi="Book Antiqua"/>
          <w:bCs/>
          <w:sz w:val="22"/>
          <w:szCs w:val="22"/>
        </w:rPr>
        <w:t>a</w:t>
      </w:r>
      <w:r w:rsidR="0070488C" w:rsidRPr="001C5680">
        <w:rPr>
          <w:rFonts w:ascii="Book Antiqua" w:hAnsi="Book Antiqua"/>
          <w:bCs/>
          <w:sz w:val="22"/>
          <w:szCs w:val="22"/>
        </w:rPr>
        <w:t>vádzaných nových poj</w:t>
      </w:r>
      <w:r w:rsidRPr="001C5680">
        <w:rPr>
          <w:rFonts w:ascii="Book Antiqua" w:hAnsi="Book Antiqua"/>
          <w:bCs/>
          <w:sz w:val="22"/>
          <w:szCs w:val="22"/>
        </w:rPr>
        <w:t>m</w:t>
      </w:r>
      <w:r w:rsidR="0070488C" w:rsidRPr="001C5680">
        <w:rPr>
          <w:rFonts w:ascii="Book Antiqua" w:hAnsi="Book Antiqua"/>
          <w:bCs/>
          <w:sz w:val="22"/>
          <w:szCs w:val="22"/>
        </w:rPr>
        <w:t>o</w:t>
      </w:r>
      <w:r w:rsidRPr="001C5680">
        <w:rPr>
          <w:rFonts w:ascii="Book Antiqua" w:hAnsi="Book Antiqua"/>
          <w:bCs/>
          <w:sz w:val="22"/>
          <w:szCs w:val="22"/>
        </w:rPr>
        <w:t xml:space="preserve">v je pojem „poškodený“. Poškodeným sa rozumie osoba, ktorej bola spôsobená škoda na základe zníženia kvality obytného prostredia; poškodeným môže byť vlastník obytného prostredia alebo osoba, </w:t>
      </w:r>
      <w:r w:rsidR="001751B6" w:rsidRPr="001C5680">
        <w:rPr>
          <w:rFonts w:ascii="Book Antiqua" w:hAnsi="Book Antiqua"/>
          <w:bCs/>
          <w:sz w:val="22"/>
          <w:szCs w:val="22"/>
        </w:rPr>
        <w:t>ktorá v obytnom prostredí býva</w:t>
      </w:r>
      <w:r w:rsidR="00027525">
        <w:rPr>
          <w:rFonts w:ascii="Book Antiqua" w:hAnsi="Book Antiqua"/>
          <w:bCs/>
          <w:sz w:val="22"/>
          <w:szCs w:val="22"/>
        </w:rPr>
        <w:t xml:space="preserve"> aspoň na prechodný pobyt</w:t>
      </w:r>
      <w:r w:rsidR="001751B6" w:rsidRPr="001C5680">
        <w:rPr>
          <w:rFonts w:ascii="Book Antiqua" w:hAnsi="Book Antiqua"/>
          <w:bCs/>
          <w:sz w:val="22"/>
          <w:szCs w:val="22"/>
        </w:rPr>
        <w:t>.</w:t>
      </w:r>
    </w:p>
    <w:p w:rsidR="00027525" w:rsidRDefault="00027525" w:rsidP="001C5680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  <w:u w:val="single"/>
        </w:rPr>
      </w:pPr>
    </w:p>
    <w:p w:rsidR="00027525" w:rsidRDefault="00027525" w:rsidP="001C5680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  <w:u w:val="single"/>
        </w:rPr>
      </w:pPr>
    </w:p>
    <w:p w:rsidR="0044392D" w:rsidRPr="001C5680" w:rsidRDefault="0044392D" w:rsidP="001C5680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1C5680">
        <w:rPr>
          <w:rFonts w:ascii="Book Antiqua" w:hAnsi="Book Antiqua"/>
          <w:b/>
          <w:sz w:val="22"/>
          <w:szCs w:val="22"/>
          <w:u w:val="single"/>
        </w:rPr>
        <w:lastRenderedPageBreak/>
        <w:t>K </w:t>
      </w:r>
      <w:r w:rsidR="008A7965" w:rsidRPr="001C5680">
        <w:rPr>
          <w:rFonts w:ascii="Book Antiqua" w:hAnsi="Book Antiqua"/>
          <w:b/>
          <w:sz w:val="22"/>
          <w:szCs w:val="22"/>
          <w:u w:val="single"/>
        </w:rPr>
        <w:t>bodu</w:t>
      </w:r>
      <w:r w:rsidRPr="001C5680">
        <w:rPr>
          <w:rFonts w:ascii="Book Antiqua" w:hAnsi="Book Antiqua"/>
          <w:b/>
          <w:sz w:val="22"/>
          <w:szCs w:val="22"/>
          <w:u w:val="single"/>
        </w:rPr>
        <w:t xml:space="preserve"> </w:t>
      </w:r>
      <w:r w:rsidR="00027525">
        <w:rPr>
          <w:rFonts w:ascii="Book Antiqua" w:hAnsi="Book Antiqua"/>
          <w:b/>
          <w:sz w:val="22"/>
          <w:szCs w:val="22"/>
          <w:u w:val="single"/>
        </w:rPr>
        <w:t>26</w:t>
      </w:r>
    </w:p>
    <w:p w:rsidR="002F45BF" w:rsidRPr="001C5680" w:rsidRDefault="001751B6" w:rsidP="001C5680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C5680">
        <w:rPr>
          <w:rFonts w:ascii="Book Antiqua" w:hAnsi="Book Antiqua"/>
          <w:sz w:val="22"/>
          <w:szCs w:val="22"/>
        </w:rPr>
        <w:t xml:space="preserve">V tomto bode návrhu zákona sa upravuje prechodné ustanovenie na účely zabzepečenia právnej istoty účastníkov právnych vzťahov </w:t>
      </w:r>
      <w:r w:rsidR="0070488C" w:rsidRPr="001C5680">
        <w:rPr>
          <w:rFonts w:ascii="Book Antiqua" w:hAnsi="Book Antiqua"/>
          <w:sz w:val="22"/>
          <w:szCs w:val="22"/>
        </w:rPr>
        <w:t>upravených</w:t>
      </w:r>
      <w:r w:rsidRPr="001C5680">
        <w:rPr>
          <w:rFonts w:ascii="Book Antiqua" w:hAnsi="Book Antiqua"/>
          <w:sz w:val="22"/>
          <w:szCs w:val="22"/>
        </w:rPr>
        <w:t xml:space="preserve"> stavebn</w:t>
      </w:r>
      <w:r w:rsidR="0070488C" w:rsidRPr="001C5680">
        <w:rPr>
          <w:rFonts w:ascii="Book Antiqua" w:hAnsi="Book Antiqua"/>
          <w:sz w:val="22"/>
          <w:szCs w:val="22"/>
        </w:rPr>
        <w:t>ým</w:t>
      </w:r>
      <w:r w:rsidRPr="001C5680">
        <w:rPr>
          <w:rFonts w:ascii="Book Antiqua" w:hAnsi="Book Antiqua"/>
          <w:sz w:val="22"/>
          <w:szCs w:val="22"/>
        </w:rPr>
        <w:t xml:space="preserve"> zákon</w:t>
      </w:r>
      <w:r w:rsidR="0070488C" w:rsidRPr="001C5680">
        <w:rPr>
          <w:rFonts w:ascii="Book Antiqua" w:hAnsi="Book Antiqua"/>
          <w:sz w:val="22"/>
          <w:szCs w:val="22"/>
        </w:rPr>
        <w:t>om</w:t>
      </w:r>
      <w:r w:rsidRPr="001C5680">
        <w:rPr>
          <w:rFonts w:ascii="Book Antiqua" w:hAnsi="Book Antiqua"/>
          <w:sz w:val="22"/>
          <w:szCs w:val="22"/>
        </w:rPr>
        <w:t xml:space="preserve">, vzhľadom na navrhované zmeny podľa tohto </w:t>
      </w:r>
      <w:r w:rsidR="0070488C" w:rsidRPr="001C5680">
        <w:rPr>
          <w:rFonts w:ascii="Book Antiqua" w:hAnsi="Book Antiqua"/>
          <w:sz w:val="22"/>
          <w:szCs w:val="22"/>
        </w:rPr>
        <w:t xml:space="preserve">návrhu </w:t>
      </w:r>
      <w:r w:rsidRPr="001C5680">
        <w:rPr>
          <w:rFonts w:ascii="Book Antiqua" w:hAnsi="Book Antiqua"/>
          <w:sz w:val="22"/>
          <w:szCs w:val="22"/>
        </w:rPr>
        <w:t>zákona, ktoré majú nadobudnúť účinnosť dňom 1. marca 2020.</w:t>
      </w:r>
    </w:p>
    <w:p w:rsidR="00D87BB5" w:rsidRPr="001C5680" w:rsidRDefault="00D87BB5" w:rsidP="001C5680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2F45BF" w:rsidRPr="001C5680" w:rsidRDefault="00C71784" w:rsidP="001C5680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1C5680">
        <w:rPr>
          <w:rFonts w:ascii="Book Antiqua" w:hAnsi="Book Antiqua"/>
          <w:b/>
          <w:sz w:val="22"/>
          <w:szCs w:val="22"/>
        </w:rPr>
        <w:t xml:space="preserve">K Čl. </w:t>
      </w:r>
      <w:r w:rsidR="008A7965" w:rsidRPr="001C5680">
        <w:rPr>
          <w:rFonts w:ascii="Book Antiqua" w:hAnsi="Book Antiqua"/>
          <w:b/>
          <w:sz w:val="22"/>
          <w:szCs w:val="22"/>
        </w:rPr>
        <w:t>I</w:t>
      </w:r>
      <w:r w:rsidRPr="001C5680">
        <w:rPr>
          <w:rFonts w:ascii="Book Antiqua" w:hAnsi="Book Antiqua"/>
          <w:b/>
          <w:sz w:val="22"/>
          <w:szCs w:val="22"/>
        </w:rPr>
        <w:t>I</w:t>
      </w:r>
    </w:p>
    <w:p w:rsidR="002F45BF" w:rsidRPr="001C5680" w:rsidRDefault="00C71784" w:rsidP="001C5680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C5680">
        <w:rPr>
          <w:rFonts w:ascii="Book Antiqua" w:hAnsi="Book Antiqua"/>
          <w:bCs/>
          <w:sz w:val="22"/>
          <w:szCs w:val="22"/>
        </w:rPr>
        <w:t>Navrhuje sa účinnosť predkladaného návrhu zákona so zohľadnením potrebnej dĺžky legisvaka</w:t>
      </w:r>
      <w:r w:rsidR="00BF694F" w:rsidRPr="001C5680">
        <w:rPr>
          <w:rFonts w:ascii="Book Antiqua" w:hAnsi="Book Antiqua"/>
          <w:bCs/>
          <w:sz w:val="22"/>
          <w:szCs w:val="22"/>
        </w:rPr>
        <w:t>n</w:t>
      </w:r>
      <w:r w:rsidRPr="001C5680">
        <w:rPr>
          <w:rFonts w:ascii="Book Antiqua" w:hAnsi="Book Antiqua"/>
          <w:bCs/>
          <w:sz w:val="22"/>
          <w:szCs w:val="22"/>
        </w:rPr>
        <w:t>čnej lehoty na</w:t>
      </w:r>
      <w:r w:rsidRPr="001C5680">
        <w:rPr>
          <w:rFonts w:ascii="Book Antiqua" w:hAnsi="Book Antiqua"/>
          <w:sz w:val="22"/>
          <w:szCs w:val="22"/>
        </w:rPr>
        <w:t xml:space="preserve"> 1. </w:t>
      </w:r>
      <w:r w:rsidR="008A7965" w:rsidRPr="001C5680">
        <w:rPr>
          <w:rFonts w:ascii="Book Antiqua" w:hAnsi="Book Antiqua"/>
          <w:sz w:val="22"/>
          <w:szCs w:val="22"/>
        </w:rPr>
        <w:t>marca</w:t>
      </w:r>
      <w:r w:rsidRPr="001C5680">
        <w:rPr>
          <w:rFonts w:ascii="Book Antiqua" w:hAnsi="Book Antiqua"/>
          <w:sz w:val="22"/>
          <w:szCs w:val="22"/>
        </w:rPr>
        <w:t xml:space="preserve"> 20</w:t>
      </w:r>
      <w:r w:rsidR="00E92887" w:rsidRPr="001C5680">
        <w:rPr>
          <w:rFonts w:ascii="Book Antiqua" w:hAnsi="Book Antiqua"/>
          <w:sz w:val="22"/>
          <w:szCs w:val="22"/>
        </w:rPr>
        <w:t>20</w:t>
      </w:r>
      <w:r w:rsidRPr="001C5680">
        <w:rPr>
          <w:rFonts w:ascii="Book Antiqua" w:hAnsi="Book Antiqua"/>
          <w:sz w:val="22"/>
          <w:szCs w:val="22"/>
        </w:rPr>
        <w:t>.</w:t>
      </w:r>
    </w:p>
    <w:p w:rsidR="002F45BF" w:rsidRPr="001C5680" w:rsidRDefault="002F45BF" w:rsidP="001C5680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265182" w:rsidRPr="001C5680" w:rsidRDefault="00265182" w:rsidP="001C5680">
      <w:pPr>
        <w:suppressAutoHyphens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1C5680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</w:p>
    <w:p w:rsidR="002F45BF" w:rsidRPr="001C5680" w:rsidRDefault="00C71784" w:rsidP="001C5680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  <w:r w:rsidRPr="001C5680">
        <w:rPr>
          <w:rFonts w:ascii="Book Antiqua" w:hAnsi="Book Antiqua"/>
          <w:b/>
          <w:bCs/>
          <w:caps/>
          <w:spacing w:val="30"/>
          <w:sz w:val="22"/>
          <w:szCs w:val="22"/>
        </w:rPr>
        <w:lastRenderedPageBreak/>
        <w:t>DOLOŽKA ZLUČITEĽNOSTI</w:t>
      </w:r>
    </w:p>
    <w:p w:rsidR="002F45BF" w:rsidRPr="001C5680" w:rsidRDefault="00C71784" w:rsidP="001C5680">
      <w:pPr>
        <w:pStyle w:val="Normlnywebov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1C5680">
        <w:rPr>
          <w:rFonts w:ascii="Book Antiqua" w:hAnsi="Book Antiqua"/>
          <w:b/>
          <w:bCs/>
          <w:sz w:val="22"/>
          <w:szCs w:val="22"/>
        </w:rPr>
        <w:t>návrhu zákona</w:t>
      </w:r>
      <w:r w:rsidRPr="001C5680">
        <w:rPr>
          <w:rFonts w:ascii="Book Antiqua" w:hAnsi="Book Antiqua"/>
          <w:sz w:val="22"/>
          <w:szCs w:val="22"/>
        </w:rPr>
        <w:t xml:space="preserve"> </w:t>
      </w:r>
      <w:r w:rsidRPr="001C5680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2F45BF" w:rsidRPr="001C5680" w:rsidRDefault="00C71784" w:rsidP="001C5680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1C5680">
        <w:rPr>
          <w:rFonts w:ascii="Book Antiqua" w:hAnsi="Book Antiqua"/>
          <w:sz w:val="22"/>
          <w:szCs w:val="22"/>
        </w:rPr>
        <w:t> </w:t>
      </w:r>
    </w:p>
    <w:p w:rsidR="002F45BF" w:rsidRPr="001C5680" w:rsidRDefault="00C71784" w:rsidP="001C5680">
      <w:pPr>
        <w:pStyle w:val="Normlnywebov"/>
        <w:spacing w:before="120" w:after="0" w:line="276" w:lineRule="auto"/>
        <w:jc w:val="both"/>
        <w:rPr>
          <w:rFonts w:ascii="Book Antiqua" w:hAnsi="Book Antiqua"/>
          <w:strike/>
          <w:color w:val="FF0000"/>
          <w:sz w:val="22"/>
          <w:szCs w:val="22"/>
        </w:rPr>
      </w:pPr>
      <w:r w:rsidRPr="001C5680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1C5680">
        <w:rPr>
          <w:rFonts w:ascii="Book Antiqua" w:hAnsi="Book Antiqua"/>
          <w:sz w:val="22"/>
          <w:szCs w:val="22"/>
        </w:rPr>
        <w:t xml:space="preserve"> skupina poslancov Národnej rady Slovenskej republiky</w:t>
      </w:r>
    </w:p>
    <w:p w:rsidR="002F45BF" w:rsidRPr="001C5680" w:rsidRDefault="002F45BF" w:rsidP="001C5680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</w:p>
    <w:p w:rsidR="002F45BF" w:rsidRPr="001C5680" w:rsidRDefault="00C71784" w:rsidP="001C5680">
      <w:pPr>
        <w:pStyle w:val="Normlnywebov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1C5680">
        <w:rPr>
          <w:rFonts w:ascii="Book Antiqua" w:hAnsi="Book Antiqua"/>
          <w:b/>
          <w:sz w:val="22"/>
          <w:szCs w:val="22"/>
        </w:rPr>
        <w:t>2. Názov návrhu zákona</w:t>
      </w:r>
      <w:r w:rsidRPr="001C5680">
        <w:rPr>
          <w:rFonts w:ascii="Book Antiqua" w:hAnsi="Book Antiqua"/>
          <w:sz w:val="22"/>
          <w:szCs w:val="22"/>
        </w:rPr>
        <w:t xml:space="preserve">: návrh </w:t>
      </w:r>
      <w:r w:rsidR="008A7965" w:rsidRPr="001C5680">
        <w:rPr>
          <w:rFonts w:ascii="Book Antiqua" w:hAnsi="Book Antiqua"/>
          <w:sz w:val="22"/>
          <w:szCs w:val="22"/>
        </w:rPr>
        <w:t>zákona</w:t>
      </w:r>
      <w:r w:rsidR="008A7965" w:rsidRPr="001C5680">
        <w:rPr>
          <w:rFonts w:ascii="Book Antiqua" w:hAnsi="Book Antiqua"/>
          <w:bCs/>
          <w:sz w:val="22"/>
          <w:szCs w:val="22"/>
        </w:rPr>
        <w:t>, ktorým sa mení a dopĺňa zákon č. 50/1976 Zb. o územnom plánovaní a stavebnom poriadku (stavebný zákon) v znení n</w:t>
      </w:r>
      <w:r w:rsidR="00027525">
        <w:rPr>
          <w:rFonts w:ascii="Book Antiqua" w:hAnsi="Book Antiqua"/>
          <w:bCs/>
          <w:sz w:val="22"/>
          <w:szCs w:val="22"/>
        </w:rPr>
        <w:t>eskorších predpisov</w:t>
      </w:r>
    </w:p>
    <w:p w:rsidR="002F45BF" w:rsidRPr="001C5680" w:rsidRDefault="002F45BF" w:rsidP="001C5680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</w:p>
    <w:p w:rsidR="002F45BF" w:rsidRPr="001C5680" w:rsidRDefault="00C71784" w:rsidP="001C5680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C5680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2F45BF" w:rsidRPr="001C5680" w:rsidRDefault="00C71784" w:rsidP="001C5680">
      <w:pPr>
        <w:pStyle w:val="Normlnywebov"/>
        <w:numPr>
          <w:ilvl w:val="0"/>
          <w:numId w:val="1"/>
        </w:numPr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1C5680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2F45BF" w:rsidRPr="001C5680" w:rsidRDefault="00C71784" w:rsidP="001C5680">
      <w:pPr>
        <w:pStyle w:val="Normlnywebov"/>
        <w:numPr>
          <w:ilvl w:val="0"/>
          <w:numId w:val="1"/>
        </w:numPr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1C5680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2F45BF" w:rsidRPr="001C5680" w:rsidRDefault="00C71784" w:rsidP="001C5680">
      <w:pPr>
        <w:pStyle w:val="Normlnywebov"/>
        <w:numPr>
          <w:ilvl w:val="0"/>
          <w:numId w:val="1"/>
        </w:numPr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1C5680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1C5680">
        <w:rPr>
          <w:rFonts w:ascii="Book Antiqua" w:hAnsi="Book Antiqua"/>
          <w:sz w:val="22"/>
          <w:szCs w:val="22"/>
        </w:rPr>
        <w:t> </w:t>
      </w:r>
    </w:p>
    <w:p w:rsidR="002F45BF" w:rsidRPr="001C5680" w:rsidRDefault="002F45BF" w:rsidP="001C5680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2F45BF" w:rsidRPr="001C5680" w:rsidRDefault="00C71784" w:rsidP="001C5680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1C5680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2F45BF" w:rsidRPr="001C5680" w:rsidRDefault="00C71784" w:rsidP="001C5680">
      <w:pPr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C5680">
        <w:rPr>
          <w:rFonts w:ascii="Book Antiqua" w:hAnsi="Book Antiqua"/>
          <w:b/>
          <w:bCs/>
          <w:sz w:val="22"/>
          <w:szCs w:val="22"/>
        </w:rPr>
        <w:tab/>
      </w:r>
    </w:p>
    <w:p w:rsidR="00265182" w:rsidRPr="001C5680" w:rsidRDefault="00265182" w:rsidP="001C5680">
      <w:pPr>
        <w:suppressAutoHyphens w:val="0"/>
        <w:spacing w:before="12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  <w:r w:rsidRPr="001C5680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br w:type="page"/>
      </w:r>
    </w:p>
    <w:p w:rsidR="002F45BF" w:rsidRPr="001C5680" w:rsidRDefault="00C71784" w:rsidP="001C5680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  <w:r w:rsidRPr="001C5680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lastRenderedPageBreak/>
        <w:t>Doložka</w:t>
      </w:r>
    </w:p>
    <w:p w:rsidR="002F45BF" w:rsidRPr="001C5680" w:rsidRDefault="00C71784" w:rsidP="001C5680">
      <w:pPr>
        <w:spacing w:before="120" w:line="276" w:lineRule="auto"/>
        <w:jc w:val="center"/>
        <w:rPr>
          <w:rFonts w:ascii="Book Antiqua" w:hAnsi="Book Antiqua"/>
          <w:b/>
          <w:bCs/>
          <w:color w:val="000000"/>
          <w:sz w:val="22"/>
          <w:szCs w:val="22"/>
        </w:rPr>
      </w:pPr>
      <w:r w:rsidRPr="001C5680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2F45BF" w:rsidRPr="001C5680" w:rsidRDefault="002F45BF" w:rsidP="001C5680">
      <w:pPr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</w:p>
    <w:p w:rsidR="002F45BF" w:rsidRPr="001C5680" w:rsidRDefault="00C71784" w:rsidP="001C5680">
      <w:pPr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1C5680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="00265182" w:rsidRPr="001C5680">
        <w:rPr>
          <w:rFonts w:ascii="Book Antiqua" w:hAnsi="Book Antiqua"/>
          <w:sz w:val="22"/>
          <w:szCs w:val="22"/>
        </w:rPr>
        <w:t xml:space="preserve">návrh </w:t>
      </w:r>
      <w:r w:rsidR="008A7965" w:rsidRPr="001C5680">
        <w:rPr>
          <w:rFonts w:ascii="Book Antiqua" w:hAnsi="Book Antiqua"/>
          <w:sz w:val="22"/>
          <w:szCs w:val="22"/>
        </w:rPr>
        <w:t>zákona</w:t>
      </w:r>
      <w:r w:rsidR="008A7965" w:rsidRPr="001C5680">
        <w:rPr>
          <w:rFonts w:ascii="Book Antiqua" w:hAnsi="Book Antiqua"/>
          <w:bCs/>
          <w:sz w:val="22"/>
          <w:szCs w:val="22"/>
        </w:rPr>
        <w:t>, ktorým sa mení a dopĺňa zákon č. 50/1976 Zb. o územnom plánovaní a stavebnom poriadku (stavebný zákon) v znení n</w:t>
      </w:r>
      <w:r w:rsidR="00027525">
        <w:rPr>
          <w:rFonts w:ascii="Book Antiqua" w:hAnsi="Book Antiqua"/>
          <w:bCs/>
          <w:sz w:val="22"/>
          <w:szCs w:val="22"/>
        </w:rPr>
        <w:t>eskorších predpisov</w:t>
      </w:r>
    </w:p>
    <w:p w:rsidR="00027525" w:rsidRDefault="00027525" w:rsidP="001C5680">
      <w:pPr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2F45BF" w:rsidRPr="001C5680" w:rsidRDefault="00C71784" w:rsidP="001C5680">
      <w:pPr>
        <w:spacing w:before="12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1C5680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Pr="001C5680">
        <w:rPr>
          <w:rFonts w:ascii="Book Antiqua" w:hAnsi="Book Antiqua"/>
          <w:color w:val="000000"/>
          <w:sz w:val="22"/>
          <w:szCs w:val="22"/>
        </w:rPr>
        <w:t xml:space="preserve"> </w:t>
      </w:r>
      <w:r w:rsidRPr="001C5680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027525" w:rsidRDefault="00027525" w:rsidP="001C5680">
      <w:pPr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2F45BF" w:rsidRPr="001C5680" w:rsidRDefault="00C71784" w:rsidP="001C5680">
      <w:pPr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1C5680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W w:w="5000" w:type="pct"/>
        <w:tblInd w:w="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8"/>
        <w:gridCol w:w="1191"/>
        <w:gridCol w:w="1181"/>
        <w:gridCol w:w="1198"/>
      </w:tblGrid>
      <w:tr w:rsidR="002F45BF" w:rsidRPr="001C5680">
        <w:tc>
          <w:tcPr>
            <w:tcW w:w="5507" w:type="dxa"/>
            <w:tcMar>
              <w:left w:w="0" w:type="dxa"/>
            </w:tcMar>
            <w:vAlign w:val="center"/>
          </w:tcPr>
          <w:p w:rsidR="002F45BF" w:rsidRPr="001C5680" w:rsidRDefault="002F45BF" w:rsidP="001C5680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9" w:type="dxa"/>
            <w:tcMar>
              <w:left w:w="0" w:type="dxa"/>
            </w:tcMar>
            <w:vAlign w:val="center"/>
          </w:tcPr>
          <w:p w:rsidR="002F45BF" w:rsidRPr="001C5680" w:rsidRDefault="00C71784" w:rsidP="001C5680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1C5680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79" w:type="dxa"/>
            <w:tcMar>
              <w:left w:w="0" w:type="dxa"/>
            </w:tcMar>
            <w:vAlign w:val="center"/>
          </w:tcPr>
          <w:p w:rsidR="002F45BF" w:rsidRPr="001C5680" w:rsidRDefault="00C71784" w:rsidP="001C5680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1C5680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196" w:type="dxa"/>
            <w:tcMar>
              <w:left w:w="0" w:type="dxa"/>
            </w:tcMar>
            <w:vAlign w:val="center"/>
          </w:tcPr>
          <w:p w:rsidR="002F45BF" w:rsidRPr="001C5680" w:rsidRDefault="00C71784" w:rsidP="001C5680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1C5680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 w:rsidR="002F45BF" w:rsidRPr="001C5680">
        <w:tc>
          <w:tcPr>
            <w:tcW w:w="5507" w:type="dxa"/>
            <w:tcMar>
              <w:left w:w="0" w:type="dxa"/>
            </w:tcMar>
            <w:vAlign w:val="center"/>
          </w:tcPr>
          <w:p w:rsidR="002F45BF" w:rsidRPr="001C5680" w:rsidRDefault="00C71784" w:rsidP="001C5680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1C5680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89" w:type="dxa"/>
            <w:tcMar>
              <w:left w:w="0" w:type="dxa"/>
            </w:tcMar>
            <w:vAlign w:val="center"/>
          </w:tcPr>
          <w:p w:rsidR="002F45BF" w:rsidRPr="001C5680" w:rsidRDefault="002F45BF" w:rsidP="001C5680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Mar>
              <w:left w:w="0" w:type="dxa"/>
            </w:tcMar>
            <w:vAlign w:val="center"/>
          </w:tcPr>
          <w:p w:rsidR="002F45BF" w:rsidRPr="001C5680" w:rsidRDefault="008A7965" w:rsidP="001C5680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1C5680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Mar>
              <w:left w:w="0" w:type="dxa"/>
            </w:tcMar>
            <w:vAlign w:val="center"/>
          </w:tcPr>
          <w:p w:rsidR="002F45BF" w:rsidRPr="001C5680" w:rsidRDefault="002F45BF" w:rsidP="001C5680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2F45BF" w:rsidRPr="001C5680">
        <w:tc>
          <w:tcPr>
            <w:tcW w:w="5507" w:type="dxa"/>
            <w:tcMar>
              <w:left w:w="0" w:type="dxa"/>
            </w:tcMar>
            <w:vAlign w:val="center"/>
          </w:tcPr>
          <w:p w:rsidR="002F45BF" w:rsidRPr="001C5680" w:rsidRDefault="00C71784" w:rsidP="001C5680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1C5680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Mar>
              <w:left w:w="0" w:type="dxa"/>
            </w:tcMar>
            <w:vAlign w:val="center"/>
          </w:tcPr>
          <w:p w:rsidR="002F45BF" w:rsidRPr="001C5680" w:rsidRDefault="002F45BF" w:rsidP="001C5680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Mar>
              <w:left w:w="0" w:type="dxa"/>
            </w:tcMar>
            <w:vAlign w:val="center"/>
          </w:tcPr>
          <w:p w:rsidR="002F45BF" w:rsidRPr="001C5680" w:rsidRDefault="003E2F36" w:rsidP="001C5680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1C5680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Mar>
              <w:left w:w="0" w:type="dxa"/>
            </w:tcMar>
            <w:vAlign w:val="center"/>
          </w:tcPr>
          <w:p w:rsidR="002F45BF" w:rsidRPr="001C5680" w:rsidRDefault="002F45BF" w:rsidP="001C5680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2F45BF" w:rsidRPr="001C5680">
        <w:tc>
          <w:tcPr>
            <w:tcW w:w="5507" w:type="dxa"/>
            <w:tcMar>
              <w:left w:w="0" w:type="dxa"/>
            </w:tcMar>
            <w:vAlign w:val="center"/>
          </w:tcPr>
          <w:p w:rsidR="002F45BF" w:rsidRPr="001C5680" w:rsidRDefault="00C71784" w:rsidP="001C5680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1C5680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189" w:type="dxa"/>
            <w:tcMar>
              <w:left w:w="0" w:type="dxa"/>
            </w:tcMar>
            <w:vAlign w:val="center"/>
          </w:tcPr>
          <w:p w:rsidR="002F45BF" w:rsidRPr="001C5680" w:rsidRDefault="002F45BF" w:rsidP="001C5680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Mar>
              <w:left w:w="0" w:type="dxa"/>
            </w:tcMar>
            <w:vAlign w:val="center"/>
          </w:tcPr>
          <w:p w:rsidR="002F45BF" w:rsidRPr="001C5680" w:rsidRDefault="008A7965" w:rsidP="001C5680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1C5680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Mar>
              <w:left w:w="0" w:type="dxa"/>
            </w:tcMar>
            <w:vAlign w:val="center"/>
          </w:tcPr>
          <w:p w:rsidR="002F45BF" w:rsidRPr="001C5680" w:rsidRDefault="002F45BF" w:rsidP="001C5680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2F45BF" w:rsidRPr="001C5680">
        <w:tc>
          <w:tcPr>
            <w:tcW w:w="5507" w:type="dxa"/>
            <w:tcMar>
              <w:left w:w="0" w:type="dxa"/>
            </w:tcMar>
            <w:vAlign w:val="center"/>
          </w:tcPr>
          <w:p w:rsidR="002F45BF" w:rsidRPr="001C5680" w:rsidRDefault="00C71784" w:rsidP="001C5680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1C5680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189" w:type="dxa"/>
            <w:tcMar>
              <w:left w:w="0" w:type="dxa"/>
            </w:tcMar>
            <w:vAlign w:val="center"/>
          </w:tcPr>
          <w:p w:rsidR="002F45BF" w:rsidRPr="001C5680" w:rsidRDefault="002F45BF" w:rsidP="001C5680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Mar>
              <w:left w:w="0" w:type="dxa"/>
            </w:tcMar>
            <w:vAlign w:val="center"/>
          </w:tcPr>
          <w:p w:rsidR="002F45BF" w:rsidRPr="001C5680" w:rsidRDefault="00DD2DB4" w:rsidP="001C5680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1C5680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Mar>
              <w:left w:w="0" w:type="dxa"/>
            </w:tcMar>
            <w:vAlign w:val="center"/>
          </w:tcPr>
          <w:p w:rsidR="002F45BF" w:rsidRPr="001C5680" w:rsidRDefault="002F45BF" w:rsidP="001C5680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2F45BF" w:rsidRPr="001C5680">
        <w:tc>
          <w:tcPr>
            <w:tcW w:w="5507" w:type="dxa"/>
            <w:tcMar>
              <w:left w:w="0" w:type="dxa"/>
            </w:tcMar>
            <w:vAlign w:val="center"/>
          </w:tcPr>
          <w:p w:rsidR="002F45BF" w:rsidRPr="001C5680" w:rsidRDefault="00C71784" w:rsidP="001C5680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1C5680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189" w:type="dxa"/>
            <w:tcMar>
              <w:left w:w="0" w:type="dxa"/>
            </w:tcMar>
            <w:vAlign w:val="center"/>
          </w:tcPr>
          <w:p w:rsidR="002F45BF" w:rsidRPr="001C5680" w:rsidRDefault="002F45BF" w:rsidP="001C5680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Mar>
              <w:left w:w="0" w:type="dxa"/>
            </w:tcMar>
            <w:vAlign w:val="center"/>
          </w:tcPr>
          <w:p w:rsidR="002F45BF" w:rsidRPr="001C5680" w:rsidRDefault="008A7965" w:rsidP="001C5680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1C5680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Mar>
              <w:left w:w="0" w:type="dxa"/>
            </w:tcMar>
            <w:vAlign w:val="center"/>
          </w:tcPr>
          <w:p w:rsidR="002F45BF" w:rsidRPr="001C5680" w:rsidRDefault="002F45BF" w:rsidP="001C5680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2F45BF" w:rsidRPr="001C5680">
        <w:tc>
          <w:tcPr>
            <w:tcW w:w="5507" w:type="dxa"/>
            <w:tcMar>
              <w:left w:w="0" w:type="dxa"/>
            </w:tcMar>
            <w:vAlign w:val="center"/>
          </w:tcPr>
          <w:p w:rsidR="002F45BF" w:rsidRPr="001C5680" w:rsidRDefault="00C71784" w:rsidP="001C5680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1C5680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89" w:type="dxa"/>
            <w:tcMar>
              <w:left w:w="0" w:type="dxa"/>
            </w:tcMar>
            <w:vAlign w:val="center"/>
          </w:tcPr>
          <w:p w:rsidR="002F45BF" w:rsidRPr="001C5680" w:rsidRDefault="002F45BF" w:rsidP="001C5680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Mar>
              <w:left w:w="0" w:type="dxa"/>
            </w:tcMar>
            <w:vAlign w:val="center"/>
          </w:tcPr>
          <w:p w:rsidR="002F45BF" w:rsidRPr="001C5680" w:rsidRDefault="008A7965" w:rsidP="001C5680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1C5680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Mar>
              <w:left w:w="0" w:type="dxa"/>
            </w:tcMar>
            <w:vAlign w:val="center"/>
          </w:tcPr>
          <w:p w:rsidR="002F45BF" w:rsidRPr="001C5680" w:rsidRDefault="002F45BF" w:rsidP="001C5680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2F45BF" w:rsidRPr="001C5680">
        <w:tc>
          <w:tcPr>
            <w:tcW w:w="5507" w:type="dxa"/>
            <w:tcMar>
              <w:left w:w="0" w:type="dxa"/>
            </w:tcMar>
            <w:vAlign w:val="center"/>
          </w:tcPr>
          <w:p w:rsidR="002F45BF" w:rsidRPr="001C5680" w:rsidRDefault="00C71784" w:rsidP="001C5680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1C5680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89" w:type="dxa"/>
            <w:tcMar>
              <w:left w:w="0" w:type="dxa"/>
            </w:tcMar>
            <w:vAlign w:val="center"/>
          </w:tcPr>
          <w:p w:rsidR="002F45BF" w:rsidRPr="001C5680" w:rsidRDefault="002F45BF" w:rsidP="001C5680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Mar>
              <w:left w:w="0" w:type="dxa"/>
            </w:tcMar>
            <w:vAlign w:val="center"/>
          </w:tcPr>
          <w:p w:rsidR="002F45BF" w:rsidRPr="001C5680" w:rsidRDefault="00C71784" w:rsidP="001C5680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1C5680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Mar>
              <w:left w:w="0" w:type="dxa"/>
            </w:tcMar>
            <w:vAlign w:val="center"/>
          </w:tcPr>
          <w:p w:rsidR="002F45BF" w:rsidRPr="001C5680" w:rsidRDefault="002F45BF" w:rsidP="001C5680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2F45BF" w:rsidRPr="001C5680">
        <w:tc>
          <w:tcPr>
            <w:tcW w:w="5507" w:type="dxa"/>
            <w:tcMar>
              <w:left w:w="0" w:type="dxa"/>
            </w:tcMar>
            <w:vAlign w:val="center"/>
          </w:tcPr>
          <w:p w:rsidR="002F45BF" w:rsidRPr="001C5680" w:rsidRDefault="00C71784" w:rsidP="001C5680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1C5680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89" w:type="dxa"/>
            <w:tcMar>
              <w:left w:w="0" w:type="dxa"/>
            </w:tcMar>
            <w:vAlign w:val="center"/>
          </w:tcPr>
          <w:p w:rsidR="002F45BF" w:rsidRPr="001C5680" w:rsidRDefault="002F45BF" w:rsidP="001C5680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Mar>
              <w:left w:w="0" w:type="dxa"/>
            </w:tcMar>
            <w:vAlign w:val="center"/>
          </w:tcPr>
          <w:p w:rsidR="002F45BF" w:rsidRPr="001C5680" w:rsidRDefault="00C71784" w:rsidP="001C5680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1C5680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Mar>
              <w:left w:w="0" w:type="dxa"/>
            </w:tcMar>
            <w:vAlign w:val="center"/>
          </w:tcPr>
          <w:p w:rsidR="002F45BF" w:rsidRPr="001C5680" w:rsidRDefault="002F45BF" w:rsidP="001C5680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</w:tbl>
    <w:p w:rsidR="008A7965" w:rsidRPr="001C5680" w:rsidRDefault="008A7965" w:rsidP="001C5680">
      <w:pPr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2F45BF" w:rsidRPr="001C5680" w:rsidRDefault="00C71784" w:rsidP="001C5680">
      <w:pPr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1C5680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8A7965" w:rsidRPr="001C5680" w:rsidRDefault="008A7965" w:rsidP="001C5680">
      <w:pPr>
        <w:spacing w:before="120" w:line="276" w:lineRule="auto"/>
        <w:jc w:val="both"/>
        <w:rPr>
          <w:rFonts w:ascii="Book Antiqua" w:hAnsi="Book Antiqua"/>
          <w:i/>
          <w:color w:val="000000"/>
          <w:sz w:val="22"/>
          <w:szCs w:val="22"/>
        </w:rPr>
      </w:pPr>
      <w:r w:rsidRPr="001C5680">
        <w:rPr>
          <w:rFonts w:ascii="Book Antiqua" w:hAnsi="Book Antiqua"/>
          <w:i/>
          <w:color w:val="000000"/>
          <w:sz w:val="22"/>
          <w:szCs w:val="22"/>
        </w:rPr>
        <w:t>bezpredmetné </w:t>
      </w:r>
    </w:p>
    <w:p w:rsidR="00027525" w:rsidRDefault="00027525" w:rsidP="001C5680">
      <w:pPr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2F45BF" w:rsidRPr="001C5680" w:rsidRDefault="00C71784" w:rsidP="001C5680">
      <w:pPr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1C5680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2F45BF" w:rsidRPr="001C5680" w:rsidRDefault="00C71784" w:rsidP="001C5680">
      <w:pPr>
        <w:spacing w:before="120" w:line="276" w:lineRule="auto"/>
        <w:jc w:val="both"/>
        <w:rPr>
          <w:rFonts w:ascii="Book Antiqua" w:hAnsi="Book Antiqua"/>
          <w:i/>
          <w:color w:val="000000"/>
          <w:sz w:val="22"/>
          <w:szCs w:val="22"/>
        </w:rPr>
      </w:pPr>
      <w:r w:rsidRPr="001C5680">
        <w:rPr>
          <w:rFonts w:ascii="Book Antiqua" w:hAnsi="Book Antiqua"/>
          <w:i/>
          <w:color w:val="000000"/>
          <w:sz w:val="22"/>
          <w:szCs w:val="22"/>
        </w:rPr>
        <w:t>bezpredmetné </w:t>
      </w:r>
    </w:p>
    <w:p w:rsidR="00027525" w:rsidRDefault="00027525" w:rsidP="001C5680">
      <w:pPr>
        <w:pStyle w:val="Normlnywebov"/>
        <w:spacing w:before="120" w:after="0" w:line="276" w:lineRule="auto"/>
        <w:ind w:left="567" w:hanging="567"/>
        <w:jc w:val="both"/>
        <w:rPr>
          <w:rFonts w:ascii="Book Antiqua" w:hAnsi="Book Antiqua"/>
          <w:b/>
          <w:bCs/>
          <w:sz w:val="22"/>
          <w:szCs w:val="22"/>
        </w:rPr>
      </w:pPr>
    </w:p>
    <w:p w:rsidR="002F45BF" w:rsidRPr="001C5680" w:rsidRDefault="00C71784" w:rsidP="001C5680">
      <w:pPr>
        <w:pStyle w:val="Normlnywebov"/>
        <w:spacing w:before="120" w:after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1C5680">
        <w:rPr>
          <w:rFonts w:ascii="Book Antiqua" w:hAnsi="Book Antiqua"/>
          <w:b/>
          <w:bCs/>
          <w:sz w:val="22"/>
          <w:szCs w:val="22"/>
        </w:rPr>
        <w:t xml:space="preserve">A.5. </w:t>
      </w:r>
      <w:r w:rsidRPr="001C5680">
        <w:rPr>
          <w:rFonts w:ascii="Book Antiqua" w:hAnsi="Book Antiqua"/>
          <w:b/>
          <w:bCs/>
          <w:sz w:val="22"/>
          <w:szCs w:val="22"/>
        </w:rPr>
        <w:tab/>
        <w:t>Stanovisko gestorov</w:t>
      </w:r>
    </w:p>
    <w:p w:rsidR="002F45BF" w:rsidRPr="001C5680" w:rsidRDefault="00C71784" w:rsidP="001C5680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1C5680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R="002F45BF" w:rsidRPr="001C5680" w:rsidSect="002B1382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691AE3"/>
    <w:multiLevelType w:val="multilevel"/>
    <w:tmpl w:val="3588207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0A4B48"/>
    <w:multiLevelType w:val="multilevel"/>
    <w:tmpl w:val="A656C1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BF"/>
    <w:rsid w:val="00027525"/>
    <w:rsid w:val="00095BB1"/>
    <w:rsid w:val="000F28A5"/>
    <w:rsid w:val="001751B6"/>
    <w:rsid w:val="001B205D"/>
    <w:rsid w:val="001C5680"/>
    <w:rsid w:val="001F72A8"/>
    <w:rsid w:val="00265182"/>
    <w:rsid w:val="00265ED7"/>
    <w:rsid w:val="002B1382"/>
    <w:rsid w:val="002B44C0"/>
    <w:rsid w:val="002F45BF"/>
    <w:rsid w:val="00305B84"/>
    <w:rsid w:val="003454CC"/>
    <w:rsid w:val="003E2F36"/>
    <w:rsid w:val="0044392D"/>
    <w:rsid w:val="004C67BD"/>
    <w:rsid w:val="00574CE6"/>
    <w:rsid w:val="00611C5E"/>
    <w:rsid w:val="0066257D"/>
    <w:rsid w:val="00673440"/>
    <w:rsid w:val="006C6761"/>
    <w:rsid w:val="006F07B5"/>
    <w:rsid w:val="006F17B5"/>
    <w:rsid w:val="0070488C"/>
    <w:rsid w:val="00727FCF"/>
    <w:rsid w:val="007454DE"/>
    <w:rsid w:val="007F31B8"/>
    <w:rsid w:val="00823CDC"/>
    <w:rsid w:val="00887BA3"/>
    <w:rsid w:val="008A7965"/>
    <w:rsid w:val="008B0E87"/>
    <w:rsid w:val="008D521E"/>
    <w:rsid w:val="00902210"/>
    <w:rsid w:val="00931C4A"/>
    <w:rsid w:val="00963673"/>
    <w:rsid w:val="009816E1"/>
    <w:rsid w:val="00A3778E"/>
    <w:rsid w:val="00A41C9A"/>
    <w:rsid w:val="00A671F1"/>
    <w:rsid w:val="00A90B83"/>
    <w:rsid w:val="00B44C93"/>
    <w:rsid w:val="00BC5B1D"/>
    <w:rsid w:val="00BC7063"/>
    <w:rsid w:val="00BF694F"/>
    <w:rsid w:val="00C71784"/>
    <w:rsid w:val="00C75F92"/>
    <w:rsid w:val="00CE17CF"/>
    <w:rsid w:val="00D2588E"/>
    <w:rsid w:val="00D87BB5"/>
    <w:rsid w:val="00DB5BAE"/>
    <w:rsid w:val="00DD2DB4"/>
    <w:rsid w:val="00DE48FE"/>
    <w:rsid w:val="00E13FE9"/>
    <w:rsid w:val="00E42FDD"/>
    <w:rsid w:val="00E92887"/>
    <w:rsid w:val="00EB1DE1"/>
    <w:rsid w:val="00EB3836"/>
    <w:rsid w:val="00F7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CFD95E0-396D-47BD-B251-ED4BC931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</w:pPr>
    <w:rPr>
      <w:sz w:val="24"/>
      <w:szCs w:val="24"/>
    </w:rPr>
  </w:style>
  <w:style w:type="paragraph" w:styleId="Nadpis1">
    <w:name w:val="heading 1"/>
    <w:basedOn w:val="Normlny"/>
    <w:link w:val="Nadpis1Char"/>
    <w:uiPriority w:val="9"/>
    <w:qFormat/>
    <w:pPr>
      <w:keepNext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Nadpis5">
    <w:name w:val="heading 5"/>
    <w:basedOn w:val="Normlny"/>
    <w:link w:val="Nadpis5Char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apple-converted-space">
    <w:name w:val="apple-converted-space"/>
    <w:basedOn w:val="Predvolenpsmoodseku"/>
    <w:rPr>
      <w:rFonts w:cs="Times New Roman"/>
    </w:rPr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sz w:val="32"/>
      <w:lang w:val="x-none" w:eastAsia="sk-SK"/>
    </w:rPr>
  </w:style>
  <w:style w:type="character" w:customStyle="1" w:styleId="ZkladntextChar">
    <w:name w:val="Základný text Char"/>
    <w:link w:val="Telotextu"/>
    <w:uiPriority w:val="99"/>
    <w:locked/>
  </w:style>
  <w:style w:type="character" w:customStyle="1" w:styleId="ListLabel1">
    <w:name w:val="ListLabel 1"/>
    <w:rsid w:val="002B1382"/>
  </w:style>
  <w:style w:type="paragraph" w:customStyle="1" w:styleId="Nadpis">
    <w:name w:val="Nadpis"/>
    <w:basedOn w:val="Normlny"/>
    <w:next w:val="Telotextu"/>
    <w:rsid w:val="002B138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link w:val="ZkladntextChar"/>
    <w:uiPriority w:val="99"/>
    <w:pPr>
      <w:spacing w:line="288" w:lineRule="auto"/>
      <w:jc w:val="both"/>
    </w:pPr>
    <w:rPr>
      <w:sz w:val="20"/>
      <w:szCs w:val="20"/>
    </w:rPr>
  </w:style>
  <w:style w:type="paragraph" w:styleId="Zoznam">
    <w:name w:val="List"/>
    <w:basedOn w:val="Telotextu"/>
    <w:uiPriority w:val="99"/>
    <w:rsid w:val="002B1382"/>
    <w:rPr>
      <w:rFonts w:cs="Mangal"/>
    </w:rPr>
  </w:style>
  <w:style w:type="paragraph" w:styleId="Popis">
    <w:name w:val="caption"/>
    <w:basedOn w:val="Normlny"/>
    <w:uiPriority w:val="35"/>
    <w:rsid w:val="002B138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rsid w:val="002B1382"/>
    <w:pPr>
      <w:suppressLineNumbers/>
    </w:pPr>
    <w:rPr>
      <w:rFonts w:cs="Mangal"/>
    </w:rPr>
  </w:style>
  <w:style w:type="paragraph" w:styleId="Normlnywebov">
    <w:name w:val="Normal (Web)"/>
    <w:basedOn w:val="Normlny"/>
    <w:uiPriority w:val="99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61B9E-2E3C-4CEA-92A3-E4D1319C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1540</Words>
  <Characters>8783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DÔVODOVÁ SPRÁVA</vt:lpstr>
      <vt:lpstr>DÔVODOVÁ SPRÁVA</vt:lpstr>
    </vt:vector>
  </TitlesOfParts>
  <Company>Kancelaria NR SR</Company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Heger, Eduard (asistent)</dc:creator>
  <cp:lastModifiedBy>Kozarec, Sebastián</cp:lastModifiedBy>
  <cp:revision>2</cp:revision>
  <dcterms:created xsi:type="dcterms:W3CDTF">2019-11-08T14:37:00Z</dcterms:created>
  <dcterms:modified xsi:type="dcterms:W3CDTF">2019-11-08T14:37:00Z</dcterms:modified>
</cp:coreProperties>
</file>