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lnywebov"/>
        <w:spacing w:lineRule="auto" w:line="276"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>
      <w:pPr>
        <w:pStyle w:val="Nadpis1"/>
        <w:spacing w:lineRule="auto" w:line="276"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A. Všeobecná časť</w:t>
      </w:r>
    </w:p>
    <w:p>
      <w:pPr>
        <w:pStyle w:val="Normal"/>
        <w:spacing w:lineRule="auto" w:line="276" w:before="120" w:after="0"/>
        <w:ind w:firstLine="708"/>
        <w:jc w:val="both"/>
        <w:rPr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 xml:space="preserve">Návrh zákona, ktorým sa mení a dopĺňa ústavný </w:t>
      </w:r>
      <w:r>
        <w:rPr>
          <w:rFonts w:cs="Book Antiqua" w:ascii="Book Antiqua" w:hAnsi="Book Antiqua"/>
          <w:bCs/>
          <w:sz w:val="22"/>
          <w:szCs w:val="22"/>
        </w:rPr>
        <w:t xml:space="preserve">zákon č. 357/2004 Z. z. o ochrane verejného záujmu pri výkone funkcií verejných funkcionárov v znení neskorších predpisov </w:t>
      </w:r>
      <w:r>
        <w:rPr>
          <w:rFonts w:cs="Book Antiqua" w:ascii="Book Antiqua" w:hAnsi="Book Antiqua"/>
          <w:sz w:val="22"/>
          <w:szCs w:val="22"/>
        </w:rPr>
        <w:t>(ďalej len „návrh ústavného zákona“) predkladá do legislatívneho procesu skupina poslancov Národnej rady Slovenskej republiky.</w:t>
      </w:r>
    </w:p>
    <w:p>
      <w:pPr>
        <w:pStyle w:val="Normal"/>
        <w:spacing w:lineRule="auto" w:line="276" w:before="120" w:after="0"/>
        <w:ind w:firstLine="708"/>
        <w:jc w:val="both"/>
        <w:rPr/>
      </w:pPr>
      <w:r>
        <w:rPr>
          <w:rFonts w:cs="Book Antiqua" w:ascii="Book Antiqua" w:hAnsi="Book Antiqua"/>
          <w:sz w:val="22"/>
          <w:szCs w:val="22"/>
        </w:rPr>
        <w:t xml:space="preserve">Po viacerých neúspešných pokusoch schválila Národná rada Slovenskej republiky na konci januára 2019 novelu ústavného zákona č. 357/2004 Z. z. o ochrane verejného záujmu pri výkone funkcií verejných funkcionárov v znení ústavného zákona č. 535/2005 Z. z. (ďalej len „ústavný zákon“), s ktorou kvôli procesným chybám bolo potrebné prijať ďalšiu novelu ústavného zákona pod č. 232/2019 Z. z. Tieto prijaté novely ústavného zákona z dielne vládnej koalície však mali a stále majú významné nedostatky, na ktoré hnutie OĽANO upozorňovalo formou niekoľkých pozmeňujúcich návrhoch, ktoré sú obsiahnuté v tomto predkladanom návrhu ústavného zákona. </w:t>
      </w:r>
    </w:p>
    <w:p>
      <w:pPr>
        <w:pStyle w:val="Normal"/>
        <w:spacing w:lineRule="auto" w:line="276" w:before="120" w:after="0"/>
        <w:ind w:firstLine="708"/>
        <w:jc w:val="both"/>
        <w:rPr/>
      </w:pPr>
      <w:r>
        <w:rPr>
          <w:rFonts w:cs="Book Antiqua" w:ascii="Book Antiqua" w:hAnsi="Book Antiqua"/>
          <w:b/>
          <w:sz w:val="22"/>
          <w:szCs w:val="22"/>
        </w:rPr>
        <w:t>Najdôležitejšou zmenou, ktorú návrh ústavného zákona prináša, je sledovanie majetkového prírastku politikov.</w:t>
      </w:r>
      <w:r>
        <w:rPr>
          <w:rFonts w:cs="Book Antiqua" w:ascii="Book Antiqua" w:hAnsi="Book Antiqua"/>
          <w:sz w:val="22"/>
          <w:szCs w:val="22"/>
        </w:rPr>
        <w:t xml:space="preserve"> Tento kľúčový prvok verejnej kontroly politikov i vysokých štátnych funkcionárov je v dnešnej dobe nielen žiaduci, ale priam nevyhnutný, ak nám záleží na lepšom spravovaní krajiny. Verejní funkcionári každý rok rozhodujú o použití majetku štátu a rozdeľujú miliardy eur z daní občanov. Občania majú právo vedieť a kontrolovať, či svoje právomoci nezneužívajú na vlastné obohatenie sa. </w:t>
      </w:r>
    </w:p>
    <w:p>
      <w:pPr>
        <w:pStyle w:val="Normal"/>
        <w:spacing w:lineRule="auto" w:line="276"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  <w:t xml:space="preserve">Ďalšou podstatnou zmenou v predloženom návrhu ústavného zákona je to, aby jedna tretina členov orgánu, ktorý rozhoduje o porušení ústavného zákona, mala procesnú legitimáciu na podanie návrhu na preskúmanie rozhodnutia na Ústavný súd Slovenskej republiky. </w:t>
      </w:r>
      <w:r>
        <w:rPr>
          <w:rFonts w:cs="Book Antiqua" w:ascii="Book Antiqua" w:hAnsi="Book Antiqua"/>
          <w:sz w:val="22"/>
          <w:szCs w:val="22"/>
        </w:rPr>
        <w:t xml:space="preserve">Takouto úpravou sa dosiahne, aby o posúdení, či došlo alebo nedošlo k porušeniu ústavného zákona, rozhodoval Ústavný súd Slovenskej republiky a nie politickí kamaráti. V nadväznosti na uvedené je potrebné novelizovať aj zákon č. 314/2018 Z. z. o Ústavnom súde Slovenskej republiky a o zmene a doplnení niektorých zákonov, ktorý sa predkladá zároveň s týmto návrhom ústavného zákona ako jeho dvojička.  </w:t>
      </w:r>
    </w:p>
    <w:p>
      <w:pPr>
        <w:pStyle w:val="Normal"/>
        <w:spacing w:lineRule="auto" w:line="276"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 xml:space="preserve">Nemenej významnou súčasťou návrhu ústavného zákona je povinnosť verejného funkcionára uvádzať v majetkovom priznaní nielen svoje majetkové pomery, ale aj majetkové pomery manžela a neplnoletých detí, vrátane údajov o podieloch vo vzťahu k týmto pomerom. Návrh ústavného zákona zavádza aj sankciu za neoznámenie osobného záujmu o vec, ktorá je predmetom rokovania, ako aj to, že v prípade oznámenia osobného záujmu sa hlas verejného funkcionára nezapočítava do výsledku hlasovania o tejto veci. </w:t>
      </w:r>
    </w:p>
    <w:p>
      <w:pPr>
        <w:pStyle w:val="Normal"/>
        <w:spacing w:lineRule="auto" w:line="276"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 xml:space="preserve">Návrh zákona nemá vplyv na rozpočet verejnej správy a  nemá žiadne sociálne vplyvy. Návrh zákona nepredpokladá vplyv na podnikateľské prostredie, životné prostredie ani na informatizáciu spoločnosti. </w:t>
      </w:r>
    </w:p>
    <w:p>
      <w:pPr>
        <w:pStyle w:val="Normal"/>
        <w:spacing w:lineRule="auto" w:line="276" w:before="120" w:after="0"/>
        <w:ind w:firstLine="708"/>
        <w:jc w:val="both"/>
        <w:rPr/>
      </w:pPr>
      <w:r>
        <w:rPr>
          <w:rFonts w:cs="Book Antiqua"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  <w:r>
        <w:br w:type="page"/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b/>
          <w:b/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  <w:t>B. Osobitná časť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b/>
          <w:b/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b/>
          <w:b/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  <w:t>K Čl. I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bodu 1</w:t>
      </w:r>
    </w:p>
    <w:p>
      <w:pPr>
        <w:pStyle w:val="Normal"/>
        <w:spacing w:lineRule="auto" w:line="276" w:before="120" w:after="120"/>
        <w:ind w:firstLine="708"/>
        <w:jc w:val="both"/>
        <w:rPr/>
      </w:pPr>
      <w:r>
        <w:rPr>
          <w:rFonts w:cs="Book Antiqua" w:ascii="Book Antiqua" w:hAnsi="Book Antiqua"/>
          <w:sz w:val="22"/>
          <w:szCs w:val="22"/>
        </w:rPr>
        <w:t xml:space="preserve">Navrhuje sa rozšíriť osobnú pôsobnosť ústavného zákona č. 357/2004 Z. z. o ochrane verejného záujmu pri výkone funkcií verejných funkcionárov v znení neskorších predpisov (ďalej len „ústavný zákon“) aj na osoby zastupujúce štát v orgánoch právnických osôb s majoritnou majetkovou účasťou štátu (napr. v správnej rade). Je potrebné, aby ústavný zákon platil rovnako pre všetkých, ktorí v akejkoľvek forme majú zásadný vplyv na fungovanie právnických osôb s majetkovou účasťou štátu. Súčasné znenie ústavného zákona nepokrýva všetky tieto situácie. 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bodu 2</w:t>
      </w:r>
    </w:p>
    <w:p>
      <w:pPr>
        <w:pStyle w:val="Normal"/>
        <w:spacing w:lineRule="auto" w:line="276" w:before="120" w:after="12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Ústavný zákon síce upravuje povinnosť verejného funkcionára oznámiť svoj osobný záujem o vec predtým, ako na rokovaní vystúpi (čl. 6), resp. aj pred hlasovaním o tejto veci, za porušenie tejto povinnosti však neupravuje žiadnu sankciu. Navrhuje sa preto, aby v prípade, ak si verejný funkcionár túto povinnosť splní, nebol jeho hlas započítaný do výsledku hlasovania o takejto veci, a v prípade, ak túto povinnosť poruší, bol sankcionovaný rovnako ako pri porušení čl. 7 ústavného zákona (najmiernejšia sankcia) – viď čl. I bod 9 tohto návrhu ústavného zákona.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bodu 3</w:t>
      </w:r>
    </w:p>
    <w:p>
      <w:pPr>
        <w:pStyle w:val="Normal"/>
        <w:spacing w:lineRule="auto" w:line="276"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  <w:shd w:fill="FFFFFF" w:val="clear"/>
        </w:rPr>
        <w:t xml:space="preserve">Súčasné znenie čl. 7 nedostatočne zohľadňuje majetkové pomery – nielen verejného funkcionára, ale aj manžela a neplnoletých detí. Navrhuje sa, aby oproti súčasnej právnej úprave bolo povinné uvádzať aj údaje o podieloch vo vzťahu k majetkovým pomerom. 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bodu 4</w:t>
      </w:r>
    </w:p>
    <w:p>
      <w:pPr>
        <w:pStyle w:val="Normal"/>
        <w:spacing w:lineRule="auto" w:line="276" w:before="120" w:after="12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Zámerom tohto ustanovenia je zvýšiť prehľadnosť a zrozumiteľnosť oznámení podľa čl. 7 ods. 1. Navrhuje sa, aby v samotnom oznámení verejný funkcionár explicitne uvádzal svoje prírastky (zamestnaní, funkcií, činností, príjmov a majetku) za kalendárny rok, za ktorý podáva predmetné oznámenie, v porovnaní s predchádzajúcim kalendárnym rokom (napr. uvedie, že v danom kalendárnom roku nadobudol 3 motorové vozidlá, chatu, 2 byty, 35 akcií v obchodnej spoločnosti XY atď.). Prírastok sa uvedie podľa svojho druhu (t. j. podľa druhu uvedeného v čl. 7 ods. 1 písm. b) až e)], pričom majetkový prírastok sa podrobnejšie uvedie aj podľa druhu uvedeného v čl. 7 ods. 4.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bodom 5 a 6</w:t>
      </w:r>
    </w:p>
    <w:p>
      <w:pPr>
        <w:pStyle w:val="Normal"/>
        <w:spacing w:lineRule="auto" w:line="276"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 xml:space="preserve">Ponecháva sa právna úprava, ktorá bola účinná pred prijatím novely ústavného zákona v januári 2019, v zmysle ktorej posudzovanie oznámenia funkcií, zamestnaní, činností a majetkových pomerov primátora mesta zostáva v kompetencii komisie mestského zastupiteľstva a v prípade predsedu vyššieho územného celku zostáva toto posudzovanie v kompetencii komisie zastupiteľstva vyššieho územného celku. Návrh na zmenu týchto ustanovení ústavného zákona s cieľom presunúť právomoc kontrolovať majetkové priznania županov a primátorov na príslušný výbor Národnej rady SR možno vnímať ako pokračovanie v snahe degradovať miestne a mestské zastupiteľstva a ich poradné, iniciatívne, kontrolné a výkonné orgány, akými sú aj komisie na ochranu verejného záujmu, s úmyslom odňať im takmer všetky právomoci, ktoré im zákon o obecnom zriadení, resp. zákon o hlavnom meste SR Bratislave a zákon o meste Košice doteraz priznával, a to v nadväznosti na novelu zákona o obecnom zriadení z roku 2018, ktorá znemožnila alebo zásadným spôsobom obmedzila doterajšie právomoci mestských (miestnych) rád a komisií mestských (miestnych) zastupiteľstiev. </w:t>
      </w:r>
    </w:p>
    <w:p>
      <w:pPr>
        <w:pStyle w:val="Normal"/>
        <w:spacing w:lineRule="auto" w:line="276" w:before="120" w:after="0"/>
        <w:ind w:firstLine="708"/>
        <w:jc w:val="both"/>
        <w:rPr/>
      </w:pPr>
      <w:r>
        <w:rPr>
          <w:rFonts w:cs="Book Antiqua" w:ascii="Book Antiqua" w:hAnsi="Book Antiqua"/>
          <w:sz w:val="22"/>
          <w:szCs w:val="22"/>
        </w:rPr>
        <w:t>Znenie po prijatí novely ústavného zákona z roku 2019 týkajúce sa presunu právomoci kontrolovať majetkové priznania županov a primátorov príslušným výborom Národnej rady SR by znamenalo ďalšie prehlbovanie anomálie, ktorá sa spomedzi európskych krajín týka aj s prihliadnutím na analýzy Parlamentného inštitútu Kancelárie Národnej rady SR len Slovenska, a to, že obecné, miestne a mestské zastupiteľstvá nemajú vo vnútroštátnej legislatíve zakotvené dostatočné kontrolné právomoci a právomoci vyvodzovať sankcie voči primátorom a starostom obcí, mestských častí a miest, ale táto možnosť je ponechaná výlučne na inštitút referenda a ľudové hlasovanie, ktorého podmienky nie je jednoduché naplniť.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bodom 7 a 8</w:t>
      </w:r>
    </w:p>
    <w:p>
      <w:pPr>
        <w:pStyle w:val="Normal"/>
        <w:spacing w:lineRule="auto" w:line="276" w:before="120" w:after="120"/>
        <w:ind w:firstLine="708"/>
        <w:jc w:val="both"/>
        <w:rPr/>
      </w:pPr>
      <w:r>
        <w:rPr>
          <w:rFonts w:cs="Book Antiqua" w:ascii="Book Antiqua" w:hAnsi="Book Antiqua"/>
          <w:bCs/>
          <w:sz w:val="22"/>
          <w:szCs w:val="22"/>
        </w:rPr>
        <w:t>Účelom týchto ustanovení návrhu ústavného zákona je vyhnúť sa pochybnostiam, ktoré sa vyskytujú v aplikačnej praxi a zaviesť do konania podľa tohto ústavného zákona tie črty, ktoré sú bežné a zaužívané v iných správnych či súdnych konaniach. V nadväznosti na uvedené sa určuje, že orgán prijímajúci oznámenia na tlačive vydá verejnému funkcionárovi písomné potvrdenie o odovzdaní oznámenia a o splnení si povinnosti podľa ústavného zákona. Takéto potvrdenie má pritom z pohľadu verejného funkcionára kľúčový význam, pretože ním vie jednoznačne preukázať, že oznámenie podľa čl. 7 ods. 1 alebo podľa čl. 8 ods. 5 ústavného zákona podal riadne a včas, a to nielen pred príslušným orgánom podľa     čl. 7 ods. 5 ústavného zákona, ale aj v prípadnom konaní pred Ústavným súdom SR.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bodu 9</w:t>
      </w:r>
    </w:p>
    <w:p>
      <w:pPr>
        <w:pStyle w:val="Normal"/>
        <w:spacing w:lineRule="auto" w:line="276" w:before="120" w:after="12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Navrhované ustanovenie súvisí s čl. I bodom 2 tohto návrhu ústavného zákona. Cieľom takejto právnej úpravy je ustanoviť sankciu (v najmenšej možnej výške) za porušenie povinnosti oznámiť svoj osobný záujem na veci definovaný v čl. 6 ústavného zákona.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bodu 10</w:t>
      </w:r>
    </w:p>
    <w:p>
      <w:pPr>
        <w:pStyle w:val="Normal"/>
        <w:spacing w:lineRule="auto" w:line="276"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V navrhovanej zmene dochádza k vypusteniu slov, v dôsledku ktorých rozhodnutie o zastavení konania nebude konečné (súvis s čl. I bodom 14 tohto návrhu ústavného zákona). Súčasne sa vzhľadom na nejednotnú aplikačnú prax explicitne určuje, že rozhodnutie o zastavení konania obsahuje výrok, odôvodnenie a poučenie o opravnom prostriedku, obdobne ako je to v prípade rozhodnutia podľa súčasného znenia čl. 9 ods. 6 ústavného zákona.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bodu 11</w:t>
      </w:r>
    </w:p>
    <w:p>
      <w:pPr>
        <w:pStyle w:val="Normal"/>
        <w:spacing w:lineRule="auto" w:line="276" w:before="120" w:after="12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Navrhuje sa, aby sa proti rozhodnutiu o zastavení mohla odvolať okrem verejného funkcionára aj 1/3 členov orgánu. V nadväznosti na túto zmenu právnej úpravy sa s týmto predkladaným návrhom ústavného zákona súčasne predkladá aj novela zákona č. 314/2018 Z. z. o Ústavnom súde Slovenskej republiky a o zmene a doplnení niektorých zákonov.</w:t>
      </w:r>
    </w:p>
    <w:p>
      <w:pPr>
        <w:pStyle w:val="Normal"/>
        <w:spacing w:lineRule="auto" w:line="276" w:before="120" w:after="12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 xml:space="preserve">Zavedenie takéhoto mechanizmu kontroly zákonnosti rozhodnutí vo veciach ochrany verejného záujmu nie je neobvyklé ani v porovnaní s inými štátmi Európskej únie, pretože podľa demokratických zvyklostí zavedených v týchto štátoch môže kvalifikovaná menšina zákonodarného zboru žiadať, resp. navrhovať aj formou podania na súd, o nápravu stavu, ktorý nie je v súlade s verejným záujmom. V tomto duchu sú formulované aj závery analýzy Parlamentného inštitútu Kancelárie Národnej rady Slovenskej republiky z 29. júna 2012, pričom sa poukazuje aj na uznesenie (rezolúciu) Parlamentného zhromaždenia Rady Európy č. 1601 z 23. januára 2008 o právach a zodpovednosti opozície v demokratickom parlamente (dostupná na: </w:t>
      </w:r>
      <w:hyperlink r:id="rId2">
        <w:r>
          <w:rPr>
            <w:rStyle w:val="Internetovodkaz"/>
            <w:rFonts w:cs="Book Antiqua" w:ascii="Book Antiqua" w:hAnsi="Book Antiqua"/>
            <w:color w:val="000000"/>
            <w:sz w:val="22"/>
            <w:szCs w:val="22"/>
            <w:u w:val="none"/>
          </w:rPr>
          <w:t>http://assembly.coe.int/nw/xml/XRef/Xref-XML2HTML-en.asp?fileid=17626&amp;lang=EN</w:t>
        </w:r>
      </w:hyperlink>
      <w:r>
        <w:rPr>
          <w:rFonts w:cs="Book Antiqua" w:ascii="Book Antiqua" w:hAnsi="Book Antiqua"/>
          <w:sz w:val="22"/>
          <w:szCs w:val="22"/>
        </w:rPr>
        <w:t>).</w:t>
      </w:r>
    </w:p>
    <w:p>
      <w:pPr>
        <w:pStyle w:val="Normal"/>
        <w:spacing w:lineRule="auto" w:line="276" w:before="120" w:after="12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V bode 11 sa zakladá právomoc ústavného súdu preskúmať rozhodnutie orgánov uvedených v čl. 9 ods. 1 aj v prípade rozhodnutia podľa čl. 9 ods. 6, resp. ods. 9 a ods. 13, čiže v prípadoch zastavenia konania vo veci ochrany verejného záujmu a zamedzenia rozporu záujmov. Súčasťou tohto ustanovenia ústavného zákona sú aj blanketové ustanovenia, prostredníctvom ktorých odkazuje na (podrobnejšiu) úpravu konania o preskúmaní rozhodnutí orgánov uvedených v čl. 9 ods. 1 ústavného zákona na osobitný zákon, ktorým je zákon č. 314/2018 Z. z. o Ústavnom súde Slovenskej republiky a o zmene a doplnení niektorých zákonov.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bodu 12</w:t>
      </w:r>
    </w:p>
    <w:p>
      <w:pPr>
        <w:pStyle w:val="Normal"/>
        <w:spacing w:lineRule="auto" w:line="276" w:before="120" w:after="120"/>
        <w:ind w:firstLine="708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</w:rPr>
        <w:t xml:space="preserve">Ústavný zákon ustanovuje dva prípady, keď príslušný orgán (či už výbor Národnej rady Slovenskej republiky alebo iný príslušný orgán) rozhodne o zastavení konania voči verejnému funkcionárovi bez toho, aby v tomto konaní vydal rozhodnutie (viď čl. 9 ods. 13 ústavného zákona). Verejný funkcionár, prípadne 1/3 členov príslušného výboru sú však procesne legitimovaní na podanie návrhu na preskúmanie rozhodnutia vo veci ochrany verejného záujmu na Ústavný súd SR, preto sa ustanovuje fikcia, že aj v prípade zastavenie konania bez vydania rozhodnutia sa na účely konania pred Ústavným súdom SR považuje takéto zastavenie konania za rozhodnutie o jeho zastavení. 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bodu 13</w:t>
      </w:r>
    </w:p>
    <w:p>
      <w:pPr>
        <w:pStyle w:val="Normal"/>
        <w:spacing w:lineRule="auto" w:line="276"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Ide o legislatívno-technickú úpravu spočívajúcu v prechodnom ustanovení, ktorá súvisí s vyjadrovaním prírastku podľa čl. 7 ods. 1 písm. f) ústavného zákona. Keďže dary a iné výhody, ako aj členenie majetkových pomerov podľa čl. 7 ods. 4 písm. e) a f) ústavného zákona sa po prvýkrát uvedie až v oznámeniach podľa č. 7 ods. 1 ústavného zákona podaných po 1. januári 2021, porovnanie príslušného kalendárneho roka a predchádzajúceho kalendárneho roka na účely vyjadrenia prírastku bude pri týchto údajoch objektívne možné až pri oznámeniach podľa čl. 7 ods. 1 ústavného zákona podaných po 1. januári 2022. Súčasne sa zavádzajú prechodné ustanovenia s cieľom zabrániť retroaktivite právnych predpisov.</w:t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</w:r>
    </w:p>
    <w:p>
      <w:pPr>
        <w:pStyle w:val="Normal"/>
        <w:spacing w:lineRule="auto" w:line="276" w:before="120" w:after="120"/>
        <w:jc w:val="both"/>
        <w:rPr>
          <w:rFonts w:ascii="Book Antiqua" w:hAnsi="Book Antiqua" w:cs="Book Antiqua"/>
          <w:sz w:val="22"/>
          <w:szCs w:val="22"/>
          <w:u w:val="single"/>
        </w:rPr>
      </w:pPr>
      <w:r>
        <w:rPr>
          <w:rFonts w:cs="Book Antiqua" w:ascii="Book Antiqua" w:hAnsi="Book Antiqua"/>
          <w:sz w:val="22"/>
          <w:szCs w:val="22"/>
          <w:u w:val="single"/>
        </w:rPr>
        <w:t>K bodu 14</w:t>
      </w:r>
    </w:p>
    <w:p>
      <w:pPr>
        <w:pStyle w:val="Normal"/>
        <w:spacing w:lineRule="auto" w:line="276"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 xml:space="preserve">Je žiaduce, aby priamo vo vzore tlačiva na podávanie oznámení podľa čl. 7 ods. 1 bol vytvorený priestor na vypísanie druhu prírastku funkcií, zamestnaní, činností, príjmov a majetkových pomerov verejného funkcionára podľa čl. 7 ods. 1 písm. g) ústavného zákona. </w:t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  <w:t>K Čl. II</w:t>
      </w:r>
    </w:p>
    <w:p>
      <w:pPr>
        <w:pStyle w:val="Normlnywebov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Cs/>
          <w:sz w:val="22"/>
          <w:szCs w:val="22"/>
        </w:rPr>
        <w:t>Navrhuje sa účinnosť predkladaného návrhu zákona so zohľadnením potrebnej dĺžky legisvakančnej lehoty na</w:t>
      </w:r>
      <w:r>
        <w:rPr>
          <w:rFonts w:cs="Book Antiqua" w:ascii="Book Antiqua" w:hAnsi="Book Antiqua"/>
          <w:sz w:val="22"/>
          <w:szCs w:val="22"/>
        </w:rPr>
        <w:t xml:space="preserve"> 1. januára 2021.</w:t>
      </w:r>
      <w:r>
        <w:br w:type="page"/>
      </w:r>
    </w:p>
    <w:p>
      <w:pPr>
        <w:pStyle w:val="Normal"/>
        <w:spacing w:lineRule="auto" w:line="276" w:before="0" w:after="16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spacing w:val="30"/>
          <w:sz w:val="22"/>
          <w:szCs w:val="22"/>
        </w:rPr>
        <w:t>DOLOŽKA ZLUČITEĽNO</w:t>
      </w:r>
      <w:bookmarkStart w:id="0" w:name="_GoBack"/>
      <w:bookmarkEnd w:id="0"/>
      <w:r>
        <w:rPr>
          <w:rFonts w:cs="Book Antiqua" w:ascii="Book Antiqua" w:hAnsi="Book Antiqua"/>
          <w:b/>
          <w:bCs/>
          <w:caps/>
          <w:spacing w:val="30"/>
          <w:sz w:val="22"/>
          <w:szCs w:val="22"/>
        </w:rPr>
        <w:t>STI</w:t>
      </w:r>
    </w:p>
    <w:p>
      <w:pPr>
        <w:pStyle w:val="Normlnywebov"/>
        <w:spacing w:lineRule="auto" w:line="276"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>návrhu zákona</w:t>
      </w:r>
      <w:r>
        <w:rPr>
          <w:rFonts w:cs="Book Antiqua" w:ascii="Book Antiqua" w:hAnsi="Book Antiqua"/>
          <w:sz w:val="22"/>
          <w:szCs w:val="22"/>
        </w:rPr>
        <w:t xml:space="preserve"> </w:t>
      </w:r>
      <w:r>
        <w:rPr>
          <w:rFonts w:cs="Book Antiqua" w:ascii="Book Antiqua" w:hAnsi="Book Antiqua"/>
          <w:b/>
          <w:bCs/>
          <w:sz w:val="22"/>
          <w:szCs w:val="22"/>
        </w:rPr>
        <w:t>s právom Európskej únie</w:t>
      </w:r>
    </w:p>
    <w:p>
      <w:pPr>
        <w:pStyle w:val="Normlnywebov"/>
        <w:spacing w:lineRule="auto" w:line="276"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sz w:val="22"/>
          <w:szCs w:val="22"/>
        </w:rPr>
        <w:t> </w:t>
      </w:r>
    </w:p>
    <w:p>
      <w:pPr>
        <w:pStyle w:val="Normlnywebov"/>
        <w:spacing w:lineRule="auto" w:line="276" w:before="120" w:after="0"/>
        <w:jc w:val="both"/>
        <w:rPr>
          <w:rFonts w:ascii="Book Antiqua" w:hAnsi="Book Antiqua" w:cs="Book Antiqua"/>
          <w:color w:val="FF0000"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>1. Navrhovateľ zákona:</w:t>
      </w:r>
      <w:r>
        <w:rPr>
          <w:rFonts w:cs="Book Antiqua" w:ascii="Book Antiqua" w:hAnsi="Book Antiqua"/>
          <w:sz w:val="22"/>
          <w:szCs w:val="22"/>
        </w:rPr>
        <w:t xml:space="preserve"> skupina poslancov Národnej rady Slovenskej republiky</w:t>
      </w:r>
    </w:p>
    <w:p>
      <w:pPr>
        <w:pStyle w:val="Normlnywebov"/>
        <w:spacing w:lineRule="auto" w:line="276" w:before="120" w:after="0"/>
        <w:jc w:val="both"/>
        <w:rPr>
          <w:rFonts w:ascii="Book Antiqua" w:hAnsi="Book Antiqua" w:cs="Book Antiqua"/>
          <w:color w:val="FF0000"/>
          <w:sz w:val="22"/>
          <w:szCs w:val="22"/>
        </w:rPr>
      </w:pPr>
      <w:r>
        <w:rPr>
          <w:rFonts w:cs="Book Antiqua" w:ascii="Book Antiqua" w:hAnsi="Book Antiqua"/>
          <w:color w:val="FF0000"/>
          <w:sz w:val="22"/>
          <w:szCs w:val="22"/>
        </w:rPr>
      </w:r>
    </w:p>
    <w:p>
      <w:pPr>
        <w:pStyle w:val="Normlnywebov"/>
        <w:spacing w:lineRule="auto" w:line="276"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>2. Názov návrhu zákona:</w:t>
      </w:r>
      <w:r>
        <w:rPr>
          <w:rFonts w:cs="Book Antiqua" w:ascii="Book Antiqua" w:hAnsi="Book Antiqua"/>
          <w:sz w:val="22"/>
          <w:szCs w:val="22"/>
        </w:rPr>
        <w:t xml:space="preserve"> návrh zákona, ktorým sa mení a dopĺňa ústavný </w:t>
      </w:r>
      <w:r>
        <w:rPr>
          <w:rFonts w:cs="Book Antiqua" w:ascii="Book Antiqua" w:hAnsi="Book Antiqua"/>
          <w:bCs/>
          <w:sz w:val="22"/>
          <w:szCs w:val="22"/>
        </w:rPr>
        <w:t>zákon č. 357/2004 Z. z. o ochrane verejného záujmu pri výkone funkcií verejných funkcionárov v znení neskorších predpisov</w:t>
      </w:r>
    </w:p>
    <w:p>
      <w:pPr>
        <w:pStyle w:val="Normlnywebov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</w:r>
    </w:p>
    <w:p>
      <w:pPr>
        <w:pStyle w:val="Normlnywebov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>3. Predmet návrhu ústavného zákona:</w:t>
      </w:r>
    </w:p>
    <w:p>
      <w:pPr>
        <w:pStyle w:val="Normlnywebov"/>
        <w:numPr>
          <w:ilvl w:val="0"/>
          <w:numId w:val="2"/>
        </w:numPr>
        <w:spacing w:lineRule="auto" w:line="276" w:before="120" w:after="0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cs="Book Antiqua" w:ascii="Book Antiqua" w:hAnsi="Book Antiqua"/>
          <w:bCs/>
          <w:sz w:val="22"/>
          <w:szCs w:val="22"/>
        </w:rPr>
        <w:t xml:space="preserve">nie je upravený v primárnom práve Európskej únie, </w:t>
      </w:r>
    </w:p>
    <w:p>
      <w:pPr>
        <w:pStyle w:val="Normlnywebov"/>
        <w:numPr>
          <w:ilvl w:val="0"/>
          <w:numId w:val="2"/>
        </w:numPr>
        <w:spacing w:lineRule="auto" w:line="276" w:before="120" w:after="0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cs="Book Antiqua" w:ascii="Book Antiqua" w:hAnsi="Book Antiqua"/>
          <w:bCs/>
          <w:sz w:val="22"/>
          <w:szCs w:val="22"/>
        </w:rPr>
        <w:t>nie je upravený v sekundárnom práve Európskej únie,</w:t>
      </w:r>
    </w:p>
    <w:p>
      <w:pPr>
        <w:pStyle w:val="Normlnywebov"/>
        <w:numPr>
          <w:ilvl w:val="0"/>
          <w:numId w:val="2"/>
        </w:numPr>
        <w:spacing w:lineRule="auto" w:line="276" w:before="120" w:after="0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cs="Book Antiqua" w:ascii="Book Antiqua" w:hAnsi="Book Antiqua"/>
          <w:bCs/>
          <w:sz w:val="22"/>
          <w:szCs w:val="22"/>
        </w:rPr>
        <w:t>nie je obsiahnutý v judikatúre Súdneho dvora Európskej únie.</w:t>
      </w:r>
    </w:p>
    <w:p>
      <w:pPr>
        <w:pStyle w:val="Normlnywebov"/>
        <w:spacing w:lineRule="auto" w:line="276" w:before="120" w:after="0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</w:r>
    </w:p>
    <w:p>
      <w:pPr>
        <w:pStyle w:val="Normlnywebov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sz w:val="22"/>
          <w:szCs w:val="22"/>
        </w:rPr>
        <w:t>Vzhľadom na to, že predmet návrhu ústavného zákona nie je upravený v práve Európskej únie, je bezpredmetné vyjadrovať sa k bodom 4. a 5.</w:t>
      </w:r>
    </w:p>
    <w:p>
      <w:pPr>
        <w:pStyle w:val="Normlnywebov"/>
        <w:spacing w:lineRule="auto" w:line="276" w:before="120" w:after="0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</w:r>
    </w:p>
    <w:p>
      <w:pPr>
        <w:pStyle w:val="Normlnywebov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ab/>
      </w:r>
    </w:p>
    <w:p>
      <w:pPr>
        <w:pStyle w:val="Normal"/>
        <w:spacing w:lineRule="auto" w:line="276" w:before="120" w:after="0"/>
        <w:ind w:left="360" w:hanging="0"/>
        <w:jc w:val="both"/>
        <w:rPr>
          <w:rFonts w:ascii="Book Antiqua" w:hAnsi="Book Antiqua" w:cs="Book Antiqua"/>
          <w:b/>
          <w:b/>
          <w:bCs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0" w:after="160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b/>
          <w:b/>
          <w:bCs/>
          <w:caps/>
          <w:color w:val="000000"/>
          <w:spacing w:val="30"/>
          <w:sz w:val="22"/>
          <w:szCs w:val="22"/>
        </w:rPr>
      </w:pPr>
      <w:r>
        <w:rPr>
          <w:rFonts w:cs="Book Antiqua"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>
      <w:pPr>
        <w:pStyle w:val="Normal"/>
        <w:spacing w:lineRule="auto" w:line="276" w:before="120" w:after="0"/>
        <w:jc w:val="center"/>
        <w:rPr>
          <w:rFonts w:ascii="Book Antiqua" w:hAnsi="Book Antiqua" w:cs="Book Antiqua"/>
          <w:b/>
          <w:b/>
          <w:bCs/>
          <w:color w:val="000000"/>
          <w:sz w:val="22"/>
          <w:szCs w:val="22"/>
        </w:rPr>
      </w:pPr>
      <w:r>
        <w:rPr>
          <w:rFonts w:cs="Book Antiqua" w:ascii="Book Antiqua" w:hAnsi="Book Antiqua"/>
          <w:b/>
          <w:bCs/>
          <w:color w:val="000000"/>
          <w:sz w:val="22"/>
          <w:szCs w:val="22"/>
        </w:rPr>
        <w:t>vybraných vplyvov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color w:val="000000"/>
          <w:sz w:val="22"/>
          <w:szCs w:val="22"/>
        </w:rPr>
      </w:pPr>
      <w:r>
        <w:rPr>
          <w:rFonts w:cs="Book Antiqua" w:ascii="Book Antiqua" w:hAnsi="Book Antiqua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cs="Book Antiqua"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>
        <w:rPr>
          <w:rFonts w:cs="Book Antiqua" w:ascii="Book Antiqua" w:hAnsi="Book Antiqua"/>
          <w:sz w:val="22"/>
          <w:szCs w:val="22"/>
        </w:rPr>
        <w:t xml:space="preserve">návrh zákona, ktorým sa mení a dopĺňa ústavný </w:t>
      </w:r>
      <w:r>
        <w:rPr>
          <w:rFonts w:cs="Book Antiqua" w:ascii="Book Antiqua" w:hAnsi="Book Antiqua"/>
          <w:bCs/>
          <w:sz w:val="22"/>
          <w:szCs w:val="22"/>
        </w:rPr>
        <w:t>zákon č. 357/2004 Z. z. o ochrane verejného záujmu pri výkone funkcií verejných funkcionárov v znení neskorších predpisov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color w:val="000000"/>
          <w:sz w:val="22"/>
          <w:szCs w:val="22"/>
        </w:rPr>
      </w:pPr>
      <w:r>
        <w:rPr>
          <w:rFonts w:cs="Book Antiqua" w:ascii="Book Antiqua" w:hAnsi="Book Antiqua"/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/>
      </w:pPr>
      <w:r>
        <w:rPr>
          <w:rFonts w:cs="Book Antiqua" w:ascii="Book Antiqua" w:hAnsi="Book Antiqua"/>
          <w:b/>
          <w:bCs/>
          <w:color w:val="000000"/>
          <w:sz w:val="22"/>
          <w:szCs w:val="22"/>
        </w:rPr>
        <w:t>Termín začatia a ukončenia PPK:</w:t>
      </w:r>
      <w:r>
        <w:rPr>
          <w:rFonts w:cs="Book Antiqua" w:ascii="Book Antiqua" w:hAnsi="Book Antiqua"/>
          <w:color w:val="000000"/>
          <w:sz w:val="22"/>
          <w:szCs w:val="22"/>
        </w:rPr>
        <w:t xml:space="preserve"> </w:t>
      </w:r>
      <w:r>
        <w:rPr>
          <w:rFonts w:cs="Book Antiqua" w:ascii="Book Antiqua" w:hAnsi="Book Antiqua"/>
          <w:i/>
          <w:iCs/>
          <w:color w:val="000000"/>
          <w:sz w:val="22"/>
          <w:szCs w:val="22"/>
        </w:rPr>
        <w:t>bezpredmetné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i/>
          <w:i/>
          <w:iCs/>
          <w:color w:val="000000"/>
          <w:sz w:val="22"/>
          <w:szCs w:val="22"/>
        </w:rPr>
      </w:pPr>
      <w:r>
        <w:rPr>
          <w:rFonts w:cs="Book Antiqua" w:ascii="Book Antiqua" w:hAnsi="Book Antiqua"/>
          <w:i/>
          <w:iCs/>
          <w:color w:val="000000"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/>
      </w:pPr>
      <w:r>
        <w:rPr/>
        <w:t>A.2. Vplyvy:</w:t>
      </w:r>
    </w:p>
    <w:tbl>
      <w:tblPr>
        <w:tblW w:w="5000" w:type="pct"/>
        <w:jc w:val="left"/>
        <w:tblInd w:w="-14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517"/>
        <w:gridCol w:w="1170"/>
        <w:gridCol w:w="1177"/>
        <w:gridCol w:w="1208"/>
      </w:tblGrid>
      <w:tr>
        <w:trPr/>
        <w:tc>
          <w:tcPr>
            <w:tcW w:w="55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Pozitívne </w:t>
            </w:r>
          </w:p>
        </w:tc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Žiadne </w:t>
            </w:r>
          </w:p>
        </w:tc>
        <w:tc>
          <w:tcPr>
            <w:tcW w:w="12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 </w:t>
            </w: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Negatívne </w:t>
            </w:r>
          </w:p>
        </w:tc>
      </w:tr>
      <w:tr>
        <w:trPr/>
        <w:tc>
          <w:tcPr>
            <w:tcW w:w="55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5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5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5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–</w:t>
            </w:r>
            <w:r>
              <w:rPr>
                <w:rFonts w:eastAsia="Book Antiqua" w:cs="Book Antiqua" w:ascii="Book Antiqua" w:hAnsi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vplyvy na hospodárenie obyvateľstva,</w:t>
            </w:r>
          </w:p>
        </w:tc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5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–</w:t>
            </w:r>
            <w:r>
              <w:rPr>
                <w:rFonts w:eastAsia="Book Antiqua" w:cs="Book Antiqua" w:ascii="Book Antiqua" w:hAnsi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sociálnu exklúziu,</w:t>
            </w:r>
          </w:p>
        </w:tc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5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–</w:t>
            </w:r>
            <w:r>
              <w:rPr>
                <w:rFonts w:eastAsia="Book Antiqua" w:cs="Book Antiqua" w:ascii="Book Antiqua" w:hAnsi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rovnosť príležitostí a rodovú rovnosť a vplyvy na zamestnanosť</w:t>
            </w:r>
          </w:p>
        </w:tc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5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5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  <w:tc>
          <w:tcPr>
            <w:tcW w:w="11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76" w:before="120" w:after="0"/>
              <w:jc w:val="both"/>
              <w:rPr>
                <w:rFonts w:ascii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cs="Book Antiqua" w:ascii="Book Antiqua" w:hAnsi="Book Antiqua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cs="Book Antiqua" w:ascii="Book Antiqua" w:hAnsi="Book Antiqua"/>
          <w:color w:val="000000"/>
          <w:sz w:val="22"/>
          <w:szCs w:val="22"/>
        </w:rPr>
        <w:t> 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color w:val="000000"/>
          <w:sz w:val="22"/>
          <w:szCs w:val="22"/>
        </w:rPr>
      </w:pPr>
      <w:r>
        <w:rPr>
          <w:rFonts w:cs="Book Antiqua" w:ascii="Book Antiqua" w:hAnsi="Book Antiqua"/>
          <w:b/>
          <w:bCs/>
          <w:color w:val="000000"/>
          <w:sz w:val="22"/>
          <w:szCs w:val="22"/>
        </w:rPr>
        <w:t>A.3. Poznámky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i/>
          <w:i/>
          <w:color w:val="000000"/>
          <w:sz w:val="22"/>
          <w:szCs w:val="22"/>
        </w:rPr>
      </w:pPr>
      <w:r>
        <w:rPr>
          <w:rFonts w:cs="Book Antiqua" w:ascii="Book Antiqua" w:hAnsi="Book Antiqua"/>
          <w:i/>
          <w:color w:val="000000"/>
          <w:sz w:val="22"/>
          <w:szCs w:val="22"/>
        </w:rPr>
        <w:t>bezpredmetné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i/>
          <w:i/>
          <w:color w:val="000000"/>
          <w:sz w:val="22"/>
          <w:szCs w:val="22"/>
        </w:rPr>
      </w:pPr>
      <w:r>
        <w:rPr>
          <w:rFonts w:cs="Book Antiqua" w:ascii="Book Antiqua" w:hAnsi="Book Antiqua"/>
          <w:b/>
          <w:bCs/>
          <w:i/>
          <w:color w:val="000000"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color w:val="000000"/>
          <w:sz w:val="22"/>
          <w:szCs w:val="22"/>
        </w:rPr>
      </w:pPr>
      <w:r>
        <w:rPr>
          <w:rFonts w:cs="Book Antiqua" w:ascii="Book Antiqua" w:hAnsi="Book Antiqua"/>
          <w:b/>
          <w:bCs/>
          <w:color w:val="000000"/>
          <w:sz w:val="22"/>
          <w:szCs w:val="22"/>
        </w:rPr>
        <w:t>A.4. Alternatívne riešenia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i/>
          <w:i/>
          <w:color w:val="000000"/>
          <w:sz w:val="22"/>
          <w:szCs w:val="22"/>
        </w:rPr>
      </w:pPr>
      <w:r>
        <w:rPr>
          <w:rFonts w:cs="Book Antiqua" w:ascii="Book Antiqua" w:hAnsi="Book Antiqua"/>
          <w:i/>
          <w:color w:val="000000"/>
          <w:sz w:val="22"/>
          <w:szCs w:val="22"/>
        </w:rPr>
        <w:t>bezpredmetné</w:t>
      </w:r>
    </w:p>
    <w:p>
      <w:pPr>
        <w:pStyle w:val="Normal"/>
        <w:spacing w:lineRule="auto" w:line="276" w:before="120" w:after="0"/>
        <w:jc w:val="both"/>
        <w:rPr>
          <w:rFonts w:ascii="Book Antiqua" w:hAnsi="Book Antiqua" w:cs="Book Antiqua"/>
          <w:b/>
          <w:b/>
          <w:bCs/>
          <w:i/>
          <w:i/>
          <w:color w:val="000000"/>
          <w:sz w:val="22"/>
          <w:szCs w:val="22"/>
        </w:rPr>
      </w:pPr>
      <w:r>
        <w:rPr>
          <w:rFonts w:cs="Book Antiqua" w:ascii="Book Antiqua" w:hAnsi="Book Antiqua"/>
          <w:b/>
          <w:bCs/>
          <w:i/>
          <w:color w:val="000000"/>
          <w:sz w:val="22"/>
          <w:szCs w:val="22"/>
        </w:rPr>
      </w:r>
    </w:p>
    <w:p>
      <w:pPr>
        <w:pStyle w:val="Normlnywebov"/>
        <w:spacing w:lineRule="auto" w:line="276" w:before="120" w:after="0"/>
        <w:ind w:left="567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cs="Book Antiqua" w:ascii="Book Antiqua" w:hAnsi="Book Antiqua"/>
          <w:b/>
          <w:bCs/>
          <w:sz w:val="22"/>
          <w:szCs w:val="22"/>
        </w:rPr>
        <w:t xml:space="preserve">A.5. </w:t>
        <w:tab/>
        <w:t>Stanovisko gestorov</w:t>
      </w:r>
    </w:p>
    <w:p>
      <w:pPr>
        <w:pStyle w:val="Normlnywebov"/>
        <w:spacing w:lineRule="auto" w:line="276" w:before="120" w:after="0"/>
        <w:jc w:val="both"/>
        <w:rPr>
          <w:rFonts w:ascii="Book Antiqua" w:hAnsi="Book Antiqua" w:cs="Book Antiqua"/>
          <w:i/>
          <w:i/>
          <w:iCs/>
          <w:color w:val="000000"/>
          <w:sz w:val="22"/>
          <w:szCs w:val="22"/>
        </w:rPr>
      </w:pPr>
      <w:r>
        <w:rPr>
          <w:rFonts w:cs="Book Antiqua"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Book Antiqua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sk-SK" w:bidi="ar-SA" w:eastAsia="zh-C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styleId="WW8Num1z0">
    <w:name w:val="WW8Num1z0"/>
    <w:qFormat/>
    <w:rPr>
      <w:rFonts w:ascii="Book Antiqua" w:hAnsi="Book Antiqua" w:eastAsia="Times New Roman" w:cs="Book Antiqua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4z0">
    <w:name w:val="WW8Num4z0"/>
    <w:qFormat/>
    <w:rPr>
      <w:rFonts w:ascii="Book Antiqua" w:hAnsi="Book Antiqua" w:eastAsia="Times New Roman" w:cs="Book Antiqua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cs="Times New Roman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Predvolenpsmoodseku">
    <w:name w:val="Predvolené písmo odseku"/>
    <w:qFormat/>
    <w:rPr/>
  </w:style>
  <w:style w:type="character" w:styleId="Nadpis1Char">
    <w:name w:val="Nadpis 1 Char"/>
    <w:qFormat/>
    <w:rPr>
      <w:rFonts w:ascii="Cambria" w:hAnsi="Cambria" w:cs="Times New Roman"/>
      <w:b/>
      <w:bCs/>
      <w:kern w:val="2"/>
      <w:sz w:val="32"/>
      <w:szCs w:val="32"/>
      <w:lang w:val="sk-SK"/>
    </w:rPr>
  </w:style>
  <w:style w:type="character" w:styleId="Textzstupnhosymbolu">
    <w:name w:val="Text zástupného symbolu"/>
    <w:qFormat/>
    <w:rPr>
      <w:rFonts w:ascii="Times New Roman" w:hAnsi="Times New Roman" w:cs="Times New Roman"/>
      <w:color w:val="808080"/>
    </w:rPr>
  </w:style>
  <w:style w:type="character" w:styleId="HlavikaChar">
    <w:name w:val="Hlavička Char"/>
    <w:qFormat/>
    <w:rPr>
      <w:rFonts w:ascii="Times New Roman" w:hAnsi="Times New Roman" w:cs="Times New Roman"/>
      <w:sz w:val="24"/>
      <w:szCs w:val="24"/>
      <w:lang w:val="sk-SK"/>
    </w:rPr>
  </w:style>
  <w:style w:type="character" w:styleId="PtaChar">
    <w:name w:val="Päta Char"/>
    <w:qFormat/>
    <w:rPr>
      <w:rFonts w:ascii="Times New Roman" w:hAnsi="Times New Roman" w:cs="Times New Roman"/>
      <w:sz w:val="24"/>
      <w:szCs w:val="24"/>
      <w:lang w:val="sk-SK"/>
    </w:rPr>
  </w:style>
  <w:style w:type="character" w:styleId="Internetovodkaz">
    <w:name w:val="Internetový odkaz"/>
    <w:rPr>
      <w:color w:val="0000FF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lnywebov">
    <w:name w:val="Normálny (webový)"/>
    <w:basedOn w:val="Normal"/>
    <w:qFormat/>
    <w:pPr>
      <w:spacing w:before="280" w:after="280"/>
    </w:pPr>
    <w:rPr/>
  </w:style>
  <w:style w:type="paragraph" w:styleId="Hlavi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andard">
    <w:name w:val="Standard"/>
    <w:qFormat/>
    <w:pPr>
      <w:widowControl w:val="false"/>
      <w:suppressAutoHyphens w:val="tru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sk-SK" w:bidi="ar-SA" w:eastAsia="zh-CN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Odsekzoznamu">
    <w:name w:val="Odsek zoznamu"/>
    <w:basedOn w:val="Normal"/>
    <w:qFormat/>
    <w:pPr>
      <w:spacing w:before="0" w:after="0"/>
      <w:ind w:left="720" w:hanging="0"/>
      <w:contextualSpacing/>
    </w:pPr>
    <w:rPr/>
  </w:style>
  <w:style w:type="paragraph" w:styleId="Obsahtabuky">
    <w:name w:val="Obsah tabuľky"/>
    <w:basedOn w:val="Normal"/>
    <w:qFormat/>
    <w:pPr>
      <w:suppressLineNumbers/>
    </w:pPr>
    <w:rPr/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ssembly.coe.int/nw/xml/XRef/Xref-XML2HTML-en.asp?fileid=17626&amp;lang=EN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169</TotalTime>
  <Application>LibreOffice/6.2.3.2$Windows_X86_64 LibreOffice_project/aecc05fe267cc68dde00352a451aa867b3b546ac</Application>
  <Pages>6</Pages>
  <Words>1994</Words>
  <Characters>11576</Characters>
  <CharactersWithSpaces>13521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2019-02-16T11:31:00Z</dcterms:created>
  <dc:creator>Luk·č, Jozef (asistent)</dc:creator>
  <dc:description/>
  <cp:keywords/>
  <dc:language>sk-SK</dc:language>
  <cp:lastModifiedBy>Milan</cp:lastModifiedBy>
  <cp:lastPrinted>2016-08-19T13:57:00Z</cp:lastPrinted>
  <dcterms:modified xsi:type="dcterms:W3CDTF">2019-11-05T11:54:00Z</dcterms:modified>
  <cp:revision>26</cp:revision>
  <dc:subject/>
  <dc:title/>
</cp:coreProperties>
</file>