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120" w:after="0"/>
        <w:jc w:val="center"/>
        <w:rPr>
          <w:rFonts w:ascii="Book Antiqua" w:hAnsi="Book Antiqua"/>
          <w:sz w:val="22"/>
          <w:szCs w:val="22"/>
        </w:rPr>
      </w:pPr>
      <w:r>
        <w:rPr>
          <w:rFonts w:ascii="Book Antiqua" w:hAnsi="Book Antiqua"/>
          <w:b/>
          <w:caps/>
          <w:spacing w:val="30"/>
          <w:sz w:val="22"/>
          <w:szCs w:val="22"/>
        </w:rPr>
        <w:t>Dôvodová správa</w:t>
      </w:r>
    </w:p>
    <w:p>
      <w:pPr>
        <w:pStyle w:val="NormalWeb"/>
        <w:spacing w:lineRule="auto" w:line="276" w:before="120" w:after="0"/>
        <w:jc w:val="center"/>
        <w:rPr>
          <w:rFonts w:ascii="Book Antiqua" w:hAnsi="Book Antiqua"/>
          <w:sz w:val="22"/>
          <w:szCs w:val="22"/>
        </w:rPr>
      </w:pPr>
      <w:r>
        <w:rPr>
          <w:rFonts w:ascii="Book Antiqua" w:hAnsi="Book Antiqua"/>
          <w:b/>
          <w:sz w:val="22"/>
          <w:szCs w:val="22"/>
        </w:rPr>
        <w:t> </w:t>
      </w:r>
    </w:p>
    <w:p>
      <w:pPr>
        <w:pStyle w:val="Nadpis1"/>
        <w:spacing w:lineRule="auto" w:line="276" w:before="120" w:after="0"/>
        <w:jc w:val="left"/>
        <w:rPr>
          <w:rFonts w:ascii="Book Antiqua" w:hAnsi="Book Antiqua" w:cs="Times New Roman"/>
          <w:bCs w:val="false"/>
          <w:sz w:val="22"/>
          <w:szCs w:val="22"/>
        </w:rPr>
      </w:pPr>
      <w:r>
        <w:rPr>
          <w:rFonts w:cs="Times New Roman" w:ascii="Book Antiqua" w:hAnsi="Book Antiqua"/>
          <w:bCs w:val="false"/>
          <w:sz w:val="22"/>
          <w:szCs w:val="22"/>
        </w:rPr>
        <w:t>A. Všeobecná časť</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Návrh zákona, ktorým sa mení a d</w:t>
      </w:r>
      <w:bookmarkStart w:id="0" w:name="_GoBack"/>
      <w:bookmarkEnd w:id="0"/>
      <w:r>
        <w:rPr>
          <w:rFonts w:ascii="Book Antiqua" w:hAnsi="Book Antiqua"/>
          <w:sz w:val="22"/>
          <w:szCs w:val="22"/>
        </w:rPr>
        <w:t>opĺňa zákon Národnej rady Slovenskej  republiky  č. 39/1993 Z. z. o Najvyššom kontrolnom úrade Slovenskej republiky v znení neskorších predpisov a ktorým sa menia a dopĺňajú niektoré zákony (ďalej len „návrh zákona“) predkladá skupina poslancov Národnej rady Slovenskej republiky.</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 xml:space="preserve">Ostatná voľba predsedu Najvyššieho kontrolného úradu Slovenskej republiky poukázala na systémové chyby v mechanizme voľby a možnosti zablokovania procesu výberového konania na niekoľko rokov, a to aj napriek tomu, že podmienky zvolenia sú v súčasnosti nastavené veľmi mierne. Zároveň nastolila pochybnosti o nezávislosti predsedu Najvyššieho kontrolného úradu Slovenskej republiky, keď sa jeho pozícia stala zdrojom politického „obchodovania“. </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Viaceré kauzy v nedávnej minulosti odhalili, že zverejnenie kontrolnej správy nie je dostatočným nástrojom na vymáhanie naplnenia odporúčaní zistených na základe kontroly, ani nie sú zárukou, že nekalé aktivity nebudú pokračovať.</w:t>
      </w:r>
    </w:p>
    <w:p>
      <w:pPr>
        <w:pStyle w:val="Normal"/>
        <w:spacing w:lineRule="auto" w:line="276" w:before="120" w:after="0"/>
        <w:ind w:firstLine="709"/>
        <w:jc w:val="both"/>
        <w:rPr>
          <w:rFonts w:ascii="Book Antiqua" w:hAnsi="Book Antiqua"/>
          <w:sz w:val="22"/>
          <w:szCs w:val="22"/>
        </w:rPr>
      </w:pPr>
      <w:r>
        <w:rPr>
          <w:rFonts w:ascii="Book Antiqua" w:hAnsi="Book Antiqua"/>
          <w:b/>
          <w:sz w:val="22"/>
          <w:szCs w:val="22"/>
        </w:rPr>
        <w:t>Cieľmi návrhu zákona sú preto najmä</w:t>
      </w:r>
      <w:r>
        <w:rPr>
          <w:rFonts w:ascii="Book Antiqua" w:hAnsi="Book Antiqua"/>
          <w:sz w:val="22"/>
          <w:szCs w:val="22"/>
        </w:rPr>
        <w:t>:</w:t>
      </w:r>
    </w:p>
    <w:p>
      <w:pPr>
        <w:pStyle w:val="ListParagraph"/>
        <w:numPr>
          <w:ilvl w:val="0"/>
          <w:numId w:val="3"/>
        </w:numPr>
        <w:spacing w:lineRule="auto" w:line="276" w:before="120" w:after="0"/>
        <w:contextualSpacing/>
        <w:jc w:val="both"/>
        <w:rPr>
          <w:rFonts w:ascii="Book Antiqua" w:hAnsi="Book Antiqua"/>
          <w:b/>
          <w:b/>
          <w:sz w:val="22"/>
          <w:szCs w:val="22"/>
        </w:rPr>
      </w:pPr>
      <w:r>
        <w:rPr>
          <w:rFonts w:ascii="Book Antiqua" w:hAnsi="Book Antiqua"/>
          <w:b/>
          <w:sz w:val="22"/>
          <w:szCs w:val="22"/>
        </w:rPr>
        <w:t>posilnenie nezávislosti vedenia Najvyššieho kontrolného úradu Slovenskej republiky,</w:t>
      </w:r>
    </w:p>
    <w:p>
      <w:pPr>
        <w:pStyle w:val="ListParagraph"/>
        <w:numPr>
          <w:ilvl w:val="0"/>
          <w:numId w:val="3"/>
        </w:numPr>
        <w:spacing w:lineRule="auto" w:line="276" w:before="120" w:after="0"/>
        <w:contextualSpacing/>
        <w:jc w:val="both"/>
        <w:rPr>
          <w:rFonts w:ascii="Book Antiqua" w:hAnsi="Book Antiqua"/>
          <w:b/>
          <w:b/>
          <w:sz w:val="22"/>
          <w:szCs w:val="22"/>
        </w:rPr>
      </w:pPr>
      <w:r>
        <w:rPr>
          <w:rFonts w:ascii="Book Antiqua" w:hAnsi="Book Antiqua"/>
          <w:b/>
          <w:sz w:val="22"/>
          <w:szCs w:val="22"/>
        </w:rPr>
        <w:t>zvýšenie transparentnosti obsadenia vedúcich postov na Najvyššom kontrolnom úrade Slovenskej republiky,</w:t>
      </w:r>
    </w:p>
    <w:p>
      <w:pPr>
        <w:pStyle w:val="ListParagraph"/>
        <w:numPr>
          <w:ilvl w:val="0"/>
          <w:numId w:val="3"/>
        </w:numPr>
        <w:spacing w:lineRule="auto" w:line="276" w:before="120" w:after="0"/>
        <w:contextualSpacing/>
        <w:jc w:val="both"/>
        <w:rPr>
          <w:rFonts w:ascii="Book Antiqua" w:hAnsi="Book Antiqua"/>
          <w:b/>
          <w:b/>
          <w:sz w:val="22"/>
          <w:szCs w:val="22"/>
        </w:rPr>
      </w:pPr>
      <w:r>
        <w:rPr>
          <w:rFonts w:ascii="Book Antiqua" w:hAnsi="Book Antiqua"/>
          <w:b/>
          <w:sz w:val="22"/>
          <w:szCs w:val="22"/>
        </w:rPr>
        <w:t>sprísnenie kvalifikačných a osobnostných predpokladov pre kandidátov na vedúce funkcie Najvyššieho kontrolného úradu Slovenskej republiky,</w:t>
      </w:r>
    </w:p>
    <w:p>
      <w:pPr>
        <w:pStyle w:val="ListParagraph"/>
        <w:numPr>
          <w:ilvl w:val="0"/>
          <w:numId w:val="3"/>
        </w:numPr>
        <w:spacing w:lineRule="auto" w:line="276" w:before="120" w:after="0"/>
        <w:contextualSpacing/>
        <w:jc w:val="both"/>
        <w:rPr>
          <w:rFonts w:ascii="Book Antiqua" w:hAnsi="Book Antiqua"/>
          <w:b/>
          <w:b/>
          <w:sz w:val="22"/>
          <w:szCs w:val="22"/>
        </w:rPr>
      </w:pPr>
      <w:r>
        <w:rPr>
          <w:rFonts w:ascii="Book Antiqua" w:hAnsi="Book Antiqua"/>
          <w:b/>
          <w:sz w:val="22"/>
          <w:szCs w:val="22"/>
        </w:rPr>
        <w:t>zavedenie možnosti ukladania sankcií v prípade, že kontrolný subjekt neodstráni nedostatky zistené kontrolou,</w:t>
      </w:r>
    </w:p>
    <w:p>
      <w:pPr>
        <w:pStyle w:val="ListParagraph"/>
        <w:numPr>
          <w:ilvl w:val="0"/>
          <w:numId w:val="3"/>
        </w:numPr>
        <w:spacing w:lineRule="auto" w:line="276" w:before="120" w:after="0"/>
        <w:contextualSpacing/>
        <w:jc w:val="both"/>
        <w:rPr>
          <w:rFonts w:ascii="Book Antiqua" w:hAnsi="Book Antiqua"/>
          <w:b/>
          <w:b/>
          <w:sz w:val="22"/>
          <w:szCs w:val="22"/>
        </w:rPr>
      </w:pPr>
      <w:r>
        <w:rPr>
          <w:rFonts w:ascii="Book Antiqua" w:hAnsi="Book Antiqua"/>
          <w:b/>
          <w:sz w:val="22"/>
          <w:szCs w:val="22"/>
        </w:rPr>
        <w:t>zriadenie stáleho Výboru Národnej rady Slovenskej republiky pre Najvyšší kontrolný úrad Slovenskej republiky,</w:t>
      </w:r>
    </w:p>
    <w:p>
      <w:pPr>
        <w:pStyle w:val="ListParagraph"/>
        <w:numPr>
          <w:ilvl w:val="0"/>
          <w:numId w:val="3"/>
        </w:numPr>
        <w:spacing w:lineRule="auto" w:line="276" w:before="120" w:after="0"/>
        <w:contextualSpacing/>
        <w:jc w:val="both"/>
        <w:rPr>
          <w:rFonts w:ascii="Book Antiqua" w:hAnsi="Book Antiqua"/>
          <w:sz w:val="22"/>
          <w:szCs w:val="22"/>
        </w:rPr>
      </w:pPr>
      <w:r>
        <w:rPr>
          <w:rFonts w:ascii="Book Antiqua" w:hAnsi="Book Antiqua"/>
          <w:b/>
          <w:sz w:val="22"/>
          <w:szCs w:val="22"/>
        </w:rPr>
        <w:t xml:space="preserve">zjednotenie výstupov kontroly Najvyššieho kontrolného úradu Slovenskej republiky. </w:t>
      </w:r>
      <w:r>
        <w:rPr>
          <w:rFonts w:ascii="Book Antiqua" w:hAnsi="Book Antiqua"/>
          <w:sz w:val="22"/>
          <w:szCs w:val="22"/>
        </w:rPr>
        <w:t xml:space="preserve"> </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Návrh zákona má pozitívny vplyv na rozpočet verejnej správy a na informatizáciu spoločnosti. Návrh zákona nemá vplyv na podnikateľské prostredie, životné prostredie a nevyvoláva žiadne sociálne vplyvy.</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br w:type="page"/>
      </w:r>
    </w:p>
    <w:p>
      <w:pPr>
        <w:pStyle w:val="NormalWeb"/>
        <w:spacing w:lineRule="auto" w:line="276" w:before="120" w:after="0"/>
        <w:jc w:val="both"/>
        <w:rPr>
          <w:rFonts w:ascii="Book Antiqua" w:hAnsi="Book Antiqua"/>
          <w:sz w:val="22"/>
          <w:szCs w:val="22"/>
        </w:rPr>
      </w:pPr>
      <w:r>
        <w:rPr>
          <w:rFonts w:ascii="Book Antiqua" w:hAnsi="Book Antiqua"/>
          <w:b/>
          <w:sz w:val="22"/>
          <w:szCs w:val="22"/>
        </w:rPr>
        <w:t>B. Osobitná časť</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 xml:space="preserve">K Čl. I </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1</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Už dnes môže Národná rada Slovenskej republiky (ďalej len „NR SR“) vyzvať Najvyšší kontrolný úrad Slovenskej republiky (ďalej len „NKÚ“) ku kontrole svojim uznesením. V praxi sa prenecháva táto kompetencia vládnej väčšine. Návrh zákona smeruje k posilneniu menšinového hlasu, konkrétne k posilneniu opozície, ktorej úloha je kontrolovať exekutívu. </w:t>
      </w:r>
    </w:p>
    <w:p>
      <w:pPr>
        <w:pStyle w:val="Normal"/>
        <w:spacing w:lineRule="auto" w:line="276" w:before="120" w:after="0"/>
        <w:ind w:firstLine="708"/>
        <w:jc w:val="both"/>
        <w:rPr>
          <w:rFonts w:ascii="Book Antiqua" w:hAnsi="Book Antiqua"/>
          <w:sz w:val="22"/>
          <w:szCs w:val="22"/>
        </w:rPr>
      </w:pPr>
      <w:r>
        <w:rPr>
          <w:rFonts w:ascii="Book Antiqua" w:hAnsi="Book Antiqua"/>
          <w:b/>
          <w:sz w:val="22"/>
          <w:szCs w:val="22"/>
        </w:rPr>
        <w:t>Zámerom predloženého návrhu zákona je povinnosť NKÚ vykonať aspoň 5 kontrol ročne navrhnutých NR SR, pričom aspoň dva návrhy na vykonanie kontroly budú vychádzať z iniciatívy vládnych poslancov a aspoň tri návrhy budú vychádzať z iniciatívy ostatných poslancov, teda poslancov opozície</w:t>
      </w:r>
      <w:r>
        <w:rPr>
          <w:rFonts w:ascii="Book Antiqua" w:hAnsi="Book Antiqua"/>
          <w:sz w:val="22"/>
          <w:szCs w:val="22"/>
        </w:rPr>
        <w:t>. Navrhnutý model tzv. záväzných podnetov funguje napríklad v Slovinsku.</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2</w:t>
      </w:r>
    </w:p>
    <w:p>
      <w:pPr>
        <w:pStyle w:val="Normal"/>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Posledná voľba nového predsedu NKÚ poukázala na systémové chyby v mechanizme voľby a možnosti zablokovania procesu výberového konania na niekoľko rokov. Zároveň vzniesla pochybnosti o nezávislosti predsedu NKÚ, keď sa jeho pozícia stala zdrojom politického „obchodovania“.</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Predseda NKÚ nemá byť ani opozičný ani koaličný, ale nezávislý, a preto je potrebné znížiť vplyv politického rozhodovania pri jeho voľbe. V prípade voľby predsedu a podpredsedov NKÚ preto </w:t>
      </w:r>
      <w:r>
        <w:rPr>
          <w:rFonts w:ascii="Book Antiqua" w:hAnsi="Book Antiqua"/>
          <w:b/>
          <w:sz w:val="22"/>
          <w:szCs w:val="22"/>
        </w:rPr>
        <w:t>navrhujeme zmeniť systém výberového konania tak, aby kandidátov</w:t>
      </w:r>
      <w:r>
        <w:rPr>
          <w:rFonts w:ascii="Book Antiqua" w:hAnsi="Book Antiqua"/>
          <w:sz w:val="22"/>
          <w:szCs w:val="22"/>
        </w:rPr>
        <w:t xml:space="preserve"> predkladala NR SR </w:t>
      </w:r>
      <w:r>
        <w:rPr>
          <w:rFonts w:ascii="Book Antiqua" w:hAnsi="Book Antiqua"/>
          <w:b/>
          <w:sz w:val="22"/>
          <w:szCs w:val="22"/>
        </w:rPr>
        <w:t xml:space="preserve">nezávislá na tento účel zriadená Komisia pre voľbu predsedu a podpredsedov NKÚ (ďalej len „komisia“) </w:t>
      </w:r>
      <w:r>
        <w:rPr>
          <w:rFonts w:ascii="Book Antiqua" w:hAnsi="Book Antiqua"/>
          <w:sz w:val="22"/>
          <w:szCs w:val="22"/>
        </w:rPr>
        <w:t>(nie poslanci NR SR)</w:t>
      </w:r>
      <w:r>
        <w:rPr>
          <w:rFonts w:ascii="Book Antiqua" w:hAnsi="Book Antiqua"/>
          <w:b/>
          <w:sz w:val="22"/>
          <w:szCs w:val="22"/>
        </w:rPr>
        <w:t xml:space="preserve"> a NR SR volila</w:t>
      </w:r>
      <w:r>
        <w:rPr>
          <w:rFonts w:ascii="Book Antiqua" w:hAnsi="Book Antiqua"/>
          <w:sz w:val="22"/>
          <w:szCs w:val="22"/>
        </w:rPr>
        <w:t xml:space="preserve"> predsedu NKÚ a podpredsedov NKÚ </w:t>
      </w:r>
      <w:r>
        <w:rPr>
          <w:rFonts w:ascii="Book Antiqua" w:hAnsi="Book Antiqua"/>
          <w:b/>
          <w:sz w:val="22"/>
          <w:szCs w:val="22"/>
        </w:rPr>
        <w:t>z aspoň dvoch najlepších kandidátov na základe odporúčania uvedenej komisie</w:t>
      </w:r>
      <w:r>
        <w:rPr>
          <w:rFonts w:ascii="Book Antiqua" w:hAnsi="Book Antiqua"/>
          <w:sz w:val="22"/>
          <w:szCs w:val="22"/>
        </w:rPr>
        <w:t>.</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Zmena systému voľby predsedu NKÚ vyplýva z účelu výberového konania, ktorým by malo byť overenie predpokladov a schopností zabezpečiť riadny výkon kontrolnej činnosti a správy úradu. Navrhujeme, aby bolo konanie otvorené všetkým uchádzačom o funkciu, ktorí spĺňajú kvalifikačné kritériá a prebehlo transparentne a bez politických tlakov.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Domnievame sa, že tieto požiadavky napĺňa dvojstupňové výberové konanie, v ktorom by na prvej úrovni posudzovala kandidátov nezávislá komisia zložená zo siedmich členov, pričom jej zloženie má túto štruktúru: dvoch členov vymenúva a odvoláva Výbor NR SR pre najvyšší kontrolný úrad zo svojich členov, dvoch členov vymenúva a odvoláva Slovenská komora audítorov, jedného člena vymenúva a odvoláva Finančné riaditeľstvo Slovenskej republiky, jedného člena vymenúva a odvoláva Generálna prokuratúra Slovenskej republiky, jedného člena vymenúva a odvoláva Rada vlády Slovenskej republiky pre mimovládne neziskové organizácie. Zasadnutie komisie zvoláva predseda NKÚ, ak by však zasadnutie komisie nezvolal v stanovených lehotách, komisia sa zíde a zasadne sama. Zoznam kandidátov s uvedením poradia jednotlivých uchádzačov a odporúčaním na dvoch najúspešnejších uchádzačov predloží komisia NR SR.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Transparentnosť výberového procesu je zvýraznená aj tým, že výzva na prihlásenie kandidátov bude zverejnená nielen na webovom sídle NKÚ, ale aj v denníku s celoštátnou pôsobnosťou. Podrobnosti fungovania komisie, vrátane vyhodnocovania kandidátov, upraví Štatút komisie, ktorý podlieha schváleniu NKÚ.</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3</w:t>
      </w:r>
    </w:p>
    <w:p>
      <w:pPr>
        <w:pStyle w:val="NormalWeb"/>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V zmysle Ústavy Slovenskej republiky a zákona o Najvyššom kontrolnom úrade Slovenskej republiky, môže byť za predsedu NKÚ zvolený každý občan s trvalým pobytom v Slovenskej republike, ktorý v deň volieb dovŕši 21 rokov veku. Domnievame sa, že takto nastavené kritériá na predsedu NKÚ nezaručujú v plnej miere zvolenie kandidáta s potrebnou kvalifikáciou a skúsenosťami.</w:t>
      </w:r>
    </w:p>
    <w:p>
      <w:pPr>
        <w:pStyle w:val="NormalWeb"/>
        <w:spacing w:lineRule="auto" w:line="276" w:before="120" w:after="0"/>
        <w:ind w:firstLine="708"/>
        <w:jc w:val="both"/>
        <w:rPr>
          <w:rFonts w:ascii="Book Antiqua" w:hAnsi="Book Antiqua"/>
          <w:sz w:val="22"/>
          <w:szCs w:val="22"/>
        </w:rPr>
      </w:pPr>
      <w:r>
        <w:rPr>
          <w:rFonts w:ascii="Book Antiqua" w:hAnsi="Book Antiqua"/>
          <w:b/>
          <w:sz w:val="22"/>
          <w:szCs w:val="22"/>
        </w:rPr>
        <w:t xml:space="preserve">Cieľom návrhu zákona je sprísnenie kvalifikačných predpokladov, </w:t>
      </w:r>
      <w:r>
        <w:rPr>
          <w:rFonts w:ascii="Book Antiqua" w:hAnsi="Book Antiqua"/>
          <w:sz w:val="22"/>
          <w:szCs w:val="22"/>
        </w:rPr>
        <w:t>ktoré kandidát na post</w:t>
      </w:r>
      <w:r>
        <w:rPr>
          <w:rFonts w:ascii="Book Antiqua" w:hAnsi="Book Antiqua"/>
          <w:b/>
          <w:sz w:val="22"/>
          <w:szCs w:val="22"/>
        </w:rPr>
        <w:t xml:space="preserve"> </w:t>
      </w:r>
      <w:r>
        <w:rPr>
          <w:rFonts w:ascii="Book Antiqua" w:hAnsi="Book Antiqua"/>
          <w:sz w:val="22"/>
          <w:szCs w:val="22"/>
        </w:rPr>
        <w:t>predsedu NKÚ alebo podpredsedu NKÚ musí spĺňať, a to o požiadavku vysokoškolského vzdelania druhého stupňa, odbornej praxe a politickej nezávislosti.</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4</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Ide o legislatívno-technickú úpravu súvisiacu s Čl. I bodom 3 tohto návrhu zákona.</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5</w:t>
      </w:r>
    </w:p>
    <w:p>
      <w:pPr>
        <w:pStyle w:val="Normal"/>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 xml:space="preserve">Oprávnenie predsedu NKÚ SR zúčastniť sa na rokovaniach vlády bolo obmedzené v roku 2010. </w:t>
      </w:r>
    </w:p>
    <w:p>
      <w:pPr>
        <w:pStyle w:val="Normal"/>
        <w:spacing w:lineRule="auto" w:line="276" w:before="120" w:after="0"/>
        <w:ind w:firstLine="708"/>
        <w:jc w:val="both"/>
        <w:rPr>
          <w:rFonts w:ascii="Book Antiqua" w:hAnsi="Book Antiqua"/>
          <w:sz w:val="22"/>
          <w:szCs w:val="22"/>
        </w:rPr>
      </w:pPr>
      <w:r>
        <w:rPr>
          <w:rFonts w:ascii="Book Antiqua" w:hAnsi="Book Antiqua"/>
          <w:b/>
          <w:sz w:val="22"/>
          <w:szCs w:val="22"/>
        </w:rPr>
        <w:t>Cieľom návrhu zákona je</w:t>
      </w:r>
      <w:r>
        <w:rPr>
          <w:rFonts w:ascii="Book Antiqua" w:hAnsi="Book Antiqua"/>
          <w:sz w:val="22"/>
          <w:szCs w:val="22"/>
        </w:rPr>
        <w:t xml:space="preserve"> </w:t>
      </w:r>
      <w:r>
        <w:rPr>
          <w:rFonts w:ascii="Book Antiqua" w:hAnsi="Book Antiqua"/>
          <w:b/>
          <w:sz w:val="22"/>
          <w:szCs w:val="22"/>
        </w:rPr>
        <w:t>opätovné zavedenie možnosti predsedu NKÚ zúčastniť sa na rokovaniach vlády a doplnenie povinnosti predsedu NKÚ zúčastniť sa na rokovaniach vlády</w:t>
      </w:r>
      <w:r>
        <w:rPr>
          <w:rFonts w:ascii="Book Antiqua" w:hAnsi="Book Antiqua"/>
          <w:sz w:val="22"/>
          <w:szCs w:val="22"/>
        </w:rPr>
        <w:t xml:space="preserve"> na základe jej pozvania, ak sú v programe rokovania zaradené kontrolné závery úradu alebo stanoviská príslušných orgánov ku kontrolným záverom.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Jeho účasť by mala prispieť ku kvalifikovanej diskusii na tému riešení, ku ktorým vláda SR zaviaže uznesením kontrolované subjekty vo svojej pôsobnosti. </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bodom 6 a 7</w:t>
      </w:r>
    </w:p>
    <w:p>
      <w:pPr>
        <w:pStyle w:val="NormalWeb"/>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Ide o legislatívno-technickú úpravu súvisiacu s Čl. I bodmi 8 a 9 tohto návrhu zákona.</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bodom 8 a 9</w:t>
      </w:r>
    </w:p>
    <w:p>
      <w:pPr>
        <w:pStyle w:val="Normal"/>
        <w:spacing w:lineRule="auto" w:line="276" w:before="120" w:after="0"/>
        <w:ind w:firstLine="708"/>
        <w:jc w:val="both"/>
        <w:rPr>
          <w:rFonts w:ascii="Book Antiqua" w:hAnsi="Book Antiqua"/>
          <w:sz w:val="22"/>
          <w:szCs w:val="22"/>
        </w:rPr>
      </w:pPr>
      <w:r>
        <w:rPr>
          <w:rFonts w:ascii="Book Antiqua" w:hAnsi="Book Antiqua"/>
          <w:b/>
          <w:sz w:val="22"/>
          <w:szCs w:val="22"/>
        </w:rPr>
        <w:t>Cieľom návrhu zákona je zavedenie jednotného formátu výstupu z kontrol</w:t>
      </w:r>
      <w:r>
        <w:rPr>
          <w:rFonts w:ascii="Book Antiqua" w:hAnsi="Book Antiqua"/>
          <w:sz w:val="22"/>
          <w:szCs w:val="22"/>
        </w:rPr>
        <w:t>. Výstupom, ktorý bude vydávaný v štandardizovanom formáte po každej ukončenej kontrole bude „protokol o výsledku kontroly“. Príkladom dobrej praxe zo zahraničia je Česká republika, v ktorej sa o každej uskutočnenej kontrole vypracováva spomínaný protokol. V záujme hospodárnosti kontroly, sa navrhuje len jednoduché odovzdanie protokolu kontrolovanému subjektu, bez potreby prerokovania protokolu o výsledku kontroly, ak kontrolou neboli zistené žiadne pochybenia.</w:t>
      </w:r>
    </w:p>
    <w:p>
      <w:pPr>
        <w:pStyle w:val="NormalWeb"/>
        <w:spacing w:lineRule="auto" w:line="276" w:before="120" w:after="0"/>
        <w:jc w:val="both"/>
        <w:rPr>
          <w:rFonts w:ascii="Book Antiqua" w:hAnsi="Book Antiqua"/>
          <w:sz w:val="22"/>
          <w:szCs w:val="22"/>
          <w:u w:val="single"/>
        </w:rPr>
      </w:pPr>
      <w:r>
        <w:rPr>
          <w:rFonts w:ascii="Book Antiqua" w:hAnsi="Book Antiqua"/>
          <w:sz w:val="22"/>
          <w:szCs w:val="22"/>
          <w:u w:val="single"/>
        </w:rPr>
        <w:t>K bodu 10</w:t>
      </w:r>
    </w:p>
    <w:p>
      <w:pPr>
        <w:pStyle w:val="NormalWeb"/>
        <w:spacing w:lineRule="auto" w:line="276" w:before="120" w:after="0"/>
        <w:jc w:val="both"/>
        <w:rPr>
          <w:rFonts w:ascii="Book Antiqua" w:hAnsi="Book Antiqua"/>
          <w:sz w:val="22"/>
          <w:szCs w:val="22"/>
          <w:u w:val="single"/>
        </w:rPr>
      </w:pPr>
      <w:r>
        <w:rPr>
          <w:rFonts w:ascii="Book Antiqua" w:hAnsi="Book Antiqua"/>
          <w:sz w:val="22"/>
          <w:szCs w:val="22"/>
        </w:rPr>
        <w:t>Ide o legislatívno-technickú úpravu súvisiacu s Čl. I bodom 13 tohto návrhu zákona.</w:t>
      </w:r>
    </w:p>
    <w:p>
      <w:pPr>
        <w:pStyle w:val="NormalWeb"/>
        <w:spacing w:lineRule="auto" w:line="276" w:before="120" w:after="0"/>
        <w:jc w:val="both"/>
        <w:rPr>
          <w:rFonts w:ascii="Book Antiqua" w:hAnsi="Book Antiqua"/>
          <w:sz w:val="22"/>
          <w:szCs w:val="22"/>
          <w:u w:val="single"/>
        </w:rPr>
      </w:pPr>
      <w:r>
        <w:rPr>
          <w:rFonts w:ascii="Book Antiqua" w:hAnsi="Book Antiqua"/>
          <w:sz w:val="22"/>
          <w:szCs w:val="22"/>
          <w:u w:val="single"/>
        </w:rPr>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11</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 </w:t>
      </w:r>
      <w:r>
        <w:rPr>
          <w:rFonts w:ascii="Book Antiqua" w:hAnsi="Book Antiqua"/>
          <w:b/>
          <w:sz w:val="22"/>
          <w:szCs w:val="22"/>
        </w:rPr>
        <w:t>Navrhuje sa zaviesť explicitnú povinnosť NKÚ upozorniť orgány činné v trestnom konaní vždy, keď na základe výsledkov kontrolnej činnosti existuje dôvodné podozrenie na spáchanie trestného činu</w:t>
      </w:r>
      <w:r>
        <w:rPr>
          <w:rFonts w:ascii="Book Antiqua" w:hAnsi="Book Antiqua"/>
          <w:sz w:val="22"/>
          <w:szCs w:val="22"/>
        </w:rPr>
        <w:t xml:space="preserve">.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S ohľadom na efektívnosť a snahu neplytvať personálnymi a časovými kapacitami kontrolórov NKÚ, prokurátorov a vyšetrovateľov, sa navrhuje zavedenie explicitnej povinnosť NKÚ upozorniť orgány činné v trestnom konaní, ak vznikla aspoň značná škoda.</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Vedenie NKÚ podpísalo v máji 2015 s Ministerstvom vnútra SR a Generálnou prokuratúrou SR </w:t>
      </w:r>
      <w:r>
        <w:rPr>
          <w:rFonts w:ascii="Book Antiqua" w:hAnsi="Book Antiqua"/>
          <w:b/>
          <w:sz w:val="22"/>
          <w:szCs w:val="22"/>
        </w:rPr>
        <w:t>Memorandum o spolupráci</w:t>
      </w:r>
      <w:r>
        <w:rPr>
          <w:rFonts w:ascii="Book Antiqua" w:hAnsi="Book Antiqua"/>
          <w:sz w:val="22"/>
          <w:szCs w:val="22"/>
        </w:rPr>
        <w:t>. Okrem dojednania rôznych úrovní spolupráce a kontaktných osôb za jednotlivé inštitúcie sú v Memorande spomenuté viaceré oblasti vzájomnej spolupráce. Z pohľadu problému, ktorý je predmetom úpravy tohto návrhu zákona, sú dôležité najmä dva body, a to:</w:t>
      </w:r>
    </w:p>
    <w:p>
      <w:pPr>
        <w:pStyle w:val="Normal"/>
        <w:spacing w:lineRule="auto" w:line="276" w:before="120" w:after="0"/>
        <w:ind w:left="851" w:hanging="425"/>
        <w:jc w:val="both"/>
        <w:rPr>
          <w:rFonts w:ascii="Book Antiqua" w:hAnsi="Book Antiqua"/>
          <w:sz w:val="22"/>
          <w:szCs w:val="22"/>
        </w:rPr>
      </w:pPr>
      <w:r>
        <w:rPr>
          <w:rFonts w:ascii="Book Antiqua" w:hAnsi="Book Antiqua"/>
          <w:sz w:val="22"/>
          <w:szCs w:val="22"/>
        </w:rPr>
        <w:t xml:space="preserve">a) </w:t>
        <w:tab/>
        <w:t>výmena informácií a poznatkov súvisiacich s porušovaním všeobecne záväzných právnych predpisov SR, získaných pri činnosti strán memoranda; strany memoranda si budú vymieňať informácie a poznatky na základe vlastného uváženia a iba také, ktoré považujú za potrebné pre činnosť strán memoranda,</w:t>
      </w:r>
    </w:p>
    <w:p>
      <w:pPr>
        <w:pStyle w:val="Normal"/>
        <w:spacing w:lineRule="auto" w:line="276" w:before="120" w:after="0"/>
        <w:ind w:left="851" w:hanging="425"/>
        <w:jc w:val="both"/>
        <w:rPr>
          <w:rFonts w:ascii="Book Antiqua" w:hAnsi="Book Antiqua"/>
          <w:sz w:val="22"/>
          <w:szCs w:val="22"/>
        </w:rPr>
      </w:pPr>
      <w:r>
        <w:rPr>
          <w:rFonts w:ascii="Book Antiqua" w:hAnsi="Book Antiqua"/>
          <w:sz w:val="22"/>
          <w:szCs w:val="22"/>
        </w:rPr>
        <w:t xml:space="preserve">b) </w:t>
        <w:tab/>
        <w:t>súčinnosť pred začatím trestného konania (včasnosť podávania trestných oznámení, obsahové a formálne náležitosti trestných oznámení, druh a charakter listín pripojených k trestným oznámeniam) a v trestnom konaní.</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Právna povaha a záväznosť memoránd je značne sporná. Vo všeobecnosti sa za záväzné považuje to ustanovenie, na ktorého záväznosti sa strany v memorande dohodli, pričom v súčasnosti podpísané Memorandum tento pojem vôbec neobsahuje. </w:t>
      </w:r>
    </w:p>
    <w:p>
      <w:pPr>
        <w:pStyle w:val="NormalWeb"/>
        <w:spacing w:lineRule="auto" w:line="276" w:before="120" w:after="0"/>
        <w:jc w:val="both"/>
        <w:rPr>
          <w:rFonts w:ascii="Book Antiqua" w:hAnsi="Book Antiqua"/>
          <w:sz w:val="22"/>
          <w:szCs w:val="22"/>
          <w:u w:val="single"/>
        </w:rPr>
      </w:pPr>
      <w:r>
        <w:rPr>
          <w:rFonts w:ascii="Book Antiqua" w:hAnsi="Book Antiqua"/>
          <w:sz w:val="22"/>
          <w:szCs w:val="22"/>
          <w:u w:val="single"/>
        </w:rPr>
        <w:t>K bodu 12</w:t>
      </w:r>
    </w:p>
    <w:p>
      <w:pPr>
        <w:pStyle w:val="NormalWeb"/>
        <w:spacing w:lineRule="auto" w:line="276" w:before="120" w:after="0"/>
        <w:jc w:val="both"/>
        <w:rPr>
          <w:rFonts w:ascii="Book Antiqua" w:hAnsi="Book Antiqua"/>
          <w:sz w:val="22"/>
          <w:szCs w:val="22"/>
          <w:u w:val="single"/>
        </w:rPr>
      </w:pPr>
      <w:r>
        <w:rPr>
          <w:rFonts w:ascii="Book Antiqua" w:hAnsi="Book Antiqua"/>
          <w:sz w:val="22"/>
          <w:szCs w:val="22"/>
        </w:rPr>
        <w:t>Ide o legislatívno-technickú úpravu súvisiacu s Čl. I bodom 13 tohto návrhu zákona.</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13</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Viaceré kauzy v nedávnej minulosti (napr. piešťanské CT) odhalili, že zverejnenie kontrolnej správy nie je dostatočným nástrojom na vymáhanie naplnenia odporúčaní zistených na základe kontroly, ani nie sú zárukou, že nekalé aktivity nebudú pokračovať.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Okrem inštitútu poriadkovej pokuty </w:t>
      </w:r>
      <w:r>
        <w:rPr>
          <w:rFonts w:ascii="Book Antiqua" w:hAnsi="Book Antiqua"/>
          <w:b/>
          <w:sz w:val="22"/>
          <w:szCs w:val="22"/>
        </w:rPr>
        <w:t>sa zavádza možnosť sankcionovať všetky subjekty, ktoré nenaplnia odporúčania, resp. opatrenia na nápravu uložené zo strany NKÚ</w:t>
      </w:r>
      <w:r>
        <w:rPr>
          <w:rFonts w:ascii="Book Antiqua" w:hAnsi="Book Antiqua"/>
          <w:sz w:val="22"/>
          <w:szCs w:val="22"/>
        </w:rPr>
        <w:t xml:space="preserve">.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Sankcie patria medzi krajné prostriedky a mnohé z kontrolných úradov v rámci Európskej únie túto právomoc nemajú. Napriek tomu slovenská skúsenosť poukazuje na nedostatočný dopad zistení NKÚ, ktorý sa v praxi prejavuje prijímaním formalistických opatrení na naplnenie odporúčaní. Sankčný mechanizmus by preto mal posilniť vymáhateľnosť prijatia konkrétnych zmien tak, ako boli uvedené v protokole o výsledku kontroly.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Opakované nenaplnenie teda založí právomoc NKÚ podať návrh na začatie konania v zmysle správneho poriadku, ktorého výsledkom bude súdne preskúmateľné rozhodnutie. </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14</w:t>
      </w:r>
    </w:p>
    <w:p>
      <w:pPr>
        <w:pStyle w:val="NormalWeb"/>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Zavádzajú sa prechodné ustanovenia, ktoré najmä určujú lehotu, v ktorej sa zriadi komisia a lehotu na schválenie Štatútu komisie. Zároveň sa prihliada na to, že svoj Štatút si v súvislosti s novým znením § 8 zákona bude musieť primerane upraviť aj Rada vlády Slovenskej republiky pre mimovládne neziskové organizácie (schválený vládou SR v roku 2012 v znení noviel z rokov 2013, 2014 a 2019).</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K Čl. II</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bodom 1 a 2</w:t>
      </w:r>
    </w:p>
    <w:p>
      <w:pPr>
        <w:pStyle w:val="Normal"/>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 xml:space="preserve">Súčasné znenie zákona o NKÚ ukladá predsedovi NKÚ povinnosť informovať NR SR a príslušné orgány o osobitne dôležitých zisteniach a poznatkoch. V zákone však absentuje akýkoľvek kontrolný mechanizmus alebo procesný úkon NR SR vo vzťahu k zisteniam a poznatkom NKÚ. </w:t>
      </w:r>
    </w:p>
    <w:p>
      <w:pPr>
        <w:pStyle w:val="Normal"/>
        <w:spacing w:lineRule="auto" w:line="276" w:before="120" w:after="0"/>
        <w:ind w:firstLine="708"/>
        <w:jc w:val="both"/>
        <w:rPr>
          <w:rFonts w:ascii="Book Antiqua" w:hAnsi="Book Antiqua"/>
          <w:sz w:val="22"/>
          <w:szCs w:val="22"/>
        </w:rPr>
      </w:pPr>
      <w:r>
        <w:rPr>
          <w:rFonts w:ascii="Book Antiqua" w:hAnsi="Book Antiqua"/>
          <w:b/>
          <w:sz w:val="22"/>
          <w:szCs w:val="22"/>
        </w:rPr>
        <w:t xml:space="preserve">Zámerom navrhovanej právnej úpravy je vytvorenie stáleho Výboru NR SR pre NKÚ </w:t>
      </w:r>
      <w:r>
        <w:rPr>
          <w:rFonts w:ascii="Book Antiqua" w:hAnsi="Book Antiqua"/>
          <w:sz w:val="22"/>
          <w:szCs w:val="22"/>
        </w:rPr>
        <w:t>(ďalej len „výbor pre najvyšší kontrolný úrad“), ktorý zabezpečí prerokovanie kontrolných záverov NKÚ a overenie účinnosti prijatých odporúčaní. Základné právomoci navrhovaného kontrolného výboru by mali byť:</w:t>
      </w:r>
    </w:p>
    <w:p>
      <w:pPr>
        <w:pStyle w:val="Normal"/>
        <w:spacing w:lineRule="auto" w:line="276" w:before="120" w:after="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 xml:space="preserve">prerokovať kontrolné závery, správy a stanoviská NKÚ, </w:t>
      </w:r>
    </w:p>
    <w:p>
      <w:pPr>
        <w:pStyle w:val="Normal"/>
        <w:spacing w:lineRule="auto" w:line="276" w:before="120" w:after="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požadovať informácie a vysvetlenia k zisteným kontrolným záverom.</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Výbor by mal taktiež vypočuť uchádzačov o funkciu predsedu a podpredsedov NKÚ vybraných výberovou komisiou.</w:t>
      </w:r>
    </w:p>
    <w:p>
      <w:pPr>
        <w:pStyle w:val="NormalWeb"/>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Výbor pre najvyšší kontrolný úrad je tak, ako aj ostatné výbory Národnej rady Slovenskej republiky, zložený z predsedu, podpredsedu, overovateľov a ďalších členov. Personálne obsadenie členov výboru pre najvyšší kontrolný úrad proporcionálne kopíruje obsadenie mandátov v Národnej rade Slovenskej republiky. Z dôvodu zabezpečenia politickej vyváženosti sa navrhuje paritné zloženie členov výboru tak, aby polovicu členov tvorili poslanci z politických strán a politických hnutí tvoriacich vládnu koalíciu a polovicu ostatní poslanci vrátane nezaradených poslancov. Len paritné zloženie výboru so zachovaním pomerného zastúpenia politických subjektov v národnej rade môže zaručiť nezaujatosť. Poslancom sa ponecháva sloboda rozhodovania aj v zmysle zachovania možnosti vzdania sa členstva vo výbore pre najvyšší kontrolný úrad.</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Napriek niektorým špecifikám sa kontrolný výbor pri svojom rokovaní primerane riadi ustanoveniami zákona o rokovacom poriadku.</w:t>
      </w:r>
    </w:p>
    <w:p>
      <w:pPr>
        <w:pStyle w:val="NormalWeb"/>
        <w:spacing w:lineRule="auto" w:line="276" w:before="120" w:after="0"/>
        <w:jc w:val="both"/>
        <w:rPr>
          <w:rFonts w:ascii="Book Antiqua" w:hAnsi="Book Antiqua"/>
          <w:sz w:val="22"/>
          <w:szCs w:val="22"/>
        </w:rPr>
      </w:pPr>
      <w:r>
        <w:rPr>
          <w:rFonts w:ascii="Book Antiqua" w:hAnsi="Book Antiqua"/>
          <w:sz w:val="22"/>
          <w:szCs w:val="22"/>
          <w:u w:val="single"/>
        </w:rPr>
        <w:t>K bodu 3</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Ide o legislatívno-technickú úpravu súvisiacu s Čl. I bodom 2 (§ 8 ods. 3) tohto návrhu zákona.</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K Čl. III</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Ide o legislatívno-technickú úpravu súvisiacu s Čl. I bodom 2 (§ 8 ods. 3) tohto návrhu zákona.</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K Čl. IV</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Ide o legislatívno-technickú úpravu súvisiacu s Čl. I bodom 2 (§ 8 ods. 3) tohto návrhu zákona.</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K Čl. V</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Ide o legislatívno-technickú úpravu súvisiacu s Čl. I bodom 2 (§ 8 ods. 3) tohto návrhu zákona.</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K Čl. VI</w:t>
      </w:r>
    </w:p>
    <w:p>
      <w:pPr>
        <w:pStyle w:val="NormalWeb"/>
        <w:spacing w:lineRule="auto" w:line="276" w:before="120" w:after="0"/>
        <w:ind w:firstLine="708"/>
        <w:jc w:val="both"/>
        <w:rPr>
          <w:rFonts w:ascii="Book Antiqua" w:hAnsi="Book Antiqua"/>
          <w:sz w:val="22"/>
          <w:szCs w:val="22"/>
        </w:rPr>
      </w:pPr>
      <w:r>
        <w:rPr>
          <w:rFonts w:ascii="Book Antiqua" w:hAnsi="Book Antiqua"/>
          <w:sz w:val="22"/>
          <w:szCs w:val="22"/>
        </w:rPr>
        <w:t>Navrhuje sa účinnosť predkladaného zákona so zohľadnením legisvakančnej lehoty, a to od 1. marca 2020.</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center"/>
        <w:rPr>
          <w:rFonts w:ascii="Book Antiqua" w:hAnsi="Book Antiqua"/>
          <w:sz w:val="22"/>
          <w:szCs w:val="22"/>
        </w:rPr>
      </w:pPr>
      <w:r>
        <w:rPr>
          <w:rFonts w:ascii="Book Antiqua" w:hAnsi="Book Antiqua"/>
          <w:sz w:val="22"/>
          <w:szCs w:val="22"/>
        </w:rPr>
      </w:r>
      <w:r>
        <w:br w:type="page"/>
      </w:r>
    </w:p>
    <w:p>
      <w:pPr>
        <w:pStyle w:val="NormalWeb"/>
        <w:spacing w:lineRule="auto" w:line="276" w:before="120" w:after="0"/>
        <w:jc w:val="center"/>
        <w:rPr>
          <w:rFonts w:ascii="Book Antiqua" w:hAnsi="Book Antiqua"/>
          <w:sz w:val="22"/>
          <w:szCs w:val="22"/>
        </w:rPr>
      </w:pPr>
      <w:r>
        <w:rPr>
          <w:rFonts w:ascii="Book Antiqua" w:hAnsi="Book Antiqua"/>
          <w:b/>
          <w:caps/>
          <w:spacing w:val="30"/>
          <w:sz w:val="22"/>
          <w:szCs w:val="22"/>
        </w:rPr>
        <w:t>DOLOŽKA ZLUČITEĽNOSTI</w:t>
      </w:r>
    </w:p>
    <w:p>
      <w:pPr>
        <w:pStyle w:val="NormalWeb"/>
        <w:spacing w:lineRule="auto" w:line="276" w:before="120" w:after="0"/>
        <w:jc w:val="center"/>
        <w:rPr>
          <w:rFonts w:ascii="Book Antiqua" w:hAnsi="Book Antiqua"/>
          <w:sz w:val="22"/>
          <w:szCs w:val="22"/>
        </w:rPr>
      </w:pPr>
      <w:r>
        <w:rPr>
          <w:rFonts w:ascii="Book Antiqua" w:hAnsi="Book Antiqua"/>
          <w:b/>
          <w:sz w:val="22"/>
          <w:szCs w:val="22"/>
        </w:rPr>
        <w:t>návrhu zákona</w:t>
      </w:r>
      <w:r>
        <w:rPr>
          <w:rFonts w:ascii="Book Antiqua" w:hAnsi="Book Antiqua"/>
          <w:sz w:val="22"/>
          <w:szCs w:val="22"/>
        </w:rPr>
        <w:t xml:space="preserve"> </w:t>
      </w:r>
      <w:r>
        <w:rPr>
          <w:rFonts w:ascii="Book Antiqua" w:hAnsi="Book Antiqua"/>
          <w:b/>
          <w:sz w:val="22"/>
          <w:szCs w:val="22"/>
        </w:rPr>
        <w:t>s právom Európskej únie</w:t>
      </w:r>
    </w:p>
    <w:p>
      <w:pPr>
        <w:pStyle w:val="NormalWeb"/>
        <w:spacing w:lineRule="auto" w:line="276" w:before="120" w:after="0"/>
        <w:jc w:val="both"/>
        <w:rPr>
          <w:rFonts w:ascii="Book Antiqua" w:hAnsi="Book Antiqua"/>
          <w:sz w:val="22"/>
          <w:szCs w:val="22"/>
        </w:rPr>
      </w:pPr>
      <w:r>
        <w:rPr>
          <w:rFonts w:ascii="Book Antiqua" w:hAnsi="Book Antiqua"/>
          <w:sz w:val="22"/>
          <w:szCs w:val="22"/>
        </w:rPr>
        <w:t> </w:t>
      </w:r>
    </w:p>
    <w:p>
      <w:pPr>
        <w:pStyle w:val="NormalWeb"/>
        <w:numPr>
          <w:ilvl w:val="0"/>
          <w:numId w:val="2"/>
        </w:numPr>
        <w:spacing w:lineRule="auto" w:line="276" w:before="120" w:after="0"/>
        <w:ind w:left="426" w:hanging="426"/>
        <w:jc w:val="both"/>
        <w:rPr>
          <w:rFonts w:ascii="Book Antiqua" w:hAnsi="Book Antiqua"/>
          <w:sz w:val="22"/>
          <w:szCs w:val="22"/>
        </w:rPr>
      </w:pPr>
      <w:r>
        <w:rPr>
          <w:rFonts w:ascii="Book Antiqua" w:hAnsi="Book Antiqua"/>
          <w:b/>
          <w:sz w:val="22"/>
          <w:szCs w:val="22"/>
        </w:rPr>
        <w:t>Navrhovateľ zákona:</w:t>
      </w:r>
      <w:r>
        <w:rPr>
          <w:rFonts w:ascii="Book Antiqua" w:hAnsi="Book Antiqua"/>
          <w:sz w:val="22"/>
          <w:szCs w:val="22"/>
        </w:rPr>
        <w:t xml:space="preserve"> skupina poslancov Národnej rady Slovenskej republiky</w:t>
      </w:r>
    </w:p>
    <w:p>
      <w:pPr>
        <w:pStyle w:val="NormalWeb"/>
        <w:spacing w:lineRule="auto" w:line="276" w:before="120" w:after="0"/>
        <w:ind w:left="426" w:hanging="426"/>
        <w:jc w:val="both"/>
        <w:rPr>
          <w:rFonts w:ascii="Book Antiqua" w:hAnsi="Book Antiqua"/>
          <w:sz w:val="22"/>
          <w:szCs w:val="22"/>
        </w:rPr>
      </w:pPr>
      <w:r>
        <w:rPr>
          <w:rFonts w:ascii="Book Antiqua" w:hAnsi="Book Antiqua"/>
          <w:sz w:val="22"/>
          <w:szCs w:val="22"/>
        </w:rPr>
        <w:t> </w:t>
      </w:r>
    </w:p>
    <w:p>
      <w:pPr>
        <w:pStyle w:val="NormalWeb"/>
        <w:numPr>
          <w:ilvl w:val="0"/>
          <w:numId w:val="2"/>
        </w:numPr>
        <w:spacing w:lineRule="auto" w:line="276" w:before="120" w:after="0"/>
        <w:ind w:left="426" w:hanging="426"/>
        <w:jc w:val="both"/>
        <w:rPr>
          <w:rFonts w:ascii="Book Antiqua" w:hAnsi="Book Antiqua"/>
          <w:sz w:val="22"/>
          <w:szCs w:val="22"/>
        </w:rPr>
      </w:pPr>
      <w:r>
        <w:rPr>
          <w:rFonts w:ascii="Book Antiqua" w:hAnsi="Book Antiqua"/>
          <w:b/>
          <w:sz w:val="22"/>
          <w:szCs w:val="22"/>
        </w:rPr>
        <w:t xml:space="preserve">Názov návrhu zákona: </w:t>
      </w:r>
      <w:r>
        <w:rPr>
          <w:rFonts w:ascii="Book Antiqua" w:hAnsi="Book Antiqua"/>
          <w:sz w:val="22"/>
          <w:szCs w:val="22"/>
        </w:rPr>
        <w:t>návrh zákona, ktorým sa mení a dopĺňa zákon Národnej rady Slovenskej republiky č. 39/1993 Z. z. o Najvyššom kontrolnom úrade Slovenskej  republiky</w:t>
      </w:r>
      <w:r>
        <w:rPr>
          <w:rFonts w:ascii="Book Antiqua" w:hAnsi="Book Antiqua"/>
          <w:b/>
          <w:sz w:val="22"/>
          <w:szCs w:val="22"/>
        </w:rPr>
        <w:t xml:space="preserve"> </w:t>
      </w:r>
      <w:r>
        <w:rPr>
          <w:rFonts w:ascii="Book Antiqua" w:hAnsi="Book Antiqua"/>
          <w:sz w:val="22"/>
          <w:szCs w:val="22"/>
        </w:rPr>
        <w:t>v znení neskorších predpisov a ktorým sa menia a dopĺňajú niektoré zákony</w:t>
      </w:r>
    </w:p>
    <w:p>
      <w:pPr>
        <w:pStyle w:val="NormalWeb"/>
        <w:spacing w:lineRule="auto" w:line="276" w:before="120" w:after="0"/>
        <w:ind w:left="426" w:hanging="426"/>
        <w:jc w:val="both"/>
        <w:rPr>
          <w:rFonts w:ascii="Book Antiqua" w:hAnsi="Book Antiqua"/>
          <w:b/>
          <w:b/>
          <w:sz w:val="22"/>
          <w:szCs w:val="22"/>
        </w:rPr>
      </w:pPr>
      <w:r>
        <w:rPr>
          <w:rFonts w:ascii="Book Antiqua" w:hAnsi="Book Antiqua"/>
          <w:b/>
          <w:sz w:val="22"/>
          <w:szCs w:val="22"/>
        </w:rPr>
      </w:r>
    </w:p>
    <w:p>
      <w:pPr>
        <w:pStyle w:val="NormalWeb"/>
        <w:tabs>
          <w:tab w:val="clear" w:pos="708"/>
          <w:tab w:val="left" w:pos="426" w:leader="none"/>
        </w:tabs>
        <w:spacing w:lineRule="auto" w:line="276" w:before="120" w:after="0"/>
        <w:ind w:left="426" w:hanging="426"/>
        <w:jc w:val="both"/>
        <w:rPr>
          <w:rFonts w:ascii="Book Antiqua" w:hAnsi="Book Antiqua"/>
          <w:sz w:val="22"/>
          <w:szCs w:val="22"/>
        </w:rPr>
      </w:pPr>
      <w:r>
        <w:rPr>
          <w:rFonts w:ascii="Book Antiqua" w:hAnsi="Book Antiqua"/>
          <w:b/>
          <w:sz w:val="22"/>
          <w:szCs w:val="22"/>
        </w:rPr>
        <w:t>3. </w:t>
        <w:tab/>
        <w:t>Predmet návrhu zákona:</w:t>
      </w:r>
    </w:p>
    <w:p>
      <w:pPr>
        <w:pStyle w:val="NormalWeb"/>
        <w:numPr>
          <w:ilvl w:val="0"/>
          <w:numId w:val="1"/>
        </w:numPr>
        <w:spacing w:lineRule="auto" w:line="276" w:before="120" w:after="0"/>
        <w:ind w:hanging="0"/>
        <w:jc w:val="both"/>
        <w:rPr>
          <w:rFonts w:ascii="Book Antiqua" w:hAnsi="Book Antiqua"/>
          <w:sz w:val="22"/>
          <w:szCs w:val="22"/>
        </w:rPr>
      </w:pPr>
      <w:r>
        <w:rPr>
          <w:rFonts w:ascii="Book Antiqua" w:hAnsi="Book Antiqua"/>
          <w:sz w:val="22"/>
          <w:szCs w:val="22"/>
        </w:rPr>
        <w:t>nie je upravený v primárnom práve Európskej únie,</w:t>
      </w:r>
    </w:p>
    <w:p>
      <w:pPr>
        <w:pStyle w:val="NormalWeb"/>
        <w:numPr>
          <w:ilvl w:val="0"/>
          <w:numId w:val="1"/>
        </w:numPr>
        <w:spacing w:lineRule="auto" w:line="276" w:before="120" w:after="0"/>
        <w:ind w:hanging="0"/>
        <w:jc w:val="both"/>
        <w:rPr>
          <w:rFonts w:ascii="Book Antiqua" w:hAnsi="Book Antiqua"/>
          <w:sz w:val="22"/>
          <w:szCs w:val="22"/>
        </w:rPr>
      </w:pPr>
      <w:r>
        <w:rPr>
          <w:rFonts w:ascii="Book Antiqua" w:hAnsi="Book Antiqua"/>
          <w:sz w:val="22"/>
          <w:szCs w:val="22"/>
        </w:rPr>
        <w:t>nie je upravený v sekundárnom práve Európskej únie,</w:t>
      </w:r>
    </w:p>
    <w:p>
      <w:pPr>
        <w:pStyle w:val="NormalWeb"/>
        <w:numPr>
          <w:ilvl w:val="0"/>
          <w:numId w:val="1"/>
        </w:numPr>
        <w:spacing w:lineRule="auto" w:line="276" w:before="120" w:after="0"/>
        <w:ind w:hanging="0"/>
        <w:jc w:val="both"/>
        <w:rPr>
          <w:rFonts w:ascii="Book Antiqua" w:hAnsi="Book Antiqua"/>
          <w:sz w:val="22"/>
          <w:szCs w:val="22"/>
        </w:rPr>
      </w:pPr>
      <w:r>
        <w:rPr>
          <w:rFonts w:ascii="Book Antiqua" w:hAnsi="Book Antiqua"/>
          <w:sz w:val="22"/>
          <w:szCs w:val="22"/>
        </w:rPr>
        <w:t>nie je obsiahnutý v judikatúre Súdneho dvora Európskej únie. </w:t>
      </w:r>
    </w:p>
    <w:p>
      <w:pPr>
        <w:pStyle w:val="NormalWeb"/>
        <w:spacing w:lineRule="auto" w:line="276" w:before="120" w:after="0"/>
        <w:jc w:val="both"/>
        <w:rPr>
          <w:rFonts w:ascii="Book Antiqua" w:hAnsi="Book Antiqua"/>
          <w:b/>
          <w:b/>
          <w:sz w:val="22"/>
          <w:szCs w:val="22"/>
        </w:rPr>
      </w:pPr>
      <w:r>
        <w:rPr>
          <w:rFonts w:ascii="Book Antiqua" w:hAnsi="Book Antiqua"/>
          <w:b/>
          <w:sz w:val="22"/>
          <w:szCs w:val="22"/>
        </w:rPr>
      </w:r>
    </w:p>
    <w:p>
      <w:pPr>
        <w:pStyle w:val="NormalWeb"/>
        <w:spacing w:lineRule="auto" w:line="276" w:before="120" w:after="0"/>
        <w:jc w:val="both"/>
        <w:rPr>
          <w:rFonts w:ascii="Book Antiqua" w:hAnsi="Book Antiqua"/>
          <w:sz w:val="22"/>
          <w:szCs w:val="22"/>
        </w:rPr>
      </w:pPr>
      <w:r>
        <w:rPr>
          <w:rFonts w:ascii="Book Antiqua" w:hAnsi="Book Antiqua"/>
          <w:b/>
          <w:sz w:val="22"/>
          <w:szCs w:val="22"/>
        </w:rPr>
        <w:t>Vzhľadom na to, že predmet návrhu zákona nie je upravený v práve Európskej únie, je bezpredmetné vyjadrovať sa k bodom 4. a 5.</w:t>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rPr>
          <w:rFonts w:ascii="Book Antiqua" w:hAnsi="Book Antiqua"/>
          <w:sz w:val="22"/>
          <w:szCs w:val="22"/>
        </w:rPr>
      </w:pPr>
      <w:r>
        <w:rPr>
          <w:rFonts w:ascii="Book Antiqua" w:hAnsi="Book Antiqua"/>
          <w:sz w:val="22"/>
          <w:szCs w:val="22"/>
        </w:rPr>
      </w:r>
    </w:p>
    <w:p>
      <w:pPr>
        <w:pStyle w:val="NormalWeb"/>
        <w:spacing w:lineRule="auto" w:line="276" w:before="120" w:after="0"/>
        <w:jc w:val="center"/>
        <w:rPr>
          <w:rFonts w:ascii="Book Antiqua" w:hAnsi="Book Antiqua"/>
          <w:b/>
          <w:b/>
          <w:caps/>
          <w:color w:val="000000"/>
          <w:spacing w:val="30"/>
          <w:sz w:val="22"/>
          <w:szCs w:val="22"/>
        </w:rPr>
      </w:pPr>
      <w:r>
        <w:rPr>
          <w:rFonts w:ascii="Book Antiqua" w:hAnsi="Book Antiqua"/>
          <w:b/>
          <w:caps/>
          <w:color w:val="000000"/>
          <w:spacing w:val="30"/>
          <w:sz w:val="22"/>
          <w:szCs w:val="22"/>
        </w:rPr>
      </w:r>
    </w:p>
    <w:p>
      <w:pPr>
        <w:pStyle w:val="NormalWeb"/>
        <w:spacing w:lineRule="auto" w:line="276" w:before="120" w:after="0"/>
        <w:jc w:val="center"/>
        <w:rPr>
          <w:rFonts w:ascii="Book Antiqua" w:hAnsi="Book Antiqua"/>
          <w:b/>
          <w:b/>
          <w:caps/>
          <w:color w:val="000000"/>
          <w:spacing w:val="30"/>
          <w:sz w:val="22"/>
          <w:szCs w:val="22"/>
        </w:rPr>
      </w:pPr>
      <w:r>
        <w:rPr>
          <w:rFonts w:ascii="Book Antiqua" w:hAnsi="Book Antiqua"/>
          <w:b/>
          <w:caps/>
          <w:color w:val="000000"/>
          <w:spacing w:val="30"/>
          <w:sz w:val="22"/>
          <w:szCs w:val="22"/>
        </w:rPr>
      </w:r>
    </w:p>
    <w:p>
      <w:pPr>
        <w:pStyle w:val="NormalWeb"/>
        <w:spacing w:lineRule="auto" w:line="276" w:before="120" w:after="0"/>
        <w:jc w:val="center"/>
        <w:rPr>
          <w:rFonts w:ascii="Book Antiqua" w:hAnsi="Book Antiqua"/>
          <w:b/>
          <w:b/>
          <w:caps/>
          <w:color w:val="000000"/>
          <w:spacing w:val="30"/>
          <w:sz w:val="22"/>
          <w:szCs w:val="22"/>
        </w:rPr>
      </w:pPr>
      <w:r>
        <w:rPr>
          <w:rFonts w:ascii="Book Antiqua" w:hAnsi="Book Antiqua"/>
          <w:b/>
          <w:caps/>
          <w:color w:val="000000"/>
          <w:spacing w:val="30"/>
          <w:sz w:val="22"/>
          <w:szCs w:val="22"/>
        </w:rPr>
      </w:r>
    </w:p>
    <w:p>
      <w:pPr>
        <w:pStyle w:val="NormalWeb"/>
        <w:spacing w:lineRule="auto" w:line="276" w:before="120" w:after="0"/>
        <w:jc w:val="center"/>
        <w:rPr>
          <w:rFonts w:ascii="Book Antiqua" w:hAnsi="Book Antiqua"/>
          <w:b/>
          <w:b/>
          <w:caps/>
          <w:color w:val="000000"/>
          <w:spacing w:val="30"/>
          <w:sz w:val="22"/>
          <w:szCs w:val="22"/>
        </w:rPr>
      </w:pPr>
      <w:r>
        <w:rPr>
          <w:rFonts w:ascii="Book Antiqua" w:hAnsi="Book Antiqua"/>
          <w:b/>
          <w:caps/>
          <w:color w:val="000000"/>
          <w:spacing w:val="30"/>
          <w:sz w:val="22"/>
          <w:szCs w:val="22"/>
        </w:rPr>
      </w:r>
    </w:p>
    <w:p>
      <w:pPr>
        <w:pStyle w:val="NormalWeb"/>
        <w:spacing w:lineRule="auto" w:line="276" w:before="120" w:after="0"/>
        <w:rPr>
          <w:rFonts w:ascii="Book Antiqua" w:hAnsi="Book Antiqua"/>
          <w:b/>
          <w:b/>
          <w:caps/>
          <w:color w:val="000000"/>
          <w:spacing w:val="30"/>
          <w:sz w:val="22"/>
          <w:szCs w:val="22"/>
        </w:rPr>
      </w:pPr>
      <w:r>
        <w:rPr>
          <w:rFonts w:ascii="Book Antiqua" w:hAnsi="Book Antiqua"/>
          <w:b/>
          <w:caps/>
          <w:color w:val="000000"/>
          <w:spacing w:val="30"/>
          <w:sz w:val="22"/>
          <w:szCs w:val="22"/>
        </w:rPr>
      </w:r>
    </w:p>
    <w:p>
      <w:pPr>
        <w:pStyle w:val="NormalWeb"/>
        <w:spacing w:lineRule="auto" w:line="276" w:before="120" w:after="0"/>
        <w:jc w:val="center"/>
        <w:rPr>
          <w:rFonts w:ascii="Book Antiqua" w:hAnsi="Book Antiqua"/>
          <w:sz w:val="22"/>
          <w:szCs w:val="22"/>
        </w:rPr>
      </w:pPr>
      <w:r>
        <w:rPr>
          <w:rFonts w:ascii="Book Antiqua" w:hAnsi="Book Antiqua"/>
          <w:sz w:val="22"/>
          <w:szCs w:val="22"/>
        </w:rPr>
      </w:r>
      <w:r>
        <w:br w:type="page"/>
      </w:r>
    </w:p>
    <w:p>
      <w:pPr>
        <w:pStyle w:val="NormalWeb"/>
        <w:spacing w:lineRule="auto" w:line="276" w:before="120" w:after="0"/>
        <w:jc w:val="center"/>
        <w:rPr>
          <w:rFonts w:ascii="Book Antiqua" w:hAnsi="Book Antiqua"/>
          <w:sz w:val="22"/>
          <w:szCs w:val="22"/>
        </w:rPr>
      </w:pPr>
      <w:r>
        <w:rPr>
          <w:rFonts w:ascii="Book Antiqua" w:hAnsi="Book Antiqua"/>
          <w:b/>
          <w:caps/>
          <w:color w:val="000000"/>
          <w:spacing w:val="30"/>
          <w:sz w:val="22"/>
          <w:szCs w:val="22"/>
        </w:rPr>
        <w:t>Doložka</w:t>
      </w:r>
    </w:p>
    <w:p>
      <w:pPr>
        <w:pStyle w:val="NormalWeb"/>
        <w:spacing w:lineRule="auto" w:line="276" w:before="120" w:after="0"/>
        <w:jc w:val="center"/>
        <w:rPr>
          <w:rFonts w:ascii="Book Antiqua" w:hAnsi="Book Antiqua"/>
          <w:sz w:val="22"/>
          <w:szCs w:val="22"/>
        </w:rPr>
      </w:pPr>
      <w:r>
        <w:rPr>
          <w:rFonts w:ascii="Book Antiqua" w:hAnsi="Book Antiqua"/>
          <w:b/>
          <w:color w:val="000000"/>
          <w:sz w:val="22"/>
          <w:szCs w:val="22"/>
        </w:rPr>
        <w:t>vybraných vplyvov</w:t>
      </w:r>
    </w:p>
    <w:p>
      <w:pPr>
        <w:pStyle w:val="NormalWeb"/>
        <w:spacing w:lineRule="auto" w:line="276" w:before="120" w:after="0"/>
        <w:rPr>
          <w:rFonts w:ascii="Book Antiqua" w:hAnsi="Book Antiqua"/>
          <w:sz w:val="22"/>
          <w:szCs w:val="22"/>
        </w:rPr>
      </w:pPr>
      <w:r>
        <w:rPr>
          <w:rFonts w:ascii="Book Antiqua" w:hAnsi="Book Antiqua"/>
          <w:color w:val="000000"/>
          <w:sz w:val="22"/>
          <w:szCs w:val="22"/>
        </w:rPr>
        <w:t> </w:t>
      </w:r>
    </w:p>
    <w:p>
      <w:pPr>
        <w:pStyle w:val="Normal"/>
        <w:spacing w:lineRule="auto" w:line="276" w:before="120" w:after="0"/>
        <w:jc w:val="both"/>
        <w:rPr>
          <w:rFonts w:ascii="Book Antiqua" w:hAnsi="Book Antiqua"/>
          <w:sz w:val="22"/>
          <w:szCs w:val="22"/>
        </w:rPr>
      </w:pPr>
      <w:r>
        <w:rPr>
          <w:rFonts w:ascii="Book Antiqua" w:hAnsi="Book Antiqua"/>
          <w:b/>
          <w:color w:val="000000"/>
          <w:sz w:val="22"/>
          <w:szCs w:val="22"/>
        </w:rPr>
        <w:t xml:space="preserve">A.1. Názov materiálu: </w:t>
      </w:r>
      <w:r>
        <w:rPr>
          <w:rFonts w:ascii="Book Antiqua" w:hAnsi="Book Antiqua"/>
          <w:sz w:val="22"/>
          <w:szCs w:val="22"/>
        </w:rPr>
        <w:t>návrh zákona, ktorým sa mení a dopĺňa zákon Národnej rady Slovenskej republiky č. 39/1993 Z. z. o Najvyššom kontrolnom úrade Slovenskej  republiky</w:t>
      </w:r>
      <w:r>
        <w:rPr>
          <w:rFonts w:ascii="Book Antiqua" w:hAnsi="Book Antiqua"/>
          <w:b/>
          <w:sz w:val="22"/>
          <w:szCs w:val="22"/>
        </w:rPr>
        <w:t xml:space="preserve"> </w:t>
      </w:r>
      <w:r>
        <w:rPr>
          <w:rFonts w:ascii="Book Antiqua" w:hAnsi="Book Antiqua"/>
          <w:sz w:val="22"/>
          <w:szCs w:val="22"/>
        </w:rPr>
        <w:t>v znení neskorších predpisov a ktorým sa menia a dopĺňajú niektoré zákony</w:t>
      </w:r>
    </w:p>
    <w:p>
      <w:pPr>
        <w:pStyle w:val="NormalWeb"/>
        <w:spacing w:lineRule="auto" w:line="276" w:before="120" w:after="0"/>
        <w:jc w:val="both"/>
        <w:rPr>
          <w:rFonts w:ascii="Book Antiqua" w:hAnsi="Book Antiqua"/>
          <w:sz w:val="22"/>
          <w:szCs w:val="22"/>
        </w:rPr>
      </w:pPr>
      <w:r>
        <w:rPr>
          <w:rFonts w:ascii="Book Antiqua" w:hAnsi="Book Antiqua"/>
          <w:b/>
          <w:color w:val="000000"/>
          <w:sz w:val="22"/>
          <w:szCs w:val="22"/>
        </w:rPr>
        <w:t>Termín začatia a ukončenia PPK:</w:t>
      </w:r>
      <w:r>
        <w:rPr>
          <w:rFonts w:ascii="Book Antiqua" w:hAnsi="Book Antiqua"/>
          <w:color w:val="000000"/>
          <w:sz w:val="22"/>
          <w:szCs w:val="22"/>
        </w:rPr>
        <w:t xml:space="preserve"> </w:t>
      </w:r>
      <w:r>
        <w:rPr>
          <w:rFonts w:ascii="Book Antiqua" w:hAnsi="Book Antiqua"/>
          <w:i/>
          <w:color w:val="000000"/>
          <w:sz w:val="22"/>
          <w:szCs w:val="22"/>
        </w:rPr>
        <w:t>bezpredmetné</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sz w:val="22"/>
          <w:szCs w:val="22"/>
        </w:rPr>
      </w:pPr>
      <w:r>
        <w:rPr>
          <w:rFonts w:ascii="Book Antiqua" w:hAnsi="Book Antiqua"/>
          <w:b/>
          <w:color w:val="000000"/>
          <w:sz w:val="22"/>
          <w:szCs w:val="22"/>
        </w:rPr>
        <w:t>A.2. Vplyvy:</w:t>
      </w:r>
    </w:p>
    <w:tbl>
      <w:tblPr>
        <w:tblW w:w="9222" w:type="dxa"/>
        <w:jc w:val="left"/>
        <w:tblInd w:w="0" w:type="dxa"/>
        <w:tblCellMar>
          <w:top w:w="0" w:type="dxa"/>
          <w:left w:w="7" w:type="dxa"/>
          <w:bottom w:w="0" w:type="dxa"/>
          <w:right w:w="7" w:type="dxa"/>
        </w:tblCellMar>
        <w:tblLook w:firstRow="1" w:noVBand="1" w:lastRow="0" w:firstColumn="1" w:lastColumn="0" w:noHBand="0" w:val="04a0"/>
      </w:tblPr>
      <w:tblGrid>
        <w:gridCol w:w="5486"/>
        <w:gridCol w:w="1302"/>
        <w:gridCol w:w="1014"/>
        <w:gridCol w:w="1419"/>
      </w:tblGrid>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 </w:t>
            </w:r>
          </w:p>
        </w:tc>
        <w:tc>
          <w:tcPr>
            <w:tcW w:w="1302"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r>
              <w:rPr>
                <w:rFonts w:ascii="Book Antiqua" w:hAnsi="Book Antiqua"/>
                <w:color w:val="000000"/>
                <w:sz w:val="22"/>
                <w:szCs w:val="22"/>
              </w:rPr>
              <w:t>Pozitívne </w:t>
            </w:r>
          </w:p>
        </w:tc>
        <w:tc>
          <w:tcPr>
            <w:tcW w:w="1014"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r>
              <w:rPr>
                <w:rFonts w:ascii="Book Antiqua" w:hAnsi="Book Antiqua"/>
                <w:color w:val="000000"/>
                <w:sz w:val="22"/>
                <w:szCs w:val="22"/>
              </w:rPr>
              <w:t>Žiadne </w:t>
            </w:r>
          </w:p>
        </w:tc>
        <w:tc>
          <w:tcPr>
            <w:tcW w:w="1419"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r>
              <w:rPr>
                <w:rFonts w:ascii="Book Antiqua" w:hAnsi="Book Antiqua"/>
                <w:color w:val="000000"/>
                <w:sz w:val="22"/>
                <w:szCs w:val="22"/>
              </w:rPr>
              <w:t>Negatívne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1. Vplyvy na rozpočet verejnej správy</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x </w:t>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2. Vplyvy na podnikateľské prostredie – dochádza k zvýšeniu regulačného zaťaženia?</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tcMar>
              <w:left w:w="108" w:type="dxa"/>
              <w:right w:w="108" w:type="dxa"/>
            </w:tcM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3. Sociálne vplyvy</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 xml:space="preserve">– </w:t>
            </w:r>
            <w:r>
              <w:rPr>
                <w:rFonts w:ascii="Book Antiqua" w:hAnsi="Book Antiqua"/>
                <w:color w:val="000000"/>
                <w:sz w:val="22"/>
                <w:szCs w:val="22"/>
              </w:rPr>
              <w:t>vplyvy na hospodárenie obyvateľstva,</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 xml:space="preserve">– </w:t>
            </w:r>
            <w:r>
              <w:rPr>
                <w:rFonts w:ascii="Book Antiqua" w:hAnsi="Book Antiqua"/>
                <w:color w:val="000000"/>
                <w:sz w:val="22"/>
                <w:szCs w:val="22"/>
              </w:rPr>
              <w:t>sociálnu exklúziu,</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 xml:space="preserve">– </w:t>
            </w:r>
            <w:r>
              <w:rPr>
                <w:rFonts w:ascii="Book Antiqua" w:hAnsi="Book Antiqua"/>
                <w:color w:val="000000"/>
                <w:sz w:val="22"/>
                <w:szCs w:val="22"/>
              </w:rPr>
              <w:t>rovnosť príležitostí a rodovú rovnosť a vplyvy na zamestnanosť</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4. Vplyvy na životné prostredie</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x</w:t>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r>
      <w:tr>
        <w:trPr/>
        <w:tc>
          <w:tcPr>
            <w:tcW w:w="5486"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rPr>
                <w:rFonts w:ascii="Book Antiqua" w:hAnsi="Book Antiqua"/>
                <w:szCs w:val="22"/>
              </w:rPr>
            </w:pPr>
            <w:r>
              <w:rPr>
                <w:rFonts w:ascii="Book Antiqua" w:hAnsi="Book Antiqua"/>
                <w:color w:val="000000"/>
                <w:sz w:val="22"/>
                <w:szCs w:val="22"/>
              </w:rPr>
              <w:t>5. Vplyvy na informatizáciu spoločnosti</w:t>
            </w:r>
          </w:p>
        </w:tc>
        <w:tc>
          <w:tcPr>
            <w:tcW w:w="1302"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r>
              <w:rPr>
                <w:rFonts w:ascii="Book Antiqua" w:hAnsi="Book Antiqua"/>
                <w:color w:val="000000"/>
                <w:sz w:val="22"/>
                <w:szCs w:val="22"/>
              </w:rPr>
              <w:t>x</w:t>
            </w:r>
          </w:p>
        </w:tc>
        <w:tc>
          <w:tcPr>
            <w:tcW w:w="1014"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szCs w:val="22"/>
              </w:rPr>
            </w:r>
          </w:p>
        </w:tc>
        <w:tc>
          <w:tcPr>
            <w:tcW w:w="1419" w:type="dxa"/>
            <w:tcBorders>
              <w:top w:val="single" w:sz="6" w:space="0" w:color="000001"/>
              <w:left w:val="single" w:sz="6" w:space="0" w:color="000001"/>
              <w:bottom w:val="single" w:sz="6" w:space="0" w:color="000001"/>
              <w:right w:val="single" w:sz="6" w:space="0" w:color="000001"/>
            </w:tcBorders>
            <w:shd w:color="auto" w:fill="auto" w:val="clear"/>
            <w:vAlign w:val="center"/>
          </w:tcPr>
          <w:p>
            <w:pPr>
              <w:pStyle w:val="NormalWeb"/>
              <w:spacing w:lineRule="auto" w:line="276" w:before="120" w:after="0"/>
              <w:jc w:val="center"/>
              <w:rPr>
                <w:rFonts w:ascii="Book Antiqua" w:hAnsi="Book Antiqua"/>
                <w:szCs w:val="22"/>
              </w:rPr>
            </w:pPr>
            <w:r>
              <w:rPr>
                <w:rFonts w:ascii="Book Antiqua" w:hAnsi="Book Antiqua"/>
                <w:color w:val="000000"/>
                <w:sz w:val="22"/>
                <w:szCs w:val="22"/>
              </w:rPr>
              <w:t> </w:t>
            </w:r>
          </w:p>
        </w:tc>
      </w:tr>
    </w:tbl>
    <w:p>
      <w:pPr>
        <w:pStyle w:val="NormalWeb"/>
        <w:spacing w:lineRule="auto" w:line="276" w:before="120" w:after="0"/>
        <w:rPr>
          <w:rFonts w:ascii="Book Antiqua" w:hAnsi="Book Antiqua"/>
          <w:sz w:val="22"/>
          <w:szCs w:val="22"/>
        </w:rPr>
      </w:pPr>
      <w:r>
        <w:rPr>
          <w:rFonts w:ascii="Book Antiqua" w:hAnsi="Book Antiqua"/>
          <w:color w:val="000000"/>
          <w:sz w:val="22"/>
          <w:szCs w:val="22"/>
        </w:rPr>
        <w:t> </w:t>
      </w:r>
    </w:p>
    <w:p>
      <w:pPr>
        <w:pStyle w:val="NormalWeb"/>
        <w:spacing w:lineRule="auto" w:line="276" w:before="120" w:after="0"/>
        <w:jc w:val="both"/>
        <w:rPr>
          <w:rFonts w:ascii="Book Antiqua" w:hAnsi="Book Antiqua"/>
          <w:sz w:val="22"/>
          <w:szCs w:val="22"/>
        </w:rPr>
      </w:pPr>
      <w:r>
        <w:rPr>
          <w:rFonts w:ascii="Book Antiqua" w:hAnsi="Book Antiqua"/>
          <w:b/>
          <w:color w:val="000000"/>
          <w:sz w:val="22"/>
          <w:szCs w:val="22"/>
        </w:rPr>
        <w:t>A.3. Poznámky</w:t>
      </w:r>
    </w:p>
    <w:p>
      <w:pPr>
        <w:pStyle w:val="NormalWeb"/>
        <w:spacing w:lineRule="auto" w:line="276" w:before="120" w:after="0"/>
        <w:jc w:val="both"/>
        <w:rPr>
          <w:rFonts w:ascii="Book Antiqua" w:hAnsi="Book Antiqua"/>
          <w:sz w:val="22"/>
          <w:szCs w:val="22"/>
        </w:rPr>
      </w:pPr>
      <w:r>
        <w:rPr>
          <w:rFonts w:ascii="Book Antiqua" w:hAnsi="Book Antiqua"/>
          <w:i/>
          <w:color w:val="000000"/>
          <w:sz w:val="22"/>
          <w:szCs w:val="22"/>
        </w:rPr>
        <w:t xml:space="preserve">Pozitívny vplyv návrhu zákona sa predpokladá v oblasti vplyvov na rozpočet verejnej správy najmä vďaka zlepšeniu vymožiteľnosti opatrení navrhnutých NKÚ, čo však nie je možné kvantifikovať. Návrh zákona má pozitívny vplyv na informatizáciu spoločnosti tým, že posilňuje úlohu zverejňovania informácií na webovom sídle Najvyššieho kontrolného úradu SR. Predkladaný návrh zákona nemá žiaden vplyv na podnikateľské prostredie, životné prostredie ani nemá žiadne sociálne vplyvy. </w:t>
      </w:r>
    </w:p>
    <w:p>
      <w:pPr>
        <w:pStyle w:val="NormalWeb"/>
        <w:spacing w:lineRule="auto" w:line="276" w:before="120" w:after="0"/>
        <w:jc w:val="both"/>
        <w:rPr>
          <w:rFonts w:ascii="Book Antiqua" w:hAnsi="Book Antiqua"/>
          <w:b/>
          <w:b/>
          <w:color w:val="000000"/>
          <w:sz w:val="22"/>
          <w:szCs w:val="22"/>
        </w:rPr>
      </w:pPr>
      <w:r>
        <w:rPr>
          <w:rFonts w:ascii="Book Antiqua" w:hAnsi="Book Antiqua"/>
          <w:b/>
          <w:color w:val="000000"/>
          <w:sz w:val="22"/>
          <w:szCs w:val="22"/>
        </w:rPr>
      </w:r>
    </w:p>
    <w:p>
      <w:pPr>
        <w:pStyle w:val="NormalWeb"/>
        <w:spacing w:lineRule="auto" w:line="276" w:before="120" w:after="0"/>
        <w:jc w:val="both"/>
        <w:rPr>
          <w:rFonts w:ascii="Book Antiqua" w:hAnsi="Book Antiqua"/>
          <w:sz w:val="22"/>
          <w:szCs w:val="22"/>
        </w:rPr>
      </w:pPr>
      <w:r>
        <w:rPr>
          <w:rFonts w:ascii="Book Antiqua" w:hAnsi="Book Antiqua"/>
          <w:b/>
          <w:color w:val="000000"/>
          <w:sz w:val="22"/>
          <w:szCs w:val="22"/>
        </w:rPr>
        <w:t>A.4. Alternatívne riešenia</w:t>
      </w:r>
    </w:p>
    <w:p>
      <w:pPr>
        <w:pStyle w:val="NormalWeb"/>
        <w:spacing w:lineRule="auto" w:line="276" w:before="120" w:after="0"/>
        <w:jc w:val="both"/>
        <w:rPr>
          <w:rFonts w:ascii="Book Antiqua" w:hAnsi="Book Antiqua"/>
          <w:i/>
          <w:i/>
          <w:color w:val="000000"/>
          <w:sz w:val="22"/>
          <w:szCs w:val="22"/>
        </w:rPr>
      </w:pPr>
      <w:r>
        <w:rPr>
          <w:rFonts w:ascii="Book Antiqua" w:hAnsi="Book Antiqua"/>
          <w:i/>
          <w:color w:val="000000"/>
          <w:sz w:val="22"/>
          <w:szCs w:val="22"/>
        </w:rPr>
        <w:t>bezpredmetné</w:t>
      </w:r>
    </w:p>
    <w:p>
      <w:pPr>
        <w:pStyle w:val="NormalWeb"/>
        <w:spacing w:lineRule="auto" w:line="276" w:before="120" w:after="0"/>
        <w:jc w:val="both"/>
        <w:rPr>
          <w:rFonts w:ascii="Book Antiqua" w:hAnsi="Book Antiqua"/>
          <w:sz w:val="22"/>
          <w:szCs w:val="22"/>
        </w:rPr>
      </w:pPr>
      <w:r>
        <w:rPr>
          <w:rFonts w:ascii="Book Antiqua" w:hAnsi="Book Antiqua"/>
          <w:sz w:val="22"/>
          <w:szCs w:val="22"/>
        </w:rPr>
      </w:r>
    </w:p>
    <w:p>
      <w:pPr>
        <w:pStyle w:val="NormalWeb"/>
        <w:spacing w:lineRule="auto" w:line="276" w:before="120" w:after="0"/>
        <w:jc w:val="both"/>
        <w:rPr>
          <w:rFonts w:ascii="Book Antiqua" w:hAnsi="Book Antiqua"/>
          <w:sz w:val="22"/>
          <w:szCs w:val="22"/>
        </w:rPr>
      </w:pPr>
      <w:r>
        <w:rPr>
          <w:rFonts w:ascii="Book Antiqua" w:hAnsi="Book Antiqua"/>
          <w:b/>
          <w:color w:val="000000"/>
          <w:sz w:val="22"/>
          <w:szCs w:val="22"/>
        </w:rPr>
        <w:t>A.5. Stanovisko gestorov</w:t>
      </w:r>
    </w:p>
    <w:p>
      <w:pPr>
        <w:pStyle w:val="NormalWeb"/>
        <w:spacing w:lineRule="auto" w:line="276" w:before="120" w:after="0"/>
        <w:jc w:val="both"/>
        <w:rPr/>
      </w:pPr>
      <w:r>
        <w:rPr>
          <w:rFonts w:ascii="Book Antiqua" w:hAnsi="Book Antiqua"/>
          <w:i/>
          <w:color w:val="000000"/>
          <w:sz w:val="22"/>
          <w:szCs w:val="22"/>
        </w:rPr>
        <w:t>Návrh zákona bol zaslaný na vyjadrenie Ministerstvu financií SR a stanovisko tohto ministerstva tvorí súčasť predkladaného materiálu.</w:t>
      </w:r>
    </w:p>
    <w:sectPr>
      <w:footerReference w:type="default" r:id="rId2"/>
      <w:type w:val="nextPage"/>
      <w:pgSz w:w="11906" w:h="16838"/>
      <w:pgMar w:left="1417" w:right="1417" w:header="0" w:top="1417" w:footer="708"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Book Antiqua">
    <w:charset w:val="ee"/>
    <w:family w:val="roman"/>
    <w:pitch w:val="variable"/>
  </w:font>
  <w:font w:name="Segoe UI">
    <w:charset w:val="ee"/>
    <w:family w:val="roman"/>
    <w:pitch w:val="variable"/>
  </w:font>
  <w:font w:name="Liberation Sans">
    <w:altName w:val="Arial"/>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4ta"/>
      <w:jc w:val="right"/>
      <w:rPr/>
    </w:pPr>
    <w:r>
      <w:rPr/>
      <w:fldChar w:fldCharType="begin"/>
    </w:r>
    <w:r>
      <w:rPr/>
      <w:instrText> PAGE </w:instrText>
    </w:r>
    <w:r>
      <w:rPr/>
      <w:fldChar w:fldCharType="separate"/>
    </w:r>
    <w:r>
      <w:rPr/>
      <w:t>9</w:t>
    </w:r>
    <w:r>
      <w:rPr/>
      <w:fldChar w:fldCharType="end"/>
    </w:r>
  </w:p>
  <w:p>
    <w:pPr>
      <w:pStyle w:val="Pe4t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2"/>
        <w:b w:val="false"/>
        <w:bCs/>
        <w:rFonts w:ascii="Book Antiqua" w:hAnsi="Book Antiqua"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2">
    <w:lvl w:ilvl="0">
      <w:start w:val="1"/>
      <w:numFmt w:val="decimal"/>
      <w:lvlText w:val="%1."/>
      <w:lvlJc w:val="left"/>
      <w:pPr>
        <w:ind w:left="720" w:hanging="360"/>
      </w:pPr>
      <w:rPr>
        <w:sz w:val="22"/>
        <w:b/>
        <w:bCs/>
        <w:rFonts w:ascii="Book Antiqua" w:hAnsi="Book Antiqua"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compat>
    <w:doNotExpandShiftReturn/>
  </w:compat>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semiHidden="0" w:unhideWhenUsed="0"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2"/>
      <w:sz w:val="24"/>
      <w:szCs w:val="24"/>
      <w:lang w:val="sk-SK" w:eastAsia="sk-SK" w:bidi="ar-SA"/>
    </w:rPr>
  </w:style>
  <w:style w:type="paragraph" w:styleId="Nadpis1">
    <w:name w:val="Heading 1"/>
    <w:basedOn w:val="Normal"/>
    <w:link w:val="Nadpis1Char"/>
    <w:uiPriority w:val="99"/>
    <w:qFormat/>
    <w:pPr>
      <w:keepNext w:val="true"/>
      <w:suppressAutoHyphens w:val="false"/>
      <w:jc w:val="center"/>
      <w:outlineLvl w:val="0"/>
    </w:pPr>
    <w:rPr>
      <w:rFonts w:ascii="Cambria" w:hAnsi="Cambria" w:cs="Cambria"/>
      <w:b/>
      <w:bCs/>
      <w:sz w:val="32"/>
      <w:szCs w:val="32"/>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9"/>
    <w:qFormat/>
    <w:locked/>
    <w:rPr>
      <w:rFonts w:ascii="Cambria" w:hAnsi="Cambria" w:eastAsia="Times New Roman" w:cs="Cambria"/>
      <w:b/>
      <w:bCs/>
      <w:kern w:val="2"/>
      <w:sz w:val="20"/>
      <w:szCs w:val="20"/>
    </w:rPr>
  </w:style>
  <w:style w:type="character" w:styleId="Textpozne1mkypode8iarouChar" w:customStyle="1">
    <w:name w:val="Text poznáe1mky pod če8iarou Char"/>
    <w:basedOn w:val="DefaultParagraphFont"/>
    <w:uiPriority w:val="99"/>
    <w:qFormat/>
    <w:rPr>
      <w:rFonts w:ascii="Times New Roman" w:hAnsi="Times New Roman" w:eastAsia="Times New Roman" w:cs="Times New Roman"/>
      <w:sz w:val="20"/>
      <w:szCs w:val="20"/>
    </w:rPr>
  </w:style>
  <w:style w:type="character" w:styleId="Ukotveniepoznmkypodiarou" w:customStyle="1">
    <w:name w:val="Ukotvenie poznámky pod čiarou"/>
    <w:rPr>
      <w:rFonts w:eastAsia="Times New Roman" w:cs="Times New Roman"/>
      <w:vertAlign w:val="superscript"/>
    </w:rPr>
  </w:style>
  <w:style w:type="character" w:styleId="FootnoteCharacters" w:customStyle="1">
    <w:name w:val="Footnote Characters"/>
    <w:basedOn w:val="DefaultParagraphFont"/>
    <w:uiPriority w:val="99"/>
    <w:qFormat/>
    <w:rPr>
      <w:rFonts w:eastAsia="Times New Roman" w:cs="Times New Roman"/>
      <w:vertAlign w:val="superscript"/>
    </w:rPr>
  </w:style>
  <w:style w:type="character" w:styleId="Hlavie8kaChar" w:customStyle="1">
    <w:name w:val="Hlaviče8ka Char"/>
    <w:basedOn w:val="DefaultParagraphFont"/>
    <w:uiPriority w:val="99"/>
    <w:qFormat/>
    <w:rPr>
      <w:rFonts w:ascii="Times New Roman" w:hAnsi="Times New Roman" w:eastAsia="Times New Roman" w:cs="Times New Roman"/>
    </w:rPr>
  </w:style>
  <w:style w:type="character" w:styleId="Pe4taChar" w:customStyle="1">
    <w:name w:val="Päe4ta Char"/>
    <w:basedOn w:val="DefaultParagraphFont"/>
    <w:uiPriority w:val="99"/>
    <w:qFormat/>
    <w:rPr>
      <w:rFonts w:ascii="Times New Roman" w:hAnsi="Times New Roman" w:eastAsia="Times New Roman" w:cs="Times New Roman"/>
    </w:rPr>
  </w:style>
  <w:style w:type="character" w:styleId="TextbublinyChar" w:customStyle="1">
    <w:name w:val="Text bubliny Char"/>
    <w:basedOn w:val="DefaultParagraphFont"/>
    <w:uiPriority w:val="99"/>
    <w:qFormat/>
    <w:rPr>
      <w:rFonts w:ascii="Tahoma" w:hAnsi="Tahoma" w:eastAsia="Times New Roman" w:cs="Tahoma"/>
      <w:sz w:val="16"/>
      <w:szCs w:val="16"/>
    </w:rPr>
  </w:style>
  <w:style w:type="character" w:styleId="ListLabel1" w:customStyle="1">
    <w:name w:val="ListLabel 1"/>
    <w:uiPriority w:val="99"/>
    <w:qFormat/>
    <w:rPr>
      <w:rFonts w:eastAsia="Times New Roman"/>
    </w:rPr>
  </w:style>
  <w:style w:type="character" w:styleId="ListLabel2" w:customStyle="1">
    <w:name w:val="ListLabel 2"/>
    <w:uiPriority w:val="99"/>
    <w:qFormat/>
    <w:rPr>
      <w:rFonts w:eastAsia="Times New Roman"/>
    </w:rPr>
  </w:style>
  <w:style w:type="character" w:styleId="ListLabel3" w:customStyle="1">
    <w:name w:val="ListLabel 3"/>
    <w:uiPriority w:val="99"/>
    <w:qFormat/>
    <w:rPr>
      <w:rFonts w:eastAsia="Times New Roman"/>
    </w:rPr>
  </w:style>
  <w:style w:type="character" w:styleId="ListLabel4" w:customStyle="1">
    <w:name w:val="ListLabel 4"/>
    <w:uiPriority w:val="99"/>
    <w:qFormat/>
    <w:rPr>
      <w:rFonts w:eastAsia="Times New Roman"/>
    </w:rPr>
  </w:style>
  <w:style w:type="character" w:styleId="ListLabel5" w:customStyle="1">
    <w:name w:val="ListLabel 5"/>
    <w:uiPriority w:val="99"/>
    <w:qFormat/>
    <w:rPr>
      <w:rFonts w:eastAsia="Times New Roman"/>
    </w:rPr>
  </w:style>
  <w:style w:type="character" w:styleId="ListLabel6" w:customStyle="1">
    <w:name w:val="ListLabel 6"/>
    <w:uiPriority w:val="99"/>
    <w:qFormat/>
    <w:rPr>
      <w:rFonts w:eastAsia="Times New Roman"/>
    </w:rPr>
  </w:style>
  <w:style w:type="character" w:styleId="ListLabel7" w:customStyle="1">
    <w:name w:val="ListLabel 7"/>
    <w:uiPriority w:val="99"/>
    <w:qFormat/>
    <w:rPr>
      <w:rFonts w:eastAsia="Times New Roman"/>
    </w:rPr>
  </w:style>
  <w:style w:type="character" w:styleId="ListLabel8" w:customStyle="1">
    <w:name w:val="ListLabel 8"/>
    <w:uiPriority w:val="99"/>
    <w:qFormat/>
    <w:rPr>
      <w:rFonts w:eastAsia="Times New Roman"/>
    </w:rPr>
  </w:style>
  <w:style w:type="character" w:styleId="ListLabel9" w:customStyle="1">
    <w:name w:val="ListLabel 9"/>
    <w:uiPriority w:val="99"/>
    <w:qFormat/>
    <w:rPr>
      <w:rFonts w:eastAsia="Times New Roman"/>
    </w:rPr>
  </w:style>
  <w:style w:type="character" w:styleId="ListLabel10" w:customStyle="1">
    <w:name w:val="ListLabel 10"/>
    <w:uiPriority w:val="99"/>
    <w:qFormat/>
    <w:rPr>
      <w:rFonts w:eastAsia="Times New Roman"/>
    </w:rPr>
  </w:style>
  <w:style w:type="character" w:styleId="ListLabel11" w:customStyle="1">
    <w:name w:val="ListLabel 11"/>
    <w:uiPriority w:val="99"/>
    <w:qFormat/>
    <w:rPr>
      <w:rFonts w:eastAsia="Times New Roman"/>
    </w:rPr>
  </w:style>
  <w:style w:type="character" w:styleId="ListLabel12" w:customStyle="1">
    <w:name w:val="ListLabel 12"/>
    <w:uiPriority w:val="99"/>
    <w:qFormat/>
    <w:rPr>
      <w:rFonts w:eastAsia="Times New Roman"/>
    </w:rPr>
  </w:style>
  <w:style w:type="character" w:styleId="ListLabel13" w:customStyle="1">
    <w:name w:val="ListLabel 13"/>
    <w:uiPriority w:val="99"/>
    <w:qFormat/>
    <w:rPr>
      <w:rFonts w:eastAsia="Times New Roman"/>
    </w:rPr>
  </w:style>
  <w:style w:type="character" w:styleId="ListLabel14" w:customStyle="1">
    <w:name w:val="ListLabel 14"/>
    <w:uiPriority w:val="99"/>
    <w:qFormat/>
    <w:rPr>
      <w:rFonts w:eastAsia="Times New Roman"/>
    </w:rPr>
  </w:style>
  <w:style w:type="character" w:styleId="ListLabel15" w:customStyle="1">
    <w:name w:val="ListLabel 15"/>
    <w:uiPriority w:val="99"/>
    <w:qFormat/>
    <w:rPr>
      <w:rFonts w:eastAsia="Times New Roman"/>
    </w:rPr>
  </w:style>
  <w:style w:type="character" w:styleId="ListLabel16" w:customStyle="1">
    <w:name w:val="ListLabel 16"/>
    <w:uiPriority w:val="99"/>
    <w:qFormat/>
    <w:rPr>
      <w:rFonts w:eastAsia="Times New Roman"/>
    </w:rPr>
  </w:style>
  <w:style w:type="character" w:styleId="ListLabel17" w:customStyle="1">
    <w:name w:val="ListLabel 17"/>
    <w:uiPriority w:val="99"/>
    <w:qFormat/>
    <w:rPr>
      <w:rFonts w:eastAsia="Times New Roman"/>
    </w:rPr>
  </w:style>
  <w:style w:type="character" w:styleId="ListLabel18" w:customStyle="1">
    <w:name w:val="ListLabel 18"/>
    <w:uiPriority w:val="99"/>
    <w:qFormat/>
    <w:rPr>
      <w:rFonts w:eastAsia="Times New Roman"/>
    </w:rPr>
  </w:style>
  <w:style w:type="character" w:styleId="ListLabel19" w:customStyle="1">
    <w:name w:val="ListLabel 19"/>
    <w:uiPriority w:val="99"/>
    <w:qFormat/>
    <w:rPr>
      <w:rFonts w:eastAsia="Times New Roman"/>
    </w:rPr>
  </w:style>
  <w:style w:type="character" w:styleId="ListLabel20" w:customStyle="1">
    <w:name w:val="ListLabel 20"/>
    <w:uiPriority w:val="99"/>
    <w:qFormat/>
    <w:rPr>
      <w:rFonts w:eastAsia="Times New Roman"/>
    </w:rPr>
  </w:style>
  <w:style w:type="character" w:styleId="ListLabel21" w:customStyle="1">
    <w:name w:val="ListLabel 21"/>
    <w:uiPriority w:val="99"/>
    <w:qFormat/>
    <w:rPr>
      <w:rFonts w:eastAsia="Times New Roman"/>
    </w:rPr>
  </w:style>
  <w:style w:type="character" w:styleId="ListLabel22" w:customStyle="1">
    <w:name w:val="ListLabel 22"/>
    <w:uiPriority w:val="99"/>
    <w:qFormat/>
    <w:rPr>
      <w:rFonts w:ascii="Book Antiqua" w:hAnsi="Book Antiqua" w:eastAsia="Times New Roman"/>
      <w:b/>
      <w:sz w:val="22"/>
    </w:rPr>
  </w:style>
  <w:style w:type="character" w:styleId="ListLabel23" w:customStyle="1">
    <w:name w:val="ListLabel 23"/>
    <w:uiPriority w:val="99"/>
    <w:qFormat/>
    <w:rPr>
      <w:rFonts w:eastAsia="Times New Roman"/>
    </w:rPr>
  </w:style>
  <w:style w:type="character" w:styleId="ListLabel24" w:customStyle="1">
    <w:name w:val="ListLabel 24"/>
    <w:uiPriority w:val="99"/>
    <w:qFormat/>
    <w:rPr>
      <w:rFonts w:eastAsia="Times New Roman"/>
    </w:rPr>
  </w:style>
  <w:style w:type="character" w:styleId="ListLabel25" w:customStyle="1">
    <w:name w:val="ListLabel 25"/>
    <w:uiPriority w:val="99"/>
    <w:qFormat/>
    <w:rPr>
      <w:rFonts w:eastAsia="Times New Roman"/>
    </w:rPr>
  </w:style>
  <w:style w:type="character" w:styleId="ListLabel26" w:customStyle="1">
    <w:name w:val="ListLabel 26"/>
    <w:uiPriority w:val="99"/>
    <w:qFormat/>
    <w:rPr>
      <w:rFonts w:eastAsia="Times New Roman"/>
    </w:rPr>
  </w:style>
  <w:style w:type="character" w:styleId="ListLabel27" w:customStyle="1">
    <w:name w:val="ListLabel 27"/>
    <w:uiPriority w:val="99"/>
    <w:qFormat/>
    <w:rPr>
      <w:rFonts w:eastAsia="Times New Roman"/>
    </w:rPr>
  </w:style>
  <w:style w:type="character" w:styleId="ListLabel28" w:customStyle="1">
    <w:name w:val="ListLabel 28"/>
    <w:uiPriority w:val="99"/>
    <w:qFormat/>
    <w:rPr>
      <w:rFonts w:eastAsia="Times New Roman"/>
    </w:rPr>
  </w:style>
  <w:style w:type="character" w:styleId="ListLabel29" w:customStyle="1">
    <w:name w:val="ListLabel 29"/>
    <w:uiPriority w:val="99"/>
    <w:qFormat/>
    <w:rPr>
      <w:rFonts w:eastAsia="Times New Roman"/>
    </w:rPr>
  </w:style>
  <w:style w:type="character" w:styleId="ListLabel30" w:customStyle="1">
    <w:name w:val="ListLabel 30"/>
    <w:uiPriority w:val="99"/>
    <w:qFormat/>
    <w:rPr>
      <w:rFonts w:eastAsia="Times New Roman"/>
    </w:rPr>
  </w:style>
  <w:style w:type="character" w:styleId="ListLabel31" w:customStyle="1">
    <w:name w:val="ListLabel 31"/>
    <w:uiPriority w:val="99"/>
    <w:qFormat/>
    <w:rPr>
      <w:rFonts w:ascii="Book Antiqua" w:hAnsi="Book Antiqua" w:eastAsia="Times New Roman"/>
      <w:b/>
      <w:sz w:val="22"/>
    </w:rPr>
  </w:style>
  <w:style w:type="character" w:styleId="ListLabel32" w:customStyle="1">
    <w:name w:val="ListLabel 32"/>
    <w:uiPriority w:val="99"/>
    <w:qFormat/>
    <w:rPr>
      <w:rFonts w:eastAsia="Times New Roman"/>
    </w:rPr>
  </w:style>
  <w:style w:type="character" w:styleId="ListLabel33" w:customStyle="1">
    <w:name w:val="ListLabel 33"/>
    <w:uiPriority w:val="99"/>
    <w:qFormat/>
    <w:rPr>
      <w:rFonts w:eastAsia="Times New Roman"/>
    </w:rPr>
  </w:style>
  <w:style w:type="character" w:styleId="ListLabel34" w:customStyle="1">
    <w:name w:val="ListLabel 34"/>
    <w:uiPriority w:val="99"/>
    <w:qFormat/>
    <w:rPr>
      <w:rFonts w:eastAsia="Times New Roman"/>
    </w:rPr>
  </w:style>
  <w:style w:type="character" w:styleId="ListLabel35" w:customStyle="1">
    <w:name w:val="ListLabel 35"/>
    <w:uiPriority w:val="99"/>
    <w:qFormat/>
    <w:rPr>
      <w:rFonts w:eastAsia="Times New Roman"/>
    </w:rPr>
  </w:style>
  <w:style w:type="character" w:styleId="ListLabel36" w:customStyle="1">
    <w:name w:val="ListLabel 36"/>
    <w:uiPriority w:val="99"/>
    <w:qFormat/>
    <w:rPr>
      <w:rFonts w:eastAsia="Times New Roman"/>
    </w:rPr>
  </w:style>
  <w:style w:type="character" w:styleId="ListLabel37" w:customStyle="1">
    <w:name w:val="ListLabel 37"/>
    <w:uiPriority w:val="99"/>
    <w:qFormat/>
    <w:rPr>
      <w:rFonts w:eastAsia="Times New Roman"/>
    </w:rPr>
  </w:style>
  <w:style w:type="character" w:styleId="ListLabel38" w:customStyle="1">
    <w:name w:val="ListLabel 38"/>
    <w:uiPriority w:val="99"/>
    <w:qFormat/>
    <w:rPr>
      <w:rFonts w:eastAsia="Times New Roman"/>
    </w:rPr>
  </w:style>
  <w:style w:type="character" w:styleId="ListLabel39" w:customStyle="1">
    <w:name w:val="ListLabel 39"/>
    <w:uiPriority w:val="99"/>
    <w:qFormat/>
    <w:rPr>
      <w:rFonts w:eastAsia="Times New Roman"/>
    </w:rPr>
  </w:style>
  <w:style w:type="character" w:styleId="ListLabel40" w:customStyle="1">
    <w:name w:val="ListLabel 40"/>
    <w:uiPriority w:val="99"/>
    <w:qFormat/>
    <w:rPr>
      <w:rFonts w:ascii="Book Antiqua" w:hAnsi="Book Antiqua" w:eastAsia="Times New Roman"/>
      <w:sz w:val="22"/>
    </w:rPr>
  </w:style>
  <w:style w:type="character" w:styleId="TextpoznmkypodiarouChar" w:customStyle="1">
    <w:name w:val="Text poznámky pod čiarou Char"/>
    <w:basedOn w:val="DefaultParagraphFont"/>
    <w:link w:val="Textpoznmkypodiarou"/>
    <w:uiPriority w:val="99"/>
    <w:semiHidden/>
    <w:qFormat/>
    <w:locked/>
    <w:rPr>
      <w:rFonts w:ascii="Times New Roman" w:hAnsi="Times New Roman" w:eastAsia="Times New Roman" w:cs="Times New Roman"/>
      <w:kern w:val="2"/>
      <w:sz w:val="20"/>
      <w:szCs w:val="20"/>
    </w:rPr>
  </w:style>
  <w:style w:type="character" w:styleId="TextbublinyChar1" w:customStyle="1">
    <w:name w:val="Text bubliny Char1"/>
    <w:basedOn w:val="DefaultParagraphFont"/>
    <w:link w:val="Textbubliny"/>
    <w:uiPriority w:val="99"/>
    <w:semiHidden/>
    <w:qFormat/>
    <w:locked/>
    <w:rPr>
      <w:rFonts w:ascii="Segoe UI" w:hAnsi="Segoe UI" w:cs="Segoe UI"/>
      <w:kern w:val="2"/>
      <w:sz w:val="18"/>
      <w:szCs w:val="18"/>
    </w:rPr>
  </w:style>
  <w:style w:type="character" w:styleId="ListLabel41" w:customStyle="1">
    <w:name w:val="ListLabel 41"/>
    <w:qFormat/>
    <w:rPr>
      <w:rFonts w:ascii="Book Antiqua" w:hAnsi="Book Antiqua" w:eastAsia="Times New Roman" w:cs="Times New Roman"/>
      <w:b w:val="false"/>
      <w:bCs/>
      <w:sz w:val="22"/>
    </w:rPr>
  </w:style>
  <w:style w:type="character" w:styleId="ListLabel42" w:customStyle="1">
    <w:name w:val="ListLabel 42"/>
    <w:qFormat/>
    <w:rPr>
      <w:rFonts w:eastAsia="Times New Roman" w:cs="Times New Roman"/>
    </w:rPr>
  </w:style>
  <w:style w:type="character" w:styleId="ListLabel43" w:customStyle="1">
    <w:name w:val="ListLabel 43"/>
    <w:qFormat/>
    <w:rPr>
      <w:rFonts w:eastAsia="Times New Roman" w:cs="Times New Roman"/>
    </w:rPr>
  </w:style>
  <w:style w:type="character" w:styleId="ListLabel44" w:customStyle="1">
    <w:name w:val="ListLabel 44"/>
    <w:qFormat/>
    <w:rPr>
      <w:rFonts w:eastAsia="Times New Roman" w:cs="Times New Roman"/>
    </w:rPr>
  </w:style>
  <w:style w:type="character" w:styleId="ListLabel45" w:customStyle="1">
    <w:name w:val="ListLabel 45"/>
    <w:qFormat/>
    <w:rPr>
      <w:rFonts w:eastAsia="Times New Roman" w:cs="Times New Roman"/>
    </w:rPr>
  </w:style>
  <w:style w:type="character" w:styleId="ListLabel46" w:customStyle="1">
    <w:name w:val="ListLabel 46"/>
    <w:qFormat/>
    <w:rPr>
      <w:rFonts w:eastAsia="Times New Roman" w:cs="Times New Roman"/>
    </w:rPr>
  </w:style>
  <w:style w:type="character" w:styleId="ListLabel47" w:customStyle="1">
    <w:name w:val="ListLabel 47"/>
    <w:qFormat/>
    <w:rPr>
      <w:rFonts w:eastAsia="Times New Roman" w:cs="Times New Roman"/>
    </w:rPr>
  </w:style>
  <w:style w:type="character" w:styleId="ListLabel48" w:customStyle="1">
    <w:name w:val="ListLabel 48"/>
    <w:qFormat/>
    <w:rPr>
      <w:rFonts w:eastAsia="Times New Roman" w:cs="Times New Roman"/>
    </w:rPr>
  </w:style>
  <w:style w:type="character" w:styleId="ListLabel49" w:customStyle="1">
    <w:name w:val="ListLabel 49"/>
    <w:qFormat/>
    <w:rPr>
      <w:rFonts w:eastAsia="Times New Roman" w:cs="Times New Roman"/>
    </w:rPr>
  </w:style>
  <w:style w:type="character" w:styleId="ListLabel50" w:customStyle="1">
    <w:name w:val="ListLabel 50"/>
    <w:qFormat/>
    <w:rPr>
      <w:rFonts w:ascii="Book Antiqua" w:hAnsi="Book Antiqua" w:eastAsia="Times New Roman" w:cs="Times New Roman"/>
      <w:b/>
      <w:bCs/>
      <w:sz w:val="22"/>
    </w:rPr>
  </w:style>
  <w:style w:type="character" w:styleId="ListLabel51" w:customStyle="1">
    <w:name w:val="ListLabel 51"/>
    <w:qFormat/>
    <w:rPr>
      <w:rFonts w:eastAsia="Times New Roman" w:cs="Times New Roman"/>
    </w:rPr>
  </w:style>
  <w:style w:type="character" w:styleId="ListLabel52" w:customStyle="1">
    <w:name w:val="ListLabel 52"/>
    <w:qFormat/>
    <w:rPr>
      <w:rFonts w:eastAsia="Times New Roman" w:cs="Times New Roman"/>
    </w:rPr>
  </w:style>
  <w:style w:type="character" w:styleId="ListLabel53" w:customStyle="1">
    <w:name w:val="ListLabel 53"/>
    <w:qFormat/>
    <w:rPr>
      <w:rFonts w:eastAsia="Times New Roman" w:cs="Times New Roman"/>
    </w:rPr>
  </w:style>
  <w:style w:type="character" w:styleId="ListLabel54" w:customStyle="1">
    <w:name w:val="ListLabel 54"/>
    <w:qFormat/>
    <w:rPr>
      <w:rFonts w:eastAsia="Times New Roman" w:cs="Times New Roman"/>
    </w:rPr>
  </w:style>
  <w:style w:type="character" w:styleId="ListLabel55" w:customStyle="1">
    <w:name w:val="ListLabel 55"/>
    <w:qFormat/>
    <w:rPr>
      <w:rFonts w:eastAsia="Times New Roman" w:cs="Times New Roman"/>
    </w:rPr>
  </w:style>
  <w:style w:type="character" w:styleId="ListLabel56" w:customStyle="1">
    <w:name w:val="ListLabel 56"/>
    <w:qFormat/>
    <w:rPr>
      <w:rFonts w:eastAsia="Times New Roman" w:cs="Times New Roman"/>
    </w:rPr>
  </w:style>
  <w:style w:type="character" w:styleId="ListLabel57" w:customStyle="1">
    <w:name w:val="ListLabel 57"/>
    <w:qFormat/>
    <w:rPr>
      <w:rFonts w:eastAsia="Times New Roman" w:cs="Times New Roman"/>
    </w:rPr>
  </w:style>
  <w:style w:type="character" w:styleId="ListLabel58" w:customStyle="1">
    <w:name w:val="ListLabel 58"/>
    <w:qFormat/>
    <w:rPr>
      <w:rFonts w:eastAsia="Times New Roman" w:cs="Times New Roman"/>
    </w:rPr>
  </w:style>
  <w:style w:type="character" w:styleId="ListLabel59" w:customStyle="1">
    <w:name w:val="ListLabel 59"/>
    <w:qFormat/>
    <w:rPr>
      <w:rFonts w:ascii="Book Antiqua" w:hAnsi="Book Antiqua" w:eastAsia="Times New Roman"/>
      <w:sz w:val="22"/>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cs="Times New Roman"/>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name w:val="ListLabel 69"/>
    <w:qFormat/>
    <w:rPr>
      <w:rFonts w:ascii="Book Antiqua" w:hAnsi="Book Antiqua" w:eastAsia="Times New Roman" w:cs="Times New Roman"/>
      <w:b w:val="false"/>
      <w:bCs/>
      <w:sz w:val="22"/>
    </w:rPr>
  </w:style>
  <w:style w:type="character" w:styleId="ListLabel70">
    <w:name w:val="ListLabel 70"/>
    <w:qFormat/>
    <w:rPr>
      <w:rFonts w:eastAsia="Times New Roman" w:cs="Times New Roman"/>
    </w:rPr>
  </w:style>
  <w:style w:type="character" w:styleId="ListLabel71">
    <w:name w:val="ListLabel 71"/>
    <w:qFormat/>
    <w:rPr>
      <w:rFonts w:eastAsia="Times New Roman" w:cs="Times New Roman"/>
    </w:rPr>
  </w:style>
  <w:style w:type="character" w:styleId="ListLabel72">
    <w:name w:val="ListLabel 72"/>
    <w:qFormat/>
    <w:rPr>
      <w:rFonts w:eastAsia="Times New Roman" w:cs="Times New Roman"/>
    </w:rPr>
  </w:style>
  <w:style w:type="character" w:styleId="ListLabel73">
    <w:name w:val="ListLabel 73"/>
    <w:qFormat/>
    <w:rPr>
      <w:rFonts w:eastAsia="Times New Roman" w:cs="Times New Roman"/>
    </w:rPr>
  </w:style>
  <w:style w:type="character" w:styleId="ListLabel74">
    <w:name w:val="ListLabel 74"/>
    <w:qFormat/>
    <w:rPr>
      <w:rFonts w:eastAsia="Times New Roman" w:cs="Times New Roman"/>
    </w:rPr>
  </w:style>
  <w:style w:type="character" w:styleId="ListLabel75">
    <w:name w:val="ListLabel 75"/>
    <w:qFormat/>
    <w:rPr>
      <w:rFonts w:eastAsia="Times New Roman" w:cs="Times New Roman"/>
    </w:rPr>
  </w:style>
  <w:style w:type="character" w:styleId="ListLabel76">
    <w:name w:val="ListLabel 76"/>
    <w:qFormat/>
    <w:rPr>
      <w:rFonts w:eastAsia="Times New Roman" w:cs="Times New Roman"/>
    </w:rPr>
  </w:style>
  <w:style w:type="character" w:styleId="ListLabel77">
    <w:name w:val="ListLabel 77"/>
    <w:qFormat/>
    <w:rPr>
      <w:rFonts w:eastAsia="Times New Roman" w:cs="Times New Roman"/>
    </w:rPr>
  </w:style>
  <w:style w:type="character" w:styleId="ListLabel78">
    <w:name w:val="ListLabel 78"/>
    <w:qFormat/>
    <w:rPr>
      <w:rFonts w:ascii="Book Antiqua" w:hAnsi="Book Antiqua" w:eastAsia="Times New Roman" w:cs="Times New Roman"/>
      <w:b/>
      <w:bCs/>
      <w:sz w:val="22"/>
    </w:rPr>
  </w:style>
  <w:style w:type="character" w:styleId="ListLabel79">
    <w:name w:val="ListLabel 79"/>
    <w:qFormat/>
    <w:rPr>
      <w:rFonts w:eastAsia="Times New Roman" w:cs="Times New Roman"/>
    </w:rPr>
  </w:style>
  <w:style w:type="character" w:styleId="ListLabel80">
    <w:name w:val="ListLabel 80"/>
    <w:qFormat/>
    <w:rPr>
      <w:rFonts w:eastAsia="Times New Roman" w:cs="Times New Roman"/>
    </w:rPr>
  </w:style>
  <w:style w:type="character" w:styleId="ListLabel81">
    <w:name w:val="ListLabel 81"/>
    <w:qFormat/>
    <w:rPr>
      <w:rFonts w:eastAsia="Times New Roman" w:cs="Times New Roman"/>
    </w:rPr>
  </w:style>
  <w:style w:type="character" w:styleId="ListLabel82">
    <w:name w:val="ListLabel 82"/>
    <w:qFormat/>
    <w:rPr>
      <w:rFonts w:eastAsia="Times New Roman" w:cs="Times New Roman"/>
    </w:rPr>
  </w:style>
  <w:style w:type="character" w:styleId="ListLabel83">
    <w:name w:val="ListLabel 83"/>
    <w:qFormat/>
    <w:rPr>
      <w:rFonts w:eastAsia="Times New Roman" w:cs="Times New Roman"/>
    </w:rPr>
  </w:style>
  <w:style w:type="character" w:styleId="ListLabel84">
    <w:name w:val="ListLabel 84"/>
    <w:qFormat/>
    <w:rPr>
      <w:rFonts w:eastAsia="Times New Roman" w:cs="Times New Roman"/>
    </w:rPr>
  </w:style>
  <w:style w:type="character" w:styleId="ListLabel85">
    <w:name w:val="ListLabel 85"/>
    <w:qFormat/>
    <w:rPr>
      <w:rFonts w:eastAsia="Times New Roman" w:cs="Times New Roman"/>
    </w:rPr>
  </w:style>
  <w:style w:type="character" w:styleId="ListLabel86">
    <w:name w:val="ListLabel 86"/>
    <w:qFormat/>
    <w:rPr>
      <w:rFonts w:eastAsia="Times New Roman" w:cs="Times New Roman"/>
    </w:rPr>
  </w:style>
  <w:style w:type="character" w:styleId="ListLabel87">
    <w:name w:val="ListLabel 87"/>
    <w:qFormat/>
    <w:rPr>
      <w:rFonts w:cs="Liberation Serif"/>
      <w:sz w:val="22"/>
    </w:rPr>
  </w:style>
  <w:style w:type="character" w:styleId="ListLabel88">
    <w:name w:val="ListLabel 88"/>
    <w:qFormat/>
    <w:rPr>
      <w:rFonts w:cs="Liberation Serif"/>
    </w:rPr>
  </w:style>
  <w:style w:type="character" w:styleId="ListLabel89">
    <w:name w:val="ListLabel 89"/>
    <w:qFormat/>
    <w:rPr>
      <w:rFonts w:cs="Liberation Serif"/>
    </w:rPr>
  </w:style>
  <w:style w:type="character" w:styleId="ListLabel90">
    <w:name w:val="ListLabel 90"/>
    <w:qFormat/>
    <w:rPr>
      <w:rFonts w:cs="Symbol"/>
    </w:rPr>
  </w:style>
  <w:style w:type="character" w:styleId="ListLabel91">
    <w:name w:val="ListLabel 91"/>
    <w:qFormat/>
    <w:rPr>
      <w:rFonts w:cs="Liberation Serif"/>
    </w:rPr>
  </w:style>
  <w:style w:type="character" w:styleId="ListLabel92">
    <w:name w:val="ListLabel 92"/>
    <w:qFormat/>
    <w:rPr>
      <w:rFonts w:cs="Liberation Serif"/>
    </w:rPr>
  </w:style>
  <w:style w:type="character" w:styleId="ListLabel93">
    <w:name w:val="ListLabel 93"/>
    <w:qFormat/>
    <w:rPr>
      <w:rFonts w:cs="Symbol"/>
    </w:rPr>
  </w:style>
  <w:style w:type="character" w:styleId="ListLabel94">
    <w:name w:val="ListLabel 94"/>
    <w:qFormat/>
    <w:rPr>
      <w:rFonts w:cs="Liberation Serif"/>
    </w:rPr>
  </w:style>
  <w:style w:type="character" w:styleId="ListLabel95">
    <w:name w:val="ListLabel 95"/>
    <w:qFormat/>
    <w:rPr>
      <w:rFonts w:cs="Liberation Serif"/>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paragraph" w:styleId="Nadpis" w:customStyle="1">
    <w:name w:val="Nadpis"/>
    <w:basedOn w:val="Normal"/>
    <w:next w:val="Zkladntext1"/>
    <w:uiPriority w:val="99"/>
    <w:qFormat/>
    <w:pPr>
      <w:keepNext w:val="true"/>
      <w:suppressAutoHyphens w:val="false"/>
      <w:spacing w:before="240" w:after="120"/>
    </w:pPr>
    <w:rPr>
      <w:rFonts w:ascii="Liberation Sans" w:hAnsi="Liberation Sans" w:cs="Liberation Sans"/>
      <w:kern w:val="0"/>
      <w:sz w:val="28"/>
      <w:szCs w:val="28"/>
    </w:rPr>
  </w:style>
  <w:style w:type="paragraph" w:styleId="Telotextu">
    <w:name w:val="Body Text"/>
    <w:basedOn w:val="Normal"/>
    <w:pPr>
      <w:spacing w:lineRule="auto" w:line="276" w:before="0" w:after="140"/>
    </w:pPr>
    <w:rPr/>
  </w:style>
  <w:style w:type="paragraph" w:styleId="Zoznam">
    <w:name w:val="List"/>
    <w:basedOn w:val="Zkladntext1"/>
    <w:uiPriority w:val="99"/>
    <w:pPr/>
    <w:rPr/>
  </w:style>
  <w:style w:type="paragraph" w:styleId="Popis">
    <w:name w:val="Caption"/>
    <w:basedOn w:val="Normal"/>
    <w:qFormat/>
    <w:pPr>
      <w:suppressLineNumbers/>
      <w:spacing w:before="120" w:after="120"/>
    </w:pPr>
    <w:rPr>
      <w:rFonts w:cs="Mangal"/>
      <w:i/>
      <w:iCs/>
      <w:sz w:val="24"/>
      <w:szCs w:val="24"/>
    </w:rPr>
  </w:style>
  <w:style w:type="paragraph" w:styleId="Index" w:customStyle="1">
    <w:name w:val="Index"/>
    <w:basedOn w:val="Normal"/>
    <w:uiPriority w:val="99"/>
    <w:qFormat/>
    <w:pPr>
      <w:suppressLineNumbers/>
      <w:suppressAutoHyphens w:val="false"/>
    </w:pPr>
    <w:rPr>
      <w:kern w:val="0"/>
    </w:rPr>
  </w:style>
  <w:style w:type="paragraph" w:styleId="Zkladntext1" w:customStyle="1">
    <w:name w:val="Základný text1"/>
    <w:basedOn w:val="Normal"/>
    <w:uiPriority w:val="99"/>
    <w:qFormat/>
    <w:pPr>
      <w:suppressAutoHyphens w:val="false"/>
      <w:spacing w:lineRule="auto" w:line="288" w:before="0" w:after="140"/>
    </w:pPr>
    <w:rPr>
      <w:kern w:val="0"/>
    </w:rPr>
  </w:style>
  <w:style w:type="paragraph" w:styleId="Caption">
    <w:name w:val="caption"/>
    <w:basedOn w:val="Normal"/>
    <w:uiPriority w:val="99"/>
    <w:qFormat/>
    <w:pPr>
      <w:suppressLineNumbers/>
      <w:suppressAutoHyphens w:val="false"/>
      <w:spacing w:before="120" w:after="120"/>
    </w:pPr>
    <w:rPr>
      <w:i/>
      <w:iCs/>
      <w:kern w:val="0"/>
    </w:rPr>
  </w:style>
  <w:style w:type="paragraph" w:styleId="DocumentMap" w:customStyle="1">
    <w:name w:val="DocumentMap"/>
    <w:uiPriority w:val="99"/>
    <w:qFormat/>
    <w:pPr>
      <w:widowControl/>
      <w:suppressAutoHyphens w:val="true"/>
      <w:bidi w:val="0"/>
      <w:jc w:val="left"/>
    </w:pPr>
    <w:rPr>
      <w:rFonts w:eastAsia="Times New Roman" w:cs="Calibri" w:ascii="Calibri" w:hAnsi="Calibri" w:asciiTheme="minorHAnsi" w:hAnsiTheme="minorHAnsi"/>
      <w:color w:val="auto"/>
      <w:kern w:val="2"/>
      <w:sz w:val="24"/>
      <w:szCs w:val="20"/>
      <w:lang w:val="sk-SK" w:eastAsia="sk-SK" w:bidi="ar-SA"/>
    </w:rPr>
  </w:style>
  <w:style w:type="paragraph" w:styleId="NormalWeb">
    <w:name w:val="Normal (Web)"/>
    <w:basedOn w:val="Normal"/>
    <w:uiPriority w:val="99"/>
    <w:qFormat/>
    <w:pPr>
      <w:suppressAutoHyphens w:val="false"/>
      <w:spacing w:before="280" w:after="280"/>
    </w:pPr>
    <w:rPr>
      <w:kern w:val="0"/>
    </w:rPr>
  </w:style>
  <w:style w:type="paragraph" w:styleId="Poznmkapodiarou">
    <w:name w:val="Footnote Text"/>
    <w:basedOn w:val="Normal"/>
    <w:link w:val="TextpoznmkypodiarouChar"/>
    <w:uiPriority w:val="99"/>
    <w:pPr>
      <w:suppressAutoHyphens w:val="false"/>
    </w:pPr>
    <w:rPr>
      <w:kern w:val="0"/>
      <w:sz w:val="20"/>
      <w:szCs w:val="20"/>
    </w:rPr>
  </w:style>
  <w:style w:type="paragraph" w:styleId="Hlavie8ka" w:customStyle="1">
    <w:name w:val="Hlaviče8ka"/>
    <w:basedOn w:val="Normal"/>
    <w:uiPriority w:val="99"/>
    <w:qFormat/>
    <w:pPr>
      <w:tabs>
        <w:tab w:val="clear" w:pos="708"/>
        <w:tab w:val="center" w:pos="4536" w:leader="none"/>
        <w:tab w:val="right" w:pos="9072" w:leader="none"/>
      </w:tabs>
      <w:suppressAutoHyphens w:val="false"/>
    </w:pPr>
    <w:rPr>
      <w:kern w:val="0"/>
    </w:rPr>
  </w:style>
  <w:style w:type="paragraph" w:styleId="Pe4ta" w:customStyle="1">
    <w:name w:val="Päe4ta"/>
    <w:basedOn w:val="Normal"/>
    <w:uiPriority w:val="99"/>
    <w:qFormat/>
    <w:pPr>
      <w:tabs>
        <w:tab w:val="clear" w:pos="708"/>
        <w:tab w:val="center" w:pos="4536" w:leader="none"/>
        <w:tab w:val="right" w:pos="9072" w:leader="none"/>
      </w:tabs>
      <w:suppressAutoHyphens w:val="false"/>
    </w:pPr>
    <w:rPr>
      <w:kern w:val="0"/>
    </w:rPr>
  </w:style>
  <w:style w:type="paragraph" w:styleId="BalloonText">
    <w:name w:val="Balloon Text"/>
    <w:basedOn w:val="Normal"/>
    <w:link w:val="TextbublinyChar1"/>
    <w:uiPriority w:val="99"/>
    <w:qFormat/>
    <w:pPr>
      <w:suppressAutoHyphens w:val="false"/>
    </w:pPr>
    <w:rPr>
      <w:rFonts w:ascii="Tahoma" w:hAnsi="Tahoma" w:cs="Tahoma"/>
      <w:kern w:val="0"/>
      <w:sz w:val="16"/>
      <w:szCs w:val="16"/>
    </w:rPr>
  </w:style>
  <w:style w:type="paragraph" w:styleId="Pta">
    <w:name w:val="Footer"/>
    <w:basedOn w:val="Normal"/>
    <w:pPr/>
    <w:rPr/>
  </w:style>
  <w:style w:type="paragraph" w:styleId="ListParagraph">
    <w:name w:val="List Paragraph"/>
    <w:basedOn w:val="Normal"/>
    <w:uiPriority w:val="34"/>
    <w:qFormat/>
    <w:rsid w:val="003c2ab4"/>
    <w:pPr>
      <w:spacing w:before="0" w:after="0"/>
      <w:ind w:left="720" w:hanging="0"/>
      <w:contextualSpacing/>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LibreOffice/6.2.3.2$Windows_X86_64 LibreOffice_project/aecc05fe267cc68dde00352a451aa867b3b546ac</Application>
  <Pages>9</Pages>
  <Words>2087</Words>
  <Characters>12632</Characters>
  <CharactersWithSpaces>14654</CharactersWithSpaces>
  <Paragraphs>129</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2019-11-02T16:27:00Z</dcterms:created>
  <dc:creator>Lukáč, Jozef (asistent)</dc:creator>
  <dc:description/>
  <dc:language>sk-SK</dc:language>
  <cp:lastModifiedBy>Milan</cp:lastModifiedBy>
  <cp:lastPrinted>2016-05-27T14:29:00Z</cp:lastPrinted>
  <dcterms:modified xsi:type="dcterms:W3CDTF">2019-11-02T16:27:00Z</dcterms:modified>
  <cp:revision>2</cp:revision>
  <dc:subject/>
  <dc:title>DÔVODOVÁ SPRÁVA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perator">
    <vt:lpwstr>Vinický, Filip</vt:lpwstr>
  </property>
  <property fmtid="{D5CDD505-2E9C-101B-9397-08002B2CF9AE}" pid="8" name="ScaleCrop">
    <vt:bool>0</vt:bool>
  </property>
  <property fmtid="{D5CDD505-2E9C-101B-9397-08002B2CF9AE}" pid="9" name="ShareDoc">
    <vt:bool>0</vt:bool>
  </property>
</Properties>
</file>