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12" w:space="1" w:color="000000"/>
        </w:pBdr>
        <w:spacing w:lineRule="auto" w:line="276" w:before="120" w:after="0"/>
        <w:jc w:val="center"/>
        <w:rPr>
          <w:rFonts w:ascii="Book Antiqua" w:hAnsi="Book Antiqua"/>
          <w:b/>
          <w:b/>
          <w:spacing w:val="20"/>
          <w:sz w:val="22"/>
          <w:szCs w:val="22"/>
        </w:rPr>
      </w:pPr>
      <w:r>
        <w:rPr>
          <w:rFonts w:ascii="Book Antiqua" w:hAnsi="Book Antiqua"/>
          <w:b/>
          <w:spacing w:val="20"/>
          <w:sz w:val="22"/>
          <w:szCs w:val="22"/>
        </w:rPr>
        <w:t>NÁRODNÁ  RADA  SLOVENSKEJ  REPUBLIKY</w:t>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t>VII. volebné obdobie</w:t>
      </w:r>
    </w:p>
    <w:p>
      <w:pPr>
        <w:pStyle w:val="Normal"/>
        <w:spacing w:lineRule="auto" w:line="276" w:before="120" w:after="0"/>
        <w:jc w:val="center"/>
        <w:rPr>
          <w:rFonts w:ascii="Book Antiqua" w:hAnsi="Book Antiqua"/>
          <w:b/>
          <w:b/>
          <w:spacing w:val="30"/>
          <w:sz w:val="22"/>
          <w:szCs w:val="22"/>
        </w:rPr>
      </w:pPr>
      <w:r>
        <w:rPr>
          <w:rFonts w:ascii="Book Antiqua" w:hAnsi="Book Antiqua"/>
          <w:b/>
          <w:spacing w:val="30"/>
          <w:sz w:val="22"/>
          <w:szCs w:val="22"/>
        </w:rPr>
      </w:r>
    </w:p>
    <w:p>
      <w:pPr>
        <w:pStyle w:val="Normal"/>
        <w:spacing w:lineRule="auto" w:line="276" w:before="120" w:after="0"/>
        <w:jc w:val="center"/>
        <w:rPr>
          <w:rFonts w:ascii="Book Antiqua" w:hAnsi="Book Antiqua"/>
          <w:b/>
          <w:b/>
          <w:spacing w:val="30"/>
          <w:sz w:val="22"/>
          <w:szCs w:val="22"/>
        </w:rPr>
      </w:pPr>
      <w:r>
        <w:rPr>
          <w:rFonts w:ascii="Book Antiqua" w:hAnsi="Book Antiqua"/>
          <w:b/>
          <w:spacing w:val="30"/>
          <w:sz w:val="22"/>
          <w:szCs w:val="22"/>
        </w:rPr>
      </w:r>
    </w:p>
    <w:p>
      <w:pPr>
        <w:pStyle w:val="Normal"/>
        <w:spacing w:lineRule="auto" w:line="276" w:before="120" w:after="0"/>
        <w:jc w:val="center"/>
        <w:rPr>
          <w:rFonts w:ascii="Book Antiqua" w:hAnsi="Book Antiqua"/>
          <w:spacing w:val="30"/>
          <w:sz w:val="22"/>
          <w:szCs w:val="22"/>
        </w:rPr>
      </w:pPr>
      <w:r>
        <w:rPr>
          <w:rFonts w:ascii="Book Antiqua" w:hAnsi="Book Antiqua"/>
          <w:spacing w:val="30"/>
          <w:sz w:val="22"/>
          <w:szCs w:val="22"/>
        </w:rPr>
        <w:t>Návrh</w:t>
      </w:r>
    </w:p>
    <w:p>
      <w:pPr>
        <w:pStyle w:val="Normal"/>
        <w:spacing w:lineRule="auto" w:line="276" w:before="120" w:after="0"/>
        <w:jc w:val="center"/>
        <w:rPr>
          <w:rFonts w:ascii="Book Antiqua" w:hAnsi="Book Antiqua"/>
          <w:b/>
          <w:b/>
          <w:spacing w:val="30"/>
          <w:sz w:val="22"/>
          <w:szCs w:val="22"/>
        </w:rPr>
      </w:pPr>
      <w:r>
        <w:rPr>
          <w:rFonts w:ascii="Book Antiqua" w:hAnsi="Book Antiqua"/>
          <w:b/>
          <w:spacing w:val="30"/>
          <w:sz w:val="22"/>
          <w:szCs w:val="22"/>
        </w:rPr>
      </w:r>
    </w:p>
    <w:p>
      <w:pPr>
        <w:pStyle w:val="Normal"/>
        <w:spacing w:lineRule="auto" w:line="276" w:before="120" w:after="0"/>
        <w:jc w:val="center"/>
        <w:rPr>
          <w:rFonts w:ascii="Book Antiqua" w:hAnsi="Book Antiqua"/>
          <w:b/>
          <w:b/>
          <w:caps/>
          <w:spacing w:val="30"/>
          <w:sz w:val="22"/>
          <w:szCs w:val="22"/>
        </w:rPr>
      </w:pPr>
      <w:r>
        <w:rPr>
          <w:rFonts w:ascii="Book Antiqua" w:hAnsi="Book Antiqua"/>
          <w:b/>
          <w:caps/>
          <w:spacing w:val="30"/>
          <w:sz w:val="22"/>
          <w:szCs w:val="22"/>
        </w:rPr>
        <w:t>zákon</w:t>
      </w:r>
    </w:p>
    <w:p>
      <w:pPr>
        <w:pStyle w:val="Normal"/>
        <w:spacing w:lineRule="auto" w:line="276" w:before="120" w:after="0"/>
        <w:jc w:val="center"/>
        <w:rPr>
          <w:rFonts w:ascii="Book Antiqua" w:hAnsi="Book Antiqua"/>
          <w:sz w:val="22"/>
          <w:szCs w:val="22"/>
        </w:rPr>
      </w:pPr>
      <w:r>
        <w:rPr>
          <w:rFonts w:ascii="Book Antiqua" w:hAnsi="Book Antiqua"/>
          <w:sz w:val="22"/>
          <w:szCs w:val="22"/>
        </w:rPr>
      </w:r>
    </w:p>
    <w:p>
      <w:pPr>
        <w:pStyle w:val="Normal"/>
        <w:spacing w:lineRule="auto" w:line="276" w:before="120" w:after="0"/>
        <w:jc w:val="center"/>
        <w:rPr/>
      </w:pPr>
      <w:r>
        <w:rPr>
          <w:rFonts w:ascii="Book Antiqua" w:hAnsi="Book Antiqua"/>
          <w:sz w:val="22"/>
          <w:szCs w:val="22"/>
        </w:rPr>
        <w:t>z ... 2020,</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 xml:space="preserve">ktorým sa mení a dopĺňa </w:t>
      </w:r>
      <w:r>
        <w:rPr>
          <w:rFonts w:ascii="Book Antiqua" w:hAnsi="Book Antiqua"/>
          <w:b/>
          <w:bCs/>
          <w:sz w:val="22"/>
          <w:szCs w:val="22"/>
        </w:rPr>
        <w:t xml:space="preserve">zákon Národnej rady  Slovenskej  republiky č. 39/1993 Z. z. o Najvyššom kontrolnom úrade Slovenskej  republiky </w:t>
      </w:r>
      <w:r>
        <w:rPr>
          <w:rFonts w:ascii="Book Antiqua" w:hAnsi="Book Antiqua"/>
          <w:b/>
          <w:sz w:val="22"/>
          <w:szCs w:val="22"/>
        </w:rPr>
        <w:t>v znení neskorších predpisov a ktorým sa menia a dopĺňajú niektoré zákony</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Národná rada Slovenskej republiky sa uzniesla na tomto zákone: </w:t>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t>Čl. 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Zákon Národnej rady Slovenskej republiky č. 39/1993 Z. z. o Najvyššom kontrolnom úrade Slovenskej republiky v znení zákona č. 458/2000 Z. z.,  zákona č. 559/2001 Z. z., zákona č. 385/2004 Z. z., zákona č. 261/2006 Z. z., zákona č. 199/2007 Z. z., zákona č. 659/2007 Z. z., zákona č. 400/2009 Z. z., zákona č. 403/2010 Z. z., zákona č. 153/2011 Z. z., zákona č. 375/2015 Z. z. a zákona č. 55/2017 Z. z. sa mení a dopĺňa takto:</w:t>
      </w:r>
    </w:p>
    <w:p>
      <w:pPr>
        <w:pStyle w:val="ListParagraph"/>
        <w:numPr>
          <w:ilvl w:val="0"/>
          <w:numId w:val="8"/>
        </w:numPr>
        <w:spacing w:lineRule="auto" w:line="276" w:before="120" w:after="0"/>
        <w:ind w:left="851" w:hanging="425"/>
        <w:contextualSpacing/>
        <w:jc w:val="both"/>
        <w:rPr>
          <w:rFonts w:ascii="Book Antiqua" w:hAnsi="Book Antiqua"/>
          <w:bCs/>
          <w:sz w:val="22"/>
          <w:szCs w:val="22"/>
        </w:rPr>
      </w:pPr>
      <w:r>
        <w:rPr>
          <w:rFonts w:ascii="Book Antiqua" w:hAnsi="Book Antiqua"/>
          <w:bCs/>
          <w:sz w:val="22"/>
          <w:szCs w:val="22"/>
        </w:rPr>
        <w:t>V § 5 sa za odsek 4 vkladá nový odsek 5, ktorý znie:</w:t>
      </w:r>
    </w:p>
    <w:p>
      <w:pPr>
        <w:pStyle w:val="Normal"/>
        <w:spacing w:lineRule="auto" w:line="276" w:before="120" w:after="0"/>
        <w:ind w:left="1418" w:hanging="567"/>
        <w:jc w:val="both"/>
        <w:rPr>
          <w:rFonts w:ascii="Book Antiqua" w:hAnsi="Book Antiqua"/>
          <w:bCs/>
          <w:sz w:val="22"/>
          <w:szCs w:val="22"/>
        </w:rPr>
      </w:pPr>
      <w:r>
        <w:rPr>
          <w:rFonts w:ascii="Book Antiqua" w:hAnsi="Book Antiqua"/>
          <w:bCs/>
          <w:sz w:val="22"/>
          <w:szCs w:val="22"/>
        </w:rPr>
        <w:t>„</w:t>
      </w:r>
      <w:r>
        <w:rPr>
          <w:rFonts w:ascii="Book Antiqua" w:hAnsi="Book Antiqua"/>
          <w:bCs/>
          <w:sz w:val="22"/>
          <w:szCs w:val="22"/>
        </w:rPr>
        <w:t xml:space="preserve">(5) </w:t>
        <w:tab/>
        <w:t>Úrad každoročne začne s výkonom aspoň 5 kontrol navrhnutých Národnou radou Slovenskej republiky, pričom minimálne</w:t>
      </w:r>
      <w:r>
        <w:rPr>
          <w:rFonts w:cs="Arial" w:ascii="Book Antiqua" w:hAnsi="Book Antiqua"/>
          <w:sz w:val="22"/>
          <w:szCs w:val="22"/>
          <w:shd w:fill="FFFFFF" w:val="clear"/>
        </w:rPr>
        <w:t xml:space="preserve"> dva návrhy </w:t>
      </w:r>
      <w:r>
        <w:rPr>
          <w:rFonts w:ascii="Book Antiqua" w:hAnsi="Book Antiqua"/>
          <w:bCs/>
          <w:sz w:val="22"/>
          <w:szCs w:val="22"/>
        </w:rPr>
        <w:t>na vykonanie kontroly sú</w:t>
      </w:r>
      <w:r>
        <w:rPr>
          <w:rFonts w:cs="Arial" w:ascii="Book Antiqua" w:hAnsi="Book Antiqua"/>
          <w:sz w:val="22"/>
          <w:szCs w:val="22"/>
          <w:shd w:fill="FFFFFF" w:val="clear"/>
        </w:rPr>
        <w:t xml:space="preserve"> predložené poslancami zvolenými z politických strán a politických hnutí, ktoré vytvorili vládu a minimálne</w:t>
      </w:r>
      <w:r>
        <w:rPr>
          <w:rFonts w:ascii="Book Antiqua" w:hAnsi="Book Antiqua"/>
          <w:bCs/>
          <w:sz w:val="22"/>
          <w:szCs w:val="22"/>
        </w:rPr>
        <w:t xml:space="preserve"> tri návrhy na vykonanie kontroly sú</w:t>
      </w:r>
      <w:r>
        <w:rPr>
          <w:rFonts w:cs="Arial" w:ascii="Book Antiqua" w:hAnsi="Book Antiqua"/>
          <w:sz w:val="22"/>
          <w:szCs w:val="22"/>
          <w:shd w:fill="FFFFFF" w:val="clear"/>
        </w:rPr>
        <w:t xml:space="preserve"> predložené ostatnými poslancami</w:t>
      </w:r>
      <w:r>
        <w:rPr>
          <w:rFonts w:ascii="Book Antiqua" w:hAnsi="Book Antiqua"/>
          <w:bCs/>
          <w:sz w:val="22"/>
          <w:szCs w:val="22"/>
        </w:rPr>
        <w:t>.“.</w:t>
      </w:r>
    </w:p>
    <w:p>
      <w:pPr>
        <w:pStyle w:val="Normal"/>
        <w:spacing w:lineRule="auto" w:line="276" w:before="120" w:after="0"/>
        <w:ind w:left="851" w:hanging="0"/>
        <w:jc w:val="both"/>
        <w:rPr>
          <w:rFonts w:ascii="Book Antiqua" w:hAnsi="Book Antiqua"/>
          <w:bCs/>
          <w:sz w:val="22"/>
          <w:szCs w:val="22"/>
        </w:rPr>
      </w:pPr>
      <w:r>
        <w:rPr>
          <w:rFonts w:ascii="Book Antiqua" w:hAnsi="Book Antiqua"/>
          <w:bCs/>
          <w:sz w:val="22"/>
          <w:szCs w:val="22"/>
        </w:rPr>
        <w:t>Doterajší odsek 5 sa označuje ako odsek 6.</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 8 znie:</w:t>
      </w:r>
    </w:p>
    <w:p>
      <w:pPr>
        <w:pStyle w:val="Normal"/>
        <w:spacing w:lineRule="auto" w:line="276" w:before="120" w:after="0"/>
        <w:ind w:left="143" w:firstLine="708"/>
        <w:jc w:val="center"/>
        <w:rPr>
          <w:rFonts w:ascii="Book Antiqua" w:hAnsi="Book Antiqua"/>
          <w:b/>
          <w:b/>
          <w:bCs/>
          <w:sz w:val="22"/>
          <w:szCs w:val="22"/>
        </w:rPr>
      </w:pPr>
      <w:r>
        <w:rPr>
          <w:rFonts w:ascii="Book Antiqua" w:hAnsi="Book Antiqua"/>
          <w:bCs/>
          <w:sz w:val="22"/>
          <w:szCs w:val="22"/>
        </w:rPr>
        <w:t>„</w:t>
      </w:r>
      <w:r>
        <w:rPr>
          <w:rFonts w:ascii="Book Antiqua" w:hAnsi="Book Antiqua"/>
          <w:b/>
          <w:bCs/>
          <w:sz w:val="22"/>
          <w:szCs w:val="22"/>
        </w:rPr>
        <w:t>§ 8</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bCs/>
          <w:sz w:val="22"/>
          <w:szCs w:val="22"/>
        </w:rPr>
        <w:t>Na čele Úradu je predseda ako štatutárny orgán. Predsedu zastupuje určený podpredseda.</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bCs/>
          <w:sz w:val="22"/>
          <w:szCs w:val="22"/>
        </w:rPr>
        <w:t xml:space="preserve">Predsedu a dvoch podpredsedov volí a odvoláva Národná rada Slovenskej republiky zo zoznamu kandidátov navrhnutých Komisiou pre voľbu predsedu a podpredsedov Najvyššieho kontrolného úradu Slovenskej republiky (ďalej len „komisia“) podľa odseku 3. </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sz w:val="22"/>
          <w:szCs w:val="22"/>
        </w:rPr>
        <w:t>Komisiu zriaďuje Úrad a skladá sa zo siedmich členov. Dvoch členov vymenúva a odvoláva Výbor pre najvyšší kontrolný úrad Národnej rady Slovenskej republiky</w:t>
      </w:r>
      <w:r>
        <w:rPr>
          <w:rFonts w:ascii="Book Antiqua" w:hAnsi="Book Antiqua"/>
          <w:sz w:val="22"/>
          <w:szCs w:val="22"/>
          <w:vertAlign w:val="superscript"/>
        </w:rPr>
        <w:t>3)</w:t>
      </w:r>
      <w:r>
        <w:rPr>
          <w:rFonts w:ascii="Book Antiqua" w:hAnsi="Book Antiqua"/>
          <w:sz w:val="22"/>
          <w:szCs w:val="22"/>
        </w:rPr>
        <w:t xml:space="preserve"> zo svojich členov</w:t>
      </w:r>
      <w:r>
        <w:rPr>
          <w:rFonts w:cs="Arial" w:ascii="Book Antiqua" w:hAnsi="Book Antiqua"/>
          <w:sz w:val="22"/>
          <w:szCs w:val="22"/>
          <w:shd w:fill="FFFFFF" w:val="clear"/>
        </w:rPr>
        <w:t>, pričom jeden člen je zvolený za politickú stranu alebo politické hnutie, ktoré vytvorilo vládu, a druhý člen je zvolený za ostatné politické strany alebo politické hnutia</w:t>
      </w:r>
      <w:r>
        <w:rPr>
          <w:rFonts w:ascii="Book Antiqua" w:hAnsi="Book Antiqua"/>
          <w:sz w:val="22"/>
          <w:szCs w:val="22"/>
        </w:rPr>
        <w:t>, dvoch členov vymenúva a odvoláva Slovenská komora audítorov, jedného člena vymenúva a odvoláva Finančné riaditeľstvo Slovenskej republiky, jedného člena vymenúva a odvoláva Generálna prokuratúra Slovenskej republiky a jedného člena vymenúva a odvoláva Rada vlády Slovenskej republiky pre mimovládne neziskové organizácie.</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sz w:val="22"/>
          <w:szCs w:val="22"/>
        </w:rPr>
        <w:t xml:space="preserve">Zasadnutie komisie zvoláva predseda </w:t>
      </w:r>
      <w:r>
        <w:rPr>
          <w:rFonts w:cs="Helvetica" w:ascii="Book Antiqua" w:hAnsi="Book Antiqua"/>
          <w:sz w:val="22"/>
          <w:szCs w:val="22"/>
        </w:rPr>
        <w:t>Úradu</w:t>
      </w:r>
      <w:r>
        <w:rPr>
          <w:rFonts w:ascii="Book Antiqua" w:hAnsi="Book Antiqua"/>
          <w:sz w:val="22"/>
          <w:szCs w:val="22"/>
        </w:rPr>
        <w:t xml:space="preserve">. Ak predseda </w:t>
      </w:r>
      <w:r>
        <w:rPr>
          <w:rFonts w:cs="Helvetica" w:ascii="Book Antiqua" w:hAnsi="Book Antiqua"/>
          <w:sz w:val="22"/>
          <w:szCs w:val="22"/>
        </w:rPr>
        <w:t>Úradu</w:t>
      </w:r>
      <w:r>
        <w:rPr>
          <w:rFonts w:ascii="Book Antiqua" w:hAnsi="Book Antiqua"/>
          <w:sz w:val="22"/>
          <w:szCs w:val="22"/>
        </w:rPr>
        <w:t xml:space="preserve"> nezvolá zasadnutie komisie do 90 dní pred skončením svojho funkčného obdobia, alebo funkčného obdobia podpredsedu Úradu alebo do 30 dní po skončení výkonu svojej funkcie alebo funkcie podpredsedu Úradu podľa § 12 ods. 1 písm. b) a c), komisia sa zíde sama.</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bCs/>
          <w:sz w:val="22"/>
          <w:szCs w:val="22"/>
        </w:rPr>
        <w:t>Výzvu na prihlásenie kandidátov na predsedu alebo podpredsedu Úradu zverejní Úrad najneskôr 90 dní pred uplynutím funkčného obdobia predsedu úradu alebo podpredsedu úradu, a to na webovom sídle Úradu a najmenej v jednom denníku celoštátnej periodickej tlače. Komisia vyberá kandidáta na predsedu úradu a podpredsedu úradu na základe verejného vypočutia kandidátov.</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sz w:val="22"/>
          <w:szCs w:val="22"/>
        </w:rPr>
        <w:t>Zoznam kandidátov komisie je schválený, ak zaň hlasovali aspoň štyria jej členovia.</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sz w:val="22"/>
          <w:szCs w:val="22"/>
        </w:rPr>
        <w:t>Zoznam kandidátov, ktorý predkladá komisia Národnej rade Slovenskej republiky do 15 dní odo dňa jeho schválenia podľa odseku 6, musí obsahovať minimálne dvoch kandidátov.</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sz w:val="22"/>
          <w:szCs w:val="22"/>
        </w:rPr>
        <w:t xml:space="preserve">Podrobnosti o organizácii a výkone úloh komisie a </w:t>
      </w:r>
      <w:r>
        <w:rPr>
          <w:rFonts w:ascii="Book Antiqua" w:hAnsi="Book Antiqua"/>
          <w:bCs/>
          <w:sz w:val="22"/>
          <w:szCs w:val="22"/>
        </w:rPr>
        <w:t xml:space="preserve">spôsobe výberu kandidáta na predsedu alebo podpredsedu Úradu </w:t>
      </w:r>
      <w:r>
        <w:rPr>
          <w:rFonts w:ascii="Book Antiqua" w:hAnsi="Book Antiqua"/>
          <w:sz w:val="22"/>
          <w:szCs w:val="22"/>
        </w:rPr>
        <w:t>upraví štatút komisie, ktorý schvaľuje Úrad.</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bCs/>
          <w:sz w:val="22"/>
          <w:szCs w:val="22"/>
        </w:rPr>
        <w:t>Funkčné obdobie predsedu a podpredsedov je sedem rokov a možno ich zvoliť najviac na dve po sebe nasledujúce funkčné obdobia.</w:t>
      </w:r>
    </w:p>
    <w:p>
      <w:pPr>
        <w:pStyle w:val="Normal"/>
        <w:numPr>
          <w:ilvl w:val="0"/>
          <w:numId w:val="6"/>
        </w:numPr>
        <w:spacing w:lineRule="auto" w:line="276" w:before="120" w:after="0"/>
        <w:ind w:left="1418" w:hanging="567"/>
        <w:jc w:val="both"/>
        <w:rPr>
          <w:rFonts w:ascii="Book Antiqua" w:hAnsi="Book Antiqua"/>
          <w:bCs/>
          <w:sz w:val="22"/>
          <w:szCs w:val="22"/>
        </w:rPr>
      </w:pPr>
      <w:r>
        <w:rPr>
          <w:rFonts w:ascii="Book Antiqua" w:hAnsi="Book Antiqua"/>
          <w:bCs/>
          <w:sz w:val="22"/>
          <w:szCs w:val="22"/>
        </w:rPr>
        <w:t>Predseda ostáva vo funkcii aj po uplynutí funkčného obdobia, kým Národná rada Slovenskej republiky nezvolí nového predsedu.“.</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 9 znie:</w:t>
      </w:r>
    </w:p>
    <w:p>
      <w:pPr>
        <w:pStyle w:val="Normal"/>
        <w:spacing w:lineRule="auto" w:line="276" w:before="120" w:after="0"/>
        <w:ind w:left="143" w:firstLine="708"/>
        <w:jc w:val="center"/>
        <w:rPr>
          <w:rFonts w:ascii="Book Antiqua" w:hAnsi="Book Antiqua"/>
          <w:bCs/>
          <w:sz w:val="22"/>
          <w:szCs w:val="22"/>
        </w:rPr>
      </w:pPr>
      <w:r>
        <w:rPr>
          <w:rFonts w:ascii="Book Antiqua" w:hAnsi="Book Antiqua"/>
          <w:bCs/>
          <w:sz w:val="22"/>
          <w:szCs w:val="22"/>
        </w:rPr>
        <w:t>„</w:t>
      </w:r>
      <w:r>
        <w:rPr>
          <w:rFonts w:ascii="Book Antiqua" w:hAnsi="Book Antiqua"/>
          <w:b/>
          <w:bCs/>
          <w:sz w:val="22"/>
          <w:szCs w:val="22"/>
        </w:rPr>
        <w:t>§ 9</w:t>
      </w:r>
    </w:p>
    <w:p>
      <w:pPr>
        <w:pStyle w:val="Normal"/>
        <w:spacing w:lineRule="auto" w:line="276" w:before="120" w:after="0"/>
        <w:ind w:left="851" w:hanging="0"/>
        <w:jc w:val="both"/>
        <w:rPr>
          <w:rFonts w:ascii="Book Antiqua" w:hAnsi="Book Antiqua"/>
          <w:bCs/>
          <w:sz w:val="22"/>
          <w:szCs w:val="22"/>
        </w:rPr>
      </w:pPr>
      <w:r>
        <w:rPr>
          <w:rFonts w:ascii="Book Antiqua" w:hAnsi="Book Antiqua"/>
          <w:bCs/>
          <w:sz w:val="22"/>
          <w:szCs w:val="22"/>
        </w:rPr>
        <w:t xml:space="preserve">Za predsedu a podpredsedu môže byť zvolený </w:t>
      </w:r>
      <w:r>
        <w:rPr>
          <w:rFonts w:cs="Helvetica" w:ascii="Book Antiqua" w:hAnsi="Book Antiqua"/>
          <w:sz w:val="22"/>
          <w:szCs w:val="22"/>
        </w:rPr>
        <w:t>každý občan, ktorý je voliteľný do Národnej rady Slovenskej republiky, je bezúhonný, má vysokoškolské vzdelanie druhého stupňa a najmenej päťročnú odbornú prax v oblasti patriacej do kontrolnej pôsobnosti Úradu, nie je členom politickej strany alebo politického hnutia a dosiahol vek najmenej 35 rokov.</w:t>
      </w:r>
      <w:r>
        <w:rPr>
          <w:rFonts w:ascii="Book Antiqua" w:hAnsi="Book Antiqua"/>
          <w:bCs/>
          <w:sz w:val="22"/>
          <w:szCs w:val="22"/>
        </w:rPr>
        <w:t>“.</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V § 10 sa vypúšťa odsek 2.</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 14 znie:</w:t>
      </w:r>
    </w:p>
    <w:p>
      <w:pPr>
        <w:pStyle w:val="Normal"/>
        <w:spacing w:lineRule="auto" w:line="276" w:before="120" w:after="0"/>
        <w:ind w:left="1068" w:hanging="217"/>
        <w:jc w:val="center"/>
        <w:rPr>
          <w:rFonts w:ascii="Book Antiqua" w:hAnsi="Book Antiqua"/>
          <w:bCs/>
          <w:sz w:val="22"/>
          <w:szCs w:val="22"/>
        </w:rPr>
      </w:pPr>
      <w:r>
        <w:rPr>
          <w:rFonts w:ascii="Book Antiqua" w:hAnsi="Book Antiqua"/>
          <w:bCs/>
          <w:sz w:val="22"/>
          <w:szCs w:val="22"/>
        </w:rPr>
        <w:t>„</w:t>
      </w:r>
      <w:r>
        <w:rPr>
          <w:rFonts w:ascii="Book Antiqua" w:hAnsi="Book Antiqua"/>
          <w:b/>
          <w:bCs/>
          <w:sz w:val="22"/>
          <w:szCs w:val="22"/>
        </w:rPr>
        <w:t>§ 14</w:t>
      </w:r>
    </w:p>
    <w:p>
      <w:pPr>
        <w:pStyle w:val="Normal"/>
        <w:spacing w:lineRule="auto" w:line="276" w:before="120" w:after="0"/>
        <w:ind w:left="851" w:hanging="0"/>
        <w:jc w:val="both"/>
        <w:rPr>
          <w:rFonts w:ascii="Book Antiqua" w:hAnsi="Book Antiqua"/>
          <w:bCs/>
          <w:sz w:val="22"/>
          <w:szCs w:val="22"/>
        </w:rPr>
      </w:pPr>
      <w:r>
        <w:rPr>
          <w:rFonts w:ascii="Book Antiqua" w:hAnsi="Book Antiqua"/>
          <w:bCs/>
          <w:sz w:val="22"/>
          <w:szCs w:val="22"/>
        </w:rPr>
        <w:t>Predseda má právo zúčastniť sa na rokovaniach Národnej rady Slovenskej republiky, jej orgánov a na rokovaniach vlády. Na pozvanie vlády je predseda povinný zúčastniť sa jej rokovania, ak je v programe rokovania zaradené prerokovanie protokolu o výsledku kontroly alebo stanoviská príslušných orgánov k výsledkom kontroly.“.</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V § 15 ods. 1 písm. g) sa za slovo „Úrad“ vkladajú slová „v prípade kontrolou zistených nedostatkov“. </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sz w:val="22"/>
          <w:szCs w:val="22"/>
        </w:rPr>
        <w:t>V § 15 ods. 1 sa vypúšťa písmeno h).</w:t>
      </w:r>
    </w:p>
    <w:p>
      <w:pPr>
        <w:pStyle w:val="Normal"/>
        <w:spacing w:lineRule="auto" w:line="276" w:before="120" w:after="0"/>
        <w:ind w:left="1068" w:hanging="217"/>
        <w:jc w:val="both"/>
        <w:rPr>
          <w:rFonts w:ascii="Book Antiqua" w:hAnsi="Book Antiqua"/>
          <w:sz w:val="22"/>
          <w:szCs w:val="22"/>
        </w:rPr>
      </w:pPr>
      <w:r>
        <w:rPr>
          <w:rFonts w:ascii="Book Antiqua" w:hAnsi="Book Antiqua"/>
          <w:sz w:val="22"/>
          <w:szCs w:val="22"/>
        </w:rPr>
        <w:t>Doterajšie písmená i) až k) sa označujú ako písmená h) až j).</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sz w:val="22"/>
          <w:szCs w:val="22"/>
        </w:rPr>
        <w:t xml:space="preserve">V § 15 ods. 1 písm. i) znie: </w:t>
      </w:r>
    </w:p>
    <w:p>
      <w:pPr>
        <w:pStyle w:val="Normal"/>
        <w:spacing w:lineRule="auto" w:line="276" w:before="120" w:after="0"/>
        <w:ind w:left="851" w:hanging="0"/>
        <w:jc w:val="both"/>
        <w:rPr>
          <w:rFonts w:ascii="Book Antiqua" w:hAnsi="Book Antiqua"/>
          <w:b/>
          <w:b/>
          <w:bCs/>
          <w:sz w:val="22"/>
          <w:szCs w:val="22"/>
        </w:rPr>
      </w:pPr>
      <w:r>
        <w:rPr>
          <w:rFonts w:ascii="Book Antiqua" w:hAnsi="Book Antiqua"/>
          <w:sz w:val="22"/>
          <w:szCs w:val="22"/>
        </w:rPr>
        <w:t>„</w:t>
      </w:r>
      <w:r>
        <w:rPr>
          <w:rFonts w:ascii="Book Antiqua" w:hAnsi="Book Antiqua"/>
          <w:sz w:val="22"/>
          <w:szCs w:val="22"/>
        </w:rPr>
        <w:t>i) odovzdať štatutárnemu orgánu kontrolovaného subjektu jedno vyhotovenie protokolu o výsledku kontroly (čiastkového protokolu, priebežného protokolu), a tiež ich dodatok a zápisnicu o prerokovaní protokolu o výsledku kontroly, ak sa vyhotovujú,“.</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sz w:val="22"/>
          <w:szCs w:val="22"/>
        </w:rPr>
        <w:t>V § 15 ods. 3 prvá veta znie:</w:t>
      </w:r>
      <w:r>
        <w:rPr>
          <w:rFonts w:ascii="Book Antiqua" w:hAnsi="Book Antiqua"/>
          <w:b/>
          <w:bCs/>
          <w:sz w:val="22"/>
          <w:szCs w:val="22"/>
        </w:rPr>
        <w:t xml:space="preserve"> </w:t>
      </w:r>
      <w:r>
        <w:rPr>
          <w:rFonts w:ascii="Book Antiqua" w:hAnsi="Book Antiqua"/>
          <w:sz w:val="22"/>
          <w:szCs w:val="22"/>
        </w:rPr>
        <w:t>„Kontrola je skončená v deň prerokovania protokolu vyhotovením zápisnice o prerokovaní protokolu alebo odovzdaním protokolu o výsledku kontroly štatutárnemu orgánu kontrolovaného subjektu, ak sa pri kontrole nezistili žiadne nedostatky.“.</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V § 20 ods. 5 tretej vete sa na konci pripájajú tieto slová: „a § 21 ods. 1“.</w:t>
      </w:r>
    </w:p>
    <w:p>
      <w:pPr>
        <w:pStyle w:val="Normal"/>
        <w:numPr>
          <w:ilvl w:val="0"/>
          <w:numId w:val="8"/>
        </w:numPr>
        <w:spacing w:lineRule="auto" w:line="276" w:before="120" w:after="0"/>
        <w:ind w:left="851" w:hanging="425"/>
        <w:jc w:val="both"/>
        <w:rPr>
          <w:rFonts w:ascii="Book Antiqua" w:hAnsi="Book Antiqua"/>
          <w:bCs/>
          <w:sz w:val="22"/>
          <w:szCs w:val="22"/>
        </w:rPr>
      </w:pPr>
      <w:r>
        <w:rPr>
          <w:rFonts w:ascii="Book Antiqua" w:hAnsi="Book Antiqua"/>
          <w:bCs/>
          <w:sz w:val="22"/>
          <w:szCs w:val="22"/>
        </w:rPr>
        <w:t>§ 20 sa dopĺňa novým odsekom 6, ktorý znie:</w:t>
      </w:r>
    </w:p>
    <w:p>
      <w:pPr>
        <w:pStyle w:val="Odsekzoznamu1"/>
        <w:spacing w:lineRule="auto" w:line="276" w:before="120" w:after="0"/>
        <w:ind w:left="1418" w:hanging="567"/>
        <w:jc w:val="both"/>
        <w:rPr>
          <w:rFonts w:ascii="Book Antiqua" w:hAnsi="Book Antiqua"/>
          <w:bCs/>
          <w:sz w:val="22"/>
          <w:szCs w:val="22"/>
        </w:rPr>
      </w:pPr>
      <w:r>
        <w:rPr>
          <w:rFonts w:ascii="Book Antiqua" w:hAnsi="Book Antiqua"/>
          <w:bCs/>
          <w:sz w:val="22"/>
          <w:szCs w:val="22"/>
        </w:rPr>
        <w:t>„</w:t>
      </w:r>
      <w:r>
        <w:rPr>
          <w:rFonts w:ascii="Book Antiqua" w:hAnsi="Book Antiqua"/>
          <w:bCs/>
          <w:sz w:val="22"/>
          <w:szCs w:val="22"/>
        </w:rPr>
        <w:t xml:space="preserve">(6) </w:t>
        <w:tab/>
      </w:r>
      <w:r>
        <w:rPr>
          <w:rFonts w:ascii="Book Antiqua" w:hAnsi="Book Antiqua"/>
          <w:sz w:val="22"/>
          <w:szCs w:val="22"/>
        </w:rPr>
        <w:t xml:space="preserve">Ak skutočnosti uvedené v protokole o výsledku kontroly nasvedčujú, že bol spáchaný trestný čin, pričom sa </w:t>
      </w:r>
      <w:r>
        <w:rPr>
          <w:rFonts w:ascii="Book Antiqua" w:hAnsi="Book Antiqua"/>
          <w:bCs/>
          <w:sz w:val="22"/>
          <w:szCs w:val="22"/>
        </w:rPr>
        <w:t>predpokladá spôsobenie aspoň značnej škody podľa osobitného predpisu</w:t>
      </w:r>
      <w:r>
        <w:rPr>
          <w:rFonts w:ascii="Book Antiqua" w:hAnsi="Book Antiqua"/>
          <w:sz w:val="22"/>
          <w:szCs w:val="22"/>
          <w:vertAlign w:val="superscript"/>
        </w:rPr>
        <w:t>8b)</w:t>
      </w:r>
      <w:r>
        <w:rPr>
          <w:rFonts w:ascii="Book Antiqua" w:hAnsi="Book Antiqua"/>
          <w:bCs/>
          <w:sz w:val="22"/>
          <w:szCs w:val="22"/>
        </w:rPr>
        <w:t>,</w:t>
      </w:r>
      <w:r>
        <w:rPr>
          <w:rFonts w:ascii="Book Antiqua" w:hAnsi="Book Antiqua"/>
          <w:sz w:val="22"/>
          <w:szCs w:val="22"/>
        </w:rPr>
        <w:t xml:space="preserve"> úrad oznámi túto skutočnosť orgánom činným v trestnom konaní podľa osobitného predpisu.</w:t>
      </w:r>
      <w:r>
        <w:rPr>
          <w:rFonts w:ascii="Book Antiqua" w:hAnsi="Book Antiqua"/>
          <w:sz w:val="22"/>
          <w:szCs w:val="22"/>
          <w:vertAlign w:val="superscript"/>
        </w:rPr>
        <w:t>8a)</w:t>
      </w:r>
      <w:r>
        <w:rPr>
          <w:rFonts w:ascii="Book Antiqua" w:hAnsi="Book Antiqua"/>
          <w:sz w:val="22"/>
          <w:szCs w:val="22"/>
        </w:rPr>
        <w:t xml:space="preserve"> Prílohou oznámenia je aj </w:t>
      </w:r>
      <w:r>
        <w:rPr>
          <w:rFonts w:ascii="Book Antiqua" w:hAnsi="Book Antiqua"/>
          <w:bCs/>
          <w:sz w:val="22"/>
          <w:szCs w:val="22"/>
        </w:rPr>
        <w:t>protokol o výsledku kontroly</w:t>
      </w:r>
      <w:r>
        <w:rPr>
          <w:rFonts w:ascii="Book Antiqua" w:hAnsi="Book Antiqua"/>
          <w:sz w:val="22"/>
          <w:szCs w:val="22"/>
        </w:rPr>
        <w:t xml:space="preserve"> podľa odseku § 15 ods. 1 písm. c). Ak už trestné konanie prebieha, úrad zašle </w:t>
      </w:r>
      <w:r>
        <w:rPr>
          <w:rFonts w:ascii="Book Antiqua" w:hAnsi="Book Antiqua"/>
          <w:bCs/>
          <w:sz w:val="22"/>
          <w:szCs w:val="22"/>
        </w:rPr>
        <w:t>protokol o výsledku kontroly</w:t>
      </w:r>
      <w:r>
        <w:rPr>
          <w:rFonts w:ascii="Book Antiqua" w:hAnsi="Book Antiqua"/>
          <w:sz w:val="22"/>
          <w:szCs w:val="22"/>
        </w:rPr>
        <w:t xml:space="preserve"> podľa odseku § 15 ods. 1 písm. c) príslušnému súdu alebo orgánu činnému v trestnom konaní.</w:t>
      </w:r>
      <w:r>
        <w:rPr>
          <w:rFonts w:ascii="Book Antiqua" w:hAnsi="Book Antiqua"/>
          <w:bCs/>
          <w:sz w:val="22"/>
          <w:szCs w:val="22"/>
        </w:rPr>
        <w:t>“.</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rPr>
        <w:t>Poznámky pod čiarou k odkazom 8a a 8b znejú:</w:t>
      </w:r>
    </w:p>
    <w:p>
      <w:pPr>
        <w:pStyle w:val="Normal"/>
        <w:spacing w:lineRule="auto" w:line="276" w:before="120" w:after="0"/>
        <w:ind w:left="851" w:hanging="0"/>
        <w:jc w:val="both"/>
        <w:rPr>
          <w:rFonts w:ascii="Book Antiqua" w:hAnsi="Book Antiqua"/>
          <w:sz w:val="22"/>
          <w:szCs w:val="22"/>
          <w:vertAlign w:val="superscript"/>
        </w:rPr>
      </w:pPr>
      <w:r>
        <w:rPr>
          <w:rFonts w:ascii="Book Antiqua" w:hAnsi="Book Antiqua"/>
          <w:sz w:val="22"/>
          <w:szCs w:val="22"/>
        </w:rPr>
        <w:t>„</w:t>
      </w:r>
      <w:r>
        <w:rPr>
          <w:rFonts w:ascii="Book Antiqua" w:hAnsi="Book Antiqua"/>
          <w:sz w:val="22"/>
          <w:szCs w:val="22"/>
          <w:vertAlign w:val="superscript"/>
        </w:rPr>
        <w:t xml:space="preserve">8a) </w:t>
      </w:r>
      <w:r>
        <w:rPr>
          <w:rFonts w:ascii="Book Antiqua" w:hAnsi="Book Antiqua"/>
          <w:sz w:val="22"/>
          <w:szCs w:val="22"/>
        </w:rPr>
        <w:t>§ 3 ods. 2 Trestného poriadku v znení neskorších predpisov.</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vertAlign w:val="superscript"/>
        </w:rPr>
        <w:t xml:space="preserve">8b) </w:t>
      </w:r>
      <w:r>
        <w:rPr>
          <w:rFonts w:ascii="Book Antiqua" w:hAnsi="Book Antiqua"/>
          <w:sz w:val="22"/>
          <w:szCs w:val="22"/>
        </w:rPr>
        <w:t>§ 125 ods. 1 Trestného zákona v znení neskorších predpisov.“.</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bCs/>
          <w:sz w:val="22"/>
          <w:szCs w:val="22"/>
        </w:rPr>
        <w:t>V § 20a ods. 4 tretej vete sa na konci pripájajú tieto slová: „a § 21 ods. 1“.</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sz w:val="22"/>
          <w:szCs w:val="22"/>
        </w:rPr>
        <w:t>§ 21 vrátane nadpisu znie:</w:t>
      </w:r>
    </w:p>
    <w:p>
      <w:pPr>
        <w:pStyle w:val="Normal"/>
        <w:spacing w:lineRule="auto" w:line="276" w:before="120" w:after="0"/>
        <w:ind w:left="143" w:firstLine="708"/>
        <w:jc w:val="center"/>
        <w:rPr>
          <w:rFonts w:ascii="Book Antiqua" w:hAnsi="Book Antiqua"/>
          <w:b/>
          <w:b/>
          <w:sz w:val="22"/>
          <w:szCs w:val="22"/>
        </w:rPr>
      </w:pPr>
      <w:r>
        <w:rPr>
          <w:rFonts w:ascii="Book Antiqua" w:hAnsi="Book Antiqua"/>
          <w:sz w:val="22"/>
          <w:szCs w:val="22"/>
        </w:rPr>
        <w:t>„</w:t>
      </w:r>
      <w:r>
        <w:rPr>
          <w:rFonts w:ascii="Book Antiqua" w:hAnsi="Book Antiqua"/>
          <w:b/>
          <w:sz w:val="22"/>
          <w:szCs w:val="22"/>
        </w:rPr>
        <w:t>Sankcie</w:t>
      </w:r>
    </w:p>
    <w:p>
      <w:pPr>
        <w:pStyle w:val="Normal"/>
        <w:spacing w:lineRule="auto" w:line="276" w:before="120" w:after="0"/>
        <w:ind w:left="143" w:firstLine="708"/>
        <w:jc w:val="center"/>
        <w:rPr>
          <w:rFonts w:ascii="Book Antiqua" w:hAnsi="Book Antiqua"/>
          <w:b/>
          <w:b/>
          <w:sz w:val="22"/>
          <w:szCs w:val="22"/>
        </w:rPr>
      </w:pPr>
      <w:r>
        <w:rPr>
          <w:rFonts w:ascii="Book Antiqua" w:hAnsi="Book Antiqua"/>
          <w:b/>
          <w:sz w:val="22"/>
          <w:szCs w:val="22"/>
        </w:rPr>
        <w:t>§ 21</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Úrad môže uložiť pokutu od 10 000 eur do 100 000 eur kontrolovanému subjektu, ak</w:t>
      </w:r>
    </w:p>
    <w:p>
      <w:pPr>
        <w:pStyle w:val="Normal"/>
        <w:numPr>
          <w:ilvl w:val="0"/>
          <w:numId w:val="3"/>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nesplnil alebo porušil povinnosť podľa § 20 ods. 2 alebo § 20a ods. 2, alebo</w:t>
      </w:r>
    </w:p>
    <w:p>
      <w:pPr>
        <w:pStyle w:val="Normal"/>
        <w:numPr>
          <w:ilvl w:val="0"/>
          <w:numId w:val="3"/>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nesplnil alebo porušil povinnosť podľa § 20 ods. 5 druhej vety alebo § 20a ods. 4 druhej vety.</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Úrad môže fyzickým osobám, ktoré maria výkon kontroly tým, že neplnia povinnosti podľa § 18 a § 22 ods. 1 tohto zákona, uložiť poriadkovú pokutu do 3 319 eur.</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 xml:space="preserve">Pokuta a poriadková pokuta môže byť uložená aj opakovane, ak povinnosť nebola splnená ani v novourčenej lehote.   </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Pokutu a poriadkovú pokutu možno uložiť do dvoch mesiacov odo dňa zistenia porušenia právnej povinnosti, najneskoršie do jedného roka od porušenia právnej povinnosti.</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Pri rozhodovaní o pokutách a poriadkových pokutách postupuje Úrad ako ústredný orgán štátnej správy. Pre konanie o uložení pokuty a poriadkovej pokuty platia všeobecné predpisy o správnom konaní.</w:t>
      </w:r>
    </w:p>
    <w:p>
      <w:pPr>
        <w:pStyle w:val="Normal"/>
        <w:numPr>
          <w:ilvl w:val="0"/>
          <w:numId w:val="2"/>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Pokuty a poriadkové pokuty sú príjmom štátneho rozpočtu Slovenskej republiky.“.</w:t>
      </w:r>
    </w:p>
    <w:p>
      <w:pPr>
        <w:pStyle w:val="Normal"/>
        <w:numPr>
          <w:ilvl w:val="0"/>
          <w:numId w:val="8"/>
        </w:numPr>
        <w:spacing w:lineRule="auto" w:line="276" w:before="120" w:after="0"/>
        <w:ind w:left="851" w:hanging="425"/>
        <w:jc w:val="both"/>
        <w:rPr>
          <w:rFonts w:ascii="Book Antiqua" w:hAnsi="Book Antiqua"/>
          <w:b/>
          <w:b/>
          <w:bCs/>
          <w:sz w:val="22"/>
          <w:szCs w:val="22"/>
        </w:rPr>
      </w:pPr>
      <w:r>
        <w:rPr>
          <w:rFonts w:ascii="Book Antiqua" w:hAnsi="Book Antiqua"/>
          <w:sz w:val="22"/>
          <w:szCs w:val="22"/>
        </w:rPr>
        <w:t>Za § 24b sa vkladá § 24c, ktorý vrátane nadpisu znie:</w:t>
      </w:r>
    </w:p>
    <w:p>
      <w:pPr>
        <w:pStyle w:val="Normal"/>
        <w:spacing w:lineRule="auto" w:line="276" w:before="120" w:after="0"/>
        <w:ind w:left="143" w:firstLine="708"/>
        <w:jc w:val="center"/>
        <w:rPr>
          <w:rFonts w:ascii="Book Antiqua" w:hAnsi="Book Antiqua"/>
          <w:b/>
          <w:b/>
          <w:sz w:val="22"/>
          <w:szCs w:val="22"/>
        </w:rPr>
      </w:pPr>
      <w:r>
        <w:rPr>
          <w:rFonts w:ascii="Book Antiqua" w:hAnsi="Book Antiqua"/>
          <w:sz w:val="22"/>
          <w:szCs w:val="22"/>
        </w:rPr>
        <w:t>„</w:t>
      </w:r>
      <w:r>
        <w:rPr>
          <w:rFonts w:ascii="Book Antiqua" w:hAnsi="Book Antiqua"/>
          <w:b/>
          <w:sz w:val="22"/>
          <w:szCs w:val="22"/>
        </w:rPr>
        <w:t>Prechodné ustanovenia k úpravám účinným od 1. marca 2019</w:t>
      </w:r>
    </w:p>
    <w:p>
      <w:pPr>
        <w:pStyle w:val="Normal"/>
        <w:spacing w:lineRule="auto" w:line="276" w:before="120" w:after="0"/>
        <w:ind w:left="143" w:firstLine="708"/>
        <w:jc w:val="center"/>
        <w:rPr>
          <w:rFonts w:ascii="Book Antiqua" w:hAnsi="Book Antiqua"/>
          <w:b/>
          <w:b/>
          <w:sz w:val="22"/>
          <w:szCs w:val="22"/>
        </w:rPr>
      </w:pPr>
      <w:r>
        <w:rPr>
          <w:rFonts w:ascii="Book Antiqua" w:hAnsi="Book Antiqua"/>
          <w:b/>
          <w:sz w:val="22"/>
          <w:szCs w:val="22"/>
        </w:rPr>
        <w:t>§ 24c</w:t>
      </w:r>
    </w:p>
    <w:p>
      <w:pPr>
        <w:pStyle w:val="Odsekzoznamu1"/>
        <w:numPr>
          <w:ilvl w:val="0"/>
          <w:numId w:val="7"/>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Predseda úradu zvolený do funkcie podľa doterajšieho zákona je predsedom úradu podľa tohto zákona; plynutie jeho funkčného obdobia tým nie je dotknuté.</w:t>
      </w:r>
    </w:p>
    <w:p>
      <w:pPr>
        <w:pStyle w:val="Normal"/>
        <w:numPr>
          <w:ilvl w:val="0"/>
          <w:numId w:val="7"/>
        </w:numPr>
        <w:spacing w:lineRule="auto" w:line="276" w:before="120" w:after="0"/>
        <w:ind w:left="1418" w:hanging="567"/>
        <w:jc w:val="both"/>
        <w:rPr>
          <w:rFonts w:ascii="Book Antiqua" w:hAnsi="Book Antiqua"/>
          <w:bCs/>
          <w:sz w:val="22"/>
          <w:szCs w:val="22"/>
        </w:rPr>
      </w:pPr>
      <w:r>
        <w:rPr>
          <w:rFonts w:ascii="Book Antiqua" w:hAnsi="Book Antiqua"/>
          <w:sz w:val="22"/>
          <w:szCs w:val="22"/>
        </w:rPr>
        <w:t>Podpredseda úradu vymenovaný do funkcie podľa doterajších predpisov je podpredsedom úradu podľa tohto zákona; plynutie jeho funkčného obdobia tým nie je dotknuté.</w:t>
      </w:r>
    </w:p>
    <w:p>
      <w:pPr>
        <w:pStyle w:val="Normal"/>
        <w:numPr>
          <w:ilvl w:val="0"/>
          <w:numId w:val="7"/>
        </w:numPr>
        <w:spacing w:lineRule="auto" w:line="276" w:before="120" w:after="0"/>
        <w:ind w:left="1418" w:hanging="567"/>
        <w:jc w:val="both"/>
        <w:rPr>
          <w:rFonts w:ascii="Book Antiqua" w:hAnsi="Book Antiqua"/>
          <w:bCs/>
          <w:sz w:val="22"/>
          <w:szCs w:val="22"/>
        </w:rPr>
      </w:pPr>
      <w:r>
        <w:rPr>
          <w:rFonts w:ascii="Book Antiqua" w:hAnsi="Book Antiqua"/>
          <w:sz w:val="22"/>
          <w:szCs w:val="22"/>
        </w:rPr>
        <w:t>Úrad v súlade s § 8 zriadi komisiu a schváli jej štatút do jedného roka odo dňa účinnosti tohto zákona.</w:t>
      </w:r>
    </w:p>
    <w:p>
      <w:pPr>
        <w:pStyle w:val="Normal"/>
        <w:numPr>
          <w:ilvl w:val="0"/>
          <w:numId w:val="7"/>
        </w:numPr>
        <w:spacing w:lineRule="auto" w:line="276" w:before="120" w:after="0"/>
        <w:ind w:left="1418" w:hanging="567"/>
        <w:jc w:val="both"/>
        <w:rPr>
          <w:rFonts w:ascii="Book Antiqua" w:hAnsi="Book Antiqua"/>
          <w:bCs/>
          <w:sz w:val="22"/>
          <w:szCs w:val="22"/>
        </w:rPr>
      </w:pPr>
      <w:r>
        <w:rPr>
          <w:rFonts w:ascii="Book Antiqua" w:hAnsi="Book Antiqua"/>
          <w:sz w:val="22"/>
          <w:szCs w:val="22"/>
        </w:rPr>
        <w:t>Subjekty podľa § 8 ods. 3 druhej vety sú povinné vymenovať alebo zvoliť členov komisie do osemnástich mesiacov odo dňa účinnosti tohto zákona.“.</w:t>
      </w:r>
    </w:p>
    <w:p>
      <w:pPr>
        <w:pStyle w:val="Normal"/>
        <w:spacing w:lineRule="auto" w:line="276" w:before="120" w:after="0"/>
        <w:jc w:val="center"/>
        <w:rPr>
          <w:rFonts w:ascii="Book Antiqua" w:hAnsi="Book Antiqua"/>
          <w:sz w:val="22"/>
          <w:szCs w:val="22"/>
        </w:rPr>
      </w:pPr>
      <w:r>
        <w:rPr>
          <w:rFonts w:ascii="Book Antiqua" w:hAnsi="Book Antiqua"/>
          <w:b/>
          <w:bCs/>
          <w:sz w:val="22"/>
          <w:szCs w:val="22"/>
        </w:rPr>
        <w:t>Čl. II</w:t>
      </w:r>
    </w:p>
    <w:p>
      <w:pPr>
        <w:pStyle w:val="Telotextu"/>
        <w:spacing w:lineRule="auto" w:line="276" w:before="120" w:after="0"/>
        <w:ind w:firstLine="708"/>
        <w:rPr>
          <w:rFonts w:ascii="Book Antiqua" w:hAnsi="Book Antiqua"/>
          <w:bCs/>
          <w:sz w:val="22"/>
          <w:szCs w:val="22"/>
        </w:rPr>
      </w:pPr>
      <w:r>
        <w:rPr>
          <w:rFonts w:ascii="Book Antiqua" w:hAnsi="Book Antiqua"/>
          <w:bCs/>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a zákona       č. 6/2019 Z. z. sa mení a dopĺňa takto:</w:t>
      </w:r>
    </w:p>
    <w:p>
      <w:pPr>
        <w:pStyle w:val="Odsekzoznamu1"/>
        <w:numPr>
          <w:ilvl w:val="0"/>
          <w:numId w:val="1"/>
        </w:numPr>
        <w:spacing w:lineRule="auto" w:line="276" w:before="120" w:after="0"/>
        <w:ind w:left="851" w:hanging="425"/>
        <w:jc w:val="both"/>
        <w:rPr>
          <w:rFonts w:ascii="Book Antiqua" w:hAnsi="Book Antiqua"/>
          <w:sz w:val="22"/>
          <w:szCs w:val="22"/>
        </w:rPr>
      </w:pPr>
      <w:r>
        <w:rPr>
          <w:rFonts w:ascii="Book Antiqua" w:hAnsi="Book Antiqua"/>
          <w:sz w:val="22"/>
          <w:szCs w:val="22"/>
        </w:rPr>
        <w:t xml:space="preserve">V § 45 ods. 2 sa za slová „mandátový a imunitný výbor“ vkladá čiarka a slová „Výbor Národnej rady Slovenskej republiky pre Najvyšší kontrolný úrad Slovenskej republiky (ďalej len „výbor pre najvyšší kontrolný úrad“)“. </w:t>
      </w:r>
    </w:p>
    <w:p>
      <w:pPr>
        <w:pStyle w:val="Odsekzoznamu1"/>
        <w:numPr>
          <w:ilvl w:val="0"/>
          <w:numId w:val="1"/>
        </w:numPr>
        <w:spacing w:lineRule="auto" w:line="276" w:before="120" w:after="0"/>
        <w:ind w:left="851" w:hanging="425"/>
        <w:jc w:val="both"/>
        <w:rPr>
          <w:rFonts w:ascii="Book Antiqua" w:hAnsi="Book Antiqua"/>
          <w:sz w:val="22"/>
          <w:szCs w:val="22"/>
        </w:rPr>
      </w:pPr>
      <w:r>
        <w:rPr>
          <w:rFonts w:ascii="Book Antiqua" w:hAnsi="Book Antiqua"/>
          <w:bCs/>
          <w:sz w:val="22"/>
          <w:szCs w:val="22"/>
        </w:rPr>
        <w:t>Za</w:t>
      </w:r>
      <w:r>
        <w:rPr>
          <w:rFonts w:ascii="Book Antiqua" w:hAnsi="Book Antiqua"/>
          <w:b/>
          <w:bCs/>
          <w:sz w:val="22"/>
          <w:szCs w:val="22"/>
        </w:rPr>
        <w:t xml:space="preserve"> </w:t>
      </w:r>
      <w:r>
        <w:rPr>
          <w:rFonts w:ascii="Book Antiqua" w:hAnsi="Book Antiqua"/>
          <w:bCs/>
          <w:sz w:val="22"/>
          <w:szCs w:val="22"/>
        </w:rPr>
        <w:t>§</w:t>
      </w:r>
      <w:r>
        <w:rPr>
          <w:rFonts w:ascii="Book Antiqua" w:hAnsi="Book Antiqua"/>
          <w:b/>
          <w:bCs/>
          <w:sz w:val="22"/>
          <w:szCs w:val="22"/>
        </w:rPr>
        <w:t xml:space="preserve"> </w:t>
      </w:r>
      <w:r>
        <w:rPr>
          <w:rFonts w:ascii="Book Antiqua" w:hAnsi="Book Antiqua"/>
          <w:sz w:val="22"/>
          <w:szCs w:val="22"/>
        </w:rPr>
        <w:t>57 sa vkladá § 57a, ktorý vrátane nadpisu znie:</w:t>
      </w:r>
    </w:p>
    <w:p>
      <w:pPr>
        <w:pStyle w:val="Normal"/>
        <w:spacing w:lineRule="auto" w:line="276" w:before="120" w:after="0"/>
        <w:ind w:left="143" w:firstLine="708"/>
        <w:jc w:val="center"/>
        <w:rPr>
          <w:rFonts w:ascii="Book Antiqua" w:hAnsi="Book Antiqua"/>
          <w:b/>
          <w:b/>
          <w:sz w:val="22"/>
          <w:szCs w:val="22"/>
        </w:rPr>
      </w:pPr>
      <w:r>
        <w:rPr>
          <w:rFonts w:ascii="Book Antiqua" w:hAnsi="Book Antiqua"/>
          <w:sz w:val="22"/>
          <w:szCs w:val="22"/>
        </w:rPr>
        <w:t>„</w:t>
      </w:r>
      <w:r>
        <w:rPr>
          <w:rFonts w:ascii="Book Antiqua" w:hAnsi="Book Antiqua"/>
          <w:b/>
          <w:sz w:val="22"/>
          <w:szCs w:val="22"/>
        </w:rPr>
        <w:t>Výbor pre najvyšší kontrolný úrad</w:t>
      </w:r>
    </w:p>
    <w:p>
      <w:pPr>
        <w:pStyle w:val="Normal"/>
        <w:spacing w:lineRule="auto" w:line="276" w:before="120" w:after="0"/>
        <w:ind w:left="143" w:firstLine="708"/>
        <w:jc w:val="center"/>
        <w:rPr>
          <w:rFonts w:ascii="Book Antiqua" w:hAnsi="Book Antiqua"/>
          <w:b/>
          <w:b/>
          <w:sz w:val="22"/>
          <w:szCs w:val="22"/>
        </w:rPr>
      </w:pPr>
      <w:r>
        <w:rPr>
          <w:rFonts w:ascii="Book Antiqua" w:hAnsi="Book Antiqua"/>
          <w:b/>
          <w:sz w:val="22"/>
          <w:szCs w:val="22"/>
        </w:rPr>
        <w:t>§ 57a</w:t>
      </w:r>
    </w:p>
    <w:p>
      <w:pPr>
        <w:pStyle w:val="Normal"/>
        <w:numPr>
          <w:ilvl w:val="0"/>
          <w:numId w:val="4"/>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Výbor pre najvyšší kontrolný úrad najmä</w:t>
      </w:r>
    </w:p>
    <w:p>
      <w:pPr>
        <w:pStyle w:val="Normal"/>
        <w:numPr>
          <w:ilvl w:val="0"/>
          <w:numId w:val="5"/>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 xml:space="preserve">prerokúva protokoly o výsledku kontrol vykonaných najvyšším kontrolným úradom, </w:t>
      </w:r>
    </w:p>
    <w:p>
      <w:pPr>
        <w:pStyle w:val="Normal"/>
        <w:numPr>
          <w:ilvl w:val="0"/>
          <w:numId w:val="5"/>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prerokúva stanovisko najvyššieho kontrolného úradu k návrhu rozpočtu Slovenskej republiky,</w:t>
      </w:r>
    </w:p>
    <w:p>
      <w:pPr>
        <w:pStyle w:val="Normal"/>
        <w:numPr>
          <w:ilvl w:val="0"/>
          <w:numId w:val="5"/>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prerokúva stanovisko najvyššieho kontrolného úradu k návrhu štátneho záverečného účtu Slovenskej republiky,</w:t>
      </w:r>
    </w:p>
    <w:p>
      <w:pPr>
        <w:pStyle w:val="Normal"/>
        <w:numPr>
          <w:ilvl w:val="0"/>
          <w:numId w:val="5"/>
        </w:numPr>
        <w:spacing w:lineRule="auto" w:line="276" w:before="120" w:after="0"/>
        <w:ind w:left="1701" w:hanging="283"/>
        <w:jc w:val="both"/>
        <w:rPr>
          <w:rFonts w:ascii="Book Antiqua" w:hAnsi="Book Antiqua"/>
          <w:b/>
          <w:b/>
          <w:bCs/>
          <w:sz w:val="22"/>
          <w:szCs w:val="22"/>
        </w:rPr>
      </w:pPr>
      <w:r>
        <w:rPr>
          <w:rFonts w:ascii="Book Antiqua" w:hAnsi="Book Antiqua"/>
          <w:sz w:val="22"/>
          <w:szCs w:val="22"/>
        </w:rPr>
        <w:t>prerokúva správu o výsledkoch kontrolnej činnosti najvyššieho kontrolného úradu za uplynulý kalendárny rok,</w:t>
      </w:r>
    </w:p>
    <w:p>
      <w:pPr>
        <w:pStyle w:val="Normal"/>
        <w:numPr>
          <w:ilvl w:val="0"/>
          <w:numId w:val="5"/>
        </w:numPr>
        <w:spacing w:lineRule="auto" w:line="276" w:before="120" w:after="0"/>
        <w:ind w:left="1701" w:hanging="283"/>
        <w:jc w:val="both"/>
        <w:rPr>
          <w:rFonts w:ascii="Book Antiqua" w:hAnsi="Book Antiqua"/>
          <w:b/>
          <w:b/>
          <w:bCs/>
          <w:color w:val="000000"/>
          <w:sz w:val="22"/>
          <w:szCs w:val="22"/>
        </w:rPr>
      </w:pPr>
      <w:r>
        <w:rPr>
          <w:rFonts w:ascii="Book Antiqua" w:hAnsi="Book Antiqua"/>
          <w:color w:val="000000"/>
          <w:sz w:val="22"/>
          <w:szCs w:val="22"/>
        </w:rPr>
        <w:t>požaduje informácie a vysvetlenia k protokolom o výsledku kontroly, ak je to potrebné na objasnenie dôležitých skutočností v nich uvedených,</w:t>
      </w:r>
    </w:p>
    <w:p>
      <w:pPr>
        <w:pStyle w:val="Normal"/>
        <w:numPr>
          <w:ilvl w:val="0"/>
          <w:numId w:val="5"/>
        </w:numPr>
        <w:spacing w:lineRule="auto" w:line="276" w:before="120" w:after="0"/>
        <w:ind w:left="1701" w:hanging="283"/>
        <w:jc w:val="both"/>
        <w:rPr>
          <w:rFonts w:ascii="Book Antiqua" w:hAnsi="Book Antiqua"/>
          <w:b/>
          <w:b/>
          <w:bCs/>
          <w:color w:val="000000"/>
          <w:sz w:val="22"/>
          <w:szCs w:val="22"/>
        </w:rPr>
      </w:pPr>
      <w:r>
        <w:rPr>
          <w:rFonts w:ascii="Book Antiqua" w:hAnsi="Book Antiqua"/>
          <w:color w:val="000000"/>
          <w:sz w:val="22"/>
          <w:szCs w:val="22"/>
        </w:rPr>
        <w:t>vypočúva kandidátov na funkciu predsedu a podpredsedu najvyššieho kontrolného úradu pred ich voľbou národnou radou.</w:t>
      </w:r>
    </w:p>
    <w:p>
      <w:pPr>
        <w:pStyle w:val="Normal"/>
        <w:numPr>
          <w:ilvl w:val="0"/>
          <w:numId w:val="4"/>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Výbor pre najvyšší kontrolný úrad vykonáva svoju činnosť aj po skončení volebného obdobia národnej rady, pokiaľ v novom volebnom období národná rada nezvolí nový výbor pre najvyšší kontrolný úrad.</w:t>
      </w:r>
    </w:p>
    <w:p>
      <w:pPr>
        <w:pStyle w:val="Normal"/>
        <w:numPr>
          <w:ilvl w:val="0"/>
          <w:numId w:val="4"/>
        </w:numPr>
        <w:spacing w:lineRule="auto" w:line="276" w:before="120" w:after="0"/>
        <w:ind w:left="1418" w:hanging="567"/>
        <w:jc w:val="both"/>
        <w:rPr>
          <w:rFonts w:ascii="Book Antiqua" w:hAnsi="Book Antiqua"/>
          <w:b/>
          <w:b/>
          <w:bCs/>
          <w:sz w:val="22"/>
          <w:szCs w:val="22"/>
        </w:rPr>
      </w:pPr>
      <w:r>
        <w:rPr>
          <w:rFonts w:ascii="Book Antiqua" w:hAnsi="Book Antiqua"/>
          <w:sz w:val="22"/>
          <w:szCs w:val="22"/>
        </w:rPr>
        <w:t xml:space="preserve">Výbor pre najvyšší kontrolný úrad </w:t>
      </w:r>
      <w:r>
        <w:rPr>
          <w:rFonts w:cs="Arial" w:ascii="Book Antiqua" w:hAnsi="Book Antiqua"/>
          <w:sz w:val="22"/>
          <w:szCs w:val="22"/>
          <w:shd w:fill="FFFFFF" w:val="clear"/>
        </w:rPr>
        <w:t xml:space="preserve">má 10 členov a skladá sa z predsedu, podpredsedu, overovateľov a ďalších členov. Členov </w:t>
      </w:r>
      <w:r>
        <w:rPr>
          <w:rFonts w:ascii="Book Antiqua" w:hAnsi="Book Antiqua"/>
          <w:sz w:val="22"/>
          <w:szCs w:val="22"/>
        </w:rPr>
        <w:t xml:space="preserve">výboru pre najvyšší kontrolný úrad </w:t>
      </w:r>
      <w:r>
        <w:rPr>
          <w:rFonts w:cs="Arial" w:ascii="Book Antiqua" w:hAnsi="Book Antiqua"/>
          <w:sz w:val="22"/>
          <w:szCs w:val="22"/>
          <w:shd w:fill="FFFFFF" w:val="clear"/>
        </w:rPr>
        <w:t xml:space="preserve">volí národná rada na základe princípu pomerného zastúpenia politických strán a politických hnutí, za ktoré boli poslanci zvolení do národnej rady v príslušnom volebnom období a to tak, aby päť členov bolo zvolených z politických strán a politických hnutí, ktoré vytvorili vládu a päť členov spomedzi ostatných poslancov. Poslanec sa môže členstva vo </w:t>
      </w:r>
      <w:r>
        <w:rPr>
          <w:rFonts w:ascii="Book Antiqua" w:hAnsi="Book Antiqua"/>
          <w:sz w:val="22"/>
          <w:szCs w:val="22"/>
        </w:rPr>
        <w:t>výbore pre najvyšší kontrolný úrad</w:t>
      </w:r>
      <w:r>
        <w:rPr>
          <w:rFonts w:cs="Arial" w:ascii="Book Antiqua" w:hAnsi="Book Antiqua"/>
          <w:sz w:val="22"/>
          <w:szCs w:val="22"/>
          <w:shd w:fill="FFFFFF" w:val="clear"/>
        </w:rPr>
        <w:t xml:space="preserve"> vzdať.</w:t>
      </w:r>
    </w:p>
    <w:p>
      <w:pPr>
        <w:pStyle w:val="ListParagraph"/>
        <w:numPr>
          <w:ilvl w:val="0"/>
          <w:numId w:val="4"/>
        </w:numPr>
        <w:spacing w:lineRule="auto" w:line="276" w:before="120" w:after="0"/>
        <w:ind w:left="1418" w:hanging="567"/>
        <w:contextualSpacing/>
        <w:jc w:val="both"/>
        <w:rPr>
          <w:rFonts w:ascii="Book Antiqua" w:hAnsi="Book Antiqua"/>
          <w:sz w:val="22"/>
          <w:szCs w:val="22"/>
        </w:rPr>
      </w:pPr>
      <w:r>
        <w:rPr>
          <w:rFonts w:ascii="Book Antiqua" w:hAnsi="Book Antiqua"/>
          <w:sz w:val="22"/>
          <w:szCs w:val="22"/>
        </w:rPr>
        <w:t>Rokovania výboru pre najvyšší kontrolný úrad sú spravidla verejné. Na návrh člena výboru pre najvyšší kontrolný úrad sa môže výbor pre najvyšší kontrolný úrad uzniesť, že rokovanie výboru alebo jeho časť sú neverejné. Rokovania výboru pre najvyšší kontrolný úrad alebo jeho časti, ktoré bolo vyhlásené za neverejné, sa môžu okrem členov výboru pre najvyšší kontrolný úrad zúčastniť aj iné osoby, ak súhlas s ich účasťou udelil výboru pre najvyšší kontrolný úrad alebo ak tak ustanovuje zákon.</w:t>
      </w:r>
      <w:r>
        <w:rPr>
          <w:rFonts w:cs="Arial" w:ascii="Book Antiqua" w:hAnsi="Book Antiqua"/>
          <w:color w:val="000000"/>
          <w:sz w:val="22"/>
          <w:szCs w:val="22"/>
          <w:shd w:fill="FFFFFF" w:val="clear"/>
        </w:rPr>
        <w:t xml:space="preserve"> Predseda národnej rady má právo zúčastniť sa na rokovaní </w:t>
      </w:r>
      <w:r>
        <w:rPr>
          <w:rFonts w:ascii="Book Antiqua" w:hAnsi="Book Antiqua"/>
          <w:sz w:val="22"/>
          <w:szCs w:val="22"/>
        </w:rPr>
        <w:t>výboru pre najvyšší kontrolný úrad</w:t>
      </w:r>
      <w:r>
        <w:rPr>
          <w:rFonts w:cs="Arial" w:ascii="Book Antiqua" w:hAnsi="Book Antiqua"/>
          <w:color w:val="000000"/>
          <w:sz w:val="22"/>
          <w:szCs w:val="22"/>
          <w:shd w:fill="FFFFFF" w:val="clear"/>
        </w:rPr>
        <w:t>; nemá právo hlasovať.</w:t>
      </w:r>
    </w:p>
    <w:p>
      <w:pPr>
        <w:pStyle w:val="Normal"/>
        <w:numPr>
          <w:ilvl w:val="0"/>
          <w:numId w:val="4"/>
        </w:numPr>
        <w:spacing w:lineRule="auto" w:line="276" w:before="120" w:after="0"/>
        <w:ind w:left="1418" w:hanging="567"/>
        <w:jc w:val="both"/>
        <w:rPr>
          <w:rFonts w:ascii="Book Antiqua" w:hAnsi="Book Antiqua"/>
          <w:b/>
          <w:b/>
          <w:bCs/>
          <w:sz w:val="22"/>
          <w:szCs w:val="22"/>
        </w:rPr>
      </w:pPr>
      <w:r>
        <w:rPr>
          <w:rFonts w:cs="Arial" w:ascii="Book Antiqua" w:hAnsi="Book Antiqua"/>
          <w:sz w:val="22"/>
          <w:szCs w:val="22"/>
          <w:shd w:fill="FFFFFF" w:val="clear"/>
        </w:rPr>
        <w:t>Ostatné ustanovenia tohto zákona sa na rokovanie výboru pre najvyšší kontrolný úrad vzťahujú primerane.</w:t>
      </w:r>
    </w:p>
    <w:p>
      <w:pPr>
        <w:pStyle w:val="Odsekzoznamu1"/>
        <w:numPr>
          <w:ilvl w:val="0"/>
          <w:numId w:val="1"/>
        </w:numPr>
        <w:spacing w:lineRule="auto" w:line="276" w:before="120" w:after="0"/>
        <w:ind w:left="851" w:hanging="425"/>
        <w:jc w:val="both"/>
        <w:rPr>
          <w:rFonts w:ascii="Book Antiqua" w:hAnsi="Book Antiqua"/>
          <w:sz w:val="22"/>
          <w:szCs w:val="22"/>
        </w:rPr>
      </w:pPr>
      <w:r>
        <w:rPr>
          <w:rFonts w:ascii="Book Antiqua" w:hAnsi="Book Antiqua"/>
          <w:sz w:val="22"/>
          <w:szCs w:val="22"/>
        </w:rPr>
        <w:t>V § 110 ods. 1 sa slová „môžu podávať poslanci“ nahrádzajú slovami „podáva komisia</w:t>
      </w:r>
      <w:r>
        <w:rPr>
          <w:rFonts w:ascii="Book Antiqua" w:hAnsi="Book Antiqua"/>
          <w:bCs/>
          <w:sz w:val="22"/>
          <w:szCs w:val="22"/>
          <w:vertAlign w:val="superscript"/>
        </w:rPr>
        <w:t>67a)</w:t>
      </w:r>
      <w:r>
        <w:rPr>
          <w:rFonts w:ascii="Book Antiqua" w:hAnsi="Book Antiqua"/>
          <w:sz w:val="22"/>
          <w:szCs w:val="22"/>
        </w:rPr>
        <w:t>“.</w:t>
      </w:r>
    </w:p>
    <w:p>
      <w:pPr>
        <w:pStyle w:val="ListParagraph"/>
        <w:tabs>
          <w:tab w:val="clear" w:pos="708"/>
          <w:tab w:val="left" w:pos="1418" w:leader="none"/>
        </w:tabs>
        <w:spacing w:lineRule="auto" w:line="276" w:before="120" w:after="0"/>
        <w:ind w:left="851" w:hanging="0"/>
        <w:contextualSpacing/>
        <w:jc w:val="both"/>
        <w:rPr>
          <w:rFonts w:ascii="Book Antiqua" w:hAnsi="Book Antiqua"/>
          <w:bCs/>
          <w:sz w:val="22"/>
          <w:szCs w:val="22"/>
        </w:rPr>
      </w:pPr>
      <w:r>
        <w:rPr>
          <w:rFonts w:ascii="Book Antiqua" w:hAnsi="Book Antiqua"/>
          <w:bCs/>
          <w:sz w:val="22"/>
          <w:szCs w:val="22"/>
        </w:rPr>
        <w:t>Poznámka pod čiarou k odkazu 67a znie:</w:t>
      </w:r>
    </w:p>
    <w:p>
      <w:pPr>
        <w:pStyle w:val="ListParagraph"/>
        <w:tabs>
          <w:tab w:val="clear" w:pos="708"/>
          <w:tab w:val="left" w:pos="851" w:leader="none"/>
        </w:tabs>
        <w:spacing w:lineRule="auto" w:line="276" w:before="120" w:after="0"/>
        <w:ind w:left="851" w:hanging="0"/>
        <w:contextualSpacing/>
        <w:jc w:val="both"/>
        <w:rPr>
          <w:rFonts w:ascii="Book Antiqua" w:hAnsi="Book Antiqua"/>
          <w:bCs/>
          <w:sz w:val="22"/>
          <w:szCs w:val="22"/>
        </w:rPr>
      </w:pPr>
      <w:r>
        <w:rPr>
          <w:rFonts w:ascii="Book Antiqua" w:hAnsi="Book Antiqua"/>
          <w:bCs/>
          <w:sz w:val="22"/>
          <w:szCs w:val="22"/>
        </w:rPr>
        <w:t>„</w:t>
      </w:r>
      <w:r>
        <w:rPr>
          <w:rFonts w:ascii="Book Antiqua" w:hAnsi="Book Antiqua"/>
          <w:bCs/>
          <w:sz w:val="22"/>
          <w:szCs w:val="22"/>
          <w:vertAlign w:val="superscript"/>
        </w:rPr>
        <w:t>67a)</w:t>
      </w:r>
      <w:r>
        <w:rPr>
          <w:rFonts w:ascii="Book Antiqua" w:hAnsi="Book Antiqua"/>
          <w:bCs/>
          <w:sz w:val="22"/>
          <w:szCs w:val="22"/>
        </w:rPr>
        <w:t xml:space="preserve"> § 8 ods. 3 </w:t>
      </w:r>
      <w:r>
        <w:rPr>
          <w:rFonts w:ascii="Book Antiqua" w:hAnsi="Book Antiqua"/>
          <w:sz w:val="22"/>
          <w:szCs w:val="22"/>
        </w:rPr>
        <w:t>zákona Národnej rady Slovenskej republiky č. 39/1993 Z. z. o Najvyššom kontrolnom úrade Slovenskej republiky v znení zákona č. .../2020 Z. z.“.</w:t>
      </w:r>
    </w:p>
    <w:p>
      <w:pPr>
        <w:pStyle w:val="Odsekzoznamu1"/>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t>Čl. III</w:t>
      </w:r>
    </w:p>
    <w:p>
      <w:pPr>
        <w:pStyle w:val="Normal"/>
        <w:spacing w:lineRule="auto" w:line="276" w:before="120" w:after="0"/>
        <w:ind w:firstLine="709"/>
        <w:jc w:val="both"/>
        <w:rPr/>
      </w:pPr>
      <w:r>
        <w:rPr>
          <w:rFonts w:ascii="Book Antiqua" w:hAnsi="Book Antiqua"/>
          <w:sz w:val="22"/>
          <w:szCs w:val="22"/>
        </w:rPr>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zákona č. 18/2018 Z. z., zákona č. 314/2018 Z. z., zákona č. 6/2019 Z. z., zákona č. 54/2019 Z. z. a zákona č. 242/2019 Z. z. sa mení a dopĺňa takto:</w:t>
      </w:r>
    </w:p>
    <w:p>
      <w:pPr>
        <w:pStyle w:val="Normal"/>
        <w:tabs>
          <w:tab w:val="clear" w:pos="708"/>
          <w:tab w:val="left" w:pos="851" w:leader="none"/>
        </w:tabs>
        <w:spacing w:lineRule="auto" w:line="276" w:before="120" w:after="0"/>
        <w:rPr>
          <w:rFonts w:ascii="Book Antiqua" w:hAnsi="Book Antiqua"/>
          <w:bCs/>
          <w:sz w:val="22"/>
          <w:szCs w:val="22"/>
        </w:rPr>
      </w:pPr>
      <w:r>
        <w:rPr>
          <w:rFonts w:ascii="Book Antiqua" w:hAnsi="Book Antiqua"/>
          <w:bCs/>
          <w:sz w:val="22"/>
          <w:szCs w:val="22"/>
        </w:rPr>
        <w:t>V § 40 ods. 2 písmeno f) znie:</w:t>
      </w:r>
    </w:p>
    <w:p>
      <w:pPr>
        <w:pStyle w:val="Odsekzoznamu1"/>
        <w:spacing w:lineRule="auto" w:line="276" w:before="120" w:after="0"/>
        <w:ind w:left="0" w:hanging="0"/>
        <w:jc w:val="both"/>
        <w:rPr>
          <w:rFonts w:ascii="Book Antiqua" w:hAnsi="Book Antiqua"/>
          <w:sz w:val="22"/>
          <w:szCs w:val="22"/>
        </w:rPr>
      </w:pPr>
      <w:r>
        <w:rPr>
          <w:rFonts w:ascii="Book Antiqua" w:hAnsi="Book Antiqua"/>
          <w:sz w:val="22"/>
          <w:szCs w:val="22"/>
        </w:rPr>
        <w:t>„</w:t>
      </w:r>
      <w:r>
        <w:rPr>
          <w:rFonts w:ascii="Book Antiqua" w:hAnsi="Book Antiqua"/>
          <w:sz w:val="22"/>
          <w:szCs w:val="22"/>
        </w:rPr>
        <w:t>f) plní ďalšie úlohy podľa osobitného zákona</w:t>
      </w:r>
      <w:r>
        <w:rPr>
          <w:rFonts w:ascii="Book Antiqua" w:hAnsi="Book Antiqua"/>
          <w:bCs/>
          <w:sz w:val="22"/>
          <w:szCs w:val="22"/>
          <w:vertAlign w:val="superscript"/>
        </w:rPr>
        <w:t>28b)</w:t>
      </w:r>
      <w:r>
        <w:rPr>
          <w:rFonts w:ascii="Book Antiqua" w:hAnsi="Book Antiqua"/>
          <w:sz w:val="22"/>
          <w:szCs w:val="22"/>
        </w:rPr>
        <w:t xml:space="preserve"> alebo  podľa pokynov generálneho  prokurátora.“.</w:t>
      </w:r>
    </w:p>
    <w:p>
      <w:pPr>
        <w:pStyle w:val="Odsekzoznamu1"/>
        <w:spacing w:lineRule="auto" w:line="276" w:before="120" w:after="0"/>
        <w:ind w:left="0" w:hanging="0"/>
        <w:jc w:val="both"/>
        <w:rPr>
          <w:rFonts w:ascii="Book Antiqua" w:hAnsi="Book Antiqua"/>
          <w:bCs/>
          <w:sz w:val="22"/>
          <w:szCs w:val="22"/>
        </w:rPr>
      </w:pPr>
      <w:r>
        <w:rPr>
          <w:rFonts w:ascii="Book Antiqua" w:hAnsi="Book Antiqua"/>
          <w:bCs/>
          <w:sz w:val="22"/>
          <w:szCs w:val="22"/>
        </w:rPr>
        <w:t>Poznámka pod čiarou k odkazu 28b znie:</w:t>
      </w:r>
    </w:p>
    <w:p>
      <w:pPr>
        <w:pStyle w:val="Odsekzoznamu1"/>
        <w:spacing w:lineRule="auto" w:line="276" w:before="120" w:after="0"/>
        <w:ind w:left="0" w:hanging="0"/>
        <w:jc w:val="both"/>
        <w:rPr/>
      </w:pPr>
      <w:r>
        <w:rPr>
          <w:rFonts w:ascii="Book Antiqua" w:hAnsi="Book Antiqua"/>
          <w:bCs/>
          <w:sz w:val="22"/>
          <w:szCs w:val="22"/>
        </w:rPr>
        <w:t>„</w:t>
      </w:r>
      <w:r>
        <w:rPr>
          <w:rFonts w:ascii="Book Antiqua" w:hAnsi="Book Antiqua"/>
          <w:bCs/>
          <w:sz w:val="22"/>
          <w:szCs w:val="22"/>
          <w:vertAlign w:val="superscript"/>
        </w:rPr>
        <w:t>28b)</w:t>
      </w:r>
      <w:r>
        <w:rPr>
          <w:rFonts w:ascii="Book Antiqua" w:hAnsi="Book Antiqua"/>
          <w:bCs/>
          <w:sz w:val="22"/>
          <w:szCs w:val="22"/>
        </w:rPr>
        <w:t xml:space="preserve"> Napríklad § 8 ods. 3 </w:t>
      </w:r>
      <w:r>
        <w:rPr>
          <w:rFonts w:ascii="Book Antiqua" w:hAnsi="Book Antiqua"/>
          <w:sz w:val="22"/>
          <w:szCs w:val="22"/>
        </w:rPr>
        <w:t>zákona Národnej rady Slovenskej republiky č. 39/1993 Z. z.                       o Najvyššom kontrolnom úrade Slovenskej republiky v znení zákona č. .../2020 Z. z.“.</w:t>
      </w:r>
    </w:p>
    <w:p>
      <w:pPr>
        <w:pStyle w:val="Normal"/>
        <w:spacing w:lineRule="auto" w:line="276" w:before="120" w:after="0"/>
        <w:jc w:val="center"/>
        <w:rPr>
          <w:rFonts w:ascii="Book Antiqua" w:hAnsi="Book Antiqua"/>
          <w:b/>
          <w:b/>
          <w:sz w:val="22"/>
          <w:szCs w:val="22"/>
        </w:rPr>
      </w:pPr>
      <w:r>
        <w:rPr>
          <w:rFonts w:ascii="Book Antiqua" w:hAnsi="Book Antiqua"/>
          <w:b/>
          <w:sz w:val="22"/>
          <w:szCs w:val="22"/>
        </w:rPr>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sz w:val="22"/>
          <w:szCs w:val="22"/>
        </w:rPr>
      </w:pPr>
      <w:bookmarkStart w:id="0" w:name="_GoBack"/>
      <w:bookmarkEnd w:id="0"/>
      <w:r>
        <w:rPr>
          <w:rFonts w:ascii="Book Antiqua" w:hAnsi="Book Antiqua"/>
          <w:b/>
          <w:bCs/>
          <w:sz w:val="22"/>
          <w:szCs w:val="22"/>
        </w:rPr>
        <w:t>Čl. IV</w:t>
      </w:r>
    </w:p>
    <w:p>
      <w:pPr>
        <w:pStyle w:val="Telotextu"/>
        <w:spacing w:lineRule="auto" w:line="276" w:before="120" w:after="0"/>
        <w:ind w:firstLine="708"/>
        <w:rPr>
          <w:rFonts w:ascii="Book Antiqua" w:hAnsi="Book Antiqua"/>
          <w:bCs/>
          <w:sz w:val="22"/>
          <w:szCs w:val="22"/>
        </w:rPr>
      </w:pPr>
      <w:r>
        <w:rPr>
          <w:rFonts w:ascii="Book Antiqua" w:hAnsi="Book Antiqua"/>
          <w:bCs/>
          <w:sz w:val="22"/>
          <w:szCs w:val="22"/>
        </w:rPr>
        <w:t>Zákon č. 333/2011 Z. z. o orgánoch štátnej správy v oblasti daní, poplatkov a colníctva v znení zákona č. 546/2011 Z. z., zákona č. 69/2012 Z. z., zákona č. 91/2012 Z. z., zákona č. 441/2012 Z. z., zákona č. 360/2015 Z. z., zákona č. 397/2015 Z. z., zákona                č. 386/2016 Z. z., zákona č. 272/2017 Z. z., zákona č. 373/2018 Z. z. a zákona č. 30/2019 Z. z. sa dopĺňa takto:</w:t>
      </w:r>
    </w:p>
    <w:p>
      <w:pPr>
        <w:pStyle w:val="Telotextu"/>
        <w:spacing w:lineRule="auto" w:line="276" w:before="120" w:after="0"/>
        <w:ind w:firstLine="708"/>
        <w:rPr/>
      </w:pPr>
      <w:r>
        <w:rPr>
          <w:rFonts w:ascii="Book Antiqua" w:hAnsi="Book Antiqua"/>
          <w:sz w:val="22"/>
          <w:szCs w:val="22"/>
        </w:rPr>
        <w:t xml:space="preserve">V </w:t>
      </w:r>
      <w:r>
        <w:rPr>
          <w:rFonts w:ascii="Book Antiqua" w:hAnsi="Book Antiqua"/>
          <w:bCs/>
          <w:sz w:val="22"/>
          <w:szCs w:val="22"/>
        </w:rPr>
        <w:t xml:space="preserve">poznámke pod čiarou k odkazu 28 sa na konci pripája čiarka a slová „§ 8 ods. 3 </w:t>
      </w:r>
      <w:r>
        <w:rPr>
          <w:rFonts w:ascii="Book Antiqua" w:hAnsi="Book Antiqua"/>
          <w:sz w:val="22"/>
          <w:szCs w:val="22"/>
        </w:rPr>
        <w:t>zákona Národnej rady Slovenskej republiky č. 39/1993 Z. z. o Najvyššom kontrolnom úrade Slovenskej republiky v znení zákona</w:t>
      </w:r>
      <w:r>
        <w:rPr>
          <w:rFonts w:ascii="Book Antiqua" w:hAnsi="Book Antiqua"/>
          <w:bCs/>
          <w:sz w:val="22"/>
          <w:szCs w:val="22"/>
        </w:rPr>
        <w:t xml:space="preserve"> </w:t>
      </w:r>
      <w:r>
        <w:rPr>
          <w:rFonts w:ascii="Book Antiqua" w:hAnsi="Book Antiqua"/>
          <w:sz w:val="22"/>
          <w:szCs w:val="22"/>
        </w:rPr>
        <w:t>č. .../2020 Z. z.“.</w:t>
      </w:r>
    </w:p>
    <w:p>
      <w:pPr>
        <w:pStyle w:val="Normal"/>
        <w:spacing w:lineRule="auto" w:line="276" w:before="120" w:after="0"/>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sz w:val="22"/>
          <w:szCs w:val="22"/>
        </w:rPr>
      </w:pPr>
      <w:r>
        <w:rPr>
          <w:rFonts w:ascii="Book Antiqua" w:hAnsi="Book Antiqua"/>
          <w:b/>
          <w:bCs/>
          <w:sz w:val="22"/>
          <w:szCs w:val="22"/>
        </w:rPr>
        <w:t>Čl. V</w:t>
      </w:r>
    </w:p>
    <w:p>
      <w:pPr>
        <w:pStyle w:val="Telotextu"/>
        <w:spacing w:lineRule="auto" w:line="276" w:before="120" w:after="0"/>
        <w:ind w:firstLine="708"/>
        <w:rPr/>
      </w:pPr>
      <w:r>
        <w:rPr>
          <w:rFonts w:ascii="Book Antiqua" w:hAnsi="Book Antiqua"/>
          <w:bCs/>
          <w:sz w:val="22"/>
          <w:szCs w:val="22"/>
        </w:rPr>
        <w:t xml:space="preserve">Zákon č. </w:t>
      </w:r>
      <w:bookmarkStart w:id="1" w:name="__DdeLink__5615_2132044525"/>
      <w:r>
        <w:rPr>
          <w:rFonts w:ascii="Book Antiqua" w:hAnsi="Book Antiqua"/>
          <w:bCs/>
          <w:sz w:val="22"/>
          <w:szCs w:val="22"/>
        </w:rPr>
        <w:t>423/2015</w:t>
      </w:r>
      <w:bookmarkEnd w:id="1"/>
      <w:r>
        <w:rPr>
          <w:rFonts w:ascii="Book Antiqua" w:hAnsi="Book Antiqua"/>
          <w:bCs/>
          <w:sz w:val="22"/>
          <w:szCs w:val="22"/>
        </w:rPr>
        <w:t xml:space="preserve"> Z. z. o štatutárnom audite a o zmene a doplnení zákona                  č. 431/2002 Z. z. o účtovníctve v znení neskorších predpisov v znení zákona č. 91/2016 Z. z., zákona č. 177/2018 Z. z., zákona č. 214/2018 Z. z. a zákona č. 221/2019 Z. z. sa mení a dopĺňa takto:</w:t>
      </w:r>
    </w:p>
    <w:p>
      <w:pPr>
        <w:pStyle w:val="Odsekzoznamu1"/>
        <w:spacing w:lineRule="auto" w:line="276" w:before="120" w:after="0"/>
        <w:ind w:left="851" w:hanging="425"/>
        <w:jc w:val="both"/>
        <w:rPr>
          <w:rFonts w:ascii="Book Antiqua" w:hAnsi="Book Antiqua"/>
          <w:sz w:val="22"/>
          <w:szCs w:val="22"/>
        </w:rPr>
      </w:pPr>
      <w:r>
        <w:rPr>
          <w:rFonts w:ascii="Book Antiqua" w:hAnsi="Book Antiqua"/>
          <w:sz w:val="22"/>
          <w:szCs w:val="22"/>
        </w:rPr>
        <w:t xml:space="preserve">1. </w:t>
        <w:tab/>
        <w:t>V § 40 písm. q) sa za slovo „tak“ vkladajú slová „ustanovuje osobitný predpis</w:t>
      </w:r>
      <w:r>
        <w:rPr>
          <w:rFonts w:ascii="Book Antiqua" w:hAnsi="Book Antiqua"/>
          <w:sz w:val="22"/>
          <w:szCs w:val="22"/>
          <w:vertAlign w:val="superscript"/>
        </w:rPr>
        <w:t>52a)</w:t>
      </w:r>
      <w:r>
        <w:rPr>
          <w:rFonts w:ascii="Book Antiqua" w:hAnsi="Book Antiqua"/>
          <w:sz w:val="22"/>
          <w:szCs w:val="22"/>
        </w:rPr>
        <w:t xml:space="preserve"> alebo ak tak“.</w:t>
      </w:r>
    </w:p>
    <w:p>
      <w:pPr>
        <w:pStyle w:val="Odsekzoznamu1"/>
        <w:spacing w:lineRule="auto" w:line="276" w:before="120" w:after="0"/>
        <w:ind w:left="851" w:hanging="0"/>
        <w:jc w:val="both"/>
        <w:rPr>
          <w:rFonts w:ascii="Book Antiqua" w:hAnsi="Book Antiqua"/>
          <w:sz w:val="22"/>
          <w:szCs w:val="22"/>
        </w:rPr>
      </w:pPr>
      <w:r>
        <w:rPr>
          <w:rFonts w:ascii="Book Antiqua" w:hAnsi="Book Antiqua"/>
          <w:bCs/>
          <w:sz w:val="22"/>
          <w:szCs w:val="22"/>
        </w:rPr>
        <w:t>Poznámka pod čiarou k odkazu 52a znie:</w:t>
      </w:r>
    </w:p>
    <w:p>
      <w:pPr>
        <w:pStyle w:val="Odsekzoznamu1"/>
        <w:spacing w:lineRule="auto" w:line="276" w:before="120" w:after="0"/>
        <w:ind w:left="851" w:hanging="0"/>
        <w:jc w:val="both"/>
        <w:rPr/>
      </w:pPr>
      <w:r>
        <w:rPr>
          <w:rFonts w:ascii="Book Antiqua" w:hAnsi="Book Antiqua"/>
          <w:bCs/>
          <w:sz w:val="22"/>
          <w:szCs w:val="22"/>
        </w:rPr>
        <w:t>„</w:t>
      </w:r>
      <w:r>
        <w:rPr>
          <w:rFonts w:ascii="Book Antiqua" w:hAnsi="Book Antiqua"/>
          <w:bCs/>
          <w:sz w:val="22"/>
          <w:szCs w:val="22"/>
          <w:vertAlign w:val="superscript"/>
        </w:rPr>
        <w:t>52a)</w:t>
      </w:r>
      <w:r>
        <w:rPr>
          <w:rFonts w:ascii="Book Antiqua" w:hAnsi="Book Antiqua"/>
          <w:bCs/>
          <w:sz w:val="22"/>
          <w:szCs w:val="22"/>
        </w:rPr>
        <w:t xml:space="preserve"> § 8 ods. 3 </w:t>
      </w:r>
      <w:r>
        <w:rPr>
          <w:rFonts w:ascii="Book Antiqua" w:hAnsi="Book Antiqua"/>
          <w:sz w:val="22"/>
          <w:szCs w:val="22"/>
        </w:rPr>
        <w:t>zákona Národnej rady Slovenskej republiky č. 39/1993 Z. z. o Najvyššom kontrolnom úrade Slovenskej republiky v znení zákona č. .../2020 Z. z.“.</w:t>
      </w:r>
    </w:p>
    <w:p>
      <w:pPr>
        <w:pStyle w:val="Odsekzoznamu1"/>
        <w:spacing w:lineRule="auto" w:line="276" w:before="120" w:after="0"/>
        <w:ind w:left="851" w:hanging="425"/>
        <w:jc w:val="both"/>
        <w:rPr>
          <w:rFonts w:ascii="Book Antiqua" w:hAnsi="Book Antiqua"/>
          <w:sz w:val="22"/>
          <w:szCs w:val="22"/>
        </w:rPr>
      </w:pPr>
      <w:r>
        <w:rPr>
          <w:rFonts w:ascii="Book Antiqua" w:hAnsi="Book Antiqua"/>
          <w:sz w:val="22"/>
          <w:szCs w:val="22"/>
        </w:rPr>
        <w:t>2.</w:t>
        <w:tab/>
        <w:t>V § 44 ods. 3 sa za slovo „Zhromaždenie“ vkladá slovo „najmä“.</w:t>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b/>
          <w:b/>
          <w:bCs/>
          <w:sz w:val="22"/>
          <w:szCs w:val="22"/>
        </w:rPr>
      </w:pPr>
      <w:r>
        <w:rPr>
          <w:rFonts w:ascii="Book Antiqua" w:hAnsi="Book Antiqua"/>
          <w:b/>
          <w:bCs/>
          <w:sz w:val="22"/>
          <w:szCs w:val="22"/>
        </w:rPr>
        <w:t>Čl. VI</w:t>
      </w:r>
    </w:p>
    <w:p>
      <w:pPr>
        <w:pStyle w:val="Telotextu"/>
        <w:spacing w:lineRule="auto" w:line="276" w:before="120" w:after="0"/>
        <w:ind w:firstLine="708"/>
        <w:jc w:val="left"/>
        <w:rPr/>
      </w:pPr>
      <w:r>
        <w:rPr>
          <w:rFonts w:ascii="Book Antiqua" w:hAnsi="Book Antiqua"/>
          <w:sz w:val="22"/>
          <w:szCs w:val="22"/>
        </w:rPr>
        <w:t>Tento zákon nadobúda účinnosť 1. marca 2020.</w:t>
      </w:r>
    </w:p>
    <w:p>
      <w:pPr>
        <w:pStyle w:val="Normal"/>
        <w:spacing w:lineRule="auto" w:line="276" w:before="120" w:after="0"/>
        <w:jc w:val="center"/>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Book Antiqua">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dstrike w:val="false"/>
        <w:strike w:val="false"/>
        <w:sz w:val="22"/>
        <w:rFonts w:ascii="Book Antiqua" w:hAnsi="Book Antiqua" w:cs="Times New Roman"/>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1428" w:hanging="360"/>
      </w:pPr>
      <w:rPr>
        <w:sz w:val="22"/>
        <w:b/>
        <w:rFonts w:ascii="Book Antiqua" w:hAnsi="Book Antiqua"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3">
    <w:lvl w:ilvl="0">
      <w:start w:val="1"/>
      <w:numFmt w:val="lowerLetter"/>
      <w:lvlText w:val="%1)"/>
      <w:lvlJc w:val="left"/>
      <w:pPr>
        <w:ind w:left="1788" w:hanging="360"/>
      </w:pPr>
      <w:rPr>
        <w:sz w:val="22"/>
        <w:b/>
        <w:rFonts w:ascii="Book Antiqua" w:hAnsi="Book Antiqua" w:cs="Times New Roman"/>
      </w:rPr>
    </w:lvl>
    <w:lvl w:ilvl="1">
      <w:start w:val="1"/>
      <w:numFmt w:val="lowerLetter"/>
      <w:lvlText w:val="%2."/>
      <w:lvlJc w:val="left"/>
      <w:pPr>
        <w:ind w:left="2508" w:hanging="360"/>
      </w:pPr>
      <w:rPr>
        <w:rFonts w:cs="Times New Roman"/>
      </w:rPr>
    </w:lvl>
    <w:lvl w:ilvl="2">
      <w:start w:val="1"/>
      <w:numFmt w:val="lowerRoman"/>
      <w:lvlText w:val="%3."/>
      <w:lvlJc w:val="right"/>
      <w:pPr>
        <w:ind w:left="3228" w:hanging="180"/>
      </w:pPr>
      <w:rPr>
        <w:rFonts w:cs="Times New Roman"/>
      </w:rPr>
    </w:lvl>
    <w:lvl w:ilvl="3">
      <w:start w:val="1"/>
      <w:numFmt w:val="decimal"/>
      <w:lvlText w:val="%4."/>
      <w:lvlJc w:val="left"/>
      <w:pPr>
        <w:ind w:left="3948" w:hanging="360"/>
      </w:pPr>
      <w:rPr>
        <w:rFonts w:cs="Times New Roman"/>
      </w:rPr>
    </w:lvl>
    <w:lvl w:ilvl="4">
      <w:start w:val="1"/>
      <w:numFmt w:val="lowerLetter"/>
      <w:lvlText w:val="%5."/>
      <w:lvlJc w:val="left"/>
      <w:pPr>
        <w:ind w:left="4668" w:hanging="360"/>
      </w:pPr>
      <w:rPr>
        <w:rFonts w:cs="Times New Roman"/>
      </w:rPr>
    </w:lvl>
    <w:lvl w:ilvl="5">
      <w:start w:val="1"/>
      <w:numFmt w:val="lowerRoman"/>
      <w:lvlText w:val="%6."/>
      <w:lvlJc w:val="right"/>
      <w:pPr>
        <w:ind w:left="5388" w:hanging="180"/>
      </w:pPr>
      <w:rPr>
        <w:rFonts w:cs="Times New Roman"/>
      </w:rPr>
    </w:lvl>
    <w:lvl w:ilvl="6">
      <w:start w:val="1"/>
      <w:numFmt w:val="decimal"/>
      <w:lvlText w:val="%7."/>
      <w:lvlJc w:val="left"/>
      <w:pPr>
        <w:ind w:left="6108" w:hanging="360"/>
      </w:pPr>
      <w:rPr>
        <w:rFonts w:cs="Times New Roman"/>
      </w:rPr>
    </w:lvl>
    <w:lvl w:ilvl="7">
      <w:start w:val="1"/>
      <w:numFmt w:val="lowerLetter"/>
      <w:lvlText w:val="%8."/>
      <w:lvlJc w:val="left"/>
      <w:pPr>
        <w:ind w:left="6828" w:hanging="360"/>
      </w:pPr>
      <w:rPr>
        <w:rFonts w:cs="Times New Roman"/>
      </w:rPr>
    </w:lvl>
    <w:lvl w:ilvl="8">
      <w:start w:val="1"/>
      <w:numFmt w:val="lowerRoman"/>
      <w:lvlText w:val="%9."/>
      <w:lvlJc w:val="right"/>
      <w:pPr>
        <w:ind w:left="7548" w:hanging="180"/>
      </w:pPr>
      <w:rPr>
        <w:rFonts w:cs="Times New Roman"/>
      </w:rPr>
    </w:lvl>
  </w:abstractNum>
  <w:abstractNum w:abstractNumId="4">
    <w:lvl w:ilvl="0">
      <w:start w:val="1"/>
      <w:numFmt w:val="decimal"/>
      <w:lvlText w:val="(%1)"/>
      <w:lvlJc w:val="left"/>
      <w:pPr>
        <w:ind w:left="1428" w:hanging="360"/>
      </w:pPr>
      <w:rPr>
        <w:sz w:val="22"/>
        <w:b/>
        <w:rFonts w:ascii="Book Antiqua" w:hAnsi="Book Antiqua"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5">
    <w:lvl w:ilvl="0">
      <w:start w:val="1"/>
      <w:numFmt w:val="lowerLetter"/>
      <w:lvlText w:val="%1)"/>
      <w:lvlJc w:val="left"/>
      <w:pPr>
        <w:ind w:left="1788" w:hanging="360"/>
      </w:pPr>
      <w:rPr>
        <w:sz w:val="22"/>
        <w:b/>
        <w:rFonts w:ascii="Book Antiqua" w:hAnsi="Book Antiqua" w:cs="Times New Roman"/>
      </w:rPr>
    </w:lvl>
    <w:lvl w:ilvl="1">
      <w:start w:val="1"/>
      <w:numFmt w:val="lowerLetter"/>
      <w:lvlText w:val="%2."/>
      <w:lvlJc w:val="left"/>
      <w:pPr>
        <w:ind w:left="2508" w:hanging="360"/>
      </w:pPr>
      <w:rPr>
        <w:rFonts w:cs="Times New Roman"/>
      </w:rPr>
    </w:lvl>
    <w:lvl w:ilvl="2">
      <w:start w:val="1"/>
      <w:numFmt w:val="lowerRoman"/>
      <w:lvlText w:val="%3."/>
      <w:lvlJc w:val="right"/>
      <w:pPr>
        <w:ind w:left="3228" w:hanging="180"/>
      </w:pPr>
      <w:rPr>
        <w:rFonts w:cs="Times New Roman"/>
      </w:rPr>
    </w:lvl>
    <w:lvl w:ilvl="3">
      <w:start w:val="1"/>
      <w:numFmt w:val="decimal"/>
      <w:lvlText w:val="%4."/>
      <w:lvlJc w:val="left"/>
      <w:pPr>
        <w:ind w:left="3948" w:hanging="360"/>
      </w:pPr>
      <w:rPr>
        <w:rFonts w:cs="Times New Roman"/>
      </w:rPr>
    </w:lvl>
    <w:lvl w:ilvl="4">
      <w:start w:val="1"/>
      <w:numFmt w:val="lowerLetter"/>
      <w:lvlText w:val="%5."/>
      <w:lvlJc w:val="left"/>
      <w:pPr>
        <w:ind w:left="4668" w:hanging="360"/>
      </w:pPr>
      <w:rPr>
        <w:rFonts w:cs="Times New Roman"/>
      </w:rPr>
    </w:lvl>
    <w:lvl w:ilvl="5">
      <w:start w:val="1"/>
      <w:numFmt w:val="lowerRoman"/>
      <w:lvlText w:val="%6."/>
      <w:lvlJc w:val="right"/>
      <w:pPr>
        <w:ind w:left="5388" w:hanging="180"/>
      </w:pPr>
      <w:rPr>
        <w:rFonts w:cs="Times New Roman"/>
      </w:rPr>
    </w:lvl>
    <w:lvl w:ilvl="6">
      <w:start w:val="1"/>
      <w:numFmt w:val="decimal"/>
      <w:lvlText w:val="%7."/>
      <w:lvlJc w:val="left"/>
      <w:pPr>
        <w:ind w:left="6108" w:hanging="360"/>
      </w:pPr>
      <w:rPr>
        <w:rFonts w:cs="Times New Roman"/>
      </w:rPr>
    </w:lvl>
    <w:lvl w:ilvl="7">
      <w:start w:val="1"/>
      <w:numFmt w:val="lowerLetter"/>
      <w:lvlText w:val="%8."/>
      <w:lvlJc w:val="left"/>
      <w:pPr>
        <w:ind w:left="6828" w:hanging="360"/>
      </w:pPr>
      <w:rPr>
        <w:rFonts w:cs="Times New Roman"/>
      </w:rPr>
    </w:lvl>
    <w:lvl w:ilvl="8">
      <w:start w:val="1"/>
      <w:numFmt w:val="lowerRoman"/>
      <w:lvlText w:val="%9."/>
      <w:lvlJc w:val="right"/>
      <w:pPr>
        <w:ind w:left="7548" w:hanging="180"/>
      </w:pPr>
      <w:rPr>
        <w:rFonts w:cs="Times New Roman"/>
      </w:rPr>
    </w:lvl>
  </w:abstractNum>
  <w:abstractNum w:abstractNumId="6">
    <w:lvl w:ilvl="0">
      <w:start w:val="1"/>
      <w:numFmt w:val="decimal"/>
      <w:lvlText w:val="(%1)"/>
      <w:lvlJc w:val="left"/>
      <w:pPr>
        <w:ind w:left="1428" w:hanging="360"/>
      </w:pPr>
      <w:rPr>
        <w:sz w:val="22"/>
        <w:b/>
        <w:rFonts w:ascii="Book Antiqua" w:hAnsi="Book Antiqua"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7">
    <w:lvl w:ilvl="0">
      <w:start w:val="1"/>
      <w:numFmt w:val="decimal"/>
      <w:lvlText w:val="(%1)"/>
      <w:lvlJc w:val="left"/>
      <w:pPr>
        <w:ind w:left="1428" w:hanging="360"/>
      </w:pPr>
      <w:rPr>
        <w:sz w:val="22"/>
        <w:b/>
        <w:rFonts w:ascii="Book Antiqua" w:hAnsi="Book Antiqua"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8">
    <w:lvl w:ilvl="0">
      <w:start w:val="1"/>
      <w:numFmt w:val="decimal"/>
      <w:lvlText w:val="%1."/>
      <w:lvlJc w:val="left"/>
      <w:pPr>
        <w:ind w:left="1068" w:hanging="360"/>
      </w:pPr>
      <w:rPr>
        <w:sz w:val="22"/>
        <w:b/>
        <w:rFonts w:ascii="Book Antiqua" w:hAnsi="Book Antiqua"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3f14"/>
    <w:pPr>
      <w:widowControl/>
      <w:bidi w:val="0"/>
      <w:jc w:val="left"/>
    </w:pPr>
    <w:rPr>
      <w:rFonts w:cs="Times New Roman" w:ascii="Calibri" w:hAnsi="Calibri" w:eastAsia="Times New Roman" w:asciiTheme="minorHAnsi" w:hAnsiTheme="minorHAnsi"/>
      <w:color w:val="auto"/>
      <w:kern w:val="0"/>
      <w:sz w:val="24"/>
      <w:szCs w:val="24"/>
      <w:lang w:eastAsia="sk-SK" w:val="sk-SK" w:bidi="ar-SA"/>
    </w:rPr>
  </w:style>
  <w:style w:type="character" w:styleId="DefaultParagraphFont" w:default="1">
    <w:name w:val="Default Paragraph Font"/>
    <w:uiPriority w:val="1"/>
    <w:semiHidden/>
    <w:unhideWhenUsed/>
    <w:qFormat/>
    <w:rPr/>
  </w:style>
  <w:style w:type="character" w:styleId="ZkladntextChar" w:customStyle="1">
    <w:name w:val="Základný text Char"/>
    <w:basedOn w:val="DefaultParagraphFont"/>
    <w:link w:val="Zkladntext"/>
    <w:uiPriority w:val="99"/>
    <w:semiHidden/>
    <w:qFormat/>
    <w:locked/>
    <w:rsid w:val="00fd3f14"/>
    <w:rPr>
      <w:rFonts w:ascii="Times New Roman" w:hAnsi="Times New Roman" w:cs="Times New Roman"/>
      <w:sz w:val="20"/>
      <w:szCs w:val="20"/>
      <w:lang w:val="x-none" w:eastAsia="sk-SK"/>
    </w:rPr>
  </w:style>
  <w:style w:type="character" w:styleId="TextbublinyChar" w:customStyle="1">
    <w:name w:val="Text bubliny Char"/>
    <w:basedOn w:val="DefaultParagraphFont"/>
    <w:link w:val="Textbubliny"/>
    <w:uiPriority w:val="99"/>
    <w:semiHidden/>
    <w:qFormat/>
    <w:locked/>
    <w:rsid w:val="002f5e9e"/>
    <w:rPr>
      <w:rFonts w:ascii="Segoe UI" w:hAnsi="Segoe UI" w:cs="Segoe UI"/>
      <w:sz w:val="18"/>
      <w:szCs w:val="18"/>
      <w:lang w:val="x-none" w:eastAsia="sk-SK"/>
    </w:rPr>
  </w:style>
  <w:style w:type="character" w:styleId="ListLabel1" w:customStyle="1">
    <w:name w:val="ListLabel 1"/>
    <w:qFormat/>
    <w:rPr>
      <w:rFonts w:ascii="Book Antiqua" w:hAnsi="Book Antiqua" w:cs="Times New Roman"/>
      <w:strike w:val="false"/>
      <w:dstrike w:val="false"/>
      <w:color w:val="000000"/>
      <w:sz w:val="22"/>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b w:val="false"/>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ascii="Book Antiqua" w:hAnsi="Book Antiqua" w:cs="Times New Roman"/>
      <w:b/>
      <w:sz w:val="22"/>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ascii="Book Antiqua" w:hAnsi="Book Antiqua" w:cs="Times New Roman"/>
      <w:b/>
      <w:sz w:val="22"/>
    </w:rPr>
  </w:style>
  <w:style w:type="character" w:styleId="ListLabel29" w:customStyle="1">
    <w:name w:val="ListLabel 29"/>
    <w:qFormat/>
    <w:rPr>
      <w:rFonts w:cs="Times New Roman"/>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cs="Times New Roman"/>
    </w:rPr>
  </w:style>
  <w:style w:type="character" w:styleId="ListLabel34" w:customStyle="1">
    <w:name w:val="ListLabel 34"/>
    <w:qFormat/>
    <w:rPr>
      <w:rFonts w:cs="Times New Roman"/>
    </w:rPr>
  </w:style>
  <w:style w:type="character" w:styleId="ListLabel35" w:customStyle="1">
    <w:name w:val="ListLabel 35"/>
    <w:qFormat/>
    <w:rPr>
      <w:rFonts w:cs="Times New Roman"/>
    </w:rPr>
  </w:style>
  <w:style w:type="character" w:styleId="ListLabel36" w:customStyle="1">
    <w:name w:val="ListLabel 36"/>
    <w:qFormat/>
    <w:rPr>
      <w:rFonts w:cs="Times New Roman"/>
    </w:rPr>
  </w:style>
  <w:style w:type="character" w:styleId="ListLabel37" w:customStyle="1">
    <w:name w:val="ListLabel 37"/>
    <w:qFormat/>
    <w:rPr>
      <w:rFonts w:ascii="Book Antiqua" w:hAnsi="Book Antiqua" w:cs="Times New Roman"/>
      <w:b/>
      <w:sz w:val="22"/>
    </w:rPr>
  </w:style>
  <w:style w:type="character" w:styleId="ListLabel38" w:customStyle="1">
    <w:name w:val="ListLabel 38"/>
    <w:qFormat/>
    <w:rPr>
      <w:rFonts w:cs="Times New Roman"/>
    </w:rPr>
  </w:style>
  <w:style w:type="character" w:styleId="ListLabel39" w:customStyle="1">
    <w:name w:val="ListLabel 39"/>
    <w:qFormat/>
    <w:rPr>
      <w:rFonts w:cs="Times New Roman"/>
    </w:rPr>
  </w:style>
  <w:style w:type="character" w:styleId="ListLabel40" w:customStyle="1">
    <w:name w:val="ListLabel 40"/>
    <w:qFormat/>
    <w:rPr>
      <w:rFonts w:cs="Times New Roman"/>
    </w:rPr>
  </w:style>
  <w:style w:type="character" w:styleId="ListLabel41" w:customStyle="1">
    <w:name w:val="ListLabel 41"/>
    <w:qFormat/>
    <w:rPr>
      <w:rFonts w:cs="Times New Roman"/>
    </w:rPr>
  </w:style>
  <w:style w:type="character" w:styleId="ListLabel42" w:customStyle="1">
    <w:name w:val="ListLabel 42"/>
    <w:qFormat/>
    <w:rPr>
      <w:rFonts w:cs="Times New Roman"/>
    </w:rPr>
  </w:style>
  <w:style w:type="character" w:styleId="ListLabel43" w:customStyle="1">
    <w:name w:val="ListLabel 43"/>
    <w:qFormat/>
    <w:rPr>
      <w:rFonts w:cs="Times New Roman"/>
    </w:rPr>
  </w:style>
  <w:style w:type="character" w:styleId="ListLabel44" w:customStyle="1">
    <w:name w:val="ListLabel 44"/>
    <w:qFormat/>
    <w:rPr>
      <w:rFonts w:cs="Times New Roman"/>
    </w:rPr>
  </w:style>
  <w:style w:type="character" w:styleId="ListLabel45" w:customStyle="1">
    <w:name w:val="ListLabel 45"/>
    <w:qFormat/>
    <w:rPr>
      <w:rFonts w:cs="Times New Roman"/>
    </w:rPr>
  </w:style>
  <w:style w:type="character" w:styleId="ListLabel46" w:customStyle="1">
    <w:name w:val="ListLabel 46"/>
    <w:qFormat/>
    <w:rPr>
      <w:rFonts w:ascii="Book Antiqua" w:hAnsi="Book Antiqua" w:cs="Times New Roman"/>
      <w:b/>
      <w:sz w:val="22"/>
    </w:rPr>
  </w:style>
  <w:style w:type="character" w:styleId="ListLabel47" w:customStyle="1">
    <w:name w:val="ListLabel 47"/>
    <w:qFormat/>
    <w:rPr>
      <w:rFonts w:cs="Times New Roman"/>
    </w:rPr>
  </w:style>
  <w:style w:type="character" w:styleId="ListLabel48" w:customStyle="1">
    <w:name w:val="ListLabel 48"/>
    <w:qFormat/>
    <w:rPr>
      <w:rFonts w:cs="Times New Roman"/>
    </w:rPr>
  </w:style>
  <w:style w:type="character" w:styleId="ListLabel49" w:customStyle="1">
    <w:name w:val="ListLabel 49"/>
    <w:qFormat/>
    <w:rPr>
      <w:rFonts w:cs="Times New Roman"/>
    </w:rPr>
  </w:style>
  <w:style w:type="character" w:styleId="ListLabel50" w:customStyle="1">
    <w:name w:val="ListLabel 50"/>
    <w:qFormat/>
    <w:rPr>
      <w:rFonts w:cs="Times New Roman"/>
    </w:rPr>
  </w:style>
  <w:style w:type="character" w:styleId="ListLabel51" w:customStyle="1">
    <w:name w:val="ListLabel 51"/>
    <w:qFormat/>
    <w:rPr>
      <w:rFonts w:cs="Times New Roman"/>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ascii="Book Antiqua" w:hAnsi="Book Antiqua" w:cs="Times New Roman"/>
      <w:b/>
      <w:sz w:val="22"/>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cs="Times New Roman"/>
    </w:rPr>
  </w:style>
  <w:style w:type="character" w:styleId="ListLabel64" w:customStyle="1">
    <w:name w:val="ListLabel 64"/>
    <w:qFormat/>
    <w:rPr>
      <w:rFonts w:ascii="Book Antiqua" w:hAnsi="Book Antiqua" w:cs="Times New Roman"/>
      <w:b/>
      <w:sz w:val="22"/>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cs="Times New Roman"/>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cs="Times New Roman"/>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ascii="Book Antiqua" w:hAnsi="Book Antiqua" w:cs="Times New Roman"/>
      <w:b/>
      <w:sz w:val="22"/>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color w:val="000000"/>
    </w:rPr>
  </w:style>
  <w:style w:type="character" w:styleId="ListLabel119" w:customStyle="1">
    <w:name w:val="ListLabel 119"/>
    <w:qFormat/>
    <w:rPr>
      <w:rFonts w:cs="Times New Roman"/>
    </w:rPr>
  </w:style>
  <w:style w:type="character" w:styleId="ListLabel120" w:customStyle="1">
    <w:name w:val="ListLabel 120"/>
    <w:qFormat/>
    <w:rPr>
      <w:rFonts w:cs="Times New Roman"/>
    </w:rPr>
  </w:style>
  <w:style w:type="character" w:styleId="ListLabel121" w:customStyle="1">
    <w:name w:val="ListLabel 121"/>
    <w:qFormat/>
    <w:rPr>
      <w:rFonts w:cs="Times New Roman"/>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ListLabel127">
    <w:name w:val="ListLabel 127"/>
    <w:qFormat/>
    <w:rPr>
      <w:rFonts w:ascii="Book Antiqua" w:hAnsi="Book Antiqua" w:cs="Times New Roman"/>
      <w:strike w:val="false"/>
      <w:dstrike w:val="false"/>
      <w:color w:val="000000"/>
      <w:sz w:val="22"/>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ascii="Book Antiqua" w:hAnsi="Book Antiqua" w:cs="Times New Roman"/>
      <w:b/>
      <w:sz w:val="22"/>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ascii="Book Antiqua" w:hAnsi="Book Antiqua" w:cs="Times New Roman"/>
      <w:b/>
      <w:sz w:val="22"/>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ascii="Book Antiqua" w:hAnsi="Book Antiqua" w:cs="Times New Roman"/>
      <w:b/>
      <w:sz w:val="22"/>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ascii="Book Antiqua" w:hAnsi="Book Antiqua" w:cs="Times New Roman"/>
      <w:b/>
      <w:sz w:val="22"/>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ascii="Book Antiqua" w:hAnsi="Book Antiqua" w:cs="Times New Roman"/>
      <w:b/>
      <w:sz w:val="22"/>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ascii="Book Antiqua" w:hAnsi="Book Antiqua" w:cs="Times New Roman"/>
      <w:b/>
      <w:sz w:val="22"/>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ascii="Book Antiqua" w:hAnsi="Book Antiqua" w:cs="Times New Roman"/>
      <w:b/>
      <w:sz w:val="22"/>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paragraph" w:styleId="Nadpis" w:customStyle="1">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ZkladntextChar"/>
    <w:uiPriority w:val="99"/>
    <w:semiHidden/>
    <w:rsid w:val="00fd3f14"/>
    <w:pPr>
      <w:jc w:val="both"/>
    </w:pPr>
    <w:rPr>
      <w:sz w:val="20"/>
      <w:szCs w:val="20"/>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Odsekzoznamu1" w:customStyle="1">
    <w:name w:val="Odsek zoznamu1"/>
    <w:basedOn w:val="Normal"/>
    <w:qFormat/>
    <w:rsid w:val="00fd3f14"/>
    <w:pPr>
      <w:ind w:left="720" w:hanging="0"/>
    </w:pPr>
    <w:rPr/>
  </w:style>
  <w:style w:type="paragraph" w:styleId="ListParagraph">
    <w:name w:val="List Paragraph"/>
    <w:basedOn w:val="Normal"/>
    <w:uiPriority w:val="99"/>
    <w:qFormat/>
    <w:rsid w:val="00fd3f14"/>
    <w:pPr>
      <w:spacing w:before="0" w:after="0"/>
      <w:ind w:left="720" w:hanging="0"/>
      <w:contextualSpacing/>
    </w:pPr>
    <w:rPr/>
  </w:style>
  <w:style w:type="paragraph" w:styleId="BalloonText">
    <w:name w:val="Balloon Text"/>
    <w:basedOn w:val="Normal"/>
    <w:link w:val="TextbublinyChar"/>
    <w:uiPriority w:val="99"/>
    <w:semiHidden/>
    <w:unhideWhenUsed/>
    <w:qFormat/>
    <w:rsid w:val="002f5e9e"/>
    <w:pPr/>
    <w:rPr>
      <w:rFonts w:ascii="Segoe UI" w:hAnsi="Segoe UI" w:cs="Segoe UI"/>
      <w:sz w:val="18"/>
      <w:szCs w:val="18"/>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LibreOffice/6.2.3.2$Windows_X86_64 LibreOffice_project/aecc05fe267cc68dde00352a451aa867b3b546ac</Application>
  <Pages>8</Pages>
  <Words>2258</Words>
  <Characters>11683</Characters>
  <CharactersWithSpaces>13920</CharactersWithSpaces>
  <Paragraphs>99</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2019-11-02T15:37:00Z</dcterms:created>
  <dc:creator>Lukáč, Jozef (asistent)</dc:creator>
  <dc:description/>
  <dc:language>sk-SK</dc:language>
  <cp:lastModifiedBy/>
  <cp:lastPrinted>2016-05-26T12:30:00Z</cp:lastPrinted>
  <dcterms:modified xsi:type="dcterms:W3CDTF">2019-11-03T14:38:05Z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