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>
          <w:bottom w:val="single" w:sz="12" w:space="1" w:color="000000"/>
        </w:pBdr>
        <w:spacing w:lineRule="auto" w:line="276" w:before="120" w:after="0"/>
        <w:jc w:val="center"/>
        <w:rPr>
          <w:rFonts w:ascii="Book Antiqua" w:hAnsi="Book Antiqua" w:cs="Book Antiqua"/>
          <w:b/>
          <w:b/>
          <w:bCs/>
          <w:spacing w:val="20"/>
          <w:sz w:val="22"/>
          <w:szCs w:val="22"/>
        </w:rPr>
      </w:pPr>
      <w:r>
        <w:rPr>
          <w:rFonts w:cs="Book Antiqua"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>
      <w:pPr>
        <w:pStyle w:val="Normal"/>
        <w:spacing w:lineRule="auto" w:line="276" w:before="120" w:after="0"/>
        <w:jc w:val="center"/>
        <w:rPr>
          <w:rFonts w:ascii="Book Antiqua" w:hAnsi="Book Antiqua" w:cs="Book Antiqua"/>
          <w:b/>
          <w:b/>
          <w:bCs/>
          <w:spacing w:val="20"/>
          <w:sz w:val="22"/>
          <w:szCs w:val="22"/>
        </w:rPr>
      </w:pPr>
      <w:r>
        <w:rPr>
          <w:rFonts w:cs="Book Antiqua" w:ascii="Book Antiqua" w:hAnsi="Book Antiqua"/>
          <w:b/>
          <w:bCs/>
          <w:spacing w:val="20"/>
          <w:sz w:val="22"/>
          <w:szCs w:val="22"/>
        </w:rPr>
      </w:r>
    </w:p>
    <w:p>
      <w:pPr>
        <w:pStyle w:val="Normal"/>
        <w:spacing w:lineRule="auto" w:line="276" w:before="120" w:after="0"/>
        <w:jc w:val="center"/>
        <w:rPr>
          <w:rFonts w:ascii="Book Antiqua" w:hAnsi="Book Antiqua" w:cs="Book Antiqua"/>
          <w:spacing w:val="20"/>
          <w:sz w:val="22"/>
          <w:szCs w:val="22"/>
        </w:rPr>
      </w:pPr>
      <w:r>
        <w:rPr>
          <w:rFonts w:cs="Book Antiqua" w:ascii="Book Antiqua" w:hAnsi="Book Antiqua"/>
          <w:spacing w:val="20"/>
          <w:sz w:val="22"/>
          <w:szCs w:val="22"/>
        </w:rPr>
        <w:t>VII. volebné obdobie</w:t>
      </w:r>
    </w:p>
    <w:p>
      <w:pPr>
        <w:pStyle w:val="Normal"/>
        <w:spacing w:lineRule="auto" w:line="276" w:before="120" w:after="0"/>
        <w:rPr>
          <w:rFonts w:ascii="Book Antiqua" w:hAnsi="Book Antiqua" w:cs="Book Antiqua"/>
          <w:b/>
          <w:b/>
          <w:bCs/>
          <w:spacing w:val="30"/>
          <w:sz w:val="22"/>
          <w:szCs w:val="22"/>
        </w:rPr>
      </w:pPr>
      <w:r>
        <w:rPr>
          <w:rFonts w:cs="Book Antiqua" w:ascii="Book Antiqua" w:hAnsi="Book Antiqua"/>
          <w:b/>
          <w:bCs/>
          <w:spacing w:val="30"/>
          <w:sz w:val="22"/>
          <w:szCs w:val="22"/>
        </w:rPr>
      </w:r>
    </w:p>
    <w:p>
      <w:pPr>
        <w:pStyle w:val="Normal"/>
        <w:spacing w:lineRule="auto" w:line="276" w:before="120" w:after="0"/>
        <w:jc w:val="center"/>
        <w:rPr>
          <w:rFonts w:ascii="Book Antiqua" w:hAnsi="Book Antiqua" w:cs="Book Antiqua"/>
          <w:bCs/>
          <w:spacing w:val="30"/>
          <w:sz w:val="22"/>
          <w:szCs w:val="22"/>
        </w:rPr>
      </w:pPr>
      <w:r>
        <w:rPr>
          <w:rFonts w:cs="Book Antiqua" w:ascii="Book Antiqua" w:hAnsi="Book Antiqua"/>
          <w:bCs/>
          <w:spacing w:val="30"/>
          <w:sz w:val="22"/>
          <w:szCs w:val="22"/>
        </w:rPr>
        <w:t xml:space="preserve">Návrh </w:t>
      </w:r>
    </w:p>
    <w:p>
      <w:pPr>
        <w:pStyle w:val="Normal"/>
        <w:spacing w:lineRule="auto" w:line="276" w:before="120" w:after="0"/>
        <w:rPr>
          <w:rFonts w:ascii="Book Antiqua" w:hAnsi="Book Antiqua" w:cs="Book Antiqua"/>
          <w:b/>
          <w:b/>
          <w:bCs/>
          <w:spacing w:val="30"/>
          <w:sz w:val="22"/>
          <w:szCs w:val="22"/>
        </w:rPr>
      </w:pPr>
      <w:r>
        <w:rPr>
          <w:rFonts w:cs="Book Antiqua" w:ascii="Book Antiqua" w:hAnsi="Book Antiqua"/>
          <w:b/>
          <w:bCs/>
          <w:spacing w:val="30"/>
          <w:sz w:val="22"/>
          <w:szCs w:val="22"/>
        </w:rPr>
        <w:tab/>
      </w:r>
    </w:p>
    <w:p>
      <w:pPr>
        <w:pStyle w:val="Normal"/>
        <w:spacing w:lineRule="auto" w:line="276" w:before="120" w:after="0"/>
        <w:jc w:val="center"/>
        <w:rPr>
          <w:rFonts w:ascii="Book Antiqua" w:hAnsi="Book Antiqua" w:cs="Book Antiqua"/>
          <w:b/>
          <w:b/>
          <w:bCs/>
          <w:caps/>
          <w:spacing w:val="30"/>
          <w:sz w:val="22"/>
          <w:szCs w:val="22"/>
        </w:rPr>
      </w:pPr>
      <w:r>
        <w:rPr>
          <w:rFonts w:cs="Book Antiqua" w:ascii="Book Antiqua" w:hAnsi="Book Antiqua"/>
          <w:b/>
          <w:bCs/>
          <w:caps/>
          <w:spacing w:val="30"/>
          <w:sz w:val="22"/>
          <w:szCs w:val="22"/>
        </w:rPr>
        <w:t>zákon</w:t>
      </w:r>
    </w:p>
    <w:p>
      <w:pPr>
        <w:pStyle w:val="Normal"/>
        <w:spacing w:lineRule="auto" w:line="276" w:before="120" w:after="0"/>
        <w:jc w:val="center"/>
        <w:rPr>
          <w:rFonts w:ascii="Book Antiqua" w:hAnsi="Book Antiqua" w:cs="Book Antiqua"/>
          <w:b/>
          <w:b/>
          <w:bCs/>
          <w:caps/>
          <w:spacing w:val="30"/>
          <w:sz w:val="22"/>
          <w:szCs w:val="22"/>
        </w:rPr>
      </w:pPr>
      <w:r>
        <w:rPr>
          <w:rFonts w:cs="Book Antiqua" w:ascii="Book Antiqua" w:hAnsi="Book Antiqua"/>
          <w:b/>
          <w:bCs/>
          <w:caps/>
          <w:spacing w:val="30"/>
          <w:sz w:val="22"/>
          <w:szCs w:val="22"/>
        </w:rPr>
      </w:r>
    </w:p>
    <w:p>
      <w:pPr>
        <w:pStyle w:val="Normal"/>
        <w:spacing w:lineRule="auto" w:line="276" w:before="120" w:after="0"/>
        <w:jc w:val="center"/>
        <w:rPr>
          <w:rFonts w:ascii="Book Antiqua" w:hAnsi="Book Antiqua" w:cs="Book Antiqua"/>
          <w:sz w:val="22"/>
          <w:szCs w:val="22"/>
        </w:rPr>
      </w:pPr>
      <w:r>
        <w:rPr>
          <w:rFonts w:cs="Book Antiqua" w:ascii="Book Antiqua" w:hAnsi="Book Antiqua"/>
          <w:sz w:val="22"/>
          <w:szCs w:val="22"/>
        </w:rPr>
        <w:t>z ... 2020,</w:t>
      </w:r>
    </w:p>
    <w:p>
      <w:pPr>
        <w:pStyle w:val="Normal"/>
        <w:spacing w:lineRule="auto" w:line="276" w:before="120" w:after="0"/>
        <w:jc w:val="center"/>
        <w:rPr>
          <w:rFonts w:ascii="Book Antiqua" w:hAnsi="Book Antiqua" w:cs="Book Antiqua"/>
          <w:sz w:val="22"/>
          <w:szCs w:val="22"/>
        </w:rPr>
      </w:pPr>
      <w:r>
        <w:rPr>
          <w:rFonts w:cs="Book Antiqua" w:ascii="Book Antiqua" w:hAnsi="Book Antiqua"/>
          <w:sz w:val="22"/>
          <w:szCs w:val="22"/>
        </w:rPr>
      </w:r>
    </w:p>
    <w:p>
      <w:pPr>
        <w:pStyle w:val="Normal"/>
        <w:spacing w:lineRule="auto" w:line="276"/>
        <w:jc w:val="center"/>
        <w:rPr/>
      </w:pPr>
      <w:r>
        <w:rPr>
          <w:rFonts w:cs="Book Antiqua" w:ascii="Book Antiqua" w:hAnsi="Book Antiqua"/>
          <w:b/>
          <w:bCs/>
          <w:sz w:val="22"/>
          <w:szCs w:val="22"/>
        </w:rPr>
        <w:t>ktorým sa mení a dopĺňa zákon č. 314/2018 Z. z. o Ústavnom súde Slovenskej republiky a o zmene a doplnení niektorých zákonov</w:t>
      </w:r>
    </w:p>
    <w:p>
      <w:pPr>
        <w:pStyle w:val="Normal"/>
        <w:spacing w:lineRule="auto" w:line="276" w:before="120" w:after="0"/>
        <w:jc w:val="both"/>
        <w:rPr>
          <w:rFonts w:ascii="Book Antiqua" w:hAnsi="Book Antiqua" w:cs="Book Antiqua"/>
          <w:sz w:val="22"/>
          <w:szCs w:val="22"/>
        </w:rPr>
      </w:pPr>
      <w:r>
        <w:rPr>
          <w:rFonts w:cs="Book Antiqua" w:ascii="Book Antiqua" w:hAnsi="Book Antiqua"/>
          <w:sz w:val="22"/>
          <w:szCs w:val="22"/>
        </w:rPr>
      </w:r>
    </w:p>
    <w:p>
      <w:pPr>
        <w:pStyle w:val="Normal"/>
        <w:spacing w:lineRule="auto" w:line="276" w:before="120" w:after="0"/>
        <w:ind w:firstLine="360"/>
        <w:jc w:val="both"/>
        <w:rPr/>
      </w:pPr>
      <w:r>
        <w:rPr>
          <w:rFonts w:cs="Book Antiqua" w:ascii="Book Antiqua" w:hAnsi="Book Antiqua"/>
          <w:sz w:val="22"/>
          <w:szCs w:val="22"/>
        </w:rPr>
        <w:t xml:space="preserve">Národná rada Slovenskej republiky sa uzniesla na tomto zákone: </w:t>
      </w:r>
    </w:p>
    <w:p>
      <w:pPr>
        <w:pStyle w:val="Normal"/>
        <w:spacing w:lineRule="auto" w:line="276" w:before="120" w:after="0"/>
        <w:rPr>
          <w:rFonts w:ascii="Book Antiqua" w:hAnsi="Book Antiqua" w:cs="Book Antiqua"/>
          <w:b/>
          <w:b/>
          <w:bCs/>
          <w:sz w:val="22"/>
          <w:szCs w:val="22"/>
        </w:rPr>
      </w:pPr>
      <w:r>
        <w:rPr>
          <w:rFonts w:cs="Book Antiqua" w:ascii="Book Antiqua" w:hAnsi="Book Antiqua"/>
          <w:b/>
          <w:bCs/>
          <w:sz w:val="22"/>
          <w:szCs w:val="22"/>
        </w:rPr>
      </w:r>
    </w:p>
    <w:p>
      <w:pPr>
        <w:pStyle w:val="Nadpis3Podloha"/>
        <w:numPr>
          <w:ilvl w:val="0"/>
          <w:numId w:val="0"/>
        </w:numPr>
        <w:spacing w:lineRule="auto" w:line="276" w:before="120" w:after="120"/>
        <w:ind w:left="0" w:hanging="0"/>
        <w:jc w:val="center"/>
        <w:rPr>
          <w:rFonts w:ascii="Book Antiqua" w:hAnsi="Book Antiqua" w:cs="Book Antiqua"/>
          <w:b/>
          <w:b/>
          <w:bCs/>
          <w:sz w:val="22"/>
          <w:szCs w:val="22"/>
        </w:rPr>
      </w:pPr>
      <w:r>
        <w:rPr>
          <w:rFonts w:cs="Book Antiqua" w:ascii="Book Antiqua" w:hAnsi="Book Antiqua"/>
          <w:b/>
          <w:bCs/>
          <w:sz w:val="22"/>
          <w:szCs w:val="22"/>
        </w:rPr>
        <w:t>Čl. I</w:t>
      </w:r>
    </w:p>
    <w:p>
      <w:pPr>
        <w:pStyle w:val="Normal"/>
        <w:spacing w:lineRule="auto" w:line="276" w:before="120" w:after="120"/>
        <w:ind w:firstLine="720"/>
        <w:jc w:val="both"/>
        <w:rPr>
          <w:rFonts w:ascii="Book Antiqua" w:hAnsi="Book Antiqua" w:cs="Book Antiqua"/>
          <w:sz w:val="22"/>
          <w:szCs w:val="22"/>
        </w:rPr>
      </w:pPr>
      <w:r>
        <w:rPr>
          <w:rFonts w:cs="Book Antiqua" w:ascii="Book Antiqua" w:hAnsi="Book Antiqua"/>
          <w:sz w:val="22"/>
          <w:szCs w:val="22"/>
        </w:rPr>
        <w:t>Zákon č. 314/2018 Z. z. o Ústavnom súde Slovenskej republiky a o zmene a doplnení niektorých zákonov sa mení a dopĺňa takto: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851" w:leader="none"/>
        </w:tabs>
        <w:spacing w:lineRule="auto" w:line="276" w:before="120" w:after="120"/>
        <w:ind w:left="851" w:hanging="425"/>
        <w:jc w:val="both"/>
        <w:rPr>
          <w:rFonts w:ascii="Book Antiqua" w:hAnsi="Book Antiqua" w:cs="Book Antiqua"/>
          <w:sz w:val="22"/>
          <w:szCs w:val="22"/>
        </w:rPr>
      </w:pPr>
      <w:r>
        <w:rPr>
          <w:rFonts w:cs="Book Antiqua" w:ascii="Book Antiqua" w:hAnsi="Book Antiqua"/>
          <w:sz w:val="22"/>
          <w:szCs w:val="22"/>
        </w:rPr>
        <w:t>V § 35 ods. 1 sa za druhú vetu vkladá nová tretia veta, ktorá znie: „Jednu tretinu členov orgánu podľa osobitného predpisu</w:t>
      </w:r>
      <w:r>
        <w:rPr>
          <w:rFonts w:cs="Book Antiqua" w:ascii="Book Antiqua" w:hAnsi="Book Antiqua"/>
          <w:sz w:val="22"/>
          <w:szCs w:val="22"/>
          <w:vertAlign w:val="superscript"/>
        </w:rPr>
        <w:t>8a)</w:t>
      </w:r>
      <w:r>
        <w:rPr>
          <w:rFonts w:cs="Book Antiqua" w:ascii="Book Antiqua" w:hAnsi="Book Antiqua"/>
          <w:sz w:val="22"/>
          <w:szCs w:val="22"/>
        </w:rPr>
        <w:t xml:space="preserve"> ako účastníka konania zastupuje poverený zástupca.“, a v poslednej vete sa za slovo „ústavy“ vkladajú slová „a jedna tretina členov orgánu podľa osobitného predpisu</w:t>
      </w:r>
      <w:r>
        <w:rPr>
          <w:rFonts w:cs="Book Antiqua" w:ascii="Book Antiqua" w:hAnsi="Book Antiqua"/>
          <w:sz w:val="22"/>
          <w:szCs w:val="22"/>
          <w:vertAlign w:val="superscript"/>
        </w:rPr>
        <w:t>8a)</w:t>
      </w:r>
      <w:r>
        <w:rPr>
          <w:rFonts w:cs="Book Antiqua" w:ascii="Book Antiqua" w:hAnsi="Book Antiqua"/>
          <w:sz w:val="22"/>
          <w:szCs w:val="22"/>
        </w:rPr>
        <w:t>“.</w:t>
      </w:r>
    </w:p>
    <w:p>
      <w:pPr>
        <w:pStyle w:val="Normal"/>
        <w:spacing w:lineRule="auto" w:line="276" w:before="120" w:after="120"/>
        <w:ind w:left="851" w:hanging="0"/>
        <w:jc w:val="both"/>
        <w:rPr>
          <w:rFonts w:ascii="Book Antiqua" w:hAnsi="Book Antiqua" w:cs="Book Antiqua"/>
          <w:sz w:val="22"/>
          <w:szCs w:val="22"/>
        </w:rPr>
      </w:pPr>
      <w:r>
        <w:rPr>
          <w:rFonts w:cs="Book Antiqua" w:ascii="Book Antiqua" w:hAnsi="Book Antiqua"/>
          <w:sz w:val="22"/>
          <w:szCs w:val="22"/>
        </w:rPr>
        <w:t>Poznámka pod čiarou k odkazu 8a znie:</w:t>
      </w:r>
    </w:p>
    <w:p>
      <w:pPr>
        <w:pStyle w:val="Normal"/>
        <w:spacing w:lineRule="auto" w:line="276" w:before="120" w:after="120"/>
        <w:ind w:left="851" w:hanging="0"/>
        <w:jc w:val="both"/>
        <w:rPr>
          <w:rFonts w:ascii="Book Antiqua" w:hAnsi="Book Antiqua" w:cs="Book Antiqua"/>
          <w:sz w:val="22"/>
          <w:szCs w:val="22"/>
        </w:rPr>
      </w:pPr>
      <w:r>
        <w:rPr>
          <w:rFonts w:cs="Book Antiqua" w:ascii="Book Antiqua" w:hAnsi="Book Antiqua"/>
          <w:sz w:val="22"/>
          <w:szCs w:val="22"/>
        </w:rPr>
        <w:t>„</w:t>
      </w:r>
      <w:r>
        <w:rPr>
          <w:rFonts w:cs="Book Antiqua" w:ascii="Book Antiqua" w:hAnsi="Book Antiqua"/>
          <w:sz w:val="22"/>
          <w:szCs w:val="22"/>
          <w:vertAlign w:val="superscript"/>
        </w:rPr>
        <w:t>8a)</w:t>
      </w:r>
      <w:r>
        <w:rPr>
          <w:rFonts w:cs="Book Antiqua" w:ascii="Book Antiqua" w:hAnsi="Book Antiqua"/>
          <w:sz w:val="22"/>
          <w:szCs w:val="22"/>
        </w:rPr>
        <w:t xml:space="preserve"> Čl. 10 ods. 4 ústavného zákona č. 357/2004 Z. z. o ochrane verejného záujmu pri výkone funkcií verejných funkcionárov v znení neskorších predpisov.“.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851" w:leader="none"/>
        </w:tabs>
        <w:spacing w:lineRule="auto" w:line="276" w:before="120" w:after="120"/>
        <w:ind w:left="851" w:hanging="425"/>
        <w:jc w:val="both"/>
        <w:rPr>
          <w:rFonts w:ascii="Book Antiqua" w:hAnsi="Book Antiqua" w:cs="Book Antiqua"/>
          <w:sz w:val="22"/>
          <w:szCs w:val="22"/>
        </w:rPr>
      </w:pPr>
      <w:r>
        <w:rPr>
          <w:rFonts w:cs="Book Antiqua" w:ascii="Book Antiqua" w:hAnsi="Book Antiqua"/>
          <w:sz w:val="22"/>
          <w:szCs w:val="22"/>
        </w:rPr>
        <w:t>V § 41 ods. 1 v poznámke pod čiarou k odkazu 9 sa slová „Čl. 10 ods. 2 až 4 ústavného zákona č. 357/2004 Z. z. o ochrane verejného záujmu pri výkone funkcií verejných funkcionárov v znení ústavného zákona č. 545/2005 Z. z.“ nahrádzajú slovami „Čl. 10 ods. 2 až 5 ústavného zákona č. 357/2004 Z. z. v znení neskorších predpisov“.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851" w:leader="none"/>
        </w:tabs>
        <w:spacing w:lineRule="auto" w:line="276" w:before="120" w:after="120"/>
        <w:ind w:left="851" w:hanging="425"/>
        <w:jc w:val="both"/>
        <w:rPr>
          <w:rFonts w:ascii="Book Antiqua" w:hAnsi="Book Antiqua" w:cs="Book Antiqua"/>
          <w:sz w:val="22"/>
          <w:szCs w:val="22"/>
        </w:rPr>
      </w:pPr>
      <w:r>
        <w:rPr>
          <w:rFonts w:cs="Book Antiqua" w:ascii="Book Antiqua" w:hAnsi="Book Antiqua"/>
          <w:sz w:val="22"/>
          <w:szCs w:val="22"/>
        </w:rPr>
        <w:t>V § 235 sa na konci pripájajú tieto slová „alebo jedna tretina členov orgánu, ktorý vo veci rozhodol“.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851" w:leader="none"/>
        </w:tabs>
        <w:spacing w:lineRule="auto" w:line="276" w:before="120" w:after="120"/>
        <w:ind w:left="851" w:hanging="425"/>
        <w:jc w:val="both"/>
        <w:rPr>
          <w:rFonts w:ascii="Book Antiqua" w:hAnsi="Book Antiqua" w:cs="Book Antiqua"/>
          <w:sz w:val="22"/>
          <w:szCs w:val="22"/>
        </w:rPr>
      </w:pPr>
      <w:r>
        <w:rPr>
          <w:rFonts w:cs="Book Antiqua" w:ascii="Book Antiqua" w:hAnsi="Book Antiqua"/>
          <w:sz w:val="22"/>
          <w:szCs w:val="22"/>
        </w:rPr>
        <w:t>V § 236 ods. 1 sa na konci bodka nahrádza čiarkou a pripájajú sa tieto slová: „okrem prípadu, ak sa konanie vo veci ochrany verejného záujmu a zamedzenia rozporu záujmov zastavilo bez vydania rozhodnutia.“.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851" w:leader="none"/>
        </w:tabs>
        <w:spacing w:lineRule="auto" w:line="276" w:before="120" w:after="120"/>
        <w:ind w:left="851" w:hanging="425"/>
        <w:jc w:val="both"/>
        <w:rPr>
          <w:rFonts w:ascii="Book Antiqua" w:hAnsi="Book Antiqua" w:cs="Book Antiqua"/>
          <w:sz w:val="22"/>
          <w:szCs w:val="22"/>
        </w:rPr>
      </w:pPr>
      <w:r>
        <w:rPr>
          <w:rFonts w:cs="Book Antiqua" w:ascii="Book Antiqua" w:hAnsi="Book Antiqua"/>
          <w:sz w:val="22"/>
          <w:szCs w:val="22"/>
        </w:rPr>
        <w:t>§ 239 sa dopĺňa odsekom 4, ktorý znie:</w:t>
      </w:r>
    </w:p>
    <w:p>
      <w:pPr>
        <w:pStyle w:val="Normal"/>
        <w:tabs>
          <w:tab w:val="clear" w:pos="720"/>
          <w:tab w:val="left" w:pos="1418" w:leader="none"/>
        </w:tabs>
        <w:spacing w:lineRule="auto" w:line="276" w:before="120" w:after="120"/>
        <w:ind w:left="1418" w:hanging="567"/>
        <w:jc w:val="both"/>
        <w:rPr/>
      </w:pPr>
      <w:r>
        <w:rPr>
          <w:rFonts w:cs="Book Antiqua" w:ascii="Book Antiqua" w:hAnsi="Book Antiqua"/>
          <w:sz w:val="22"/>
          <w:szCs w:val="22"/>
        </w:rPr>
        <w:t>„</w:t>
      </w:r>
      <w:r>
        <w:rPr>
          <w:rFonts w:cs="Book Antiqua" w:ascii="Book Antiqua" w:hAnsi="Book Antiqua"/>
          <w:sz w:val="22"/>
          <w:szCs w:val="22"/>
        </w:rPr>
        <w:t>(4)</w:t>
        <w:tab/>
        <w:tab/>
        <w:t>Ústavný súd vráti vec príslušnému orgánu verejnej moci na ďalšie konanie, ak zistí, že konanie bolo zastavené bez vydania rozhodnutia, a tak je nepreskúmateľné.“.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851" w:leader="none"/>
        </w:tabs>
        <w:spacing w:lineRule="auto" w:line="276" w:before="120" w:after="120"/>
        <w:ind w:left="851" w:hanging="425"/>
        <w:jc w:val="both"/>
        <w:rPr>
          <w:rFonts w:ascii="Book Antiqua" w:hAnsi="Book Antiqua" w:cs="Book Antiqua"/>
          <w:sz w:val="22"/>
          <w:szCs w:val="22"/>
        </w:rPr>
      </w:pPr>
      <w:r>
        <w:rPr>
          <w:rFonts w:cs="Book Antiqua" w:ascii="Book Antiqua" w:hAnsi="Book Antiqua"/>
          <w:sz w:val="22"/>
          <w:szCs w:val="22"/>
        </w:rPr>
        <w:t>Za § 250 sa vkladá nový § 250a, ktorý vrátane nadpisu znie:</w:t>
      </w:r>
    </w:p>
    <w:p>
      <w:pPr>
        <w:pStyle w:val="Normal"/>
        <w:tabs>
          <w:tab w:val="clear" w:pos="720"/>
          <w:tab w:val="left" w:pos="851" w:leader="none"/>
        </w:tabs>
        <w:spacing w:lineRule="auto" w:line="276" w:before="120" w:after="120"/>
        <w:ind w:left="851" w:hanging="0"/>
        <w:jc w:val="center"/>
        <w:rPr/>
      </w:pPr>
      <w:r>
        <w:rPr>
          <w:rFonts w:cs="Book Antiqua" w:ascii="Book Antiqua" w:hAnsi="Book Antiqua"/>
          <w:bCs/>
          <w:sz w:val="22"/>
          <w:szCs w:val="22"/>
        </w:rPr>
        <w:t>„</w:t>
      </w:r>
      <w:r>
        <w:rPr>
          <w:rFonts w:cs="Book Antiqua" w:ascii="Book Antiqua" w:hAnsi="Book Antiqua"/>
          <w:b/>
          <w:bCs/>
          <w:sz w:val="22"/>
          <w:szCs w:val="22"/>
        </w:rPr>
        <w:t>§ 250a</w:t>
      </w:r>
    </w:p>
    <w:p>
      <w:pPr>
        <w:pStyle w:val="Normal"/>
        <w:tabs>
          <w:tab w:val="clear" w:pos="720"/>
          <w:tab w:val="left" w:pos="851" w:leader="none"/>
        </w:tabs>
        <w:spacing w:lineRule="auto" w:line="276" w:before="120" w:after="120"/>
        <w:ind w:left="851" w:hanging="0"/>
        <w:jc w:val="center"/>
        <w:rPr>
          <w:rFonts w:ascii="Book Antiqua" w:hAnsi="Book Antiqua" w:cs="Book Antiqua"/>
          <w:b/>
          <w:b/>
          <w:bCs/>
          <w:sz w:val="22"/>
          <w:szCs w:val="22"/>
        </w:rPr>
      </w:pPr>
      <w:r>
        <w:rPr>
          <w:rFonts w:cs="Book Antiqua" w:ascii="Book Antiqua" w:hAnsi="Book Antiqua"/>
          <w:b/>
          <w:bCs/>
          <w:sz w:val="22"/>
          <w:szCs w:val="22"/>
        </w:rPr>
        <w:t>Prechodné ustanovenie k úprave účinnej od 1. januára 2021</w:t>
      </w:r>
    </w:p>
    <w:p>
      <w:pPr>
        <w:pStyle w:val="Normal"/>
        <w:tabs>
          <w:tab w:val="clear" w:pos="720"/>
          <w:tab w:val="left" w:pos="851" w:leader="none"/>
        </w:tabs>
        <w:spacing w:lineRule="auto" w:line="276" w:before="120" w:after="120"/>
        <w:ind w:left="851" w:hanging="0"/>
        <w:jc w:val="both"/>
        <w:rPr>
          <w:rFonts w:ascii="Book Antiqua" w:hAnsi="Book Antiqua" w:cs="Book Antiqua"/>
          <w:sz w:val="22"/>
          <w:szCs w:val="22"/>
        </w:rPr>
      </w:pPr>
      <w:r>
        <w:rPr>
          <w:rFonts w:cs="Book Antiqua" w:ascii="Book Antiqua" w:hAnsi="Book Antiqua"/>
          <w:sz w:val="22"/>
          <w:szCs w:val="22"/>
        </w:rPr>
        <w:t>Konanie o preskúmaní rozhodnutia vo veci ochrany verejného záujmu začaté pred 1. januárom 2021 sa dokončí podľa predpisov platných pred 1. januárom 2021.“.</w:t>
      </w:r>
    </w:p>
    <w:p>
      <w:pPr>
        <w:pStyle w:val="Normal"/>
        <w:spacing w:lineRule="auto" w:line="276" w:before="120" w:after="0"/>
        <w:jc w:val="center"/>
        <w:rPr>
          <w:rFonts w:ascii="Book Antiqua" w:hAnsi="Book Antiqua" w:cs="Book Antiqua"/>
          <w:b/>
          <w:b/>
          <w:bCs/>
          <w:sz w:val="22"/>
          <w:szCs w:val="22"/>
        </w:rPr>
      </w:pPr>
      <w:r>
        <w:rPr>
          <w:rFonts w:cs="Book Antiqua" w:ascii="Book Antiqua" w:hAnsi="Book Antiqua"/>
          <w:b/>
          <w:bCs/>
          <w:sz w:val="22"/>
          <w:szCs w:val="22"/>
        </w:rPr>
      </w:r>
    </w:p>
    <w:p>
      <w:pPr>
        <w:pStyle w:val="Normal"/>
        <w:spacing w:lineRule="auto" w:line="276" w:before="120" w:after="0"/>
        <w:jc w:val="center"/>
        <w:rPr>
          <w:rFonts w:ascii="Book Antiqua" w:hAnsi="Book Antiqua" w:cs="Book Antiqua"/>
          <w:b/>
          <w:b/>
          <w:bCs/>
          <w:sz w:val="22"/>
          <w:szCs w:val="22"/>
        </w:rPr>
      </w:pPr>
      <w:r>
        <w:rPr>
          <w:rFonts w:cs="Book Antiqua" w:ascii="Book Antiqua" w:hAnsi="Book Antiqua"/>
          <w:b/>
          <w:bCs/>
          <w:sz w:val="22"/>
          <w:szCs w:val="22"/>
        </w:rPr>
        <w:t>Čl. II</w:t>
      </w:r>
    </w:p>
    <w:p>
      <w:pPr>
        <w:pStyle w:val="Telotextu"/>
        <w:spacing w:lineRule="auto" w:line="276" w:before="120" w:after="0"/>
        <w:ind w:firstLine="708"/>
        <w:rPr/>
      </w:pPr>
      <w:r>
        <w:rPr>
          <w:rFonts w:eastAsia="Book Antiqua" w:cs="Book Antiqua" w:ascii="Book Antiqua" w:hAnsi="Book Antiqua"/>
          <w:sz w:val="22"/>
          <w:szCs w:val="22"/>
        </w:rPr>
        <w:t xml:space="preserve"> </w:t>
      </w:r>
      <w:r>
        <w:rPr>
          <w:rFonts w:cs="Book Antiqua" w:ascii="Book Antiqua" w:hAnsi="Book Antiqua"/>
          <w:sz w:val="22"/>
          <w:szCs w:val="22"/>
        </w:rPr>
        <w:t>Tento zákon nadobúda účinnosť 1. januára 2021.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swiss"/>
    <w:pitch w:val="variable"/>
  </w:font>
  <w:font w:name="Book Antiqua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Nadpis5"/>
      <w:numFmt w:val="decimal"/>
      <w:lvlText w:val="(%5)"/>
      <w:lvlJc w:val="left"/>
      <w:pPr>
        <w:tabs>
          <w:tab w:val="num" w:pos="3240"/>
        </w:tabs>
        <w:ind w:left="2880" w:hanging="0"/>
      </w:pPr>
      <w:rPr>
        <w:rFonts w:cs="Times New Roman"/>
      </w:rPr>
    </w:lvl>
    <w:lvl w:ilvl="5">
      <w:start w:val="1"/>
      <w:pStyle w:val="Nadpis6"/>
      <w:numFmt w:val="lowerLetter"/>
      <w:lvlText w:val="(%6)"/>
      <w:lvlJc w:val="left"/>
      <w:pPr>
        <w:tabs>
          <w:tab w:val="num" w:pos="3960"/>
        </w:tabs>
        <w:ind w:left="3600" w:hanging="0"/>
      </w:pPr>
      <w:rPr>
        <w:rFonts w:cs="Times New Roman"/>
      </w:rPr>
    </w:lvl>
    <w:lvl w:ilvl="6">
      <w:start w:val="1"/>
      <w:pStyle w:val="Nadpis7"/>
      <w:numFmt w:val="lowerRoman"/>
      <w:lvlText w:val="(%7)"/>
      <w:lvlJc w:val="left"/>
      <w:pPr>
        <w:tabs>
          <w:tab w:val="num" w:pos="4680"/>
        </w:tabs>
        <w:ind w:left="4320" w:hanging="0"/>
      </w:pPr>
      <w:rPr>
        <w:rFonts w:cs="Times New Roman"/>
      </w:rPr>
    </w:lvl>
    <w:lvl w:ilvl="7">
      <w:start w:val="1"/>
      <w:pStyle w:val="Nadpis8"/>
      <w:numFmt w:val="lowerLetter"/>
      <w:lvlText w:val="(%8)"/>
      <w:lvlJc w:val="left"/>
      <w:pPr>
        <w:tabs>
          <w:tab w:val="num" w:pos="5400"/>
        </w:tabs>
        <w:ind w:left="5040" w:hanging="0"/>
      </w:pPr>
      <w:rPr>
        <w:rFonts w:cs="Times New Roman"/>
      </w:rPr>
    </w:lvl>
    <w:lvl w:ilvl="8">
      <w:start w:val="1"/>
      <w:pStyle w:val="Nadpis9"/>
      <w:numFmt w:val="lowerRoman"/>
      <w:lvlText w:val="(%9)"/>
      <w:lvlJc w:val="left"/>
      <w:pPr>
        <w:tabs>
          <w:tab w:val="num" w:pos="6120"/>
        </w:tabs>
        <w:ind w:left="5760" w:hanging="0"/>
      </w:pPr>
      <w:rPr>
        <w:rFonts w:cs="Times New Roman"/>
      </w:rPr>
    </w:lvl>
  </w:abstractNum>
  <w:abstractNum w:abstractNumId="2"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sz w:val="28"/>
        <w:i w:val="false"/>
        <w:b/>
        <w:szCs w:val="28"/>
        <w:iCs w:val="false"/>
        <w:bCs/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851"/>
      </w:pPr>
      <w:rPr>
        <w:sz w:val="24"/>
        <w:i w:val="false"/>
        <w:b w:val="false"/>
        <w:szCs w:val="24"/>
        <w:iCs w:val="false"/>
        <w:bCs w:val="false"/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418"/>
        </w:tabs>
        <w:ind w:left="1418" w:hanging="851"/>
      </w:pPr>
      <w:rPr>
        <w:sz w:val="24"/>
        <w:i w:val="false"/>
        <w:b w:val="false"/>
        <w:szCs w:val="24"/>
        <w:iCs w:val="false"/>
        <w:bCs w:val="false"/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418"/>
        </w:tabs>
        <w:ind w:left="1418" w:hanging="1418"/>
      </w:pPr>
      <w:rPr>
        <w:sz w:val="24"/>
        <w:i/>
        <w:b w:val="false"/>
        <w:szCs w:val="24"/>
        <w:iCs/>
        <w:bCs w:val="false"/>
        <w:rFonts w:ascii="Times New Roman" w:hAnsi="Times New Roman" w:cs="Times New Roman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hanging="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hanging="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hanging="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hanging="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hanging="0"/>
      </w:pPr>
      <w:rPr>
        <w:rFonts w:cs="Times New Roman"/>
      </w:rPr>
    </w:lvl>
  </w:abstractNum>
  <w:abstractNum w:abstractNumId="3">
    <w:lvl w:ilvl="0">
      <w:start w:val="1"/>
      <w:numFmt w:val="decimal"/>
      <w:lvlText w:val="%1."/>
      <w:lvlJc w:val="left"/>
      <w:pPr>
        <w:ind w:left="1308" w:hanging="360"/>
      </w:pPr>
      <w:rPr>
        <w:sz w:val="22"/>
        <w:szCs w:val="22"/>
        <w:rFonts w:ascii="Book Antiqua" w:hAnsi="Book Antiqua" w:cs="Book Antiqua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Cs w:val="24"/>
        <w:lang w:val="sk-SK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sk-SK" w:bidi="ar-SA" w:eastAsia="zh-CN"/>
    </w:rPr>
  </w:style>
  <w:style w:type="paragraph" w:styleId="Nadpis5">
    <w:name w:val="Heading 5"/>
    <w:basedOn w:val="Normal"/>
    <w:next w:val="Normal"/>
    <w:qFormat/>
    <w:pPr>
      <w:numPr>
        <w:ilvl w:val="4"/>
        <w:numId w:val="1"/>
      </w:numPr>
      <w:tabs>
        <w:tab w:val="clear" w:pos="720"/>
        <w:tab w:val="left" w:pos="3240" w:leader="none"/>
      </w:tabs>
      <w:spacing w:before="240" w:after="60"/>
      <w:ind w:left="2880" w:hanging="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Nadpis6">
    <w:name w:val="Heading 6"/>
    <w:basedOn w:val="Normal"/>
    <w:next w:val="Normal"/>
    <w:qFormat/>
    <w:pPr>
      <w:numPr>
        <w:ilvl w:val="5"/>
        <w:numId w:val="1"/>
      </w:numPr>
      <w:tabs>
        <w:tab w:val="clear" w:pos="720"/>
        <w:tab w:val="left" w:pos="3960" w:leader="none"/>
      </w:tabs>
      <w:spacing w:before="240" w:after="60"/>
      <w:ind w:left="3600" w:hanging="0"/>
      <w:outlineLvl w:val="5"/>
    </w:pPr>
    <w:rPr>
      <w:rFonts w:ascii="Calibri" w:hAnsi="Calibri" w:cs="Calibri"/>
      <w:b/>
      <w:bCs/>
    </w:rPr>
  </w:style>
  <w:style w:type="paragraph" w:styleId="Nadpis7">
    <w:name w:val="Heading 7"/>
    <w:basedOn w:val="Normal"/>
    <w:next w:val="Normal"/>
    <w:qFormat/>
    <w:pPr>
      <w:numPr>
        <w:ilvl w:val="6"/>
        <w:numId w:val="1"/>
      </w:numPr>
      <w:tabs>
        <w:tab w:val="clear" w:pos="720"/>
        <w:tab w:val="left" w:pos="4680" w:leader="none"/>
      </w:tabs>
      <w:spacing w:before="240" w:after="60"/>
      <w:ind w:left="4320" w:hanging="0"/>
      <w:outlineLvl w:val="6"/>
    </w:pPr>
    <w:rPr>
      <w:rFonts w:ascii="Calibri" w:hAnsi="Calibri" w:cs="Calibri"/>
      <w:sz w:val="24"/>
      <w:szCs w:val="24"/>
    </w:rPr>
  </w:style>
  <w:style w:type="paragraph" w:styleId="Nadpis8">
    <w:name w:val="Heading 8"/>
    <w:basedOn w:val="Normal"/>
    <w:next w:val="Normal"/>
    <w:qFormat/>
    <w:pPr>
      <w:numPr>
        <w:ilvl w:val="7"/>
        <w:numId w:val="1"/>
      </w:numPr>
      <w:tabs>
        <w:tab w:val="clear" w:pos="720"/>
        <w:tab w:val="left" w:pos="5400" w:leader="none"/>
      </w:tabs>
      <w:spacing w:before="240" w:after="60"/>
      <w:ind w:left="5040" w:hanging="0"/>
      <w:outlineLvl w:val="7"/>
    </w:pPr>
    <w:rPr>
      <w:rFonts w:ascii="Calibri" w:hAnsi="Calibri" w:cs="Calibri"/>
      <w:i/>
      <w:iCs/>
      <w:sz w:val="24"/>
      <w:szCs w:val="24"/>
    </w:rPr>
  </w:style>
  <w:style w:type="paragraph" w:styleId="Nadpis9">
    <w:name w:val="Heading 9"/>
    <w:basedOn w:val="Normal"/>
    <w:next w:val="Normal"/>
    <w:qFormat/>
    <w:pPr>
      <w:numPr>
        <w:ilvl w:val="8"/>
        <w:numId w:val="1"/>
      </w:numPr>
      <w:tabs>
        <w:tab w:val="clear" w:pos="720"/>
        <w:tab w:val="left" w:pos="6120" w:leader="none"/>
      </w:tabs>
      <w:spacing w:before="240" w:after="60"/>
      <w:ind w:left="5760" w:hanging="0"/>
      <w:outlineLvl w:val="8"/>
    </w:pPr>
    <w:rPr>
      <w:rFonts w:ascii="Calibri" w:hAnsi="Calibri" w:cs="Calibri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Times New Roman" w:hAnsi="Times New Roman" w:cs="Times New Roman"/>
      <w:b/>
      <w:bCs/>
      <w:i w:val="false"/>
      <w:iCs w:val="false"/>
      <w:sz w:val="28"/>
      <w:szCs w:val="28"/>
    </w:rPr>
  </w:style>
  <w:style w:type="character" w:styleId="WW8Num3z1">
    <w:name w:val="WW8Num3z1"/>
    <w:qFormat/>
    <w:rPr>
      <w:rFonts w:ascii="Times New Roman" w:hAnsi="Times New Roman" w:cs="Times New Roman"/>
      <w:b w:val="false"/>
      <w:bCs w:val="false"/>
      <w:i w:val="false"/>
      <w:iCs w:val="false"/>
      <w:sz w:val="24"/>
      <w:szCs w:val="24"/>
    </w:rPr>
  </w:style>
  <w:style w:type="character" w:styleId="WW8Num3z3">
    <w:name w:val="WW8Num3z3"/>
    <w:qFormat/>
    <w:rPr>
      <w:rFonts w:ascii="Times New Roman" w:hAnsi="Times New Roman" w:cs="Times New Roman"/>
      <w:b w:val="false"/>
      <w:bCs w:val="false"/>
      <w:i/>
      <w:iCs/>
      <w:sz w:val="24"/>
      <w:szCs w:val="24"/>
    </w:rPr>
  </w:style>
  <w:style w:type="character" w:styleId="WW8Num3z4">
    <w:name w:val="WW8Num3z4"/>
    <w:qFormat/>
    <w:rPr>
      <w:rFonts w:cs="Times New Roman"/>
    </w:rPr>
  </w:style>
  <w:style w:type="character" w:styleId="WW8Num4z0">
    <w:name w:val="WW8Num4z0"/>
    <w:qFormat/>
    <w:rPr>
      <w:rFonts w:cs="Times New Roman"/>
      <w:b w:val="false"/>
    </w:rPr>
  </w:style>
  <w:style w:type="character" w:styleId="WW8Num4z1">
    <w:name w:val="WW8Num4z1"/>
    <w:qFormat/>
    <w:rPr>
      <w:rFonts w:cs="Times New Roman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rFonts w:cs="Times New Roman"/>
    </w:rPr>
  </w:style>
  <w:style w:type="character" w:styleId="WW8Num6z1">
    <w:name w:val="WW8Num6z1"/>
    <w:qFormat/>
    <w:rPr>
      <w:rFonts w:cs="Times New Roman"/>
    </w:rPr>
  </w:style>
  <w:style w:type="character" w:styleId="WW8Num7z0">
    <w:name w:val="WW8Num7z0"/>
    <w:qFormat/>
    <w:rPr>
      <w:rFonts w:cs="Times New Roman"/>
    </w:rPr>
  </w:style>
  <w:style w:type="character" w:styleId="WW8Num7z1">
    <w:name w:val="WW8Num7z1"/>
    <w:qFormat/>
    <w:rPr>
      <w:rFonts w:cs="Times New Roman"/>
    </w:rPr>
  </w:style>
  <w:style w:type="character" w:styleId="WW8Num8z0">
    <w:name w:val="WW8Num8z0"/>
    <w:qFormat/>
    <w:rPr>
      <w:rFonts w:cs="Times New Roman"/>
    </w:rPr>
  </w:style>
  <w:style w:type="character" w:styleId="WW8Num8z1">
    <w:name w:val="WW8Num8z1"/>
    <w:qFormat/>
    <w:rPr>
      <w:rFonts w:cs="Times New Roman"/>
    </w:rPr>
  </w:style>
  <w:style w:type="character" w:styleId="WW8Num9z0">
    <w:name w:val="WW8Num9z0"/>
    <w:qFormat/>
    <w:rPr>
      <w:rFonts w:ascii="Times New Roman" w:hAnsi="Times New Roman" w:cs="Times New Roman"/>
      <w:b w:val="false"/>
      <w:i w:val="false"/>
      <w:color w:val="000000"/>
      <w:sz w:val="24"/>
    </w:rPr>
  </w:style>
  <w:style w:type="character" w:styleId="WW8Num9z1">
    <w:name w:val="WW8Num9z1"/>
    <w:qFormat/>
    <w:rPr>
      <w:rFonts w:cs="Times New Roman"/>
    </w:rPr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>
      <w:rFonts w:cs="Times New Roman"/>
    </w:rPr>
  </w:style>
  <w:style w:type="character" w:styleId="WW8Num12z1">
    <w:name w:val="WW8Num12z1"/>
    <w:qFormat/>
    <w:rPr>
      <w:rFonts w:cs="Times New Roman"/>
    </w:rPr>
  </w:style>
  <w:style w:type="character" w:styleId="WW8Num13z0">
    <w:name w:val="WW8Num13z0"/>
    <w:qFormat/>
    <w:rPr>
      <w:rFonts w:ascii="Book Antiqua" w:hAnsi="Book Antiqua" w:cs="Book Antiqua"/>
      <w:sz w:val="22"/>
      <w:szCs w:val="22"/>
    </w:rPr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>
      <w:rFonts w:cs="Times New Roman"/>
      <w:color w:val="000000"/>
    </w:rPr>
  </w:style>
  <w:style w:type="character" w:styleId="WW8Num14z1">
    <w:name w:val="WW8Num14z1"/>
    <w:qFormat/>
    <w:rPr>
      <w:rFonts w:cs="Times New Roman"/>
    </w:rPr>
  </w:style>
  <w:style w:type="character" w:styleId="Predvolenpsmoodseku">
    <w:name w:val="Predvolené písmo odseku"/>
    <w:qFormat/>
    <w:rPr/>
  </w:style>
  <w:style w:type="character" w:styleId="Nadpis5Char">
    <w:name w:val="Nadpis 5 Char"/>
    <w:qFormat/>
    <w:rPr>
      <w:rFonts w:ascii="Calibri" w:hAnsi="Calibri" w:cs="Times New Roman"/>
      <w:b/>
      <w:i/>
      <w:sz w:val="26"/>
      <w:lang w:val="sk-SK"/>
    </w:rPr>
  </w:style>
  <w:style w:type="character" w:styleId="Nadpis8Char">
    <w:name w:val="Nadpis 8 Char"/>
    <w:qFormat/>
    <w:rPr>
      <w:rFonts w:ascii="Calibri" w:hAnsi="Calibri" w:cs="Times New Roman"/>
      <w:i/>
      <w:sz w:val="24"/>
      <w:lang w:val="sk-SK"/>
    </w:rPr>
  </w:style>
  <w:style w:type="character" w:styleId="Nadpis9Char">
    <w:name w:val="Nadpis 9 Char"/>
    <w:qFormat/>
    <w:rPr>
      <w:rFonts w:ascii="Calibri" w:hAnsi="Calibri" w:cs="Times New Roman"/>
      <w:sz w:val="20"/>
      <w:lang w:val="sk-SK"/>
    </w:rPr>
  </w:style>
  <w:style w:type="character" w:styleId="Nadpis7Char">
    <w:name w:val="Nadpis 7 Char"/>
    <w:qFormat/>
    <w:rPr>
      <w:rFonts w:ascii="Calibri" w:hAnsi="Calibri" w:cs="Times New Roman"/>
      <w:sz w:val="24"/>
      <w:lang w:val="sk-SK"/>
    </w:rPr>
  </w:style>
  <w:style w:type="character" w:styleId="Nadpis6Char">
    <w:name w:val="Nadpis 6 Char"/>
    <w:qFormat/>
    <w:rPr>
      <w:rFonts w:ascii="Calibri" w:hAnsi="Calibri" w:cs="Times New Roman"/>
      <w:b/>
      <w:sz w:val="20"/>
      <w:lang w:val="sk-SK"/>
    </w:rPr>
  </w:style>
  <w:style w:type="character" w:styleId="Internetovodkaz">
    <w:name w:val="Internetový odkaz"/>
    <w:rPr>
      <w:rFonts w:cs="Times New Roman"/>
      <w:color w:val="0000FF"/>
      <w:u w:val="single"/>
    </w:rPr>
  </w:style>
  <w:style w:type="character" w:styleId="ZkladntextChar">
    <w:name w:val="Základný text Char"/>
    <w:qFormat/>
    <w:rPr>
      <w:rFonts w:ascii="Times New Roman" w:hAnsi="Times New Roman" w:cs="Times New Roman"/>
      <w:sz w:val="20"/>
      <w:lang w:val="sk-SK"/>
    </w:rPr>
  </w:style>
  <w:style w:type="character" w:styleId="Awspan">
    <w:name w:val="awspan"/>
    <w:qFormat/>
    <w:rPr/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lotextu">
    <w:name w:val="Body Text"/>
    <w:basedOn w:val="Normal"/>
    <w:pPr>
      <w:jc w:val="both"/>
    </w:pPr>
    <w:rPr/>
  </w:style>
  <w:style w:type="paragraph" w:styleId="Zoznam">
    <w:name w:val="List"/>
    <w:basedOn w:val="Telotextu"/>
    <w:pPr/>
    <w:rPr>
      <w:rFonts w:cs="Mang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Nadpis3Podloha">
    <w:name w:val="Nadpis 3.Podśloha"/>
    <w:basedOn w:val="Normal"/>
    <w:qFormat/>
    <w:pPr>
      <w:keepNext w:val="true"/>
      <w:numPr>
        <w:ilvl w:val="0"/>
        <w:numId w:val="2"/>
      </w:numPr>
      <w:tabs>
        <w:tab w:val="clear" w:pos="720"/>
        <w:tab w:val="left" w:pos="1418" w:leader="none"/>
      </w:tabs>
      <w:spacing w:before="120" w:after="0"/>
      <w:ind w:left="2269" w:hanging="851"/>
      <w:outlineLvl w:val="2"/>
    </w:pPr>
    <w:rPr>
      <w:sz w:val="24"/>
      <w:szCs w:val="24"/>
    </w:rPr>
  </w:style>
  <w:style w:type="paragraph" w:styleId="Nadpis1orobas">
    <w:name w:val="Nadpis 1.Èo rob’ (as_)"/>
    <w:basedOn w:val="Normal"/>
    <w:next w:val="Normal"/>
    <w:qFormat/>
    <w:pPr>
      <w:keepNext w:val="true"/>
      <w:numPr>
        <w:ilvl w:val="0"/>
        <w:numId w:val="2"/>
      </w:numPr>
      <w:tabs>
        <w:tab w:val="clear" w:pos="720"/>
        <w:tab w:val="left" w:pos="567" w:leader="none"/>
      </w:tabs>
      <w:spacing w:before="360" w:after="0"/>
      <w:ind w:left="567" w:hanging="567"/>
      <w:outlineLvl w:val="0"/>
    </w:pPr>
    <w:rPr>
      <w:b/>
      <w:bCs/>
      <w:kern w:val="2"/>
      <w:sz w:val="28"/>
      <w:szCs w:val="28"/>
    </w:rPr>
  </w:style>
  <w:style w:type="paragraph" w:styleId="Nadpis2loha">
    <w:name w:val="Nadpis 2.ňloha"/>
    <w:basedOn w:val="Normal"/>
    <w:qFormat/>
    <w:pPr>
      <w:numPr>
        <w:ilvl w:val="0"/>
        <w:numId w:val="2"/>
      </w:numPr>
      <w:tabs>
        <w:tab w:val="clear" w:pos="720"/>
        <w:tab w:val="left" w:pos="1418" w:leader="none"/>
      </w:tabs>
      <w:spacing w:before="120" w:after="0"/>
      <w:ind w:left="1418" w:hanging="851"/>
      <w:jc w:val="both"/>
      <w:outlineLvl w:val="1"/>
    </w:pPr>
    <w:rPr>
      <w:sz w:val="24"/>
      <w:szCs w:val="24"/>
    </w:rPr>
  </w:style>
  <w:style w:type="paragraph" w:styleId="Nadpis4Termn">
    <w:name w:val="Nadpis 4.Term’n"/>
    <w:basedOn w:val="Normal"/>
    <w:next w:val="Nadpis2loha"/>
    <w:qFormat/>
    <w:pPr>
      <w:numPr>
        <w:ilvl w:val="0"/>
        <w:numId w:val="2"/>
      </w:numPr>
      <w:tabs>
        <w:tab w:val="clear" w:pos="720"/>
        <w:tab w:val="left" w:pos="1418" w:leader="none"/>
      </w:tabs>
      <w:spacing w:before="120" w:after="120"/>
      <w:ind w:left="1418" w:hanging="1418"/>
      <w:outlineLvl w:val="3"/>
    </w:pPr>
    <w:rPr>
      <w:i/>
      <w:iCs/>
      <w:sz w:val="24"/>
      <w:szCs w:val="24"/>
    </w:rPr>
  </w:style>
  <w:style w:type="paragraph" w:styleId="Odsekzoznamu">
    <w:name w:val="Odsek zoznamu"/>
    <w:basedOn w:val="Normal"/>
    <w:qFormat/>
    <w:pPr>
      <w:autoSpaceDE w:val="true"/>
      <w:spacing w:lineRule="auto" w:line="276" w:before="0" w:after="200"/>
      <w:ind w:left="720" w:hanging="0"/>
    </w:pPr>
    <w:rPr>
      <w:rFonts w:ascii="Calibri" w:hAnsi="Calibri" w:cs="Calibri"/>
      <w:sz w:val="22"/>
      <w:szCs w:val="22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13</TotalTime>
  <Application>LibreOffice/6.2.3.2$Windows_X86_64 LibreOffice_project/aecc05fe267cc68dde00352a451aa867b3b546ac</Application>
  <Pages>2</Pages>
  <Words>351</Words>
  <Characters>1736</Characters>
  <CharactersWithSpaces>2066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2019-11-05T08:35:00Z</dcterms:created>
  <dc:creator>skywalker</dc:creator>
  <dc:description/>
  <cp:keywords/>
  <dc:language>sk-SK</dc:language>
  <cp:lastModifiedBy>Milan</cp:lastModifiedBy>
  <dcterms:modified xsi:type="dcterms:W3CDTF">2019-11-05T10:52:00Z</dcterms:modified>
  <cp:revision>5</cp:revision>
  <dc:subject/>
  <dc:title/>
</cp:coreProperties>
</file>