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xml" ContentType="application/vnd.openxmlformats-officedocument.themeOverrid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xml" ContentType="application/vnd.openxmlformats-officedocument.themeOverrid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F755" w14:textId="77777777" w:rsidR="00FA5B90" w:rsidRDefault="00FA5B90" w:rsidP="00FA5B90">
      <w:pPr>
        <w:pStyle w:val="Hlavika"/>
        <w:tabs>
          <w:tab w:val="clear" w:pos="4536"/>
          <w:tab w:val="clear" w:pos="9072"/>
          <w:tab w:val="right" w:pos="0"/>
          <w:tab w:val="center" w:pos="9356"/>
        </w:tabs>
        <w:jc w:val="center"/>
        <w:rPr>
          <w:b/>
          <w:spacing w:val="40"/>
          <w:sz w:val="24"/>
          <w:szCs w:val="24"/>
        </w:rPr>
      </w:pPr>
      <w:bookmarkStart w:id="0" w:name="_Toc415474335"/>
      <w:bookmarkStart w:id="1" w:name="_Toc415479032"/>
      <w:bookmarkStart w:id="2" w:name="_Toc443481670"/>
      <w:bookmarkStart w:id="3" w:name="_GoBack"/>
      <w:bookmarkEnd w:id="3"/>
      <w:r>
        <w:rPr>
          <w:b/>
          <w:spacing w:val="40"/>
          <w:sz w:val="24"/>
          <w:szCs w:val="24"/>
        </w:rPr>
        <w:t>NAJVYŠŠÍ KONTROLNÝ ÚRAD</w:t>
      </w:r>
    </w:p>
    <w:p w14:paraId="510C1FE4" w14:textId="77777777" w:rsidR="00FA5B90" w:rsidRDefault="00FA5B90" w:rsidP="00FA5B90">
      <w:pPr>
        <w:pStyle w:val="Hlavika"/>
        <w:tabs>
          <w:tab w:val="clear" w:pos="4536"/>
          <w:tab w:val="clear" w:pos="9072"/>
          <w:tab w:val="right" w:pos="0"/>
          <w:tab w:val="center" w:pos="9356"/>
        </w:tabs>
        <w:jc w:val="center"/>
        <w:rPr>
          <w:b/>
          <w:spacing w:val="40"/>
          <w:sz w:val="24"/>
          <w:szCs w:val="24"/>
        </w:rPr>
      </w:pPr>
      <w:r>
        <w:rPr>
          <w:b/>
          <w:spacing w:val="40"/>
          <w:sz w:val="24"/>
          <w:szCs w:val="24"/>
        </w:rPr>
        <w:t>SLOVENSKEJ REPUBLIKY</w:t>
      </w:r>
    </w:p>
    <w:p w14:paraId="59304784" w14:textId="77777777" w:rsidR="00FA5B90" w:rsidRDefault="00FA5B90" w:rsidP="00FA5B90">
      <w:pPr>
        <w:jc w:val="center"/>
        <w:rPr>
          <w:sz w:val="24"/>
          <w:szCs w:val="24"/>
        </w:rPr>
      </w:pPr>
    </w:p>
    <w:p w14:paraId="2C347D0E" w14:textId="77777777" w:rsidR="00FA5B90" w:rsidRDefault="00FA5B90" w:rsidP="00FA5B90">
      <w:pPr>
        <w:jc w:val="center"/>
        <w:rPr>
          <w:sz w:val="24"/>
          <w:szCs w:val="24"/>
        </w:rPr>
      </w:pPr>
    </w:p>
    <w:p w14:paraId="74AE3D5A" w14:textId="77777777" w:rsidR="00FA5B90" w:rsidRPr="0007154E" w:rsidRDefault="00FA5B90" w:rsidP="00FA5B90">
      <w:pPr>
        <w:ind w:left="1416"/>
        <w:rPr>
          <w:sz w:val="24"/>
          <w:szCs w:val="24"/>
        </w:rPr>
      </w:pPr>
      <w:r w:rsidRPr="0007154E">
        <w:rPr>
          <w:sz w:val="24"/>
          <w:szCs w:val="24"/>
        </w:rPr>
        <w:tab/>
      </w:r>
      <w:r w:rsidRPr="0007154E">
        <w:rPr>
          <w:sz w:val="24"/>
          <w:szCs w:val="24"/>
        </w:rPr>
        <w:tab/>
      </w:r>
      <w:r w:rsidRPr="0007154E">
        <w:rPr>
          <w:sz w:val="24"/>
          <w:szCs w:val="24"/>
        </w:rPr>
        <w:tab/>
      </w:r>
      <w:r w:rsidRPr="0007154E">
        <w:rPr>
          <w:sz w:val="24"/>
          <w:szCs w:val="24"/>
        </w:rPr>
        <w:tab/>
      </w:r>
      <w:r w:rsidRPr="0007154E">
        <w:rPr>
          <w:sz w:val="24"/>
          <w:szCs w:val="24"/>
        </w:rPr>
        <w:tab/>
      </w:r>
      <w:r w:rsidRPr="0007154E">
        <w:rPr>
          <w:sz w:val="24"/>
          <w:szCs w:val="24"/>
        </w:rPr>
        <w:tab/>
      </w:r>
      <w:r w:rsidRPr="0007154E">
        <w:rPr>
          <w:sz w:val="24"/>
          <w:szCs w:val="24"/>
        </w:rPr>
        <w:tab/>
      </w:r>
    </w:p>
    <w:p w14:paraId="5B749988" w14:textId="77777777" w:rsidR="00FA5B90" w:rsidRPr="0007154E" w:rsidRDefault="00FA5B90" w:rsidP="00FA5B90">
      <w:pPr>
        <w:tabs>
          <w:tab w:val="left" w:pos="2335"/>
        </w:tabs>
      </w:pPr>
    </w:p>
    <w:p w14:paraId="2332EFB8" w14:textId="77777777" w:rsidR="00FA5B90" w:rsidRDefault="00FA5B90" w:rsidP="00FA5B90">
      <w:pPr>
        <w:tabs>
          <w:tab w:val="left" w:pos="2335"/>
        </w:tabs>
        <w:spacing w:after="120"/>
      </w:pPr>
    </w:p>
    <w:p w14:paraId="74231C3D" w14:textId="77777777" w:rsidR="00FA5B90" w:rsidRDefault="00FA5B90" w:rsidP="00FA5B90">
      <w:pPr>
        <w:tabs>
          <w:tab w:val="left" w:pos="2335"/>
        </w:tabs>
        <w:spacing w:after="120"/>
      </w:pPr>
      <w:r>
        <w:rPr>
          <w:noProof/>
          <w:lang w:eastAsia="sk-SK"/>
        </w:rPr>
        <w:drawing>
          <wp:anchor distT="0" distB="0" distL="114300" distR="114300" simplePos="0" relativeHeight="251658240" behindDoc="0" locked="0" layoutInCell="1" allowOverlap="1" wp14:anchorId="1E692E97" wp14:editId="442D0742">
            <wp:simplePos x="0" y="0"/>
            <wp:positionH relativeFrom="margin">
              <wp:posOffset>1193165</wp:posOffset>
            </wp:positionH>
            <wp:positionV relativeFrom="margin">
              <wp:posOffset>1250315</wp:posOffset>
            </wp:positionV>
            <wp:extent cx="3600450" cy="2657475"/>
            <wp:effectExtent l="0" t="0" r="0" b="9525"/>
            <wp:wrapSquare wrapText="bothSides"/>
            <wp:docPr id="5" name="Obrázok 5" descr="Popis: Popis: logo8x9_nadokument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descr="Popis: Popis: logo8x9_nadokumenty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657475"/>
                    </a:xfrm>
                    <a:prstGeom prst="rect">
                      <a:avLst/>
                    </a:prstGeom>
                    <a:noFill/>
                  </pic:spPr>
                </pic:pic>
              </a:graphicData>
            </a:graphic>
          </wp:anchor>
        </w:drawing>
      </w:r>
    </w:p>
    <w:p w14:paraId="01FF4B6C" w14:textId="77777777" w:rsidR="00FA5B90" w:rsidRDefault="00FA5B90" w:rsidP="00FA5B90">
      <w:pPr>
        <w:tabs>
          <w:tab w:val="left" w:pos="2335"/>
        </w:tabs>
        <w:spacing w:after="120"/>
      </w:pPr>
    </w:p>
    <w:p w14:paraId="39FD1A11" w14:textId="77777777" w:rsidR="00FA5B90" w:rsidRDefault="00FA5B90" w:rsidP="00FA5B90">
      <w:pPr>
        <w:tabs>
          <w:tab w:val="left" w:pos="2335"/>
        </w:tabs>
        <w:spacing w:after="120"/>
      </w:pPr>
    </w:p>
    <w:p w14:paraId="3DDDE1FC" w14:textId="77777777" w:rsidR="00FA5B90" w:rsidRDefault="00FA5B90" w:rsidP="00FA5B90">
      <w:pPr>
        <w:tabs>
          <w:tab w:val="left" w:pos="2335"/>
        </w:tabs>
        <w:spacing w:after="120"/>
      </w:pPr>
    </w:p>
    <w:p w14:paraId="043348EE" w14:textId="77777777" w:rsidR="00FA5B90" w:rsidRDefault="00FA5B90" w:rsidP="00FA5B90">
      <w:pPr>
        <w:tabs>
          <w:tab w:val="left" w:pos="2335"/>
        </w:tabs>
        <w:spacing w:after="120"/>
      </w:pPr>
    </w:p>
    <w:p w14:paraId="3E8197C5" w14:textId="77777777" w:rsidR="00FA5B90" w:rsidRDefault="00FA5B90" w:rsidP="00FA5B90">
      <w:pPr>
        <w:tabs>
          <w:tab w:val="left" w:pos="2335"/>
        </w:tabs>
        <w:spacing w:after="120"/>
      </w:pPr>
    </w:p>
    <w:p w14:paraId="0CA83B15" w14:textId="77777777" w:rsidR="00FA5B90" w:rsidRDefault="00FA5B90" w:rsidP="00FA5B90">
      <w:pPr>
        <w:tabs>
          <w:tab w:val="left" w:pos="2335"/>
        </w:tabs>
        <w:spacing w:after="120"/>
      </w:pPr>
    </w:p>
    <w:p w14:paraId="2CEF584A" w14:textId="77777777" w:rsidR="00FA5B90" w:rsidRDefault="00FA5B90" w:rsidP="00FA5B90">
      <w:pPr>
        <w:rPr>
          <w:b/>
        </w:rPr>
      </w:pPr>
    </w:p>
    <w:p w14:paraId="751AE98B" w14:textId="77777777" w:rsidR="00FA5B90" w:rsidRDefault="00FA5B90" w:rsidP="00FA5B90">
      <w:pPr>
        <w:jc w:val="center"/>
        <w:rPr>
          <w:b/>
        </w:rPr>
      </w:pPr>
    </w:p>
    <w:p w14:paraId="247E7175" w14:textId="77777777" w:rsidR="00FA5B90" w:rsidRDefault="00FA5B90" w:rsidP="00FA5B90">
      <w:pPr>
        <w:jc w:val="center"/>
        <w:rPr>
          <w:b/>
        </w:rPr>
      </w:pPr>
    </w:p>
    <w:p w14:paraId="21D36801" w14:textId="77777777" w:rsidR="00FA5B90" w:rsidRDefault="00FA5B90" w:rsidP="00FA5B90">
      <w:pPr>
        <w:jc w:val="center"/>
        <w:rPr>
          <w:b/>
        </w:rPr>
      </w:pPr>
    </w:p>
    <w:p w14:paraId="4649A151" w14:textId="77777777" w:rsidR="00FA5B90" w:rsidRDefault="00FA5B90" w:rsidP="00FA5B90">
      <w:pPr>
        <w:jc w:val="center"/>
        <w:rPr>
          <w:b/>
        </w:rPr>
      </w:pPr>
    </w:p>
    <w:p w14:paraId="11BE67B0" w14:textId="77777777" w:rsidR="00FA5B90" w:rsidRDefault="00FA5B90" w:rsidP="00FA5B90">
      <w:pPr>
        <w:jc w:val="center"/>
        <w:rPr>
          <w:b/>
        </w:rPr>
      </w:pPr>
    </w:p>
    <w:p w14:paraId="509C7472" w14:textId="77777777" w:rsidR="00FA5B90" w:rsidRDefault="00FA5B90" w:rsidP="00FA5B90">
      <w:pPr>
        <w:jc w:val="center"/>
        <w:rPr>
          <w:b/>
        </w:rPr>
      </w:pPr>
    </w:p>
    <w:p w14:paraId="1D2C2B62" w14:textId="77777777" w:rsidR="00FA5B90" w:rsidRDefault="00FA5B90" w:rsidP="00FA5B90">
      <w:pPr>
        <w:jc w:val="center"/>
        <w:rPr>
          <w:b/>
        </w:rPr>
      </w:pPr>
    </w:p>
    <w:p w14:paraId="42890CA4" w14:textId="77777777" w:rsidR="00FA5B90" w:rsidRDefault="00FA5B90" w:rsidP="00FA5B90">
      <w:pPr>
        <w:jc w:val="center"/>
        <w:rPr>
          <w:b/>
        </w:rPr>
      </w:pPr>
    </w:p>
    <w:p w14:paraId="1EB6D8B4" w14:textId="77777777" w:rsidR="00FA5B90" w:rsidRDefault="00FA5B90" w:rsidP="00FA5B90">
      <w:pPr>
        <w:jc w:val="center"/>
        <w:rPr>
          <w:b/>
        </w:rPr>
      </w:pPr>
    </w:p>
    <w:p w14:paraId="67A44529" w14:textId="77777777" w:rsidR="00FA5B90" w:rsidRPr="00E61D07" w:rsidRDefault="00FA5B90" w:rsidP="00FA5B90">
      <w:pPr>
        <w:jc w:val="center"/>
        <w:rPr>
          <w:b/>
          <w:sz w:val="26"/>
          <w:szCs w:val="26"/>
        </w:rPr>
      </w:pPr>
      <w:r w:rsidRPr="00E61D07">
        <w:rPr>
          <w:b/>
          <w:sz w:val="26"/>
          <w:szCs w:val="26"/>
        </w:rPr>
        <w:t>S T A N O V I S K O</w:t>
      </w:r>
    </w:p>
    <w:p w14:paraId="23FE1295" w14:textId="77777777" w:rsidR="00FA5B90" w:rsidRPr="00E61D07" w:rsidRDefault="00FA5B90" w:rsidP="00FA5B90">
      <w:pPr>
        <w:jc w:val="center"/>
        <w:rPr>
          <w:b/>
        </w:rPr>
      </w:pPr>
    </w:p>
    <w:p w14:paraId="651BAC0D" w14:textId="77777777" w:rsidR="00FA5B90" w:rsidRPr="00E61D07" w:rsidRDefault="00FA5B90" w:rsidP="00FA5B90">
      <w:pPr>
        <w:jc w:val="center"/>
        <w:rPr>
          <w:b/>
          <w:sz w:val="26"/>
          <w:szCs w:val="26"/>
        </w:rPr>
      </w:pPr>
      <w:r w:rsidRPr="00E61D07">
        <w:rPr>
          <w:b/>
          <w:sz w:val="26"/>
          <w:szCs w:val="26"/>
        </w:rPr>
        <w:t xml:space="preserve">Najvyššieho kontrolného úradu Slovenskej republiky </w:t>
      </w:r>
    </w:p>
    <w:p w14:paraId="71A46B53" w14:textId="77777777" w:rsidR="00FA5B90" w:rsidRPr="00E61D07" w:rsidRDefault="00FA5B90" w:rsidP="00FA5B90">
      <w:pPr>
        <w:jc w:val="center"/>
        <w:rPr>
          <w:b/>
          <w:sz w:val="26"/>
          <w:szCs w:val="26"/>
        </w:rPr>
      </w:pPr>
      <w:r w:rsidRPr="00E61D07">
        <w:rPr>
          <w:b/>
          <w:sz w:val="26"/>
          <w:szCs w:val="26"/>
        </w:rPr>
        <w:t xml:space="preserve">k návrhu štátneho </w:t>
      </w:r>
      <w:r w:rsidR="004925C2">
        <w:rPr>
          <w:b/>
          <w:sz w:val="26"/>
          <w:szCs w:val="26"/>
        </w:rPr>
        <w:t>rozpočtu</w:t>
      </w:r>
      <w:r w:rsidRPr="00E61D07">
        <w:rPr>
          <w:b/>
          <w:sz w:val="26"/>
          <w:szCs w:val="26"/>
        </w:rPr>
        <w:t xml:space="preserve"> </w:t>
      </w:r>
      <w:r w:rsidR="004925C2">
        <w:rPr>
          <w:b/>
          <w:sz w:val="26"/>
          <w:szCs w:val="26"/>
        </w:rPr>
        <w:t>Slovenskej republiky na rok 2020</w:t>
      </w:r>
    </w:p>
    <w:p w14:paraId="4BB651FA" w14:textId="77777777" w:rsidR="00FA5B90" w:rsidRDefault="00FA5B90" w:rsidP="00FA5B90">
      <w:pPr>
        <w:jc w:val="center"/>
        <w:rPr>
          <w:b/>
          <w:sz w:val="26"/>
          <w:szCs w:val="26"/>
        </w:rPr>
      </w:pPr>
    </w:p>
    <w:p w14:paraId="2C73C35B" w14:textId="77777777" w:rsidR="00FA5B90" w:rsidRDefault="00FA5B90" w:rsidP="00FA5B90">
      <w:pPr>
        <w:ind w:right="-143"/>
      </w:pPr>
      <w:r>
        <w:t>______________________________________________________________________________________</w:t>
      </w:r>
      <w:r w:rsidR="000E2224">
        <w:t>______</w:t>
      </w:r>
    </w:p>
    <w:p w14:paraId="701A443C" w14:textId="77777777" w:rsidR="00FA5B90" w:rsidRDefault="00FA5B90" w:rsidP="00FA5B90">
      <w:pPr>
        <w:spacing w:after="120"/>
      </w:pPr>
    </w:p>
    <w:p w14:paraId="3AB8AB42" w14:textId="77777777" w:rsidR="00FA5B90" w:rsidRDefault="00FA5B90" w:rsidP="00FA5B90">
      <w:pPr>
        <w:spacing w:after="120"/>
      </w:pPr>
    </w:p>
    <w:p w14:paraId="598EC763" w14:textId="77777777" w:rsidR="00FA5B90" w:rsidRDefault="00FA5B90" w:rsidP="00FA5B90">
      <w:pPr>
        <w:spacing w:after="120"/>
      </w:pPr>
    </w:p>
    <w:p w14:paraId="5583F495" w14:textId="77777777" w:rsidR="00FA5B90" w:rsidRDefault="00FA5B90" w:rsidP="00FA5B90">
      <w:pPr>
        <w:spacing w:after="120"/>
      </w:pPr>
    </w:p>
    <w:p w14:paraId="424AED3E" w14:textId="77777777" w:rsidR="00FA5B90" w:rsidRDefault="00FA5B90" w:rsidP="00FA5B90">
      <w:pPr>
        <w:spacing w:after="120"/>
      </w:pPr>
    </w:p>
    <w:p w14:paraId="4F7C39B1" w14:textId="77777777" w:rsidR="00FA5B90" w:rsidRDefault="00FA5B90" w:rsidP="00FA5B90">
      <w:pPr>
        <w:spacing w:after="120"/>
      </w:pPr>
    </w:p>
    <w:p w14:paraId="6BBE10CB" w14:textId="77777777" w:rsidR="00FA5B90" w:rsidRDefault="00FA5B90" w:rsidP="00FA5B90">
      <w:pPr>
        <w:spacing w:after="120"/>
      </w:pPr>
    </w:p>
    <w:p w14:paraId="75971F3F" w14:textId="77777777" w:rsidR="00FA5B90" w:rsidRDefault="00FA5B90" w:rsidP="00FA5B90">
      <w:pPr>
        <w:spacing w:after="120"/>
      </w:pPr>
    </w:p>
    <w:p w14:paraId="4196BC7B" w14:textId="77777777" w:rsidR="00FA5B90" w:rsidRDefault="00FA5B90" w:rsidP="00FA5B90">
      <w:pPr>
        <w:spacing w:after="120"/>
      </w:pPr>
    </w:p>
    <w:p w14:paraId="4EC9999E" w14:textId="77777777" w:rsidR="00FA5B90" w:rsidRDefault="00FA5B90" w:rsidP="00FA5B90">
      <w:pPr>
        <w:spacing w:after="120"/>
      </w:pPr>
    </w:p>
    <w:p w14:paraId="2717218F" w14:textId="77777777" w:rsidR="00FA5B90" w:rsidRDefault="00FA5B90" w:rsidP="00FA5B90">
      <w:pPr>
        <w:spacing w:after="120"/>
      </w:pPr>
    </w:p>
    <w:p w14:paraId="3D6F38A6" w14:textId="77777777" w:rsidR="00FA5B90" w:rsidRPr="00E61D07" w:rsidRDefault="00FA5B90" w:rsidP="00FA5B90">
      <w:pPr>
        <w:spacing w:after="120"/>
      </w:pPr>
    </w:p>
    <w:p w14:paraId="6EDD2001" w14:textId="77777777" w:rsidR="003D61C9" w:rsidRDefault="00B40B92" w:rsidP="004925C2">
      <w:pPr>
        <w:jc w:val="center"/>
      </w:pPr>
      <w:r w:rsidRPr="00E61D07">
        <w:rPr>
          <w:b/>
        </w:rPr>
        <w:t>Bratislava</w:t>
      </w:r>
      <w:r w:rsidR="000B69AF">
        <w:rPr>
          <w:b/>
        </w:rPr>
        <w:t>,</w:t>
      </w:r>
      <w:r w:rsidRPr="00E61D07">
        <w:rPr>
          <w:b/>
        </w:rPr>
        <w:t xml:space="preserve"> </w:t>
      </w:r>
      <w:r w:rsidR="004925C2">
        <w:rPr>
          <w:b/>
        </w:rPr>
        <w:t>november</w:t>
      </w:r>
      <w:r w:rsidRPr="00E61D07">
        <w:rPr>
          <w:b/>
        </w:rPr>
        <w:t xml:space="preserve"> 2019</w:t>
      </w:r>
    </w:p>
    <w:p w14:paraId="3421AF30" w14:textId="77777777" w:rsidR="00857EE3" w:rsidRDefault="00857EE3">
      <w:r>
        <w:br w:type="page"/>
      </w:r>
    </w:p>
    <w:p w14:paraId="0B4AA2C7" w14:textId="77777777" w:rsidR="00857EE3" w:rsidRPr="00857EE3" w:rsidRDefault="00857EE3" w:rsidP="00857EE3"/>
    <w:sdt>
      <w:sdtPr>
        <w:rPr>
          <w:rFonts w:eastAsiaTheme="minorHAnsi" w:cstheme="minorBidi"/>
          <w:b w:val="0"/>
          <w:bCs w:val="0"/>
          <w:color w:val="auto"/>
          <w:sz w:val="22"/>
          <w:szCs w:val="22"/>
          <w:lang w:eastAsia="en-US"/>
        </w:rPr>
        <w:id w:val="500786309"/>
        <w:docPartObj>
          <w:docPartGallery w:val="Table of Contents"/>
          <w:docPartUnique/>
        </w:docPartObj>
      </w:sdtPr>
      <w:sdtContent>
        <w:p w14:paraId="495353B4" w14:textId="77777777" w:rsidR="008062D1" w:rsidRPr="00E4756F" w:rsidRDefault="001A46A4" w:rsidP="006A28DA">
          <w:pPr>
            <w:pStyle w:val="Hlavikaobsahu"/>
            <w:rPr>
              <w:sz w:val="22"/>
              <w:szCs w:val="22"/>
            </w:rPr>
          </w:pPr>
          <w:r w:rsidRPr="00E4756F">
            <w:rPr>
              <w:sz w:val="22"/>
              <w:szCs w:val="22"/>
            </w:rPr>
            <w:t>Obsah</w:t>
          </w:r>
        </w:p>
        <w:p w14:paraId="41C3E2E9" w14:textId="13BB162C" w:rsidR="004C6A86" w:rsidRPr="004C6A86" w:rsidRDefault="00A35C70">
          <w:pPr>
            <w:pStyle w:val="Obsah1"/>
            <w:rPr>
              <w:rFonts w:ascii="Arial Narrow" w:eastAsiaTheme="minorEastAsia" w:hAnsi="Arial Narrow"/>
              <w:b w:val="0"/>
              <w:bCs w:val="0"/>
              <w:noProof/>
              <w:sz w:val="22"/>
              <w:szCs w:val="22"/>
              <w:lang w:eastAsia="sk-SK"/>
            </w:rPr>
          </w:pPr>
          <w:r w:rsidRPr="00E4756F">
            <w:rPr>
              <w:rFonts w:ascii="Arial Narrow" w:hAnsi="Arial Narrow"/>
              <w:sz w:val="22"/>
              <w:szCs w:val="22"/>
            </w:rPr>
            <w:fldChar w:fldCharType="begin"/>
          </w:r>
          <w:r w:rsidR="001A46A4" w:rsidRPr="00E4756F">
            <w:rPr>
              <w:rFonts w:ascii="Arial Narrow" w:hAnsi="Arial Narrow"/>
              <w:sz w:val="22"/>
              <w:szCs w:val="22"/>
            </w:rPr>
            <w:instrText xml:space="preserve"> TOC \o "1-3" \h \z \u </w:instrText>
          </w:r>
          <w:r w:rsidRPr="00E4756F">
            <w:rPr>
              <w:rFonts w:ascii="Arial Narrow" w:hAnsi="Arial Narrow"/>
              <w:sz w:val="22"/>
              <w:szCs w:val="22"/>
            </w:rPr>
            <w:fldChar w:fldCharType="separate"/>
          </w:r>
          <w:hyperlink w:anchor="_Toc24098438" w:history="1">
            <w:r w:rsidR="004C6A86" w:rsidRPr="004C6A86">
              <w:rPr>
                <w:rStyle w:val="Hypertextovprepojenie"/>
                <w:rFonts w:ascii="Arial Narrow" w:hAnsi="Arial Narrow"/>
                <w:noProof/>
              </w:rPr>
              <w:t>Zoznam skratiek</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_Toc24098438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sidR="001C284A">
              <w:rPr>
                <w:rFonts w:ascii="Arial Narrow" w:hAnsi="Arial Narrow"/>
                <w:noProof/>
                <w:webHidden/>
              </w:rPr>
              <w:t>1</w:t>
            </w:r>
            <w:r w:rsidR="004C6A86" w:rsidRPr="004C6A86">
              <w:rPr>
                <w:rFonts w:ascii="Arial Narrow" w:hAnsi="Arial Narrow"/>
                <w:noProof/>
                <w:webHidden/>
              </w:rPr>
              <w:fldChar w:fldCharType="end"/>
            </w:r>
          </w:hyperlink>
        </w:p>
        <w:p w14:paraId="12E4E42E" w14:textId="153735AF" w:rsidR="004C6A86" w:rsidRPr="004C6A86" w:rsidRDefault="001C284A">
          <w:pPr>
            <w:pStyle w:val="Obsah1"/>
            <w:rPr>
              <w:rFonts w:ascii="Arial Narrow" w:eastAsiaTheme="minorEastAsia" w:hAnsi="Arial Narrow"/>
              <w:b w:val="0"/>
              <w:bCs w:val="0"/>
              <w:noProof/>
              <w:sz w:val="22"/>
              <w:szCs w:val="22"/>
              <w:lang w:eastAsia="sk-SK"/>
            </w:rPr>
          </w:pPr>
          <w:hyperlink w:anchor="_Toc24098439" w:history="1">
            <w:r w:rsidR="004C6A86" w:rsidRPr="004C6A86">
              <w:rPr>
                <w:rStyle w:val="Hypertextovprepojenie"/>
                <w:rFonts w:ascii="Arial Narrow" w:hAnsi="Arial Narrow"/>
                <w:noProof/>
              </w:rPr>
              <w:t>Zhrnutie</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_Toc24098439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2</w:t>
            </w:r>
            <w:r w:rsidR="004C6A86" w:rsidRPr="004C6A86">
              <w:rPr>
                <w:rFonts w:ascii="Arial Narrow" w:hAnsi="Arial Narrow"/>
                <w:noProof/>
                <w:webHidden/>
              </w:rPr>
              <w:fldChar w:fldCharType="end"/>
            </w:r>
          </w:hyperlink>
        </w:p>
        <w:p w14:paraId="721282E3" w14:textId="386128CA" w:rsidR="004C6A86" w:rsidRPr="004C6A86" w:rsidRDefault="001C284A">
          <w:pPr>
            <w:pStyle w:val="Obsah1"/>
            <w:rPr>
              <w:rFonts w:ascii="Arial Narrow" w:eastAsiaTheme="minorEastAsia" w:hAnsi="Arial Narrow"/>
              <w:b w:val="0"/>
              <w:bCs w:val="0"/>
              <w:noProof/>
              <w:sz w:val="22"/>
              <w:szCs w:val="22"/>
              <w:lang w:eastAsia="sk-SK"/>
            </w:rPr>
          </w:pPr>
          <w:hyperlink w:anchor="_Toc24098440" w:history="1">
            <w:r w:rsidR="004C6A86" w:rsidRPr="004C6A86">
              <w:rPr>
                <w:rStyle w:val="Hypertextovprepojenie"/>
                <w:rFonts w:ascii="Arial Narrow" w:hAnsi="Arial Narrow"/>
                <w:noProof/>
              </w:rPr>
              <w:t>1.</w:t>
            </w:r>
            <w:r w:rsidR="004C6A86" w:rsidRPr="004C6A86">
              <w:rPr>
                <w:rFonts w:ascii="Arial Narrow" w:eastAsiaTheme="minorEastAsia" w:hAnsi="Arial Narrow"/>
                <w:b w:val="0"/>
                <w:bCs w:val="0"/>
                <w:noProof/>
                <w:sz w:val="22"/>
                <w:szCs w:val="22"/>
                <w:lang w:eastAsia="sk-SK"/>
              </w:rPr>
              <w:tab/>
            </w:r>
            <w:r w:rsidR="004C6A86" w:rsidRPr="004C6A86">
              <w:rPr>
                <w:rStyle w:val="Hypertextovprepojenie"/>
                <w:rFonts w:ascii="Arial Narrow" w:hAnsi="Arial Narrow"/>
                <w:noProof/>
              </w:rPr>
              <w:t>Makroekonomický rámec návrhu RVS</w:t>
            </w:r>
            <w:r w:rsidR="004C6A86" w:rsidRPr="004C6A86">
              <w:rPr>
                <w:rStyle w:val="Hypertextovprepojenie"/>
                <w:rFonts w:ascii="Arial Narrow" w:eastAsia="Times New Roman" w:hAnsi="Arial Narrow"/>
                <w:noProof/>
              </w:rPr>
              <w:t xml:space="preserve"> na rok 2020</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_Toc24098440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6</w:t>
            </w:r>
            <w:r w:rsidR="004C6A86" w:rsidRPr="004C6A86">
              <w:rPr>
                <w:rFonts w:ascii="Arial Narrow" w:hAnsi="Arial Narrow"/>
                <w:noProof/>
                <w:webHidden/>
              </w:rPr>
              <w:fldChar w:fldCharType="end"/>
            </w:r>
          </w:hyperlink>
        </w:p>
        <w:p w14:paraId="4B3437EC" w14:textId="3749BCF6" w:rsidR="004C6A86" w:rsidRPr="004C6A86" w:rsidRDefault="001C284A">
          <w:pPr>
            <w:pStyle w:val="Obsah1"/>
            <w:rPr>
              <w:rFonts w:ascii="Arial Narrow" w:eastAsiaTheme="minorEastAsia" w:hAnsi="Arial Narrow"/>
              <w:b w:val="0"/>
              <w:bCs w:val="0"/>
              <w:noProof/>
              <w:sz w:val="22"/>
              <w:szCs w:val="22"/>
              <w:lang w:eastAsia="sk-SK"/>
            </w:rPr>
          </w:pPr>
          <w:hyperlink w:anchor="_Toc24098441" w:history="1">
            <w:r w:rsidR="004C6A86" w:rsidRPr="004C6A86">
              <w:rPr>
                <w:rStyle w:val="Hypertextovprepojenie"/>
                <w:rFonts w:ascii="Arial Narrow" w:hAnsi="Arial Narrow"/>
                <w:noProof/>
              </w:rPr>
              <w:t>2.</w:t>
            </w:r>
            <w:r w:rsidR="004C6A86" w:rsidRPr="004C6A86">
              <w:rPr>
                <w:rFonts w:ascii="Arial Narrow" w:eastAsiaTheme="minorEastAsia" w:hAnsi="Arial Narrow"/>
                <w:b w:val="0"/>
                <w:bCs w:val="0"/>
                <w:noProof/>
                <w:sz w:val="22"/>
                <w:szCs w:val="22"/>
                <w:lang w:eastAsia="sk-SK"/>
              </w:rPr>
              <w:tab/>
            </w:r>
            <w:r w:rsidR="004C6A86" w:rsidRPr="004C6A86">
              <w:rPr>
                <w:rStyle w:val="Hypertextovprepojenie"/>
                <w:rFonts w:ascii="Arial Narrow" w:hAnsi="Arial Narrow"/>
                <w:noProof/>
              </w:rPr>
              <w:t>Východiskový rámec návrhu RVS na rok 2020</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_Toc24098441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7</w:t>
            </w:r>
            <w:r w:rsidR="004C6A86" w:rsidRPr="004C6A86">
              <w:rPr>
                <w:rFonts w:ascii="Arial Narrow" w:hAnsi="Arial Narrow"/>
                <w:noProof/>
                <w:webHidden/>
              </w:rPr>
              <w:fldChar w:fldCharType="end"/>
            </w:r>
          </w:hyperlink>
        </w:p>
        <w:p w14:paraId="2D524382" w14:textId="77868D61" w:rsidR="004C6A86" w:rsidRPr="004C6A86" w:rsidRDefault="001C284A">
          <w:pPr>
            <w:pStyle w:val="Obsah2"/>
            <w:rPr>
              <w:rFonts w:eastAsiaTheme="minorEastAsia"/>
              <w:iCs w:val="0"/>
              <w:lang w:eastAsia="sk-SK"/>
            </w:rPr>
          </w:pPr>
          <w:hyperlink w:anchor="_Toc24098442" w:history="1">
            <w:r w:rsidR="004C6A86" w:rsidRPr="004C6A86">
              <w:rPr>
                <w:rStyle w:val="Hypertextovprepojenie"/>
              </w:rPr>
              <w:t>2.1</w:t>
            </w:r>
            <w:r w:rsidR="004C6A86" w:rsidRPr="004C6A86">
              <w:rPr>
                <w:rFonts w:eastAsiaTheme="minorEastAsia"/>
                <w:iCs w:val="0"/>
                <w:lang w:eastAsia="sk-SK"/>
              </w:rPr>
              <w:tab/>
            </w:r>
            <w:r w:rsidR="004C6A86" w:rsidRPr="004C6A86">
              <w:rPr>
                <w:rStyle w:val="Hypertextovprepojenie"/>
              </w:rPr>
              <w:t>Rozpočtovanie príjmov v návrhu RVS</w:t>
            </w:r>
            <w:r w:rsidR="004C6A86" w:rsidRPr="004C6A86">
              <w:rPr>
                <w:webHidden/>
              </w:rPr>
              <w:tab/>
            </w:r>
            <w:r w:rsidR="004C6A86" w:rsidRPr="004C6A86">
              <w:rPr>
                <w:webHidden/>
              </w:rPr>
              <w:fldChar w:fldCharType="begin"/>
            </w:r>
            <w:r w:rsidR="004C6A86" w:rsidRPr="004C6A86">
              <w:rPr>
                <w:webHidden/>
              </w:rPr>
              <w:instrText xml:space="preserve"> PAGEREF _Toc24098442 \h </w:instrText>
            </w:r>
            <w:r w:rsidR="004C6A86" w:rsidRPr="004C6A86">
              <w:rPr>
                <w:webHidden/>
              </w:rPr>
            </w:r>
            <w:r w:rsidR="004C6A86" w:rsidRPr="004C6A86">
              <w:rPr>
                <w:webHidden/>
              </w:rPr>
              <w:fldChar w:fldCharType="separate"/>
            </w:r>
            <w:r>
              <w:rPr>
                <w:webHidden/>
              </w:rPr>
              <w:t>7</w:t>
            </w:r>
            <w:r w:rsidR="004C6A86" w:rsidRPr="004C6A86">
              <w:rPr>
                <w:webHidden/>
              </w:rPr>
              <w:fldChar w:fldCharType="end"/>
            </w:r>
          </w:hyperlink>
        </w:p>
        <w:p w14:paraId="47F4A5D9" w14:textId="68A8C375" w:rsidR="004C6A86" w:rsidRPr="004C6A86" w:rsidRDefault="001C284A">
          <w:pPr>
            <w:pStyle w:val="Obsah2"/>
            <w:rPr>
              <w:rFonts w:eastAsiaTheme="minorEastAsia"/>
              <w:iCs w:val="0"/>
              <w:lang w:eastAsia="sk-SK"/>
            </w:rPr>
          </w:pPr>
          <w:hyperlink w:anchor="_Toc24098443" w:history="1">
            <w:r w:rsidR="004C6A86" w:rsidRPr="004C6A86">
              <w:rPr>
                <w:rStyle w:val="Hypertextovprepojenie"/>
              </w:rPr>
              <w:t>2.2</w:t>
            </w:r>
            <w:r w:rsidR="004C6A86" w:rsidRPr="004C6A86">
              <w:rPr>
                <w:rFonts w:eastAsiaTheme="minorEastAsia"/>
                <w:iCs w:val="0"/>
                <w:lang w:eastAsia="sk-SK"/>
              </w:rPr>
              <w:tab/>
            </w:r>
            <w:r w:rsidR="004C6A86" w:rsidRPr="004C6A86">
              <w:rPr>
                <w:rStyle w:val="Hypertextovprepojenie"/>
              </w:rPr>
              <w:t xml:space="preserve"> Fiškálny rámec návrhu RVS</w:t>
            </w:r>
            <w:r w:rsidR="004C6A86" w:rsidRPr="004C6A86">
              <w:rPr>
                <w:webHidden/>
              </w:rPr>
              <w:tab/>
            </w:r>
            <w:r w:rsidR="004C6A86" w:rsidRPr="004C6A86">
              <w:rPr>
                <w:webHidden/>
              </w:rPr>
              <w:fldChar w:fldCharType="begin"/>
            </w:r>
            <w:r w:rsidR="004C6A86" w:rsidRPr="004C6A86">
              <w:rPr>
                <w:webHidden/>
              </w:rPr>
              <w:instrText xml:space="preserve"> PAGEREF _Toc24098443 \h </w:instrText>
            </w:r>
            <w:r w:rsidR="004C6A86" w:rsidRPr="004C6A86">
              <w:rPr>
                <w:webHidden/>
              </w:rPr>
            </w:r>
            <w:r w:rsidR="004C6A86" w:rsidRPr="004C6A86">
              <w:rPr>
                <w:webHidden/>
              </w:rPr>
              <w:fldChar w:fldCharType="separate"/>
            </w:r>
            <w:r>
              <w:rPr>
                <w:webHidden/>
              </w:rPr>
              <w:t>10</w:t>
            </w:r>
            <w:r w:rsidR="004C6A86" w:rsidRPr="004C6A86">
              <w:rPr>
                <w:webHidden/>
              </w:rPr>
              <w:fldChar w:fldCharType="end"/>
            </w:r>
          </w:hyperlink>
        </w:p>
        <w:p w14:paraId="0F8B4496" w14:textId="3DEA7FCF" w:rsidR="004C6A86" w:rsidRPr="004C6A86" w:rsidRDefault="001C284A">
          <w:pPr>
            <w:pStyle w:val="Obsah2"/>
            <w:rPr>
              <w:rFonts w:eastAsiaTheme="minorEastAsia"/>
              <w:iCs w:val="0"/>
              <w:lang w:eastAsia="sk-SK"/>
            </w:rPr>
          </w:pPr>
          <w:hyperlink w:anchor="_Toc24098444" w:history="1">
            <w:r w:rsidR="004C6A86" w:rsidRPr="004C6A86">
              <w:rPr>
                <w:rStyle w:val="Hypertextovprepojenie"/>
              </w:rPr>
              <w:t>2.3</w:t>
            </w:r>
            <w:r w:rsidR="004C6A86" w:rsidRPr="004C6A86">
              <w:rPr>
                <w:rFonts w:eastAsiaTheme="minorEastAsia"/>
                <w:iCs w:val="0"/>
                <w:lang w:eastAsia="sk-SK"/>
              </w:rPr>
              <w:tab/>
            </w:r>
            <w:r w:rsidR="004C6A86" w:rsidRPr="004C6A86">
              <w:rPr>
                <w:rStyle w:val="Hypertextovprepojenie"/>
              </w:rPr>
              <w:t>Prognóza hrubého dlhu VS</w:t>
            </w:r>
            <w:r w:rsidR="004C6A86" w:rsidRPr="004C6A86">
              <w:rPr>
                <w:webHidden/>
              </w:rPr>
              <w:tab/>
            </w:r>
            <w:r w:rsidR="004C6A86" w:rsidRPr="004C6A86">
              <w:rPr>
                <w:webHidden/>
              </w:rPr>
              <w:fldChar w:fldCharType="begin"/>
            </w:r>
            <w:r w:rsidR="004C6A86" w:rsidRPr="004C6A86">
              <w:rPr>
                <w:webHidden/>
              </w:rPr>
              <w:instrText xml:space="preserve"> PAGEREF _Toc24098444 \h </w:instrText>
            </w:r>
            <w:r w:rsidR="004C6A86" w:rsidRPr="004C6A86">
              <w:rPr>
                <w:webHidden/>
              </w:rPr>
            </w:r>
            <w:r w:rsidR="004C6A86" w:rsidRPr="004C6A86">
              <w:rPr>
                <w:webHidden/>
              </w:rPr>
              <w:fldChar w:fldCharType="separate"/>
            </w:r>
            <w:r>
              <w:rPr>
                <w:webHidden/>
              </w:rPr>
              <w:t>11</w:t>
            </w:r>
            <w:r w:rsidR="004C6A86" w:rsidRPr="004C6A86">
              <w:rPr>
                <w:webHidden/>
              </w:rPr>
              <w:fldChar w:fldCharType="end"/>
            </w:r>
          </w:hyperlink>
        </w:p>
        <w:p w14:paraId="6CD2DE4B" w14:textId="77C2F04A" w:rsidR="004C6A86" w:rsidRPr="004C6A86" w:rsidRDefault="001C284A">
          <w:pPr>
            <w:pStyle w:val="Obsah1"/>
            <w:rPr>
              <w:rFonts w:ascii="Arial Narrow" w:eastAsiaTheme="minorEastAsia" w:hAnsi="Arial Narrow"/>
              <w:b w:val="0"/>
              <w:bCs w:val="0"/>
              <w:noProof/>
              <w:sz w:val="22"/>
              <w:szCs w:val="22"/>
              <w:lang w:eastAsia="sk-SK"/>
            </w:rPr>
          </w:pPr>
          <w:hyperlink w:anchor="_Toc24098445" w:history="1">
            <w:r w:rsidR="004C6A86" w:rsidRPr="004C6A86">
              <w:rPr>
                <w:rStyle w:val="Hypertextovprepojenie"/>
                <w:rFonts w:ascii="Arial Narrow" w:hAnsi="Arial Narrow"/>
                <w:noProof/>
              </w:rPr>
              <w:t>3.</w:t>
            </w:r>
            <w:r w:rsidR="004C6A86" w:rsidRPr="004C6A86">
              <w:rPr>
                <w:rFonts w:ascii="Arial Narrow" w:eastAsiaTheme="minorEastAsia" w:hAnsi="Arial Narrow"/>
                <w:b w:val="0"/>
                <w:bCs w:val="0"/>
                <w:noProof/>
                <w:sz w:val="22"/>
                <w:szCs w:val="22"/>
                <w:lang w:eastAsia="sk-SK"/>
              </w:rPr>
              <w:tab/>
            </w:r>
            <w:r w:rsidR="004C6A86" w:rsidRPr="004C6A86">
              <w:rPr>
                <w:rStyle w:val="Hypertextovprepojenie"/>
                <w:rFonts w:ascii="Arial Narrow" w:hAnsi="Arial Narrow"/>
                <w:noProof/>
              </w:rPr>
              <w:t>Návrh štátneho rozpočtu na rok 2020</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_Toc24098445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12</w:t>
            </w:r>
            <w:r w:rsidR="004C6A86" w:rsidRPr="004C6A86">
              <w:rPr>
                <w:rFonts w:ascii="Arial Narrow" w:hAnsi="Arial Narrow"/>
                <w:noProof/>
                <w:webHidden/>
              </w:rPr>
              <w:fldChar w:fldCharType="end"/>
            </w:r>
          </w:hyperlink>
        </w:p>
        <w:p w14:paraId="70A6DF1A" w14:textId="07CF7BE2" w:rsidR="004C6A86" w:rsidRPr="004C6A86" w:rsidRDefault="001C284A">
          <w:pPr>
            <w:pStyle w:val="Obsah2"/>
            <w:rPr>
              <w:rFonts w:eastAsiaTheme="minorEastAsia"/>
              <w:iCs w:val="0"/>
              <w:lang w:eastAsia="sk-SK"/>
            </w:rPr>
          </w:pPr>
          <w:hyperlink w:anchor="_Toc24098446" w:history="1">
            <w:r w:rsidR="004C6A86" w:rsidRPr="004C6A86">
              <w:rPr>
                <w:rStyle w:val="Hypertextovprepojenie"/>
              </w:rPr>
              <w:t>3.1</w:t>
            </w:r>
            <w:r w:rsidR="004C6A86" w:rsidRPr="004C6A86">
              <w:rPr>
                <w:rFonts w:eastAsiaTheme="minorEastAsia"/>
                <w:iCs w:val="0"/>
                <w:lang w:eastAsia="sk-SK"/>
              </w:rPr>
              <w:tab/>
            </w:r>
            <w:r w:rsidR="004C6A86" w:rsidRPr="004C6A86">
              <w:rPr>
                <w:rStyle w:val="Hypertextovprepojenie"/>
              </w:rPr>
              <w:t>Súhrnné ukazovatele návrhu ŠR</w:t>
            </w:r>
            <w:r w:rsidR="004C6A86" w:rsidRPr="004C6A86">
              <w:rPr>
                <w:webHidden/>
              </w:rPr>
              <w:tab/>
            </w:r>
            <w:r w:rsidR="004C6A86" w:rsidRPr="004C6A86">
              <w:rPr>
                <w:webHidden/>
              </w:rPr>
              <w:fldChar w:fldCharType="begin"/>
            </w:r>
            <w:r w:rsidR="004C6A86" w:rsidRPr="004C6A86">
              <w:rPr>
                <w:webHidden/>
              </w:rPr>
              <w:instrText xml:space="preserve"> PAGEREF _Toc24098446 \h </w:instrText>
            </w:r>
            <w:r w:rsidR="004C6A86" w:rsidRPr="004C6A86">
              <w:rPr>
                <w:webHidden/>
              </w:rPr>
            </w:r>
            <w:r w:rsidR="004C6A86" w:rsidRPr="004C6A86">
              <w:rPr>
                <w:webHidden/>
              </w:rPr>
              <w:fldChar w:fldCharType="separate"/>
            </w:r>
            <w:r>
              <w:rPr>
                <w:webHidden/>
              </w:rPr>
              <w:t>12</w:t>
            </w:r>
            <w:r w:rsidR="004C6A86" w:rsidRPr="004C6A86">
              <w:rPr>
                <w:webHidden/>
              </w:rPr>
              <w:fldChar w:fldCharType="end"/>
            </w:r>
          </w:hyperlink>
        </w:p>
        <w:p w14:paraId="4CC9CC06" w14:textId="79AEDAE8" w:rsidR="004C6A86" w:rsidRPr="004C6A86" w:rsidRDefault="001C284A">
          <w:pPr>
            <w:pStyle w:val="Obsah2"/>
            <w:rPr>
              <w:rFonts w:eastAsiaTheme="minorEastAsia"/>
              <w:iCs w:val="0"/>
              <w:lang w:eastAsia="sk-SK"/>
            </w:rPr>
          </w:pPr>
          <w:hyperlink w:anchor="_Toc24098447" w:history="1">
            <w:r w:rsidR="004C6A86" w:rsidRPr="004C6A86">
              <w:rPr>
                <w:rStyle w:val="Hypertextovprepojenie"/>
              </w:rPr>
              <w:t>3.2</w:t>
            </w:r>
            <w:r w:rsidR="004C6A86" w:rsidRPr="004C6A86">
              <w:rPr>
                <w:rFonts w:eastAsiaTheme="minorEastAsia"/>
                <w:iCs w:val="0"/>
                <w:lang w:eastAsia="sk-SK"/>
              </w:rPr>
              <w:tab/>
            </w:r>
            <w:r w:rsidR="004C6A86" w:rsidRPr="004C6A86">
              <w:rPr>
                <w:rStyle w:val="Hypertextovprepojenie"/>
              </w:rPr>
              <w:t xml:space="preserve"> Príjmy a výdavky kapitol</w:t>
            </w:r>
            <w:r w:rsidR="004C6A86" w:rsidRPr="004C6A86">
              <w:rPr>
                <w:webHidden/>
              </w:rPr>
              <w:tab/>
            </w:r>
            <w:r w:rsidR="004C6A86" w:rsidRPr="004C6A86">
              <w:rPr>
                <w:webHidden/>
              </w:rPr>
              <w:fldChar w:fldCharType="begin"/>
            </w:r>
            <w:r w:rsidR="004C6A86" w:rsidRPr="004C6A86">
              <w:rPr>
                <w:webHidden/>
              </w:rPr>
              <w:instrText xml:space="preserve"> PAGEREF _Toc24098447 \h </w:instrText>
            </w:r>
            <w:r w:rsidR="004C6A86" w:rsidRPr="004C6A86">
              <w:rPr>
                <w:webHidden/>
              </w:rPr>
            </w:r>
            <w:r w:rsidR="004C6A86" w:rsidRPr="004C6A86">
              <w:rPr>
                <w:webHidden/>
              </w:rPr>
              <w:fldChar w:fldCharType="separate"/>
            </w:r>
            <w:r>
              <w:rPr>
                <w:webHidden/>
              </w:rPr>
              <w:t>15</w:t>
            </w:r>
            <w:r w:rsidR="004C6A86" w:rsidRPr="004C6A86">
              <w:rPr>
                <w:webHidden/>
              </w:rPr>
              <w:fldChar w:fldCharType="end"/>
            </w:r>
          </w:hyperlink>
        </w:p>
        <w:p w14:paraId="74A4EB73" w14:textId="5B1D1596" w:rsidR="004C6A86" w:rsidRPr="004C6A86" w:rsidRDefault="001C284A">
          <w:pPr>
            <w:pStyle w:val="Obsah1"/>
            <w:rPr>
              <w:rFonts w:ascii="Arial Narrow" w:eastAsiaTheme="minorEastAsia" w:hAnsi="Arial Narrow"/>
              <w:b w:val="0"/>
              <w:bCs w:val="0"/>
              <w:noProof/>
              <w:sz w:val="22"/>
              <w:szCs w:val="22"/>
              <w:lang w:eastAsia="sk-SK"/>
            </w:rPr>
          </w:pPr>
          <w:hyperlink w:anchor="_Toc24098448" w:history="1">
            <w:r w:rsidR="004C6A86" w:rsidRPr="004C6A86">
              <w:rPr>
                <w:rStyle w:val="Hypertextovprepojenie"/>
                <w:rFonts w:ascii="Arial Narrow" w:hAnsi="Arial Narrow"/>
                <w:noProof/>
              </w:rPr>
              <w:t>4.</w:t>
            </w:r>
            <w:r w:rsidR="004C6A86" w:rsidRPr="004C6A86">
              <w:rPr>
                <w:rFonts w:ascii="Arial Narrow" w:eastAsiaTheme="minorEastAsia" w:hAnsi="Arial Narrow"/>
                <w:b w:val="0"/>
                <w:bCs w:val="0"/>
                <w:noProof/>
                <w:sz w:val="22"/>
                <w:szCs w:val="22"/>
                <w:lang w:eastAsia="sk-SK"/>
              </w:rPr>
              <w:tab/>
            </w:r>
            <w:r w:rsidR="004C6A86" w:rsidRPr="004C6A86">
              <w:rPr>
                <w:rStyle w:val="Hypertextovprepojenie"/>
                <w:rFonts w:ascii="Arial Narrow" w:hAnsi="Arial Narrow"/>
                <w:noProof/>
              </w:rPr>
              <w:t>Riziká vo vybraných politikách a kapitolách ŠR</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_Toc24098448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16</w:t>
            </w:r>
            <w:r w:rsidR="004C6A86" w:rsidRPr="004C6A86">
              <w:rPr>
                <w:rFonts w:ascii="Arial Narrow" w:hAnsi="Arial Narrow"/>
                <w:noProof/>
                <w:webHidden/>
              </w:rPr>
              <w:fldChar w:fldCharType="end"/>
            </w:r>
          </w:hyperlink>
        </w:p>
        <w:p w14:paraId="75E9A2D8" w14:textId="652793BE" w:rsidR="004C6A86" w:rsidRPr="004C6A86" w:rsidRDefault="001C284A">
          <w:pPr>
            <w:pStyle w:val="Obsah2"/>
            <w:rPr>
              <w:rFonts w:eastAsiaTheme="minorEastAsia"/>
              <w:iCs w:val="0"/>
              <w:lang w:eastAsia="sk-SK"/>
            </w:rPr>
          </w:pPr>
          <w:hyperlink w:anchor="_Toc24098449" w:history="1">
            <w:r w:rsidR="004C6A86" w:rsidRPr="004C6A86">
              <w:rPr>
                <w:rStyle w:val="Hypertextovprepojenie"/>
              </w:rPr>
              <w:t>4.1</w:t>
            </w:r>
            <w:r w:rsidR="004C6A86" w:rsidRPr="004C6A86">
              <w:rPr>
                <w:rFonts w:eastAsiaTheme="minorEastAsia"/>
                <w:iCs w:val="0"/>
                <w:lang w:eastAsia="sk-SK"/>
              </w:rPr>
              <w:tab/>
            </w:r>
            <w:r w:rsidR="004C6A86" w:rsidRPr="004C6A86">
              <w:rPr>
                <w:rStyle w:val="Hypertextovprepojenie"/>
              </w:rPr>
              <w:t xml:space="preserve"> Vzdelávanie, výskum a vývoj</w:t>
            </w:r>
            <w:r w:rsidR="004C6A86" w:rsidRPr="004C6A86">
              <w:rPr>
                <w:webHidden/>
              </w:rPr>
              <w:tab/>
            </w:r>
            <w:r w:rsidR="004C6A86" w:rsidRPr="004C6A86">
              <w:rPr>
                <w:webHidden/>
              </w:rPr>
              <w:fldChar w:fldCharType="begin"/>
            </w:r>
            <w:r w:rsidR="004C6A86" w:rsidRPr="004C6A86">
              <w:rPr>
                <w:webHidden/>
              </w:rPr>
              <w:instrText xml:space="preserve"> PAGEREF _Toc24098449 \h </w:instrText>
            </w:r>
            <w:r w:rsidR="004C6A86" w:rsidRPr="004C6A86">
              <w:rPr>
                <w:webHidden/>
              </w:rPr>
            </w:r>
            <w:r w:rsidR="004C6A86" w:rsidRPr="004C6A86">
              <w:rPr>
                <w:webHidden/>
              </w:rPr>
              <w:fldChar w:fldCharType="separate"/>
            </w:r>
            <w:r>
              <w:rPr>
                <w:webHidden/>
              </w:rPr>
              <w:t>16</w:t>
            </w:r>
            <w:r w:rsidR="004C6A86" w:rsidRPr="004C6A86">
              <w:rPr>
                <w:webHidden/>
              </w:rPr>
              <w:fldChar w:fldCharType="end"/>
            </w:r>
          </w:hyperlink>
        </w:p>
        <w:p w14:paraId="1F193347" w14:textId="7117C9DA" w:rsidR="004C6A86" w:rsidRPr="004C6A86" w:rsidRDefault="001C284A">
          <w:pPr>
            <w:pStyle w:val="Obsah2"/>
            <w:rPr>
              <w:rFonts w:eastAsiaTheme="minorEastAsia"/>
              <w:iCs w:val="0"/>
              <w:lang w:eastAsia="sk-SK"/>
            </w:rPr>
          </w:pPr>
          <w:hyperlink w:anchor="_Toc24098450" w:history="1">
            <w:r w:rsidR="004C6A86" w:rsidRPr="004C6A86">
              <w:rPr>
                <w:rStyle w:val="Hypertextovprepojenie"/>
              </w:rPr>
              <w:t>4.2</w:t>
            </w:r>
            <w:r w:rsidR="004C6A86" w:rsidRPr="004C6A86">
              <w:rPr>
                <w:rFonts w:eastAsiaTheme="minorEastAsia"/>
                <w:iCs w:val="0"/>
                <w:lang w:eastAsia="sk-SK"/>
              </w:rPr>
              <w:tab/>
            </w:r>
            <w:r w:rsidR="004C6A86" w:rsidRPr="004C6A86">
              <w:rPr>
                <w:rStyle w:val="Hypertextovprepojenie"/>
              </w:rPr>
              <w:t xml:space="preserve"> Zdravotníctvo</w:t>
            </w:r>
            <w:r w:rsidR="004C6A86" w:rsidRPr="004C6A86">
              <w:rPr>
                <w:webHidden/>
              </w:rPr>
              <w:tab/>
            </w:r>
            <w:r w:rsidR="004C6A86" w:rsidRPr="004C6A86">
              <w:rPr>
                <w:webHidden/>
              </w:rPr>
              <w:fldChar w:fldCharType="begin"/>
            </w:r>
            <w:r w:rsidR="004C6A86" w:rsidRPr="004C6A86">
              <w:rPr>
                <w:webHidden/>
              </w:rPr>
              <w:instrText xml:space="preserve"> PAGEREF _Toc24098450 \h </w:instrText>
            </w:r>
            <w:r w:rsidR="004C6A86" w:rsidRPr="004C6A86">
              <w:rPr>
                <w:webHidden/>
              </w:rPr>
            </w:r>
            <w:r w:rsidR="004C6A86" w:rsidRPr="004C6A86">
              <w:rPr>
                <w:webHidden/>
              </w:rPr>
              <w:fldChar w:fldCharType="separate"/>
            </w:r>
            <w:r>
              <w:rPr>
                <w:webHidden/>
              </w:rPr>
              <w:t>19</w:t>
            </w:r>
            <w:r w:rsidR="004C6A86" w:rsidRPr="004C6A86">
              <w:rPr>
                <w:webHidden/>
              </w:rPr>
              <w:fldChar w:fldCharType="end"/>
            </w:r>
          </w:hyperlink>
        </w:p>
        <w:p w14:paraId="24D0F98B" w14:textId="138EB1BC" w:rsidR="004C6A86" w:rsidRPr="004C6A86" w:rsidRDefault="001C284A">
          <w:pPr>
            <w:pStyle w:val="Obsah2"/>
            <w:rPr>
              <w:rFonts w:eastAsiaTheme="minorEastAsia"/>
              <w:iCs w:val="0"/>
              <w:lang w:eastAsia="sk-SK"/>
            </w:rPr>
          </w:pPr>
          <w:hyperlink w:anchor="_Toc24098451" w:history="1">
            <w:r w:rsidR="004C6A86" w:rsidRPr="004C6A86">
              <w:rPr>
                <w:rStyle w:val="Hypertextovprepojenie"/>
              </w:rPr>
              <w:t>4.3</w:t>
            </w:r>
            <w:r w:rsidR="004C6A86" w:rsidRPr="004C6A86">
              <w:rPr>
                <w:rFonts w:eastAsiaTheme="minorEastAsia"/>
                <w:iCs w:val="0"/>
                <w:lang w:eastAsia="sk-SK"/>
              </w:rPr>
              <w:tab/>
            </w:r>
            <w:r w:rsidR="004C6A86" w:rsidRPr="004C6A86">
              <w:rPr>
                <w:rStyle w:val="Hypertextovprepojenie"/>
              </w:rPr>
              <w:t xml:space="preserve"> Doprava</w:t>
            </w:r>
            <w:r w:rsidR="004C6A86" w:rsidRPr="004C6A86">
              <w:rPr>
                <w:webHidden/>
              </w:rPr>
              <w:tab/>
            </w:r>
            <w:r w:rsidR="004C6A86" w:rsidRPr="004C6A86">
              <w:rPr>
                <w:webHidden/>
              </w:rPr>
              <w:fldChar w:fldCharType="begin"/>
            </w:r>
            <w:r w:rsidR="004C6A86" w:rsidRPr="004C6A86">
              <w:rPr>
                <w:webHidden/>
              </w:rPr>
              <w:instrText xml:space="preserve"> PAGEREF _Toc24098451 \h </w:instrText>
            </w:r>
            <w:r w:rsidR="004C6A86" w:rsidRPr="004C6A86">
              <w:rPr>
                <w:webHidden/>
              </w:rPr>
            </w:r>
            <w:r w:rsidR="004C6A86" w:rsidRPr="004C6A86">
              <w:rPr>
                <w:webHidden/>
              </w:rPr>
              <w:fldChar w:fldCharType="separate"/>
            </w:r>
            <w:r>
              <w:rPr>
                <w:webHidden/>
              </w:rPr>
              <w:t>23</w:t>
            </w:r>
            <w:r w:rsidR="004C6A86" w:rsidRPr="004C6A86">
              <w:rPr>
                <w:webHidden/>
              </w:rPr>
              <w:fldChar w:fldCharType="end"/>
            </w:r>
          </w:hyperlink>
        </w:p>
        <w:p w14:paraId="00021FAB" w14:textId="4D1596A0" w:rsidR="004C6A86" w:rsidRPr="004C6A86" w:rsidRDefault="001C284A">
          <w:pPr>
            <w:pStyle w:val="Obsah2"/>
            <w:rPr>
              <w:rFonts w:eastAsiaTheme="minorEastAsia"/>
              <w:iCs w:val="0"/>
              <w:lang w:eastAsia="sk-SK"/>
            </w:rPr>
          </w:pPr>
          <w:hyperlink w:anchor="_Toc24098452" w:history="1">
            <w:r w:rsidR="004C6A86" w:rsidRPr="004C6A86">
              <w:rPr>
                <w:rStyle w:val="Hypertextovprepojenie"/>
              </w:rPr>
              <w:t>4.4</w:t>
            </w:r>
            <w:r w:rsidR="004C6A86" w:rsidRPr="004C6A86">
              <w:rPr>
                <w:rFonts w:eastAsiaTheme="minorEastAsia"/>
                <w:iCs w:val="0"/>
                <w:lang w:eastAsia="sk-SK"/>
              </w:rPr>
              <w:tab/>
            </w:r>
            <w:r w:rsidR="004C6A86" w:rsidRPr="004C6A86">
              <w:rPr>
                <w:rStyle w:val="Hypertextovprepojenie"/>
              </w:rPr>
              <w:t xml:space="preserve"> Sociálne politiky</w:t>
            </w:r>
            <w:r w:rsidR="004C6A86" w:rsidRPr="004C6A86">
              <w:rPr>
                <w:webHidden/>
              </w:rPr>
              <w:tab/>
            </w:r>
            <w:r w:rsidR="004C6A86" w:rsidRPr="004C6A86">
              <w:rPr>
                <w:webHidden/>
              </w:rPr>
              <w:fldChar w:fldCharType="begin"/>
            </w:r>
            <w:r w:rsidR="004C6A86" w:rsidRPr="004C6A86">
              <w:rPr>
                <w:webHidden/>
              </w:rPr>
              <w:instrText xml:space="preserve"> PAGEREF _Toc24098452 \h </w:instrText>
            </w:r>
            <w:r w:rsidR="004C6A86" w:rsidRPr="004C6A86">
              <w:rPr>
                <w:webHidden/>
              </w:rPr>
            </w:r>
            <w:r w:rsidR="004C6A86" w:rsidRPr="004C6A86">
              <w:rPr>
                <w:webHidden/>
              </w:rPr>
              <w:fldChar w:fldCharType="separate"/>
            </w:r>
            <w:r>
              <w:rPr>
                <w:webHidden/>
              </w:rPr>
              <w:t>26</w:t>
            </w:r>
            <w:r w:rsidR="004C6A86" w:rsidRPr="004C6A86">
              <w:rPr>
                <w:webHidden/>
              </w:rPr>
              <w:fldChar w:fldCharType="end"/>
            </w:r>
          </w:hyperlink>
        </w:p>
        <w:p w14:paraId="6C859240" w14:textId="518F0021" w:rsidR="004C6A86" w:rsidRPr="004C6A86" w:rsidRDefault="001C284A">
          <w:pPr>
            <w:pStyle w:val="Obsah1"/>
            <w:rPr>
              <w:rFonts w:ascii="Arial Narrow" w:eastAsiaTheme="minorEastAsia" w:hAnsi="Arial Narrow"/>
              <w:b w:val="0"/>
              <w:bCs w:val="0"/>
              <w:noProof/>
              <w:sz w:val="22"/>
              <w:szCs w:val="22"/>
              <w:lang w:eastAsia="sk-SK"/>
            </w:rPr>
          </w:pPr>
          <w:hyperlink w:anchor="_Toc24098453" w:history="1">
            <w:r w:rsidR="004C6A86" w:rsidRPr="004C6A86">
              <w:rPr>
                <w:rStyle w:val="Hypertextovprepojenie"/>
                <w:rFonts w:ascii="Arial Narrow" w:hAnsi="Arial Narrow"/>
                <w:noProof/>
              </w:rPr>
              <w:t>5.</w:t>
            </w:r>
            <w:r w:rsidR="004C6A86" w:rsidRPr="004C6A86">
              <w:rPr>
                <w:rFonts w:ascii="Arial Narrow" w:eastAsiaTheme="minorEastAsia" w:hAnsi="Arial Narrow"/>
                <w:b w:val="0"/>
                <w:bCs w:val="0"/>
                <w:noProof/>
                <w:sz w:val="22"/>
                <w:szCs w:val="22"/>
                <w:lang w:eastAsia="sk-SK"/>
              </w:rPr>
              <w:tab/>
            </w:r>
            <w:r w:rsidR="004C6A86" w:rsidRPr="004C6A86">
              <w:rPr>
                <w:rStyle w:val="Hypertextovprepojenie"/>
                <w:rFonts w:ascii="Arial Narrow" w:hAnsi="Arial Narrow"/>
                <w:noProof/>
              </w:rPr>
              <w:t>Rozpočtové vzťahy SR a EÚ v roku 2020</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_Toc24098453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28</w:t>
            </w:r>
            <w:r w:rsidR="004C6A86" w:rsidRPr="004C6A86">
              <w:rPr>
                <w:rFonts w:ascii="Arial Narrow" w:hAnsi="Arial Narrow"/>
                <w:noProof/>
                <w:webHidden/>
              </w:rPr>
              <w:fldChar w:fldCharType="end"/>
            </w:r>
          </w:hyperlink>
        </w:p>
        <w:p w14:paraId="5B4884C1" w14:textId="340BD329" w:rsidR="004C6A86" w:rsidRPr="004C6A86" w:rsidRDefault="001C284A">
          <w:pPr>
            <w:pStyle w:val="Obsah1"/>
            <w:rPr>
              <w:rFonts w:ascii="Arial Narrow" w:eastAsiaTheme="minorEastAsia" w:hAnsi="Arial Narrow"/>
              <w:b w:val="0"/>
              <w:bCs w:val="0"/>
              <w:noProof/>
              <w:sz w:val="22"/>
              <w:szCs w:val="22"/>
              <w:lang w:eastAsia="sk-SK"/>
            </w:rPr>
          </w:pPr>
          <w:hyperlink w:anchor="_Toc24098454" w:history="1">
            <w:r w:rsidR="004C6A86" w:rsidRPr="004C6A86">
              <w:rPr>
                <w:rStyle w:val="Hypertextovprepojenie"/>
                <w:rFonts w:ascii="Arial Narrow" w:hAnsi="Arial Narrow"/>
                <w:noProof/>
              </w:rPr>
              <w:t>6.</w:t>
            </w:r>
            <w:r w:rsidR="004C6A86" w:rsidRPr="004C6A86">
              <w:rPr>
                <w:rFonts w:ascii="Arial Narrow" w:eastAsiaTheme="minorEastAsia" w:hAnsi="Arial Narrow"/>
                <w:b w:val="0"/>
                <w:bCs w:val="0"/>
                <w:noProof/>
                <w:sz w:val="22"/>
                <w:szCs w:val="22"/>
                <w:lang w:eastAsia="sk-SK"/>
              </w:rPr>
              <w:tab/>
            </w:r>
            <w:r w:rsidR="004C6A86" w:rsidRPr="004C6A86">
              <w:rPr>
                <w:rStyle w:val="Hypertextovprepojenie"/>
                <w:rFonts w:ascii="Arial Narrow" w:hAnsi="Arial Narrow"/>
                <w:noProof/>
              </w:rPr>
              <w:t>Návrh súhrnného rozpočtu ostatných subjektov verejnej správy na rok 2020</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_Toc24098454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31</w:t>
            </w:r>
            <w:r w:rsidR="004C6A86" w:rsidRPr="004C6A86">
              <w:rPr>
                <w:rFonts w:ascii="Arial Narrow" w:hAnsi="Arial Narrow"/>
                <w:noProof/>
                <w:webHidden/>
              </w:rPr>
              <w:fldChar w:fldCharType="end"/>
            </w:r>
          </w:hyperlink>
        </w:p>
        <w:p w14:paraId="0819D049" w14:textId="43D95CC0" w:rsidR="004C6A86" w:rsidRPr="004C6A86" w:rsidRDefault="001C284A">
          <w:pPr>
            <w:pStyle w:val="Obsah2"/>
            <w:rPr>
              <w:rFonts w:eastAsiaTheme="minorEastAsia"/>
              <w:iCs w:val="0"/>
              <w:lang w:eastAsia="sk-SK"/>
            </w:rPr>
          </w:pPr>
          <w:hyperlink w:anchor="_Toc24098455" w:history="1">
            <w:r w:rsidR="004C6A86" w:rsidRPr="004C6A86">
              <w:rPr>
                <w:rStyle w:val="Hypertextovprepojenie"/>
              </w:rPr>
              <w:t>6.1 Rozpočet obcí a VÚC</w:t>
            </w:r>
            <w:r w:rsidR="004C6A86" w:rsidRPr="004C6A86">
              <w:rPr>
                <w:webHidden/>
              </w:rPr>
              <w:tab/>
            </w:r>
            <w:r w:rsidR="004C6A86" w:rsidRPr="004C6A86">
              <w:rPr>
                <w:webHidden/>
              </w:rPr>
              <w:fldChar w:fldCharType="begin"/>
            </w:r>
            <w:r w:rsidR="004C6A86" w:rsidRPr="004C6A86">
              <w:rPr>
                <w:webHidden/>
              </w:rPr>
              <w:instrText xml:space="preserve"> PAGEREF _Toc24098455 \h </w:instrText>
            </w:r>
            <w:r w:rsidR="004C6A86" w:rsidRPr="004C6A86">
              <w:rPr>
                <w:webHidden/>
              </w:rPr>
            </w:r>
            <w:r w:rsidR="004C6A86" w:rsidRPr="004C6A86">
              <w:rPr>
                <w:webHidden/>
              </w:rPr>
              <w:fldChar w:fldCharType="separate"/>
            </w:r>
            <w:r>
              <w:rPr>
                <w:webHidden/>
              </w:rPr>
              <w:t>31</w:t>
            </w:r>
            <w:r w:rsidR="004C6A86" w:rsidRPr="004C6A86">
              <w:rPr>
                <w:webHidden/>
              </w:rPr>
              <w:fldChar w:fldCharType="end"/>
            </w:r>
          </w:hyperlink>
        </w:p>
        <w:p w14:paraId="615830C6" w14:textId="0988707F" w:rsidR="004C6A86" w:rsidRPr="004C6A86" w:rsidRDefault="001C284A">
          <w:pPr>
            <w:pStyle w:val="Obsah3"/>
            <w:tabs>
              <w:tab w:val="left" w:pos="1200"/>
              <w:tab w:val="right" w:pos="9346"/>
            </w:tabs>
            <w:rPr>
              <w:rFonts w:ascii="Arial Narrow" w:eastAsiaTheme="minorEastAsia" w:hAnsi="Arial Narrow"/>
              <w:noProof/>
              <w:sz w:val="22"/>
              <w:szCs w:val="22"/>
              <w:lang w:eastAsia="sk-SK"/>
            </w:rPr>
          </w:pPr>
          <w:hyperlink w:anchor="_Toc24098456" w:history="1">
            <w:r w:rsidR="004C6A86" w:rsidRPr="004C6A86">
              <w:rPr>
                <w:rStyle w:val="Hypertextovprepojenie"/>
                <w:rFonts w:ascii="Arial Narrow" w:hAnsi="Arial Narrow"/>
                <w:noProof/>
              </w:rPr>
              <w:t>6.1 1</w:t>
            </w:r>
            <w:r w:rsidR="004C6A86" w:rsidRPr="004C6A86">
              <w:rPr>
                <w:rFonts w:ascii="Arial Narrow" w:eastAsiaTheme="minorEastAsia" w:hAnsi="Arial Narrow"/>
                <w:noProof/>
                <w:sz w:val="22"/>
                <w:szCs w:val="22"/>
                <w:lang w:eastAsia="sk-SK"/>
              </w:rPr>
              <w:tab/>
            </w:r>
            <w:r w:rsidR="004C6A86" w:rsidRPr="004C6A86">
              <w:rPr>
                <w:rStyle w:val="Hypertextovprepojenie"/>
                <w:rFonts w:ascii="Arial Narrow" w:hAnsi="Arial Narrow"/>
                <w:noProof/>
              </w:rPr>
              <w:t xml:space="preserve"> Rozpočet obcí</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_Toc24098456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31</w:t>
            </w:r>
            <w:r w:rsidR="004C6A86" w:rsidRPr="004C6A86">
              <w:rPr>
                <w:rFonts w:ascii="Arial Narrow" w:hAnsi="Arial Narrow"/>
                <w:noProof/>
                <w:webHidden/>
              </w:rPr>
              <w:fldChar w:fldCharType="end"/>
            </w:r>
          </w:hyperlink>
        </w:p>
        <w:p w14:paraId="0F53F4DF" w14:textId="72FAEF2B" w:rsidR="004C6A86" w:rsidRPr="004C6A86" w:rsidRDefault="001C284A">
          <w:pPr>
            <w:pStyle w:val="Obsah3"/>
            <w:tabs>
              <w:tab w:val="left" w:pos="1200"/>
              <w:tab w:val="right" w:pos="9346"/>
            </w:tabs>
            <w:rPr>
              <w:rFonts w:ascii="Arial Narrow" w:eastAsiaTheme="minorEastAsia" w:hAnsi="Arial Narrow"/>
              <w:noProof/>
              <w:sz w:val="22"/>
              <w:szCs w:val="22"/>
              <w:lang w:eastAsia="sk-SK"/>
            </w:rPr>
          </w:pPr>
          <w:hyperlink w:anchor="_Toc24098457" w:history="1">
            <w:r w:rsidR="004C6A86" w:rsidRPr="004C6A86">
              <w:rPr>
                <w:rStyle w:val="Hypertextovprepojenie"/>
                <w:rFonts w:ascii="Arial Narrow" w:hAnsi="Arial Narrow"/>
                <w:noProof/>
              </w:rPr>
              <w:t>6.2.2</w:t>
            </w:r>
            <w:r w:rsidR="004C6A86" w:rsidRPr="004C6A86">
              <w:rPr>
                <w:rFonts w:ascii="Arial Narrow" w:eastAsiaTheme="minorEastAsia" w:hAnsi="Arial Narrow"/>
                <w:noProof/>
                <w:sz w:val="22"/>
                <w:szCs w:val="22"/>
                <w:lang w:eastAsia="sk-SK"/>
              </w:rPr>
              <w:tab/>
            </w:r>
            <w:r w:rsidR="004C6A86" w:rsidRPr="004C6A86">
              <w:rPr>
                <w:rStyle w:val="Hypertextovprepojenie"/>
                <w:rFonts w:ascii="Arial Narrow" w:hAnsi="Arial Narrow"/>
                <w:noProof/>
              </w:rPr>
              <w:t xml:space="preserve"> Rozpočet VÚC</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_Toc24098457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35</w:t>
            </w:r>
            <w:r w:rsidR="004C6A86" w:rsidRPr="004C6A86">
              <w:rPr>
                <w:rFonts w:ascii="Arial Narrow" w:hAnsi="Arial Narrow"/>
                <w:noProof/>
                <w:webHidden/>
              </w:rPr>
              <w:fldChar w:fldCharType="end"/>
            </w:r>
          </w:hyperlink>
        </w:p>
        <w:p w14:paraId="22E5D9CB" w14:textId="2DE5AB20" w:rsidR="004C6A86" w:rsidRPr="004C6A86" w:rsidRDefault="001C284A">
          <w:pPr>
            <w:pStyle w:val="Obsah2"/>
            <w:rPr>
              <w:rFonts w:eastAsiaTheme="minorEastAsia"/>
              <w:iCs w:val="0"/>
              <w:lang w:eastAsia="sk-SK"/>
            </w:rPr>
          </w:pPr>
          <w:hyperlink w:anchor="_Toc24098458" w:history="1">
            <w:r w:rsidR="004C6A86" w:rsidRPr="004C6A86">
              <w:rPr>
                <w:rStyle w:val="Hypertextovprepojenie"/>
              </w:rPr>
              <w:t>6.2</w:t>
            </w:r>
            <w:r w:rsidR="004C6A86" w:rsidRPr="004C6A86">
              <w:rPr>
                <w:rFonts w:eastAsiaTheme="minorEastAsia"/>
                <w:iCs w:val="0"/>
                <w:lang w:eastAsia="sk-SK"/>
              </w:rPr>
              <w:tab/>
            </w:r>
            <w:r w:rsidR="004C6A86" w:rsidRPr="004C6A86">
              <w:rPr>
                <w:rStyle w:val="Hypertextovprepojenie"/>
              </w:rPr>
              <w:t xml:space="preserve"> Rozpočet Sociálnej poisťovne</w:t>
            </w:r>
            <w:r w:rsidR="004C6A86" w:rsidRPr="004C6A86">
              <w:rPr>
                <w:webHidden/>
              </w:rPr>
              <w:tab/>
            </w:r>
            <w:r w:rsidR="004C6A86" w:rsidRPr="004C6A86">
              <w:rPr>
                <w:webHidden/>
              </w:rPr>
              <w:fldChar w:fldCharType="begin"/>
            </w:r>
            <w:r w:rsidR="004C6A86" w:rsidRPr="004C6A86">
              <w:rPr>
                <w:webHidden/>
              </w:rPr>
              <w:instrText xml:space="preserve"> PAGEREF _Toc24098458 \h </w:instrText>
            </w:r>
            <w:r w:rsidR="004C6A86" w:rsidRPr="004C6A86">
              <w:rPr>
                <w:webHidden/>
              </w:rPr>
            </w:r>
            <w:r w:rsidR="004C6A86" w:rsidRPr="004C6A86">
              <w:rPr>
                <w:webHidden/>
              </w:rPr>
              <w:fldChar w:fldCharType="separate"/>
            </w:r>
            <w:r>
              <w:rPr>
                <w:webHidden/>
              </w:rPr>
              <w:t>35</w:t>
            </w:r>
            <w:r w:rsidR="004C6A86" w:rsidRPr="004C6A86">
              <w:rPr>
                <w:webHidden/>
              </w:rPr>
              <w:fldChar w:fldCharType="end"/>
            </w:r>
          </w:hyperlink>
        </w:p>
        <w:p w14:paraId="66E0FEDC" w14:textId="3B308B12" w:rsidR="004C6A86" w:rsidRDefault="001C284A">
          <w:pPr>
            <w:pStyle w:val="Obsah1"/>
            <w:rPr>
              <w:rFonts w:eastAsiaTheme="minorEastAsia"/>
              <w:b w:val="0"/>
              <w:bCs w:val="0"/>
              <w:noProof/>
              <w:sz w:val="22"/>
              <w:szCs w:val="22"/>
              <w:lang w:eastAsia="sk-SK"/>
            </w:rPr>
          </w:pPr>
          <w:hyperlink w:anchor="_Toc24098459" w:history="1">
            <w:r w:rsidR="004C6A86" w:rsidRPr="004C6A86">
              <w:rPr>
                <w:rStyle w:val="Hypertextovprepojenie"/>
                <w:rFonts w:ascii="Arial Narrow" w:hAnsi="Arial Narrow"/>
                <w:noProof/>
              </w:rPr>
              <w:t>Tabuľková príloha</w:t>
            </w:r>
            <w:r w:rsidR="004C6A86" w:rsidRPr="004C6A86">
              <w:rPr>
                <w:rFonts w:ascii="Arial Narrow" w:hAnsi="Arial Narrow"/>
                <w:noProof/>
                <w:webHidden/>
              </w:rPr>
              <w:tab/>
            </w:r>
            <w:r w:rsidR="004C6A86" w:rsidRPr="004C6A86">
              <w:rPr>
                <w:rFonts w:ascii="Arial Narrow" w:hAnsi="Arial Narrow"/>
                <w:noProof/>
                <w:webHidden/>
              </w:rPr>
              <w:fldChar w:fldCharType="begin"/>
            </w:r>
            <w:r w:rsidR="004C6A86" w:rsidRPr="004C6A86">
              <w:rPr>
                <w:rFonts w:ascii="Arial Narrow" w:hAnsi="Arial Narrow"/>
                <w:noProof/>
                <w:webHidden/>
              </w:rPr>
              <w:instrText xml:space="preserve"> PAGEREF _Toc24098459 \h </w:instrText>
            </w:r>
            <w:r w:rsidR="004C6A86" w:rsidRPr="004C6A86">
              <w:rPr>
                <w:rFonts w:ascii="Arial Narrow" w:hAnsi="Arial Narrow"/>
                <w:noProof/>
                <w:webHidden/>
              </w:rPr>
            </w:r>
            <w:r w:rsidR="004C6A86" w:rsidRPr="004C6A86">
              <w:rPr>
                <w:rFonts w:ascii="Arial Narrow" w:hAnsi="Arial Narrow"/>
                <w:noProof/>
                <w:webHidden/>
              </w:rPr>
              <w:fldChar w:fldCharType="separate"/>
            </w:r>
            <w:r>
              <w:rPr>
                <w:rFonts w:ascii="Arial Narrow" w:hAnsi="Arial Narrow"/>
                <w:noProof/>
                <w:webHidden/>
              </w:rPr>
              <w:t>37</w:t>
            </w:r>
            <w:r w:rsidR="004C6A86" w:rsidRPr="004C6A86">
              <w:rPr>
                <w:rFonts w:ascii="Arial Narrow" w:hAnsi="Arial Narrow"/>
                <w:noProof/>
                <w:webHidden/>
              </w:rPr>
              <w:fldChar w:fldCharType="end"/>
            </w:r>
          </w:hyperlink>
        </w:p>
        <w:p w14:paraId="65A2B1C1" w14:textId="482154ED" w:rsidR="001A46A4" w:rsidRPr="004539A4" w:rsidRDefault="00A35C70" w:rsidP="008062D1">
          <w:pPr>
            <w:spacing w:before="40"/>
          </w:pPr>
          <w:r w:rsidRPr="00E4756F">
            <w:rPr>
              <w:b/>
              <w:bCs/>
            </w:rPr>
            <w:fldChar w:fldCharType="end"/>
          </w:r>
        </w:p>
      </w:sdtContent>
    </w:sdt>
    <w:p w14:paraId="2D8A2683" w14:textId="77777777" w:rsidR="00D32FF5" w:rsidRDefault="00D32FF5" w:rsidP="0098571D"/>
    <w:p w14:paraId="27F42A8F" w14:textId="77777777" w:rsidR="009C689C" w:rsidRDefault="009C689C" w:rsidP="0098571D"/>
    <w:p w14:paraId="5D1187EA" w14:textId="77777777" w:rsidR="009C689C" w:rsidRPr="00066EFF" w:rsidRDefault="009C689C" w:rsidP="0098571D">
      <w:pPr>
        <w:sectPr w:rsidR="009C689C" w:rsidRPr="00066EFF" w:rsidSect="001767FE">
          <w:headerReference w:type="default" r:id="rId9"/>
          <w:footerReference w:type="default" r:id="rId10"/>
          <w:type w:val="continuous"/>
          <w:pgSz w:w="11906" w:h="16838" w:code="9"/>
          <w:pgMar w:top="1417" w:right="1274" w:bottom="1417" w:left="1276" w:header="709" w:footer="709" w:gutter="0"/>
          <w:pgNumType w:start="0"/>
          <w:cols w:space="708"/>
          <w:titlePg/>
          <w:docGrid w:linePitch="360"/>
        </w:sectPr>
      </w:pPr>
    </w:p>
    <w:p w14:paraId="0497FF4B" w14:textId="77777777" w:rsidR="00D95FBD" w:rsidRPr="00066EFF" w:rsidRDefault="001A46A4" w:rsidP="0098571D">
      <w:r w:rsidRPr="00066EFF">
        <w:br w:type="page"/>
      </w:r>
      <w:bookmarkStart w:id="4" w:name="_Toc480788310"/>
    </w:p>
    <w:p w14:paraId="56298735" w14:textId="77777777" w:rsidR="000530D3" w:rsidRPr="00FF45A7" w:rsidRDefault="000530D3" w:rsidP="009F1048">
      <w:pPr>
        <w:pStyle w:val="Nadpis1"/>
        <w:spacing w:after="120"/>
      </w:pPr>
      <w:bookmarkStart w:id="5" w:name="_Toc6988057"/>
      <w:bookmarkStart w:id="6" w:name="_Toc24098438"/>
      <w:bookmarkStart w:id="7" w:name="_Toc515607706"/>
      <w:r w:rsidRPr="00FF45A7">
        <w:lastRenderedPageBreak/>
        <w:t>Zoznam skratiek</w:t>
      </w:r>
      <w:bookmarkEnd w:id="5"/>
      <w:bookmarkEnd w:id="6"/>
    </w:p>
    <w:tbl>
      <w:tblPr>
        <w:tblStyle w:val="Mriekatabuky"/>
        <w:tblW w:w="0" w:type="auto"/>
        <w:jc w:val="center"/>
        <w:tblBorders>
          <w:top w:val="single" w:sz="2" w:space="0" w:color="2196F3"/>
          <w:left w:val="single" w:sz="2" w:space="0" w:color="2196F3"/>
          <w:bottom w:val="single" w:sz="2" w:space="0" w:color="2196F3"/>
          <w:right w:val="single" w:sz="2" w:space="0" w:color="2196F3"/>
          <w:insideH w:val="single" w:sz="2" w:space="0" w:color="2196F3"/>
          <w:insideV w:val="single" w:sz="2" w:space="0" w:color="2196F3"/>
        </w:tblBorders>
        <w:tblCellMar>
          <w:left w:w="70" w:type="dxa"/>
          <w:right w:w="70" w:type="dxa"/>
        </w:tblCellMar>
        <w:tblLook w:val="04A0" w:firstRow="1" w:lastRow="0" w:firstColumn="1" w:lastColumn="0" w:noHBand="0" w:noVBand="1"/>
      </w:tblPr>
      <w:tblGrid>
        <w:gridCol w:w="1064"/>
        <w:gridCol w:w="3050"/>
        <w:gridCol w:w="2456"/>
        <w:gridCol w:w="2496"/>
      </w:tblGrid>
      <w:tr w:rsidR="0091699C" w:rsidRPr="00C018B8" w14:paraId="0A8656A1" w14:textId="77777777" w:rsidTr="0020663F">
        <w:trPr>
          <w:trHeight w:val="20"/>
          <w:jc w:val="center"/>
        </w:trPr>
        <w:tc>
          <w:tcPr>
            <w:tcW w:w="1064" w:type="dxa"/>
            <w:shd w:val="clear" w:color="auto" w:fill="EFEFEF"/>
            <w:vAlign w:val="bottom"/>
          </w:tcPr>
          <w:p w14:paraId="37788034" w14:textId="77777777" w:rsidR="0091699C" w:rsidRPr="00C018B8" w:rsidRDefault="0091699C" w:rsidP="0020663F">
            <w:pPr>
              <w:rPr>
                <w:b/>
              </w:rPr>
            </w:pPr>
            <w:bookmarkStart w:id="8" w:name="_Toc6988058"/>
            <w:bookmarkEnd w:id="7"/>
            <w:r w:rsidRPr="00C018B8">
              <w:rPr>
                <w:rFonts w:cs="Arial"/>
              </w:rPr>
              <w:t>SKRATKA</w:t>
            </w:r>
          </w:p>
        </w:tc>
        <w:tc>
          <w:tcPr>
            <w:tcW w:w="3050" w:type="dxa"/>
            <w:shd w:val="clear" w:color="auto" w:fill="EFEFEF"/>
            <w:vAlign w:val="bottom"/>
          </w:tcPr>
          <w:p w14:paraId="24DB2ED9" w14:textId="77777777" w:rsidR="0091699C" w:rsidRPr="00C018B8" w:rsidRDefault="0091699C" w:rsidP="0020663F">
            <w:pPr>
              <w:rPr>
                <w:b/>
              </w:rPr>
            </w:pPr>
            <w:r w:rsidRPr="00C018B8">
              <w:rPr>
                <w:rFonts w:cs="Arial"/>
              </w:rPr>
              <w:t>VÝZNAM</w:t>
            </w:r>
          </w:p>
        </w:tc>
        <w:tc>
          <w:tcPr>
            <w:tcW w:w="2456" w:type="dxa"/>
            <w:shd w:val="clear" w:color="auto" w:fill="EFEFEF"/>
            <w:vAlign w:val="bottom"/>
          </w:tcPr>
          <w:p w14:paraId="07A0FA26" w14:textId="77777777" w:rsidR="0091699C" w:rsidRPr="00C018B8" w:rsidRDefault="0091699C" w:rsidP="0020663F">
            <w:pPr>
              <w:rPr>
                <w:rFonts w:cs="Arial"/>
              </w:rPr>
            </w:pPr>
            <w:r w:rsidRPr="00C018B8">
              <w:rPr>
                <w:rFonts w:cs="Arial"/>
              </w:rPr>
              <w:t>SKRATKA</w:t>
            </w:r>
          </w:p>
        </w:tc>
        <w:tc>
          <w:tcPr>
            <w:tcW w:w="2496" w:type="dxa"/>
            <w:shd w:val="clear" w:color="auto" w:fill="EFEFEF"/>
            <w:vAlign w:val="bottom"/>
          </w:tcPr>
          <w:p w14:paraId="45A949F0" w14:textId="77777777" w:rsidR="0091699C" w:rsidRPr="00C018B8" w:rsidRDefault="0091699C" w:rsidP="0020663F">
            <w:pPr>
              <w:rPr>
                <w:rFonts w:cs="Arial"/>
              </w:rPr>
            </w:pPr>
            <w:r w:rsidRPr="00C018B8">
              <w:rPr>
                <w:rFonts w:cs="Arial"/>
              </w:rPr>
              <w:t>VÝZNAM</w:t>
            </w:r>
          </w:p>
        </w:tc>
      </w:tr>
      <w:tr w:rsidR="0091699C" w:rsidRPr="00C018B8" w14:paraId="45DAD4BD" w14:textId="77777777" w:rsidTr="0020663F">
        <w:trPr>
          <w:trHeight w:val="20"/>
          <w:jc w:val="center"/>
        </w:trPr>
        <w:tc>
          <w:tcPr>
            <w:tcW w:w="1064" w:type="dxa"/>
            <w:shd w:val="clear" w:color="auto" w:fill="auto"/>
            <w:vAlign w:val="center"/>
          </w:tcPr>
          <w:p w14:paraId="5EB61B2E" w14:textId="77777777" w:rsidR="0091699C" w:rsidRPr="00C018B8" w:rsidRDefault="0091699C" w:rsidP="0020663F">
            <w:pPr>
              <w:rPr>
                <w:color w:val="0070C0"/>
              </w:rPr>
            </w:pPr>
            <w:r>
              <w:rPr>
                <w:color w:val="0070C0"/>
              </w:rPr>
              <w:t>BA</w:t>
            </w:r>
          </w:p>
        </w:tc>
        <w:tc>
          <w:tcPr>
            <w:tcW w:w="3050" w:type="dxa"/>
            <w:shd w:val="clear" w:color="auto" w:fill="auto"/>
            <w:vAlign w:val="center"/>
          </w:tcPr>
          <w:p w14:paraId="0B3D9280" w14:textId="77777777" w:rsidR="0091699C" w:rsidRPr="00C018B8" w:rsidRDefault="0091699C" w:rsidP="0020663F">
            <w:r>
              <w:t>Hlavné mesto Bratislava</w:t>
            </w:r>
          </w:p>
        </w:tc>
        <w:tc>
          <w:tcPr>
            <w:tcW w:w="2456" w:type="dxa"/>
            <w:vAlign w:val="center"/>
          </w:tcPr>
          <w:p w14:paraId="5429E35C" w14:textId="77777777" w:rsidR="0091699C" w:rsidRPr="00C018B8" w:rsidRDefault="0091699C" w:rsidP="0020663F">
            <w:r>
              <w:rPr>
                <w:color w:val="0070C0"/>
              </w:rPr>
              <w:t>OECD</w:t>
            </w:r>
          </w:p>
        </w:tc>
        <w:tc>
          <w:tcPr>
            <w:tcW w:w="2496" w:type="dxa"/>
            <w:vAlign w:val="center"/>
          </w:tcPr>
          <w:p w14:paraId="6604165D" w14:textId="77777777" w:rsidR="0091699C" w:rsidRPr="00C018B8" w:rsidRDefault="0091699C" w:rsidP="0020663F">
            <w:r>
              <w:t>Organizácia pre hospodársku spoluprácu a rozvoj</w:t>
            </w:r>
          </w:p>
        </w:tc>
      </w:tr>
      <w:tr w:rsidR="0091699C" w:rsidRPr="00C018B8" w14:paraId="002800C3" w14:textId="77777777" w:rsidTr="0020663F">
        <w:trPr>
          <w:trHeight w:val="20"/>
          <w:jc w:val="center"/>
        </w:trPr>
        <w:tc>
          <w:tcPr>
            <w:tcW w:w="1064" w:type="dxa"/>
            <w:shd w:val="clear" w:color="auto" w:fill="auto"/>
            <w:vAlign w:val="center"/>
          </w:tcPr>
          <w:p w14:paraId="77202029" w14:textId="77777777" w:rsidR="0091699C" w:rsidRPr="00C018B8" w:rsidRDefault="0091699C" w:rsidP="0020663F">
            <w:pPr>
              <w:rPr>
                <w:color w:val="0070C0"/>
              </w:rPr>
            </w:pPr>
            <w:r w:rsidRPr="00C018B8">
              <w:rPr>
                <w:color w:val="0070C0"/>
              </w:rPr>
              <w:t>b. c.</w:t>
            </w:r>
          </w:p>
        </w:tc>
        <w:tc>
          <w:tcPr>
            <w:tcW w:w="3050" w:type="dxa"/>
            <w:shd w:val="clear" w:color="auto" w:fill="auto"/>
            <w:vAlign w:val="center"/>
          </w:tcPr>
          <w:p w14:paraId="267ECC5E" w14:textId="77777777" w:rsidR="0091699C" w:rsidRPr="00C018B8" w:rsidRDefault="0091699C" w:rsidP="0020663F">
            <w:r w:rsidRPr="00C018B8">
              <w:t>bežné ceny</w:t>
            </w:r>
          </w:p>
        </w:tc>
        <w:tc>
          <w:tcPr>
            <w:tcW w:w="2456" w:type="dxa"/>
            <w:vAlign w:val="center"/>
          </w:tcPr>
          <w:p w14:paraId="6972F535" w14:textId="77777777" w:rsidR="0091699C" w:rsidRPr="00C018B8" w:rsidRDefault="0091699C" w:rsidP="0020663F">
            <w:pPr>
              <w:rPr>
                <w:color w:val="0070C0"/>
              </w:rPr>
            </w:pPr>
            <w:r w:rsidRPr="00C018B8">
              <w:rPr>
                <w:color w:val="0070C0"/>
              </w:rPr>
              <w:t>OP</w:t>
            </w:r>
          </w:p>
        </w:tc>
        <w:tc>
          <w:tcPr>
            <w:tcW w:w="2496" w:type="dxa"/>
            <w:vAlign w:val="center"/>
          </w:tcPr>
          <w:p w14:paraId="7A35E1E5" w14:textId="77777777" w:rsidR="0091699C" w:rsidRPr="00C018B8" w:rsidRDefault="0091699C" w:rsidP="0020663F">
            <w:r w:rsidRPr="00C018B8">
              <w:t>operačný program</w:t>
            </w:r>
          </w:p>
        </w:tc>
      </w:tr>
      <w:tr w:rsidR="0091699C" w:rsidRPr="00C018B8" w14:paraId="01D54369" w14:textId="77777777" w:rsidTr="0020663F">
        <w:trPr>
          <w:trHeight w:val="20"/>
          <w:jc w:val="center"/>
        </w:trPr>
        <w:tc>
          <w:tcPr>
            <w:tcW w:w="1064" w:type="dxa"/>
            <w:shd w:val="clear" w:color="auto" w:fill="auto"/>
            <w:vAlign w:val="center"/>
          </w:tcPr>
          <w:p w14:paraId="19B1E1FA" w14:textId="77777777" w:rsidR="0091699C" w:rsidRPr="00242623" w:rsidRDefault="0091699C" w:rsidP="0020663F">
            <w:pPr>
              <w:rPr>
                <w:color w:val="0070C0"/>
              </w:rPr>
            </w:pPr>
            <w:r w:rsidRPr="00242623">
              <w:rPr>
                <w:color w:val="0070C0"/>
              </w:rPr>
              <w:t>CVTI</w:t>
            </w:r>
          </w:p>
        </w:tc>
        <w:tc>
          <w:tcPr>
            <w:tcW w:w="3050" w:type="dxa"/>
            <w:shd w:val="clear" w:color="auto" w:fill="auto"/>
            <w:vAlign w:val="center"/>
          </w:tcPr>
          <w:p w14:paraId="583702F2" w14:textId="77777777" w:rsidR="0091699C" w:rsidRPr="00242623" w:rsidRDefault="0091699C" w:rsidP="0020663F">
            <w:r w:rsidRPr="00242623">
              <w:t>Centrum vedecko-technických informácií</w:t>
            </w:r>
          </w:p>
        </w:tc>
        <w:tc>
          <w:tcPr>
            <w:tcW w:w="2456" w:type="dxa"/>
            <w:vAlign w:val="center"/>
          </w:tcPr>
          <w:p w14:paraId="5178DEED" w14:textId="77777777" w:rsidR="0091699C" w:rsidRPr="00C018B8" w:rsidRDefault="0091699C" w:rsidP="0020663F">
            <w:r w:rsidRPr="00C018B8">
              <w:rPr>
                <w:color w:val="0070C0"/>
              </w:rPr>
              <w:t>P</w:t>
            </w:r>
          </w:p>
        </w:tc>
        <w:tc>
          <w:tcPr>
            <w:tcW w:w="2496" w:type="dxa"/>
            <w:vAlign w:val="center"/>
          </w:tcPr>
          <w:p w14:paraId="250D146C" w14:textId="77777777" w:rsidR="0091699C" w:rsidRPr="00C018B8" w:rsidRDefault="0091699C" w:rsidP="0020663F">
            <w:r w:rsidRPr="00C018B8">
              <w:t>plán</w:t>
            </w:r>
          </w:p>
        </w:tc>
      </w:tr>
      <w:tr w:rsidR="0091699C" w:rsidRPr="00C018B8" w14:paraId="1B87F2FE" w14:textId="77777777" w:rsidTr="0020663F">
        <w:trPr>
          <w:trHeight w:val="20"/>
          <w:jc w:val="center"/>
        </w:trPr>
        <w:tc>
          <w:tcPr>
            <w:tcW w:w="1064" w:type="dxa"/>
            <w:shd w:val="clear" w:color="auto" w:fill="auto"/>
            <w:vAlign w:val="center"/>
          </w:tcPr>
          <w:p w14:paraId="6D87D441" w14:textId="77777777" w:rsidR="0091699C" w:rsidRPr="00C018B8" w:rsidRDefault="0091699C" w:rsidP="0020663F">
            <w:pPr>
              <w:rPr>
                <w:color w:val="0070C0"/>
              </w:rPr>
            </w:pPr>
            <w:r>
              <w:rPr>
                <w:color w:val="0070C0"/>
              </w:rPr>
              <w:t>DPFO</w:t>
            </w:r>
          </w:p>
        </w:tc>
        <w:tc>
          <w:tcPr>
            <w:tcW w:w="3050" w:type="dxa"/>
            <w:shd w:val="clear" w:color="auto" w:fill="auto"/>
            <w:vAlign w:val="center"/>
          </w:tcPr>
          <w:p w14:paraId="0EE6BBE7" w14:textId="77777777" w:rsidR="0091699C" w:rsidRPr="00C018B8" w:rsidRDefault="0091699C" w:rsidP="0020663F">
            <w:r>
              <w:t>daň z príjmov fyzických osôb</w:t>
            </w:r>
          </w:p>
        </w:tc>
        <w:tc>
          <w:tcPr>
            <w:tcW w:w="2456" w:type="dxa"/>
            <w:vAlign w:val="center"/>
          </w:tcPr>
          <w:p w14:paraId="44C341E4" w14:textId="77777777" w:rsidR="0091699C" w:rsidRDefault="0091699C" w:rsidP="0020663F">
            <w:r w:rsidRPr="00C018B8">
              <w:rPr>
                <w:color w:val="0070C0"/>
              </w:rPr>
              <w:t>p. b.</w:t>
            </w:r>
          </w:p>
        </w:tc>
        <w:tc>
          <w:tcPr>
            <w:tcW w:w="2496" w:type="dxa"/>
            <w:vAlign w:val="center"/>
          </w:tcPr>
          <w:p w14:paraId="11C3B1C8" w14:textId="77777777" w:rsidR="0091699C" w:rsidRDefault="0091699C" w:rsidP="0020663F">
            <w:r w:rsidRPr="00C018B8">
              <w:t>percentuálny bod</w:t>
            </w:r>
          </w:p>
        </w:tc>
      </w:tr>
      <w:tr w:rsidR="0091699C" w:rsidRPr="00C018B8" w14:paraId="7B8D233A" w14:textId="77777777" w:rsidTr="0020663F">
        <w:trPr>
          <w:trHeight w:val="20"/>
          <w:jc w:val="center"/>
        </w:trPr>
        <w:tc>
          <w:tcPr>
            <w:tcW w:w="1064" w:type="dxa"/>
            <w:shd w:val="clear" w:color="auto" w:fill="auto"/>
            <w:vAlign w:val="center"/>
          </w:tcPr>
          <w:p w14:paraId="4981A9A1" w14:textId="77777777" w:rsidR="0091699C" w:rsidRPr="00C018B8" w:rsidRDefault="0091699C" w:rsidP="0020663F">
            <w:pPr>
              <w:rPr>
                <w:color w:val="0070C0"/>
              </w:rPr>
            </w:pPr>
            <w:r w:rsidRPr="00C018B8">
              <w:rPr>
                <w:color w:val="0070C0"/>
              </w:rPr>
              <w:t>DPH</w:t>
            </w:r>
          </w:p>
        </w:tc>
        <w:tc>
          <w:tcPr>
            <w:tcW w:w="3050" w:type="dxa"/>
            <w:shd w:val="clear" w:color="auto" w:fill="auto"/>
            <w:vAlign w:val="center"/>
          </w:tcPr>
          <w:p w14:paraId="0E55578A" w14:textId="77777777" w:rsidR="0091699C" w:rsidRPr="00C018B8" w:rsidRDefault="0091699C" w:rsidP="0020663F">
            <w:r w:rsidRPr="00C018B8">
              <w:t>daň z pridanej hodnoty</w:t>
            </w:r>
          </w:p>
        </w:tc>
        <w:tc>
          <w:tcPr>
            <w:tcW w:w="2456" w:type="dxa"/>
            <w:vAlign w:val="center"/>
          </w:tcPr>
          <w:p w14:paraId="7B0BF8A2" w14:textId="77777777" w:rsidR="0091699C" w:rsidRPr="00C018B8" w:rsidRDefault="0091699C" w:rsidP="0020663F">
            <w:pPr>
              <w:rPr>
                <w:color w:val="0070C0"/>
              </w:rPr>
            </w:pPr>
            <w:r>
              <w:rPr>
                <w:color w:val="0070C0"/>
              </w:rPr>
              <w:t>PAS</w:t>
            </w:r>
          </w:p>
        </w:tc>
        <w:tc>
          <w:tcPr>
            <w:tcW w:w="2496" w:type="dxa"/>
            <w:vAlign w:val="center"/>
          </w:tcPr>
          <w:p w14:paraId="154E6533" w14:textId="77777777" w:rsidR="0091699C" w:rsidRPr="00C018B8" w:rsidRDefault="0091699C" w:rsidP="0020663F">
            <w:r>
              <w:t>Podnikateľská aliancia Slovenska</w:t>
            </w:r>
          </w:p>
        </w:tc>
      </w:tr>
      <w:tr w:rsidR="0091699C" w:rsidRPr="00C018B8" w14:paraId="1B50C9F3" w14:textId="77777777" w:rsidTr="0020663F">
        <w:trPr>
          <w:trHeight w:val="20"/>
          <w:jc w:val="center"/>
        </w:trPr>
        <w:tc>
          <w:tcPr>
            <w:tcW w:w="1064" w:type="dxa"/>
            <w:shd w:val="clear" w:color="auto" w:fill="auto"/>
            <w:vAlign w:val="center"/>
          </w:tcPr>
          <w:p w14:paraId="708D4FC5" w14:textId="77777777" w:rsidR="0091699C" w:rsidRDefault="0091699C" w:rsidP="0020663F">
            <w:pPr>
              <w:rPr>
                <w:color w:val="0070C0"/>
              </w:rPr>
            </w:pPr>
            <w:r w:rsidRPr="00C018B8">
              <w:rPr>
                <w:color w:val="0070C0"/>
              </w:rPr>
              <w:t>DPPO</w:t>
            </w:r>
          </w:p>
        </w:tc>
        <w:tc>
          <w:tcPr>
            <w:tcW w:w="3050" w:type="dxa"/>
            <w:shd w:val="clear" w:color="auto" w:fill="auto"/>
            <w:vAlign w:val="center"/>
          </w:tcPr>
          <w:p w14:paraId="783A2163" w14:textId="77777777" w:rsidR="0091699C" w:rsidRDefault="0091699C" w:rsidP="0020663F">
            <w:r w:rsidRPr="00C018B8">
              <w:t>daň z príjmov právnických osôb</w:t>
            </w:r>
          </w:p>
        </w:tc>
        <w:tc>
          <w:tcPr>
            <w:tcW w:w="2456" w:type="dxa"/>
            <w:vAlign w:val="center"/>
          </w:tcPr>
          <w:p w14:paraId="691FD7A9" w14:textId="77777777" w:rsidR="0091699C" w:rsidRPr="00C018B8" w:rsidRDefault="0091699C" w:rsidP="0020663F">
            <w:pPr>
              <w:rPr>
                <w:color w:val="0070C0"/>
              </w:rPr>
            </w:pPr>
            <w:r w:rsidRPr="00C018B8">
              <w:rPr>
                <w:color w:val="0070C0"/>
              </w:rPr>
              <w:t>PO</w:t>
            </w:r>
          </w:p>
        </w:tc>
        <w:tc>
          <w:tcPr>
            <w:tcW w:w="2496" w:type="dxa"/>
            <w:vAlign w:val="center"/>
          </w:tcPr>
          <w:p w14:paraId="05A1629D" w14:textId="77777777" w:rsidR="0091699C" w:rsidRPr="00C018B8" w:rsidRDefault="0091699C" w:rsidP="0020663F">
            <w:r w:rsidRPr="00C018B8">
              <w:t>Prioritná os</w:t>
            </w:r>
          </w:p>
        </w:tc>
      </w:tr>
      <w:tr w:rsidR="0091699C" w:rsidRPr="00C018B8" w14:paraId="56F80C9F" w14:textId="77777777" w:rsidTr="0020663F">
        <w:trPr>
          <w:trHeight w:val="20"/>
          <w:jc w:val="center"/>
        </w:trPr>
        <w:tc>
          <w:tcPr>
            <w:tcW w:w="1064" w:type="dxa"/>
            <w:shd w:val="clear" w:color="auto" w:fill="auto"/>
            <w:vAlign w:val="center"/>
          </w:tcPr>
          <w:p w14:paraId="05602980" w14:textId="77777777" w:rsidR="0091699C" w:rsidRPr="00C018B8" w:rsidRDefault="0091699C" w:rsidP="0020663F">
            <w:pPr>
              <w:rPr>
                <w:color w:val="0070C0"/>
              </w:rPr>
            </w:pPr>
            <w:r>
              <w:rPr>
                <w:color w:val="0070C0"/>
              </w:rPr>
              <w:t>D a RC</w:t>
            </w:r>
          </w:p>
        </w:tc>
        <w:tc>
          <w:tcPr>
            <w:tcW w:w="3050" w:type="dxa"/>
            <w:shd w:val="clear" w:color="auto" w:fill="auto"/>
            <w:vAlign w:val="center"/>
          </w:tcPr>
          <w:p w14:paraId="5524CC25" w14:textId="77777777" w:rsidR="0091699C" w:rsidRPr="00C018B8" w:rsidRDefault="0091699C" w:rsidP="0020663F">
            <w:r>
              <w:t>diaľnice a rýchlostné cesty</w:t>
            </w:r>
          </w:p>
        </w:tc>
        <w:tc>
          <w:tcPr>
            <w:tcW w:w="2456" w:type="dxa"/>
            <w:vAlign w:val="center"/>
          </w:tcPr>
          <w:p w14:paraId="7FB88D91" w14:textId="77777777" w:rsidR="0091699C" w:rsidRPr="00C018B8" w:rsidRDefault="0091699C" w:rsidP="0020663F">
            <w:r w:rsidRPr="00C018B8">
              <w:rPr>
                <w:color w:val="0070C0"/>
              </w:rPr>
              <w:t>PRV</w:t>
            </w:r>
          </w:p>
        </w:tc>
        <w:tc>
          <w:tcPr>
            <w:tcW w:w="2496" w:type="dxa"/>
            <w:vAlign w:val="center"/>
          </w:tcPr>
          <w:p w14:paraId="661BE39E" w14:textId="77777777" w:rsidR="0091699C" w:rsidRPr="00C018B8" w:rsidRDefault="0091699C" w:rsidP="0020663F">
            <w:r w:rsidRPr="00C018B8">
              <w:t>Program rozvoja vidieka</w:t>
            </w:r>
          </w:p>
        </w:tc>
      </w:tr>
      <w:tr w:rsidR="0091699C" w:rsidRPr="00C018B8" w14:paraId="16CF4D84" w14:textId="77777777" w:rsidTr="0020663F">
        <w:trPr>
          <w:trHeight w:val="20"/>
          <w:jc w:val="center"/>
        </w:trPr>
        <w:tc>
          <w:tcPr>
            <w:tcW w:w="1064" w:type="dxa"/>
            <w:shd w:val="clear" w:color="auto" w:fill="auto"/>
            <w:vAlign w:val="center"/>
          </w:tcPr>
          <w:p w14:paraId="05092301" w14:textId="77777777" w:rsidR="0091699C" w:rsidRPr="00C018B8" w:rsidRDefault="0091699C" w:rsidP="0020663F">
            <w:pPr>
              <w:rPr>
                <w:color w:val="0070C0"/>
              </w:rPr>
            </w:pPr>
            <w:r>
              <w:rPr>
                <w:color w:val="0070C0"/>
              </w:rPr>
              <w:t>DRG</w:t>
            </w:r>
          </w:p>
        </w:tc>
        <w:tc>
          <w:tcPr>
            <w:tcW w:w="3050" w:type="dxa"/>
            <w:shd w:val="clear" w:color="auto" w:fill="auto"/>
            <w:vAlign w:val="center"/>
          </w:tcPr>
          <w:p w14:paraId="4A909EC6" w14:textId="77777777" w:rsidR="0091699C" w:rsidRPr="00C018B8" w:rsidRDefault="0091699C" w:rsidP="0020663F"/>
        </w:tc>
        <w:tc>
          <w:tcPr>
            <w:tcW w:w="2456" w:type="dxa"/>
            <w:vAlign w:val="center"/>
          </w:tcPr>
          <w:p w14:paraId="292801B9" w14:textId="77777777" w:rsidR="0091699C" w:rsidRPr="00C018B8" w:rsidRDefault="0091699C" w:rsidP="0020663F">
            <w:pPr>
              <w:rPr>
                <w:color w:val="0070C0"/>
              </w:rPr>
            </w:pPr>
            <w:r w:rsidRPr="00C018B8">
              <w:rPr>
                <w:color w:val="0070C0"/>
              </w:rPr>
              <w:t>RIS</w:t>
            </w:r>
          </w:p>
        </w:tc>
        <w:tc>
          <w:tcPr>
            <w:tcW w:w="2496" w:type="dxa"/>
            <w:vAlign w:val="center"/>
          </w:tcPr>
          <w:p w14:paraId="7ED6F058" w14:textId="77777777" w:rsidR="0091699C" w:rsidRPr="00C018B8" w:rsidRDefault="0091699C" w:rsidP="0020663F">
            <w:r w:rsidRPr="00C018B8">
              <w:t>Rozpočtový informačný systém</w:t>
            </w:r>
          </w:p>
        </w:tc>
      </w:tr>
      <w:tr w:rsidR="0091699C" w:rsidRPr="00C018B8" w14:paraId="71AAE8C5" w14:textId="77777777" w:rsidTr="0020663F">
        <w:trPr>
          <w:trHeight w:val="20"/>
          <w:jc w:val="center"/>
        </w:trPr>
        <w:tc>
          <w:tcPr>
            <w:tcW w:w="1064" w:type="dxa"/>
            <w:shd w:val="clear" w:color="auto" w:fill="auto"/>
            <w:vAlign w:val="center"/>
          </w:tcPr>
          <w:p w14:paraId="29DD8A03" w14:textId="77777777" w:rsidR="0091699C" w:rsidRPr="00C018B8" w:rsidRDefault="0091699C" w:rsidP="0020663F">
            <w:pPr>
              <w:rPr>
                <w:color w:val="0070C0"/>
              </w:rPr>
            </w:pPr>
            <w:r w:rsidRPr="00C018B8">
              <w:rPr>
                <w:color w:val="0070C0"/>
              </w:rPr>
              <w:t>EK</w:t>
            </w:r>
          </w:p>
        </w:tc>
        <w:tc>
          <w:tcPr>
            <w:tcW w:w="3050" w:type="dxa"/>
            <w:shd w:val="clear" w:color="auto" w:fill="auto"/>
            <w:vAlign w:val="center"/>
          </w:tcPr>
          <w:p w14:paraId="33044C63" w14:textId="77777777" w:rsidR="0091699C" w:rsidRPr="00C018B8" w:rsidRDefault="0091699C" w:rsidP="0020663F">
            <w:r w:rsidRPr="00C018B8">
              <w:t>Európska komisia</w:t>
            </w:r>
          </w:p>
        </w:tc>
        <w:tc>
          <w:tcPr>
            <w:tcW w:w="2456" w:type="dxa"/>
            <w:vAlign w:val="center"/>
          </w:tcPr>
          <w:p w14:paraId="46F34DC0" w14:textId="77777777" w:rsidR="0091699C" w:rsidRPr="00C018B8" w:rsidRDefault="0091699C" w:rsidP="0020663F">
            <w:r>
              <w:rPr>
                <w:color w:val="0070C0"/>
              </w:rPr>
              <w:t>RP</w:t>
            </w:r>
          </w:p>
        </w:tc>
        <w:tc>
          <w:tcPr>
            <w:tcW w:w="2496" w:type="dxa"/>
            <w:vAlign w:val="center"/>
          </w:tcPr>
          <w:p w14:paraId="7EFAAC24" w14:textId="77777777" w:rsidR="0091699C" w:rsidRPr="00C018B8" w:rsidRDefault="0091699C" w:rsidP="0020663F">
            <w:r>
              <w:t>Rezidentský program</w:t>
            </w:r>
          </w:p>
        </w:tc>
      </w:tr>
      <w:tr w:rsidR="0091699C" w:rsidRPr="00C018B8" w14:paraId="4ECEAEE0" w14:textId="77777777" w:rsidTr="0020663F">
        <w:trPr>
          <w:trHeight w:val="20"/>
          <w:jc w:val="center"/>
        </w:trPr>
        <w:tc>
          <w:tcPr>
            <w:tcW w:w="1064" w:type="dxa"/>
            <w:shd w:val="clear" w:color="auto" w:fill="auto"/>
            <w:vAlign w:val="center"/>
          </w:tcPr>
          <w:p w14:paraId="44B0CBF8" w14:textId="77777777" w:rsidR="0091699C" w:rsidRPr="00C018B8" w:rsidRDefault="0091699C" w:rsidP="0020663F">
            <w:pPr>
              <w:rPr>
                <w:color w:val="0070C0"/>
              </w:rPr>
            </w:pPr>
            <w:r w:rsidRPr="00C018B8">
              <w:rPr>
                <w:color w:val="0070C0"/>
              </w:rPr>
              <w:t>ESA 2010</w:t>
            </w:r>
          </w:p>
        </w:tc>
        <w:tc>
          <w:tcPr>
            <w:tcW w:w="3050" w:type="dxa"/>
            <w:shd w:val="clear" w:color="auto" w:fill="auto"/>
            <w:vAlign w:val="center"/>
          </w:tcPr>
          <w:p w14:paraId="4D8DD36B" w14:textId="77777777" w:rsidR="0091699C" w:rsidRPr="00C018B8" w:rsidRDefault="0091699C" w:rsidP="0020663F">
            <w:r w:rsidRPr="00C018B8">
              <w:t xml:space="preserve">Európsky systém </w:t>
            </w:r>
            <w:r>
              <w:t xml:space="preserve">národných </w:t>
            </w:r>
            <w:r w:rsidRPr="00C018B8">
              <w:t>účtov</w:t>
            </w:r>
          </w:p>
        </w:tc>
        <w:tc>
          <w:tcPr>
            <w:tcW w:w="2456" w:type="dxa"/>
            <w:vAlign w:val="center"/>
          </w:tcPr>
          <w:p w14:paraId="54F4800B" w14:textId="77777777" w:rsidR="0091699C" w:rsidRPr="00C018B8" w:rsidRDefault="0091699C" w:rsidP="0020663F">
            <w:r w:rsidRPr="00C018B8">
              <w:rPr>
                <w:color w:val="0070C0"/>
              </w:rPr>
              <w:t>RVS</w:t>
            </w:r>
          </w:p>
        </w:tc>
        <w:tc>
          <w:tcPr>
            <w:tcW w:w="2496" w:type="dxa"/>
            <w:vAlign w:val="center"/>
          </w:tcPr>
          <w:p w14:paraId="42E10D79" w14:textId="77777777" w:rsidR="0091699C" w:rsidRPr="00C018B8" w:rsidRDefault="0091699C" w:rsidP="0020663F">
            <w:r w:rsidRPr="00C018B8">
              <w:t>rozpočet verejnej správy</w:t>
            </w:r>
          </w:p>
        </w:tc>
      </w:tr>
      <w:tr w:rsidR="0091699C" w:rsidRPr="00C018B8" w14:paraId="76988041" w14:textId="77777777" w:rsidTr="0020663F">
        <w:trPr>
          <w:trHeight w:val="20"/>
          <w:jc w:val="center"/>
        </w:trPr>
        <w:tc>
          <w:tcPr>
            <w:tcW w:w="1064" w:type="dxa"/>
            <w:shd w:val="clear" w:color="auto" w:fill="auto"/>
            <w:vAlign w:val="center"/>
          </w:tcPr>
          <w:p w14:paraId="6A17B1FF" w14:textId="77777777" w:rsidR="0091699C" w:rsidRPr="00C018B8" w:rsidRDefault="0091699C" w:rsidP="0020663F">
            <w:pPr>
              <w:rPr>
                <w:color w:val="0070C0"/>
              </w:rPr>
            </w:pPr>
            <w:r w:rsidRPr="00C018B8">
              <w:rPr>
                <w:color w:val="0070C0"/>
              </w:rPr>
              <w:t>EÚ</w:t>
            </w:r>
          </w:p>
        </w:tc>
        <w:tc>
          <w:tcPr>
            <w:tcW w:w="3050" w:type="dxa"/>
            <w:shd w:val="clear" w:color="auto" w:fill="auto"/>
            <w:vAlign w:val="center"/>
          </w:tcPr>
          <w:p w14:paraId="2A146FAF" w14:textId="77777777" w:rsidR="0091699C" w:rsidRPr="00C018B8" w:rsidRDefault="0091699C" w:rsidP="0020663F">
            <w:r w:rsidRPr="00C018B8">
              <w:t>Európska únia</w:t>
            </w:r>
          </w:p>
        </w:tc>
        <w:tc>
          <w:tcPr>
            <w:tcW w:w="2456" w:type="dxa"/>
            <w:vAlign w:val="center"/>
          </w:tcPr>
          <w:p w14:paraId="6D0D6390" w14:textId="77777777" w:rsidR="0091699C" w:rsidRPr="00C018B8" w:rsidRDefault="0091699C" w:rsidP="0020663F">
            <w:r w:rsidRPr="00C018B8">
              <w:rPr>
                <w:color w:val="0070C0"/>
              </w:rPr>
              <w:t>S</w:t>
            </w:r>
          </w:p>
        </w:tc>
        <w:tc>
          <w:tcPr>
            <w:tcW w:w="2496" w:type="dxa"/>
            <w:vAlign w:val="center"/>
          </w:tcPr>
          <w:p w14:paraId="35B18718" w14:textId="77777777" w:rsidR="0091699C" w:rsidRPr="00C018B8" w:rsidRDefault="0091699C" w:rsidP="0020663F">
            <w:r w:rsidRPr="00C018B8">
              <w:t>skutočnosť</w:t>
            </w:r>
          </w:p>
        </w:tc>
      </w:tr>
      <w:tr w:rsidR="0091699C" w:rsidRPr="00C018B8" w14:paraId="7FE9566E" w14:textId="77777777" w:rsidTr="0020663F">
        <w:trPr>
          <w:trHeight w:val="20"/>
          <w:jc w:val="center"/>
        </w:trPr>
        <w:tc>
          <w:tcPr>
            <w:tcW w:w="1064" w:type="dxa"/>
            <w:shd w:val="clear" w:color="auto" w:fill="auto"/>
            <w:vAlign w:val="center"/>
          </w:tcPr>
          <w:p w14:paraId="537D23F7" w14:textId="77777777" w:rsidR="0091699C" w:rsidRPr="00C018B8" w:rsidRDefault="0091699C" w:rsidP="0020663F">
            <w:pPr>
              <w:rPr>
                <w:color w:val="0070C0"/>
              </w:rPr>
            </w:pPr>
            <w:r w:rsidRPr="00C018B8">
              <w:rPr>
                <w:color w:val="0070C0"/>
              </w:rPr>
              <w:t>EŠIF</w:t>
            </w:r>
          </w:p>
        </w:tc>
        <w:tc>
          <w:tcPr>
            <w:tcW w:w="3050" w:type="dxa"/>
            <w:shd w:val="clear" w:color="auto" w:fill="auto"/>
            <w:vAlign w:val="center"/>
          </w:tcPr>
          <w:p w14:paraId="02D9995E" w14:textId="77777777" w:rsidR="0091699C" w:rsidRPr="00C018B8" w:rsidRDefault="0091699C" w:rsidP="0020663F">
            <w:r w:rsidRPr="00C018B8">
              <w:t>Európske štrukturálne a investičné fondy</w:t>
            </w:r>
          </w:p>
        </w:tc>
        <w:tc>
          <w:tcPr>
            <w:tcW w:w="2456" w:type="dxa"/>
            <w:vAlign w:val="center"/>
          </w:tcPr>
          <w:p w14:paraId="70DD6E6E" w14:textId="77777777" w:rsidR="0091699C" w:rsidRPr="00C018B8" w:rsidRDefault="0091699C" w:rsidP="0020663F">
            <w:r w:rsidRPr="00C018B8">
              <w:rPr>
                <w:color w:val="0070C0"/>
              </w:rPr>
              <w:t>s. c.</w:t>
            </w:r>
          </w:p>
        </w:tc>
        <w:tc>
          <w:tcPr>
            <w:tcW w:w="2496" w:type="dxa"/>
            <w:vAlign w:val="center"/>
          </w:tcPr>
          <w:p w14:paraId="79E27682" w14:textId="77777777" w:rsidR="0091699C" w:rsidRPr="00C018B8" w:rsidRDefault="0091699C" w:rsidP="0020663F">
            <w:r w:rsidRPr="00C018B8">
              <w:t>stále ceny</w:t>
            </w:r>
          </w:p>
        </w:tc>
      </w:tr>
      <w:tr w:rsidR="0091699C" w:rsidRPr="00C018B8" w14:paraId="16C73B3C" w14:textId="77777777" w:rsidTr="0020663F">
        <w:trPr>
          <w:trHeight w:val="20"/>
          <w:jc w:val="center"/>
        </w:trPr>
        <w:tc>
          <w:tcPr>
            <w:tcW w:w="1064" w:type="dxa"/>
            <w:shd w:val="clear" w:color="auto" w:fill="auto"/>
            <w:vAlign w:val="center"/>
          </w:tcPr>
          <w:p w14:paraId="35A5A7E2" w14:textId="77777777" w:rsidR="0091699C" w:rsidRPr="00C018B8" w:rsidRDefault="0091699C" w:rsidP="0020663F">
            <w:pPr>
              <w:rPr>
                <w:color w:val="0070C0"/>
              </w:rPr>
            </w:pPr>
            <w:r w:rsidRPr="00C018B8">
              <w:rPr>
                <w:color w:val="0070C0"/>
              </w:rPr>
              <w:t>HDP</w:t>
            </w:r>
          </w:p>
        </w:tc>
        <w:tc>
          <w:tcPr>
            <w:tcW w:w="3050" w:type="dxa"/>
            <w:shd w:val="clear" w:color="auto" w:fill="auto"/>
            <w:vAlign w:val="center"/>
          </w:tcPr>
          <w:p w14:paraId="2F264E90" w14:textId="77777777" w:rsidR="0091699C" w:rsidRPr="00C018B8" w:rsidRDefault="0091699C" w:rsidP="0020663F">
            <w:r w:rsidRPr="00C018B8">
              <w:t>hrubý domáci produkt</w:t>
            </w:r>
          </w:p>
        </w:tc>
        <w:tc>
          <w:tcPr>
            <w:tcW w:w="2456" w:type="dxa"/>
            <w:vAlign w:val="center"/>
          </w:tcPr>
          <w:p w14:paraId="6BA0AC66" w14:textId="77777777" w:rsidR="0091699C" w:rsidRPr="00C018B8" w:rsidRDefault="0091699C" w:rsidP="0020663F">
            <w:r w:rsidRPr="00C018B8">
              <w:rPr>
                <w:color w:val="0070C0"/>
              </w:rPr>
              <w:t>SR</w:t>
            </w:r>
          </w:p>
        </w:tc>
        <w:tc>
          <w:tcPr>
            <w:tcW w:w="2496" w:type="dxa"/>
            <w:vAlign w:val="center"/>
          </w:tcPr>
          <w:p w14:paraId="0E02A6D7" w14:textId="77777777" w:rsidR="0091699C" w:rsidRPr="00C018B8" w:rsidRDefault="0091699C" w:rsidP="0020663F">
            <w:r w:rsidRPr="00C018B8">
              <w:t>Slovenská republika</w:t>
            </w:r>
          </w:p>
        </w:tc>
      </w:tr>
      <w:tr w:rsidR="0091699C" w:rsidRPr="00C018B8" w14:paraId="616BD9C7" w14:textId="77777777" w:rsidTr="0020663F">
        <w:trPr>
          <w:trHeight w:val="20"/>
          <w:jc w:val="center"/>
        </w:trPr>
        <w:tc>
          <w:tcPr>
            <w:tcW w:w="1064" w:type="dxa"/>
            <w:shd w:val="clear" w:color="auto" w:fill="auto"/>
            <w:vAlign w:val="center"/>
          </w:tcPr>
          <w:p w14:paraId="743817F4" w14:textId="77777777" w:rsidR="0091699C" w:rsidRPr="00C018B8" w:rsidRDefault="0091699C" w:rsidP="0020663F">
            <w:pPr>
              <w:rPr>
                <w:color w:val="0070C0"/>
              </w:rPr>
            </w:pPr>
            <w:r w:rsidRPr="00C018B8">
              <w:rPr>
                <w:color w:val="0070C0"/>
              </w:rPr>
              <w:t>IFP</w:t>
            </w:r>
          </w:p>
        </w:tc>
        <w:tc>
          <w:tcPr>
            <w:tcW w:w="3050" w:type="dxa"/>
            <w:shd w:val="clear" w:color="auto" w:fill="auto"/>
            <w:vAlign w:val="center"/>
          </w:tcPr>
          <w:p w14:paraId="26FBDD75" w14:textId="77777777" w:rsidR="0091699C" w:rsidRPr="00C018B8" w:rsidRDefault="0091699C" w:rsidP="0020663F">
            <w:r w:rsidRPr="00C018B8">
              <w:t>Inštitút finančnej politiky</w:t>
            </w:r>
          </w:p>
        </w:tc>
        <w:tc>
          <w:tcPr>
            <w:tcW w:w="2456" w:type="dxa"/>
            <w:vAlign w:val="center"/>
          </w:tcPr>
          <w:p w14:paraId="276BA80C" w14:textId="77777777" w:rsidR="0091699C" w:rsidRPr="00C018B8" w:rsidRDefault="0091699C" w:rsidP="0020663F">
            <w:r w:rsidRPr="00C018B8">
              <w:rPr>
                <w:color w:val="0070C0"/>
              </w:rPr>
              <w:t>ŠÚ SR</w:t>
            </w:r>
          </w:p>
        </w:tc>
        <w:tc>
          <w:tcPr>
            <w:tcW w:w="2496" w:type="dxa"/>
            <w:vAlign w:val="center"/>
          </w:tcPr>
          <w:p w14:paraId="681AA654" w14:textId="77777777" w:rsidR="0091699C" w:rsidRPr="00C018B8" w:rsidRDefault="0091699C" w:rsidP="0020663F">
            <w:r w:rsidRPr="00C018B8">
              <w:t>Štatistický úrad SR</w:t>
            </w:r>
          </w:p>
        </w:tc>
      </w:tr>
      <w:tr w:rsidR="0091699C" w:rsidRPr="00C018B8" w14:paraId="2EAB7739" w14:textId="77777777" w:rsidTr="0020663F">
        <w:trPr>
          <w:trHeight w:val="20"/>
          <w:jc w:val="center"/>
        </w:trPr>
        <w:tc>
          <w:tcPr>
            <w:tcW w:w="1064" w:type="dxa"/>
            <w:shd w:val="clear" w:color="auto" w:fill="auto"/>
            <w:vAlign w:val="center"/>
          </w:tcPr>
          <w:p w14:paraId="018E8B67" w14:textId="77777777" w:rsidR="0091699C" w:rsidRPr="00C018B8" w:rsidRDefault="0091699C" w:rsidP="0020663F">
            <w:pPr>
              <w:rPr>
                <w:color w:val="0070C0"/>
              </w:rPr>
            </w:pPr>
            <w:r w:rsidRPr="00C018B8">
              <w:rPr>
                <w:color w:val="0070C0"/>
              </w:rPr>
              <w:t>IROP</w:t>
            </w:r>
          </w:p>
        </w:tc>
        <w:tc>
          <w:tcPr>
            <w:tcW w:w="3050" w:type="dxa"/>
            <w:shd w:val="clear" w:color="auto" w:fill="auto"/>
            <w:vAlign w:val="center"/>
          </w:tcPr>
          <w:p w14:paraId="5486954E" w14:textId="77777777" w:rsidR="0091699C" w:rsidRPr="00C018B8" w:rsidRDefault="0091699C" w:rsidP="0020663F">
            <w:r w:rsidRPr="00C018B8">
              <w:t>Integrovaný regionálny operačný program</w:t>
            </w:r>
          </w:p>
        </w:tc>
        <w:tc>
          <w:tcPr>
            <w:tcW w:w="2456" w:type="dxa"/>
            <w:vAlign w:val="center"/>
          </w:tcPr>
          <w:p w14:paraId="4A1AB597" w14:textId="77777777" w:rsidR="0091699C" w:rsidRPr="00C018B8" w:rsidRDefault="0091699C" w:rsidP="0020663F">
            <w:r w:rsidRPr="00C018B8">
              <w:rPr>
                <w:color w:val="0070C0"/>
              </w:rPr>
              <w:t>ŠR</w:t>
            </w:r>
          </w:p>
        </w:tc>
        <w:tc>
          <w:tcPr>
            <w:tcW w:w="2496" w:type="dxa"/>
            <w:vAlign w:val="center"/>
          </w:tcPr>
          <w:p w14:paraId="7DB54881" w14:textId="77777777" w:rsidR="0091699C" w:rsidRPr="00C018B8" w:rsidRDefault="0091699C" w:rsidP="0020663F">
            <w:r w:rsidRPr="00C018B8">
              <w:t>štátny rozpočet</w:t>
            </w:r>
          </w:p>
        </w:tc>
      </w:tr>
      <w:tr w:rsidR="0091699C" w:rsidRPr="00C018B8" w14:paraId="4F7026B5" w14:textId="77777777" w:rsidTr="0020663F">
        <w:trPr>
          <w:trHeight w:val="20"/>
          <w:jc w:val="center"/>
        </w:trPr>
        <w:tc>
          <w:tcPr>
            <w:tcW w:w="1064" w:type="dxa"/>
            <w:shd w:val="clear" w:color="auto" w:fill="auto"/>
            <w:vAlign w:val="center"/>
          </w:tcPr>
          <w:p w14:paraId="03099104" w14:textId="77777777" w:rsidR="0091699C" w:rsidRPr="00C018B8" w:rsidRDefault="0091699C" w:rsidP="0020663F">
            <w:pPr>
              <w:rPr>
                <w:color w:val="0070C0"/>
              </w:rPr>
            </w:pPr>
            <w:r w:rsidRPr="00C018B8">
              <w:rPr>
                <w:color w:val="0070C0"/>
              </w:rPr>
              <w:t>MDV SR</w:t>
            </w:r>
          </w:p>
        </w:tc>
        <w:tc>
          <w:tcPr>
            <w:tcW w:w="3050" w:type="dxa"/>
            <w:shd w:val="clear" w:color="auto" w:fill="auto"/>
            <w:vAlign w:val="center"/>
          </w:tcPr>
          <w:p w14:paraId="210CE89F" w14:textId="77777777" w:rsidR="0091699C" w:rsidRPr="00C018B8" w:rsidRDefault="0091699C" w:rsidP="0020663F">
            <w:r w:rsidRPr="00C018B8">
              <w:t>Ministerstvo dopravy a výstavby SR</w:t>
            </w:r>
          </w:p>
        </w:tc>
        <w:tc>
          <w:tcPr>
            <w:tcW w:w="2456" w:type="dxa"/>
            <w:vAlign w:val="center"/>
          </w:tcPr>
          <w:p w14:paraId="0744EF03" w14:textId="77777777" w:rsidR="0091699C" w:rsidRPr="00C018B8" w:rsidRDefault="0091699C" w:rsidP="0020663F">
            <w:pPr>
              <w:rPr>
                <w:color w:val="0070C0"/>
              </w:rPr>
            </w:pPr>
          </w:p>
        </w:tc>
        <w:tc>
          <w:tcPr>
            <w:tcW w:w="2496" w:type="dxa"/>
            <w:vAlign w:val="center"/>
          </w:tcPr>
          <w:p w14:paraId="7A9208FF" w14:textId="77777777" w:rsidR="0091699C" w:rsidRPr="00C018B8" w:rsidRDefault="0091699C" w:rsidP="0020663F"/>
        </w:tc>
      </w:tr>
      <w:tr w:rsidR="0091699C" w:rsidRPr="00C018B8" w14:paraId="7DE4B717" w14:textId="77777777" w:rsidTr="0020663F">
        <w:trPr>
          <w:trHeight w:val="20"/>
          <w:jc w:val="center"/>
        </w:trPr>
        <w:tc>
          <w:tcPr>
            <w:tcW w:w="1064" w:type="dxa"/>
            <w:shd w:val="clear" w:color="auto" w:fill="auto"/>
            <w:vAlign w:val="center"/>
          </w:tcPr>
          <w:p w14:paraId="1C89C233" w14:textId="77777777" w:rsidR="0091699C" w:rsidRPr="00C018B8" w:rsidRDefault="0091699C" w:rsidP="0020663F">
            <w:pPr>
              <w:rPr>
                <w:color w:val="0070C0"/>
              </w:rPr>
            </w:pPr>
            <w:r w:rsidRPr="00C018B8">
              <w:rPr>
                <w:color w:val="0070C0"/>
              </w:rPr>
              <w:t>MF SR</w:t>
            </w:r>
          </w:p>
        </w:tc>
        <w:tc>
          <w:tcPr>
            <w:tcW w:w="3050" w:type="dxa"/>
            <w:shd w:val="clear" w:color="auto" w:fill="auto"/>
            <w:vAlign w:val="center"/>
          </w:tcPr>
          <w:p w14:paraId="6BEBED33" w14:textId="77777777" w:rsidR="0091699C" w:rsidRPr="00C018B8" w:rsidRDefault="0091699C" w:rsidP="0020663F">
            <w:r w:rsidRPr="00C018B8">
              <w:t>Ministerstvo financií SR</w:t>
            </w:r>
          </w:p>
        </w:tc>
        <w:tc>
          <w:tcPr>
            <w:tcW w:w="2456" w:type="dxa"/>
            <w:vAlign w:val="center"/>
          </w:tcPr>
          <w:p w14:paraId="54F7B317" w14:textId="77777777" w:rsidR="0091699C" w:rsidRPr="00C018B8" w:rsidRDefault="0091699C" w:rsidP="0020663F">
            <w:r w:rsidRPr="00C018B8">
              <w:rPr>
                <w:color w:val="0070C0"/>
              </w:rPr>
              <w:t>ŠZÚ SR</w:t>
            </w:r>
          </w:p>
        </w:tc>
        <w:tc>
          <w:tcPr>
            <w:tcW w:w="2496" w:type="dxa"/>
            <w:vAlign w:val="center"/>
          </w:tcPr>
          <w:p w14:paraId="3D9E530C" w14:textId="77777777" w:rsidR="0091699C" w:rsidRPr="00C018B8" w:rsidRDefault="0091699C" w:rsidP="0020663F">
            <w:r w:rsidRPr="00C018B8">
              <w:t>štátny záverečný účet SR</w:t>
            </w:r>
          </w:p>
        </w:tc>
      </w:tr>
      <w:tr w:rsidR="0091699C" w:rsidRPr="00C018B8" w14:paraId="71FE9805" w14:textId="77777777" w:rsidTr="0020663F">
        <w:trPr>
          <w:trHeight w:val="20"/>
          <w:jc w:val="center"/>
        </w:trPr>
        <w:tc>
          <w:tcPr>
            <w:tcW w:w="1064" w:type="dxa"/>
            <w:shd w:val="clear" w:color="auto" w:fill="auto"/>
            <w:vAlign w:val="center"/>
          </w:tcPr>
          <w:p w14:paraId="4A50F55A" w14:textId="77777777" w:rsidR="0091699C" w:rsidRPr="00C018B8" w:rsidRDefault="0091699C" w:rsidP="0020663F">
            <w:pPr>
              <w:rPr>
                <w:color w:val="0070C0"/>
              </w:rPr>
            </w:pPr>
            <w:r>
              <w:rPr>
                <w:color w:val="0070C0"/>
              </w:rPr>
              <w:t>MO</w:t>
            </w:r>
          </w:p>
        </w:tc>
        <w:tc>
          <w:tcPr>
            <w:tcW w:w="3050" w:type="dxa"/>
            <w:shd w:val="clear" w:color="auto" w:fill="auto"/>
            <w:vAlign w:val="center"/>
          </w:tcPr>
          <w:p w14:paraId="1EE14B40" w14:textId="77777777" w:rsidR="0091699C" w:rsidRPr="00C018B8" w:rsidRDefault="0091699C" w:rsidP="0020663F">
            <w:r>
              <w:t>medzinárodné organizácie</w:t>
            </w:r>
          </w:p>
        </w:tc>
        <w:tc>
          <w:tcPr>
            <w:tcW w:w="2456" w:type="dxa"/>
            <w:vAlign w:val="center"/>
          </w:tcPr>
          <w:p w14:paraId="441089A7" w14:textId="77777777" w:rsidR="0091699C" w:rsidRPr="00242623" w:rsidRDefault="0091699C" w:rsidP="0020663F">
            <w:pPr>
              <w:rPr>
                <w:color w:val="0070C0"/>
              </w:rPr>
            </w:pPr>
            <w:r w:rsidRPr="00242623">
              <w:rPr>
                <w:color w:val="0070C0"/>
              </w:rPr>
              <w:t>ÚHP</w:t>
            </w:r>
          </w:p>
        </w:tc>
        <w:tc>
          <w:tcPr>
            <w:tcW w:w="2496" w:type="dxa"/>
            <w:vAlign w:val="center"/>
          </w:tcPr>
          <w:p w14:paraId="497D965F" w14:textId="77777777" w:rsidR="0091699C" w:rsidRPr="00242623" w:rsidRDefault="0091699C" w:rsidP="0020663F">
            <w:r w:rsidRPr="00242623">
              <w:t>Útvar hodnoty za peniaze</w:t>
            </w:r>
          </w:p>
        </w:tc>
      </w:tr>
      <w:tr w:rsidR="0091699C" w:rsidRPr="00C018B8" w14:paraId="690882F1" w14:textId="77777777" w:rsidTr="0020663F">
        <w:trPr>
          <w:trHeight w:val="20"/>
          <w:jc w:val="center"/>
        </w:trPr>
        <w:tc>
          <w:tcPr>
            <w:tcW w:w="1064" w:type="dxa"/>
            <w:shd w:val="clear" w:color="auto" w:fill="auto"/>
            <w:vAlign w:val="center"/>
          </w:tcPr>
          <w:p w14:paraId="4F1AEC08" w14:textId="77777777" w:rsidR="0091699C" w:rsidRPr="00242623" w:rsidRDefault="0091699C" w:rsidP="0020663F">
            <w:pPr>
              <w:rPr>
                <w:color w:val="0070C0"/>
              </w:rPr>
            </w:pPr>
            <w:r w:rsidRPr="00242623">
              <w:rPr>
                <w:color w:val="0070C0"/>
              </w:rPr>
              <w:t>MPSVR SR</w:t>
            </w:r>
          </w:p>
        </w:tc>
        <w:tc>
          <w:tcPr>
            <w:tcW w:w="3050" w:type="dxa"/>
            <w:shd w:val="clear" w:color="auto" w:fill="auto"/>
            <w:vAlign w:val="center"/>
          </w:tcPr>
          <w:p w14:paraId="56DDBE41" w14:textId="77777777" w:rsidR="0091699C" w:rsidRPr="00242623" w:rsidRDefault="0091699C" w:rsidP="0020663F">
            <w:r w:rsidRPr="00242623">
              <w:t>Ministerstvo práce, sociálnych vecí a rodiny SR</w:t>
            </w:r>
          </w:p>
        </w:tc>
        <w:tc>
          <w:tcPr>
            <w:tcW w:w="2456" w:type="dxa"/>
            <w:vAlign w:val="center"/>
          </w:tcPr>
          <w:p w14:paraId="13D8AB2B" w14:textId="77777777" w:rsidR="0091699C" w:rsidRPr="00242623" w:rsidRDefault="0091699C" w:rsidP="0020663F">
            <w:pPr>
              <w:rPr>
                <w:color w:val="0070C0"/>
              </w:rPr>
            </w:pPr>
            <w:r w:rsidRPr="00242623">
              <w:rPr>
                <w:color w:val="0070C0"/>
              </w:rPr>
              <w:t>ÚV SR</w:t>
            </w:r>
          </w:p>
        </w:tc>
        <w:tc>
          <w:tcPr>
            <w:tcW w:w="2496" w:type="dxa"/>
            <w:vAlign w:val="center"/>
          </w:tcPr>
          <w:p w14:paraId="7A2B4525" w14:textId="77777777" w:rsidR="0091699C" w:rsidRPr="00242623" w:rsidRDefault="0091699C" w:rsidP="0020663F">
            <w:r w:rsidRPr="00242623">
              <w:t>Úrad vlády SR</w:t>
            </w:r>
          </w:p>
        </w:tc>
      </w:tr>
      <w:tr w:rsidR="0091699C" w:rsidRPr="00C018B8" w14:paraId="49808C5A" w14:textId="77777777" w:rsidTr="0020663F">
        <w:trPr>
          <w:trHeight w:val="20"/>
          <w:jc w:val="center"/>
        </w:trPr>
        <w:tc>
          <w:tcPr>
            <w:tcW w:w="1064" w:type="dxa"/>
            <w:shd w:val="clear" w:color="auto" w:fill="auto"/>
            <w:vAlign w:val="center"/>
          </w:tcPr>
          <w:p w14:paraId="069443FA" w14:textId="77777777" w:rsidR="0091699C" w:rsidRPr="00C018B8" w:rsidRDefault="0091699C" w:rsidP="0020663F">
            <w:pPr>
              <w:rPr>
                <w:color w:val="0070C0"/>
              </w:rPr>
            </w:pPr>
            <w:r w:rsidRPr="00C018B8">
              <w:rPr>
                <w:color w:val="0070C0"/>
              </w:rPr>
              <w:t>MV SR</w:t>
            </w:r>
          </w:p>
        </w:tc>
        <w:tc>
          <w:tcPr>
            <w:tcW w:w="3050" w:type="dxa"/>
            <w:shd w:val="clear" w:color="auto" w:fill="auto"/>
            <w:vAlign w:val="center"/>
          </w:tcPr>
          <w:p w14:paraId="01007AEE" w14:textId="77777777" w:rsidR="0091699C" w:rsidRPr="00C018B8" w:rsidRDefault="0091699C" w:rsidP="0020663F">
            <w:r w:rsidRPr="00C018B8">
              <w:t>Ministerstvo vnútra SR</w:t>
            </w:r>
          </w:p>
        </w:tc>
        <w:tc>
          <w:tcPr>
            <w:tcW w:w="2456" w:type="dxa"/>
            <w:vAlign w:val="center"/>
          </w:tcPr>
          <w:p w14:paraId="0A78BD47" w14:textId="77777777" w:rsidR="0091699C" w:rsidRPr="00C018B8" w:rsidRDefault="0091699C" w:rsidP="0020663F">
            <w:r>
              <w:rPr>
                <w:color w:val="0070C0"/>
              </w:rPr>
              <w:t>V3</w:t>
            </w:r>
          </w:p>
        </w:tc>
        <w:tc>
          <w:tcPr>
            <w:tcW w:w="2496" w:type="dxa"/>
            <w:vAlign w:val="center"/>
          </w:tcPr>
          <w:p w14:paraId="550204D7" w14:textId="77777777" w:rsidR="0091699C" w:rsidRPr="00C018B8" w:rsidRDefault="0091699C" w:rsidP="0020663F">
            <w:r w:rsidRPr="00C018B8">
              <w:t>Česká republika, Poľsko, Maďarsko</w:t>
            </w:r>
          </w:p>
        </w:tc>
      </w:tr>
      <w:tr w:rsidR="0091699C" w:rsidRPr="00C018B8" w14:paraId="79A9724D" w14:textId="77777777" w:rsidTr="0020663F">
        <w:trPr>
          <w:trHeight w:val="20"/>
          <w:jc w:val="center"/>
        </w:trPr>
        <w:tc>
          <w:tcPr>
            <w:tcW w:w="1064" w:type="dxa"/>
            <w:shd w:val="clear" w:color="auto" w:fill="auto"/>
            <w:vAlign w:val="center"/>
          </w:tcPr>
          <w:p w14:paraId="63952B90" w14:textId="77777777" w:rsidR="0091699C" w:rsidRPr="00C018B8" w:rsidRDefault="0091699C" w:rsidP="0020663F">
            <w:pPr>
              <w:rPr>
                <w:color w:val="0070C0"/>
              </w:rPr>
            </w:pPr>
            <w:r w:rsidRPr="00C018B8">
              <w:rPr>
                <w:color w:val="0070C0"/>
              </w:rPr>
              <w:t>MŠ</w:t>
            </w:r>
          </w:p>
        </w:tc>
        <w:tc>
          <w:tcPr>
            <w:tcW w:w="3050" w:type="dxa"/>
            <w:shd w:val="clear" w:color="auto" w:fill="auto"/>
            <w:vAlign w:val="center"/>
          </w:tcPr>
          <w:p w14:paraId="6CB52F77" w14:textId="77777777" w:rsidR="0091699C" w:rsidRPr="00C018B8" w:rsidRDefault="0091699C" w:rsidP="0020663F">
            <w:r w:rsidRPr="00C018B8">
              <w:t>materské školy</w:t>
            </w:r>
          </w:p>
        </w:tc>
        <w:tc>
          <w:tcPr>
            <w:tcW w:w="2456" w:type="dxa"/>
            <w:vAlign w:val="center"/>
          </w:tcPr>
          <w:p w14:paraId="7DEAE79B" w14:textId="77777777" w:rsidR="0091699C" w:rsidRPr="00C018B8" w:rsidRDefault="0091699C" w:rsidP="0020663F">
            <w:pPr>
              <w:rPr>
                <w:color w:val="0070C0"/>
              </w:rPr>
            </w:pPr>
            <w:proofErr w:type="spellStart"/>
            <w:r>
              <w:rPr>
                <w:color w:val="0070C0"/>
              </w:rPr>
              <w:t>VaI</w:t>
            </w:r>
            <w:proofErr w:type="spellEnd"/>
          </w:p>
        </w:tc>
        <w:tc>
          <w:tcPr>
            <w:tcW w:w="2496" w:type="dxa"/>
            <w:vAlign w:val="center"/>
          </w:tcPr>
          <w:p w14:paraId="37C41D6B" w14:textId="77777777" w:rsidR="0091699C" w:rsidRPr="00C018B8" w:rsidRDefault="0091699C" w:rsidP="0020663F">
            <w:r>
              <w:t>Výskum a inovácie</w:t>
            </w:r>
          </w:p>
        </w:tc>
      </w:tr>
      <w:tr w:rsidR="0091699C" w:rsidRPr="00C018B8" w14:paraId="2E085E90" w14:textId="77777777" w:rsidTr="0020663F">
        <w:trPr>
          <w:trHeight w:val="20"/>
          <w:jc w:val="center"/>
        </w:trPr>
        <w:tc>
          <w:tcPr>
            <w:tcW w:w="1064" w:type="dxa"/>
            <w:shd w:val="clear" w:color="auto" w:fill="auto"/>
            <w:vAlign w:val="center"/>
          </w:tcPr>
          <w:p w14:paraId="7492EB68" w14:textId="77777777" w:rsidR="0091699C" w:rsidRPr="00242623" w:rsidRDefault="0091699C" w:rsidP="0020663F">
            <w:pPr>
              <w:rPr>
                <w:color w:val="0070C0"/>
              </w:rPr>
            </w:pPr>
            <w:r w:rsidRPr="00242623">
              <w:rPr>
                <w:color w:val="0070C0"/>
              </w:rPr>
              <w:t>MŠVVaŠ SR</w:t>
            </w:r>
          </w:p>
        </w:tc>
        <w:tc>
          <w:tcPr>
            <w:tcW w:w="3050" w:type="dxa"/>
            <w:shd w:val="clear" w:color="auto" w:fill="auto"/>
            <w:vAlign w:val="center"/>
          </w:tcPr>
          <w:p w14:paraId="435DE34D" w14:textId="77777777" w:rsidR="0091699C" w:rsidRPr="00242623" w:rsidRDefault="0091699C" w:rsidP="0020663F">
            <w:r w:rsidRPr="00242623">
              <w:t>Ministerstvo školstva, vedy, výskumu a športu SR</w:t>
            </w:r>
          </w:p>
        </w:tc>
        <w:tc>
          <w:tcPr>
            <w:tcW w:w="2456" w:type="dxa"/>
            <w:vAlign w:val="center"/>
          </w:tcPr>
          <w:p w14:paraId="03E5D7D2" w14:textId="77777777" w:rsidR="0091699C" w:rsidRPr="00C018B8" w:rsidRDefault="0091699C" w:rsidP="0020663F">
            <w:proofErr w:type="spellStart"/>
            <w:r w:rsidRPr="00C018B8">
              <w:rPr>
                <w:color w:val="0070C0"/>
              </w:rPr>
              <w:t>VaV</w:t>
            </w:r>
            <w:proofErr w:type="spellEnd"/>
          </w:p>
        </w:tc>
        <w:tc>
          <w:tcPr>
            <w:tcW w:w="2496" w:type="dxa"/>
            <w:vAlign w:val="center"/>
          </w:tcPr>
          <w:p w14:paraId="23953469" w14:textId="77777777" w:rsidR="0091699C" w:rsidRPr="00C018B8" w:rsidRDefault="0091699C" w:rsidP="0020663F">
            <w:r w:rsidRPr="00C018B8">
              <w:t>Výskum a vývoj</w:t>
            </w:r>
          </w:p>
        </w:tc>
      </w:tr>
      <w:tr w:rsidR="0091699C" w:rsidRPr="00C018B8" w14:paraId="17DE628D" w14:textId="77777777" w:rsidTr="0020663F">
        <w:trPr>
          <w:trHeight w:val="20"/>
          <w:jc w:val="center"/>
        </w:trPr>
        <w:tc>
          <w:tcPr>
            <w:tcW w:w="1064" w:type="dxa"/>
            <w:shd w:val="clear" w:color="auto" w:fill="auto"/>
            <w:vAlign w:val="center"/>
          </w:tcPr>
          <w:p w14:paraId="1220798E" w14:textId="77777777" w:rsidR="0091699C" w:rsidRPr="00C018B8" w:rsidRDefault="0091699C" w:rsidP="0020663F">
            <w:pPr>
              <w:rPr>
                <w:color w:val="0070C0"/>
              </w:rPr>
            </w:pPr>
            <w:r>
              <w:rPr>
                <w:color w:val="0070C0"/>
              </w:rPr>
              <w:t>MTO</w:t>
            </w:r>
          </w:p>
        </w:tc>
        <w:tc>
          <w:tcPr>
            <w:tcW w:w="3050" w:type="dxa"/>
            <w:shd w:val="clear" w:color="auto" w:fill="auto"/>
            <w:vAlign w:val="center"/>
          </w:tcPr>
          <w:p w14:paraId="02E3FBC1" w14:textId="77777777" w:rsidR="0091699C" w:rsidRPr="00C018B8" w:rsidRDefault="0091699C" w:rsidP="0020663F">
            <w:r>
              <w:t>strednodobý rozpočtový cieľ</w:t>
            </w:r>
          </w:p>
        </w:tc>
        <w:tc>
          <w:tcPr>
            <w:tcW w:w="2456" w:type="dxa"/>
            <w:vAlign w:val="center"/>
          </w:tcPr>
          <w:p w14:paraId="7F3DD34E" w14:textId="77777777" w:rsidR="0091699C" w:rsidRPr="00C018B8" w:rsidRDefault="0091699C" w:rsidP="0020663F">
            <w:proofErr w:type="spellStart"/>
            <w:r w:rsidRPr="00C018B8">
              <w:rPr>
                <w:color w:val="0070C0"/>
              </w:rPr>
              <w:t>VpMP</w:t>
            </w:r>
            <w:proofErr w:type="spellEnd"/>
          </w:p>
        </w:tc>
        <w:tc>
          <w:tcPr>
            <w:tcW w:w="2496" w:type="dxa"/>
            <w:vAlign w:val="center"/>
          </w:tcPr>
          <w:p w14:paraId="01E06063" w14:textId="77777777" w:rsidR="0091699C" w:rsidRPr="00C018B8" w:rsidRDefault="0091699C" w:rsidP="0020663F">
            <w:r w:rsidRPr="00C018B8">
              <w:t>Výbor pre makroekonomické prognózy</w:t>
            </w:r>
          </w:p>
        </w:tc>
      </w:tr>
      <w:tr w:rsidR="0091699C" w:rsidRPr="00C018B8" w14:paraId="1744B17A" w14:textId="77777777" w:rsidTr="0020663F">
        <w:trPr>
          <w:trHeight w:val="20"/>
          <w:jc w:val="center"/>
        </w:trPr>
        <w:tc>
          <w:tcPr>
            <w:tcW w:w="1064" w:type="dxa"/>
            <w:shd w:val="clear" w:color="auto" w:fill="auto"/>
            <w:vAlign w:val="center"/>
          </w:tcPr>
          <w:p w14:paraId="4977719F" w14:textId="77777777" w:rsidR="0091699C" w:rsidRPr="00C018B8" w:rsidRDefault="0091699C" w:rsidP="0020663F">
            <w:pPr>
              <w:rPr>
                <w:color w:val="0070C0"/>
              </w:rPr>
            </w:pPr>
            <w:r w:rsidRPr="00C018B8">
              <w:rPr>
                <w:color w:val="0070C0"/>
              </w:rPr>
              <w:t>MZ SR</w:t>
            </w:r>
          </w:p>
        </w:tc>
        <w:tc>
          <w:tcPr>
            <w:tcW w:w="3050" w:type="dxa"/>
            <w:shd w:val="clear" w:color="auto" w:fill="auto"/>
            <w:vAlign w:val="center"/>
          </w:tcPr>
          <w:p w14:paraId="064ECCAA" w14:textId="77777777" w:rsidR="0091699C" w:rsidRPr="00C018B8" w:rsidRDefault="0091699C" w:rsidP="0020663F">
            <w:r w:rsidRPr="00C018B8">
              <w:t>Ministerstvo zdravotníctva SR</w:t>
            </w:r>
          </w:p>
        </w:tc>
        <w:tc>
          <w:tcPr>
            <w:tcW w:w="2456" w:type="dxa"/>
            <w:vAlign w:val="center"/>
          </w:tcPr>
          <w:p w14:paraId="180E3874" w14:textId="77777777" w:rsidR="0091699C" w:rsidRPr="00C018B8" w:rsidRDefault="0091699C" w:rsidP="0020663F">
            <w:r w:rsidRPr="00C018B8">
              <w:rPr>
                <w:color w:val="0070C0"/>
              </w:rPr>
              <w:t>VPS</w:t>
            </w:r>
          </w:p>
        </w:tc>
        <w:tc>
          <w:tcPr>
            <w:tcW w:w="2496" w:type="dxa"/>
            <w:vAlign w:val="center"/>
          </w:tcPr>
          <w:p w14:paraId="7498716F" w14:textId="77777777" w:rsidR="0091699C" w:rsidRPr="00C018B8" w:rsidRDefault="0091699C" w:rsidP="0020663F">
            <w:r w:rsidRPr="00C018B8">
              <w:t>Všeobecná pokladničná správa</w:t>
            </w:r>
          </w:p>
        </w:tc>
      </w:tr>
      <w:tr w:rsidR="0091699C" w:rsidRPr="00C018B8" w14:paraId="4E9F3BEC" w14:textId="77777777" w:rsidTr="0020663F">
        <w:trPr>
          <w:trHeight w:val="20"/>
          <w:jc w:val="center"/>
        </w:trPr>
        <w:tc>
          <w:tcPr>
            <w:tcW w:w="1064" w:type="dxa"/>
            <w:shd w:val="clear" w:color="auto" w:fill="auto"/>
            <w:vAlign w:val="center"/>
          </w:tcPr>
          <w:p w14:paraId="41595C6D" w14:textId="77777777" w:rsidR="0091699C" w:rsidRPr="00C018B8" w:rsidRDefault="0091699C" w:rsidP="0020663F">
            <w:pPr>
              <w:rPr>
                <w:color w:val="0070C0"/>
              </w:rPr>
            </w:pPr>
            <w:r w:rsidRPr="00C018B8">
              <w:rPr>
                <w:color w:val="0070C0"/>
              </w:rPr>
              <w:t>NBS</w:t>
            </w:r>
          </w:p>
        </w:tc>
        <w:tc>
          <w:tcPr>
            <w:tcW w:w="3050" w:type="dxa"/>
            <w:shd w:val="clear" w:color="auto" w:fill="auto"/>
            <w:vAlign w:val="center"/>
          </w:tcPr>
          <w:p w14:paraId="1C3BA9E6" w14:textId="77777777" w:rsidR="0091699C" w:rsidRPr="00C018B8" w:rsidRDefault="0091699C" w:rsidP="0020663F">
            <w:r w:rsidRPr="00C018B8">
              <w:t>Národná banka Slovenska</w:t>
            </w:r>
          </w:p>
        </w:tc>
        <w:tc>
          <w:tcPr>
            <w:tcW w:w="2456" w:type="dxa"/>
            <w:vAlign w:val="center"/>
          </w:tcPr>
          <w:p w14:paraId="37F1B066" w14:textId="77777777" w:rsidR="0091699C" w:rsidRPr="00C018B8" w:rsidRDefault="0091699C" w:rsidP="0020663F">
            <w:r w:rsidRPr="00C018B8">
              <w:rPr>
                <w:color w:val="0070C0"/>
              </w:rPr>
              <w:t>VÚC</w:t>
            </w:r>
          </w:p>
        </w:tc>
        <w:tc>
          <w:tcPr>
            <w:tcW w:w="2496" w:type="dxa"/>
            <w:vAlign w:val="center"/>
          </w:tcPr>
          <w:p w14:paraId="4E091CB5" w14:textId="77777777" w:rsidR="0091699C" w:rsidRPr="00C018B8" w:rsidRDefault="0091699C" w:rsidP="0020663F">
            <w:r w:rsidRPr="00C018B8">
              <w:t>vyšší územný celok</w:t>
            </w:r>
          </w:p>
        </w:tc>
      </w:tr>
      <w:tr w:rsidR="0091699C" w:rsidRPr="00C018B8" w14:paraId="72AD0495" w14:textId="77777777" w:rsidTr="0020663F">
        <w:trPr>
          <w:trHeight w:val="20"/>
          <w:jc w:val="center"/>
        </w:trPr>
        <w:tc>
          <w:tcPr>
            <w:tcW w:w="1064" w:type="dxa"/>
            <w:shd w:val="clear" w:color="auto" w:fill="auto"/>
            <w:vAlign w:val="center"/>
          </w:tcPr>
          <w:p w14:paraId="4DCAA35A" w14:textId="77777777" w:rsidR="0091699C" w:rsidRPr="00242623" w:rsidRDefault="0091699C" w:rsidP="0020663F">
            <w:pPr>
              <w:rPr>
                <w:color w:val="0070C0"/>
              </w:rPr>
            </w:pPr>
            <w:r w:rsidRPr="00242623">
              <w:rPr>
                <w:color w:val="0070C0"/>
              </w:rPr>
              <w:t>NCZI</w:t>
            </w:r>
          </w:p>
        </w:tc>
        <w:tc>
          <w:tcPr>
            <w:tcW w:w="3050" w:type="dxa"/>
            <w:shd w:val="clear" w:color="auto" w:fill="auto"/>
            <w:vAlign w:val="center"/>
          </w:tcPr>
          <w:p w14:paraId="71E98CA2" w14:textId="77777777" w:rsidR="0091699C" w:rsidRPr="00242623" w:rsidRDefault="0091699C" w:rsidP="0020663F">
            <w:r w:rsidRPr="00242623">
              <w:t>Národné centrum zdravotníckych informácií</w:t>
            </w:r>
          </w:p>
        </w:tc>
        <w:tc>
          <w:tcPr>
            <w:tcW w:w="2456" w:type="dxa"/>
            <w:vAlign w:val="center"/>
          </w:tcPr>
          <w:p w14:paraId="27C513FF" w14:textId="77777777" w:rsidR="0091699C" w:rsidRPr="00C018B8" w:rsidRDefault="0091699C" w:rsidP="0020663F">
            <w:r w:rsidRPr="00C018B8">
              <w:rPr>
                <w:color w:val="0070C0"/>
              </w:rPr>
              <w:t>VS</w:t>
            </w:r>
          </w:p>
        </w:tc>
        <w:tc>
          <w:tcPr>
            <w:tcW w:w="2496" w:type="dxa"/>
            <w:vAlign w:val="center"/>
          </w:tcPr>
          <w:p w14:paraId="4E9CDBE7" w14:textId="77777777" w:rsidR="0091699C" w:rsidRPr="00C018B8" w:rsidRDefault="0091699C" w:rsidP="0020663F">
            <w:r w:rsidRPr="00C018B8">
              <w:t>verejná správa</w:t>
            </w:r>
          </w:p>
        </w:tc>
      </w:tr>
      <w:tr w:rsidR="0091699C" w:rsidRPr="00C018B8" w14:paraId="305DB449" w14:textId="77777777" w:rsidTr="0020663F">
        <w:trPr>
          <w:trHeight w:val="20"/>
          <w:jc w:val="center"/>
        </w:trPr>
        <w:tc>
          <w:tcPr>
            <w:tcW w:w="1064" w:type="dxa"/>
            <w:shd w:val="clear" w:color="auto" w:fill="auto"/>
            <w:vAlign w:val="center"/>
          </w:tcPr>
          <w:p w14:paraId="7295B5E5" w14:textId="77777777" w:rsidR="0091699C" w:rsidRPr="00C018B8" w:rsidRDefault="0091699C" w:rsidP="0020663F">
            <w:pPr>
              <w:rPr>
                <w:color w:val="0070C0"/>
              </w:rPr>
            </w:pPr>
            <w:r>
              <w:rPr>
                <w:color w:val="0070C0"/>
              </w:rPr>
              <w:t>NČZD</w:t>
            </w:r>
          </w:p>
        </w:tc>
        <w:tc>
          <w:tcPr>
            <w:tcW w:w="3050" w:type="dxa"/>
            <w:shd w:val="clear" w:color="auto" w:fill="auto"/>
            <w:vAlign w:val="center"/>
          </w:tcPr>
          <w:p w14:paraId="74701670" w14:textId="77777777" w:rsidR="0091699C" w:rsidRPr="00C018B8" w:rsidRDefault="0091699C" w:rsidP="0020663F">
            <w:r>
              <w:t>nezdaniteľná časť základu dane</w:t>
            </w:r>
          </w:p>
        </w:tc>
        <w:tc>
          <w:tcPr>
            <w:tcW w:w="2456" w:type="dxa"/>
            <w:vAlign w:val="center"/>
          </w:tcPr>
          <w:p w14:paraId="0B19B775" w14:textId="77777777" w:rsidR="0091699C" w:rsidRPr="00C018B8" w:rsidRDefault="0091699C" w:rsidP="0020663F">
            <w:r>
              <w:rPr>
                <w:color w:val="0070C0"/>
              </w:rPr>
              <w:t>VZP</w:t>
            </w:r>
          </w:p>
        </w:tc>
        <w:tc>
          <w:tcPr>
            <w:tcW w:w="2496" w:type="dxa"/>
            <w:vAlign w:val="center"/>
          </w:tcPr>
          <w:p w14:paraId="749FC537" w14:textId="77777777" w:rsidR="0091699C" w:rsidRPr="00C018B8" w:rsidRDefault="0091699C" w:rsidP="0020663F">
            <w:r>
              <w:t>verejné zdravotné poistenie</w:t>
            </w:r>
          </w:p>
        </w:tc>
      </w:tr>
      <w:tr w:rsidR="0091699C" w:rsidRPr="00C018B8" w14:paraId="41E853FA" w14:textId="77777777" w:rsidTr="0020663F">
        <w:trPr>
          <w:trHeight w:val="20"/>
          <w:jc w:val="center"/>
        </w:trPr>
        <w:tc>
          <w:tcPr>
            <w:tcW w:w="1064" w:type="dxa"/>
            <w:shd w:val="clear" w:color="auto" w:fill="auto"/>
            <w:vAlign w:val="center"/>
          </w:tcPr>
          <w:p w14:paraId="15DA1E2D" w14:textId="77777777" w:rsidR="0091699C" w:rsidRPr="00C018B8" w:rsidRDefault="0091699C" w:rsidP="0020663F">
            <w:pPr>
              <w:rPr>
                <w:color w:val="0070C0"/>
              </w:rPr>
            </w:pPr>
            <w:r w:rsidRPr="00C018B8">
              <w:rPr>
                <w:color w:val="0070C0"/>
              </w:rPr>
              <w:t>NDS, a. s.</w:t>
            </w:r>
          </w:p>
        </w:tc>
        <w:tc>
          <w:tcPr>
            <w:tcW w:w="3050" w:type="dxa"/>
            <w:shd w:val="clear" w:color="auto" w:fill="auto"/>
            <w:vAlign w:val="center"/>
          </w:tcPr>
          <w:p w14:paraId="6BC46D07" w14:textId="77777777" w:rsidR="0091699C" w:rsidRPr="00C018B8" w:rsidRDefault="0091699C" w:rsidP="0020663F">
            <w:r w:rsidRPr="00C018B8">
              <w:t xml:space="preserve">Národná diaľničná spoločnosť, a. s. </w:t>
            </w:r>
          </w:p>
        </w:tc>
        <w:tc>
          <w:tcPr>
            <w:tcW w:w="2456" w:type="dxa"/>
            <w:vAlign w:val="center"/>
          </w:tcPr>
          <w:p w14:paraId="699786B9" w14:textId="77777777" w:rsidR="0091699C" w:rsidRPr="00242623" w:rsidRDefault="0091699C" w:rsidP="0020663F">
            <w:pPr>
              <w:rPr>
                <w:color w:val="0070C0"/>
              </w:rPr>
            </w:pPr>
            <w:r w:rsidRPr="00242623">
              <w:rPr>
                <w:color w:val="0070C0"/>
              </w:rPr>
              <w:t>ZP</w:t>
            </w:r>
          </w:p>
        </w:tc>
        <w:tc>
          <w:tcPr>
            <w:tcW w:w="2496" w:type="dxa"/>
            <w:vAlign w:val="center"/>
          </w:tcPr>
          <w:p w14:paraId="751857AC" w14:textId="77777777" w:rsidR="0091699C" w:rsidRPr="00242623" w:rsidRDefault="0091699C" w:rsidP="0020663F">
            <w:r w:rsidRPr="00242623">
              <w:t>zdravotná poisťovňa</w:t>
            </w:r>
          </w:p>
        </w:tc>
      </w:tr>
      <w:tr w:rsidR="0091699C" w:rsidRPr="00C018B8" w14:paraId="5DC1D110" w14:textId="77777777" w:rsidTr="0020663F">
        <w:trPr>
          <w:trHeight w:val="20"/>
          <w:jc w:val="center"/>
        </w:trPr>
        <w:tc>
          <w:tcPr>
            <w:tcW w:w="1064" w:type="dxa"/>
            <w:shd w:val="clear" w:color="auto" w:fill="auto"/>
            <w:vAlign w:val="center"/>
          </w:tcPr>
          <w:p w14:paraId="08EA6648" w14:textId="77777777" w:rsidR="0091699C" w:rsidRPr="00C018B8" w:rsidRDefault="0091699C" w:rsidP="0020663F">
            <w:pPr>
              <w:rPr>
                <w:color w:val="0070C0"/>
              </w:rPr>
            </w:pPr>
            <w:r w:rsidRPr="00C018B8">
              <w:rPr>
                <w:color w:val="0070C0"/>
              </w:rPr>
              <w:t>NKÚ SR</w:t>
            </w:r>
          </w:p>
        </w:tc>
        <w:tc>
          <w:tcPr>
            <w:tcW w:w="3050" w:type="dxa"/>
            <w:shd w:val="clear" w:color="auto" w:fill="auto"/>
            <w:vAlign w:val="center"/>
          </w:tcPr>
          <w:p w14:paraId="23627E12" w14:textId="77777777" w:rsidR="0091699C" w:rsidRPr="00C018B8" w:rsidRDefault="0091699C" w:rsidP="0020663F">
            <w:r w:rsidRPr="00C018B8">
              <w:t>Najvyšší kontrolný úrad SR</w:t>
            </w:r>
          </w:p>
        </w:tc>
        <w:tc>
          <w:tcPr>
            <w:tcW w:w="2456" w:type="dxa"/>
            <w:vAlign w:val="center"/>
          </w:tcPr>
          <w:p w14:paraId="148B4EEF" w14:textId="77777777" w:rsidR="0091699C" w:rsidRPr="00C018B8" w:rsidRDefault="0091699C" w:rsidP="0020663F">
            <w:r w:rsidRPr="00C018B8">
              <w:rPr>
                <w:color w:val="0070C0"/>
              </w:rPr>
              <w:t>ZSSK</w:t>
            </w:r>
          </w:p>
        </w:tc>
        <w:tc>
          <w:tcPr>
            <w:tcW w:w="2496" w:type="dxa"/>
            <w:vAlign w:val="center"/>
          </w:tcPr>
          <w:p w14:paraId="3F5FEADC" w14:textId="77777777" w:rsidR="0091699C" w:rsidRPr="00C018B8" w:rsidRDefault="0091699C" w:rsidP="0020663F">
            <w:r w:rsidRPr="00C018B8">
              <w:t>Železničná spoločnosť Slovensko, a. s.</w:t>
            </w:r>
          </w:p>
        </w:tc>
      </w:tr>
      <w:tr w:rsidR="0091699C" w:rsidRPr="00C018B8" w14:paraId="32BF35CB" w14:textId="77777777" w:rsidTr="0020663F">
        <w:trPr>
          <w:trHeight w:val="20"/>
          <w:jc w:val="center"/>
        </w:trPr>
        <w:tc>
          <w:tcPr>
            <w:tcW w:w="1064" w:type="dxa"/>
            <w:shd w:val="clear" w:color="auto" w:fill="auto"/>
            <w:vAlign w:val="center"/>
          </w:tcPr>
          <w:p w14:paraId="6F7E362A" w14:textId="77777777" w:rsidR="0091699C" w:rsidRPr="00C018B8" w:rsidRDefault="0091699C" w:rsidP="0020663F">
            <w:pPr>
              <w:rPr>
                <w:color w:val="0070C0"/>
              </w:rPr>
            </w:pPr>
            <w:r w:rsidRPr="00C018B8">
              <w:rPr>
                <w:color w:val="0070C0"/>
              </w:rPr>
              <w:t>NR SR</w:t>
            </w:r>
          </w:p>
        </w:tc>
        <w:tc>
          <w:tcPr>
            <w:tcW w:w="3050" w:type="dxa"/>
            <w:shd w:val="clear" w:color="auto" w:fill="auto"/>
            <w:vAlign w:val="center"/>
          </w:tcPr>
          <w:p w14:paraId="57F0E3EA" w14:textId="77777777" w:rsidR="0091699C" w:rsidRPr="00C018B8" w:rsidRDefault="0091699C" w:rsidP="0020663F">
            <w:r w:rsidRPr="00C018B8">
              <w:t>Národná rada SR</w:t>
            </w:r>
          </w:p>
        </w:tc>
        <w:tc>
          <w:tcPr>
            <w:tcW w:w="2456" w:type="dxa"/>
            <w:vAlign w:val="center"/>
          </w:tcPr>
          <w:p w14:paraId="4F646F2F" w14:textId="77777777" w:rsidR="0091699C" w:rsidRPr="00C018B8" w:rsidRDefault="0091699C" w:rsidP="0020663F">
            <w:r w:rsidRPr="00C018B8">
              <w:rPr>
                <w:color w:val="0070C0"/>
              </w:rPr>
              <w:t>ŽSR</w:t>
            </w:r>
          </w:p>
        </w:tc>
        <w:tc>
          <w:tcPr>
            <w:tcW w:w="2496" w:type="dxa"/>
            <w:vAlign w:val="center"/>
          </w:tcPr>
          <w:p w14:paraId="5B0A3C7C" w14:textId="77777777" w:rsidR="0091699C" w:rsidRPr="00C018B8" w:rsidRDefault="0091699C" w:rsidP="0020663F">
            <w:r w:rsidRPr="00C018B8">
              <w:t>Železnice SR</w:t>
            </w:r>
          </w:p>
        </w:tc>
      </w:tr>
    </w:tbl>
    <w:p w14:paraId="725198C4" w14:textId="0D93417C" w:rsidR="00E4756F" w:rsidRDefault="00E4756F" w:rsidP="006A28DA">
      <w:pPr>
        <w:pStyle w:val="Nadpis1"/>
      </w:pPr>
    </w:p>
    <w:p w14:paraId="6543EFDC" w14:textId="3ACA8F83" w:rsidR="00E4756F" w:rsidRDefault="00E4756F">
      <w:r>
        <w:br w:type="page"/>
      </w:r>
    </w:p>
    <w:p w14:paraId="682026A0" w14:textId="028CE59E" w:rsidR="006A28DA" w:rsidRDefault="006A28DA" w:rsidP="006A28DA">
      <w:pPr>
        <w:pStyle w:val="Nadpis1"/>
      </w:pPr>
      <w:bookmarkStart w:id="9" w:name="_Toc24098439"/>
      <w:r w:rsidRPr="006A28DA">
        <w:lastRenderedPageBreak/>
        <w:t>Zhrnutie</w:t>
      </w:r>
      <w:bookmarkEnd w:id="8"/>
      <w:bookmarkEnd w:id="9"/>
    </w:p>
    <w:p w14:paraId="17284A81" w14:textId="77777777" w:rsidR="00FD392D" w:rsidRPr="00C65CAA" w:rsidRDefault="00FD392D" w:rsidP="00FD392D">
      <w:pPr>
        <w:tabs>
          <w:tab w:val="left" w:pos="709"/>
        </w:tabs>
        <w:spacing w:before="60" w:after="60"/>
        <w:jc w:val="both"/>
        <w:rPr>
          <w:rFonts w:eastAsia="Calibri"/>
        </w:rPr>
      </w:pPr>
      <w:r w:rsidRPr="00C65CAA">
        <w:rPr>
          <w:rFonts w:eastAsia="Calibri"/>
        </w:rPr>
        <w:t>Stanovisk</w:t>
      </w:r>
      <w:r>
        <w:rPr>
          <w:rFonts w:eastAsia="Calibri"/>
        </w:rPr>
        <w:t>o NKÚ SR k návrhu ŠR na rok 2020</w:t>
      </w:r>
      <w:r w:rsidRPr="00C65CAA">
        <w:rPr>
          <w:rFonts w:eastAsia="Calibri"/>
        </w:rPr>
        <w:t>, v ktorom je ho</w:t>
      </w:r>
      <w:r>
        <w:rPr>
          <w:rFonts w:eastAsia="Calibri"/>
        </w:rPr>
        <w:t>dnotený aj návrh RVS na rok 2020</w:t>
      </w:r>
      <w:r w:rsidRPr="00C65CAA">
        <w:rPr>
          <w:rFonts w:eastAsia="Calibri"/>
        </w:rPr>
        <w:t>, bolo vypracované v súlade s § 5 ods. 1 zákona o NKÚ SR na základe kontroly vykonanej na Ministerstve financií SR, ktoré podľa zákona o rozpočtových pravidlách verejnej správy zostavuje návrh RVS za ŠR a súhrnné rozpočty ostatných subjektov verejnej správy na príslušné rozpočtové roky.</w:t>
      </w:r>
    </w:p>
    <w:p w14:paraId="7FBEFAF8" w14:textId="77777777" w:rsidR="00FD392D" w:rsidRPr="00C65CAA" w:rsidRDefault="00FD392D" w:rsidP="00FD392D">
      <w:pPr>
        <w:tabs>
          <w:tab w:val="left" w:pos="709"/>
        </w:tabs>
        <w:spacing w:before="60" w:after="60"/>
        <w:jc w:val="both"/>
        <w:rPr>
          <w:rFonts w:eastAsia="Calibri"/>
        </w:rPr>
      </w:pPr>
      <w:r w:rsidRPr="00C65CAA">
        <w:rPr>
          <w:rFonts w:eastAsia="Calibri"/>
        </w:rPr>
        <w:t>Účelom tejto kontroly bolo vyjadriť nielen názor NKÚ SR</w:t>
      </w:r>
      <w:r>
        <w:rPr>
          <w:rFonts w:eastAsia="Calibri"/>
        </w:rPr>
        <w:t xml:space="preserve"> k návrhu ŠR na rok 2020</w:t>
      </w:r>
      <w:r w:rsidRPr="00C65CAA">
        <w:rPr>
          <w:rFonts w:eastAsia="Calibri"/>
        </w:rPr>
        <w:t>, ktorý sa podľa zákona o rozpočtových pravidlách verejnej správy schvaľuje osobitným zákonom, ale aj k makroekonomickým rámcom a východiskov</w:t>
      </w:r>
      <w:r>
        <w:rPr>
          <w:rFonts w:eastAsia="Calibri"/>
        </w:rPr>
        <w:t>ému rámcu návrhu RVS na rok 2020</w:t>
      </w:r>
      <w:r w:rsidRPr="00C65CAA">
        <w:rPr>
          <w:rFonts w:eastAsia="Calibri"/>
        </w:rPr>
        <w:t xml:space="preserve"> a k návrhu súhrnného rozpočtu ostatných subjektov verejnej</w:t>
      </w:r>
      <w:r>
        <w:rPr>
          <w:rFonts w:eastAsia="Calibri"/>
        </w:rPr>
        <w:t xml:space="preserve"> správy na rok 2020</w:t>
      </w:r>
      <w:r w:rsidRPr="00C65CAA">
        <w:rPr>
          <w:rFonts w:eastAsia="Calibri"/>
        </w:rPr>
        <w:t>.</w:t>
      </w:r>
    </w:p>
    <w:p w14:paraId="5CAF0091" w14:textId="77777777" w:rsidR="00FD392D" w:rsidRPr="00C65CAA" w:rsidRDefault="00FD392D" w:rsidP="00FD392D">
      <w:pPr>
        <w:tabs>
          <w:tab w:val="left" w:pos="709"/>
        </w:tabs>
        <w:spacing w:before="60" w:after="60"/>
        <w:jc w:val="both"/>
        <w:rPr>
          <w:rFonts w:eastAsia="Calibri"/>
        </w:rPr>
      </w:pPr>
      <w:r w:rsidRPr="00C65CAA">
        <w:rPr>
          <w:rFonts w:eastAsia="Calibri"/>
        </w:rPr>
        <w:t>NKÚ SR na základe výsledkov kontroly vykonanej na Ministerstve financií SR a vlastnej analytickej činnosti dospel k týmto záverom.</w:t>
      </w:r>
    </w:p>
    <w:p w14:paraId="40B599E9" w14:textId="77777777" w:rsidR="00FD392D" w:rsidRPr="00D75B49" w:rsidRDefault="00FD392D" w:rsidP="00FD392D">
      <w:pPr>
        <w:numPr>
          <w:ilvl w:val="0"/>
          <w:numId w:val="18"/>
        </w:numPr>
        <w:tabs>
          <w:tab w:val="left" w:pos="567"/>
        </w:tabs>
        <w:spacing w:before="60" w:after="60"/>
        <w:jc w:val="both"/>
        <w:rPr>
          <w:rFonts w:eastAsia="Calibri"/>
        </w:rPr>
      </w:pPr>
      <w:r w:rsidRPr="00D75B49">
        <w:rPr>
          <w:rFonts w:eastAsia="Calibri"/>
        </w:rPr>
        <w:t xml:space="preserve">Návrh RVS na roky 2020 až 2022 bol vypracovaný v súlade so zákonom o rozpočtových pravidlách verejnej správy a Príručkou Ministerstva financií SR na zostavenie návrhu RVS na roky 2020 až 2022 </w:t>
      </w:r>
      <w:r w:rsidRPr="00D75B49">
        <w:t>č. MF/009168/2019-411.</w:t>
      </w:r>
    </w:p>
    <w:p w14:paraId="11DE5451" w14:textId="77777777" w:rsidR="00FD392D" w:rsidRPr="00C65CAA" w:rsidRDefault="00FD392D" w:rsidP="00FD392D">
      <w:pPr>
        <w:tabs>
          <w:tab w:val="left" w:pos="567"/>
        </w:tabs>
        <w:spacing w:before="60" w:after="60"/>
        <w:ind w:left="360"/>
        <w:jc w:val="both"/>
        <w:rPr>
          <w:rFonts w:eastAsia="Calibri"/>
        </w:rPr>
      </w:pPr>
      <w:r w:rsidRPr="00C65CAA">
        <w:rPr>
          <w:rFonts w:eastAsia="Calibri"/>
        </w:rPr>
        <w:t>Pri jeho zostavovaní bola použitá rozpočtová klasifikácia v súlade s Opatrením Ministerstva financií SR z 8. decembra 2004, ktorým sa ustanovuje druhová klasifikácia, organizačná klasifikácia a ekonomická klasifikácia rozpočtovej klasifikácie č. MF/010175/2004-42. Výdavky boli rozpísané do príslušných úrovní funkčnej klasifikácie v zmysle vyhlášky ŠÚ SR č. 257/2014 Z. z., ktorou sa vydáva štatistická klasifikácia výdavkov verejnej správy.</w:t>
      </w:r>
    </w:p>
    <w:p w14:paraId="195564A5" w14:textId="5E1E8DC3" w:rsidR="00FD392D" w:rsidRPr="00C65CAA" w:rsidRDefault="00FD392D" w:rsidP="00FD392D">
      <w:pPr>
        <w:tabs>
          <w:tab w:val="left" w:pos="567"/>
        </w:tabs>
        <w:spacing w:before="60" w:after="60"/>
        <w:ind w:left="360"/>
        <w:jc w:val="both"/>
        <w:rPr>
          <w:rFonts w:eastAsia="Calibri"/>
        </w:rPr>
      </w:pPr>
      <w:r w:rsidRPr="00C65CAA">
        <w:rPr>
          <w:rFonts w:eastAsia="Calibri"/>
        </w:rPr>
        <w:t>Makroekonomické rámce a východisko</w:t>
      </w:r>
      <w:r>
        <w:rPr>
          <w:rFonts w:eastAsia="Calibri"/>
        </w:rPr>
        <w:t xml:space="preserve">vý rámec návrhu RVS na roky 2020 až </w:t>
      </w:r>
      <w:r w:rsidR="000640F8">
        <w:rPr>
          <w:rFonts w:eastAsia="Calibri"/>
        </w:rPr>
        <w:t>20</w:t>
      </w:r>
      <w:r>
        <w:rPr>
          <w:rFonts w:eastAsia="Calibri"/>
        </w:rPr>
        <w:t>22</w:t>
      </w:r>
      <w:r w:rsidRPr="00C65CAA">
        <w:rPr>
          <w:rFonts w:eastAsia="Calibri"/>
        </w:rPr>
        <w:t xml:space="preserve"> sú zostavené v súlade s metodikou ESA 2010, čím je zabezpečený systematický a podrobný opis porovnateľný s účtovným rámcom EÚ.</w:t>
      </w:r>
    </w:p>
    <w:p w14:paraId="7C02D0C6" w14:textId="77777777" w:rsidR="00FD392D" w:rsidRPr="00585BFE" w:rsidRDefault="00FD392D" w:rsidP="00FD392D">
      <w:pPr>
        <w:numPr>
          <w:ilvl w:val="0"/>
          <w:numId w:val="18"/>
        </w:numPr>
        <w:tabs>
          <w:tab w:val="left" w:pos="567"/>
        </w:tabs>
        <w:spacing w:before="60" w:after="60"/>
        <w:jc w:val="both"/>
        <w:rPr>
          <w:bCs/>
        </w:rPr>
      </w:pPr>
      <w:r w:rsidRPr="00717986">
        <w:rPr>
          <w:rFonts w:eastAsia="Calibri"/>
        </w:rPr>
        <w:t>Makroekonomické rámce návrhu RVS na rok 2020 vychádzajú z makroekonomickej prognózy MF SR</w:t>
      </w:r>
      <w:r>
        <w:rPr>
          <w:rFonts w:eastAsia="Calibri"/>
        </w:rPr>
        <w:t xml:space="preserve"> zo</w:t>
      </w:r>
      <w:r w:rsidRPr="00717986">
        <w:rPr>
          <w:rFonts w:eastAsia="Calibri"/>
        </w:rPr>
        <w:t xml:space="preserve"> septembra 2019. </w:t>
      </w:r>
      <w:r w:rsidRPr="00585BFE">
        <w:rPr>
          <w:rFonts w:eastAsia="Calibri"/>
        </w:rPr>
        <w:t xml:space="preserve">Prognóza predpokladá, že </w:t>
      </w:r>
      <w:r w:rsidRPr="00585BFE">
        <w:rPr>
          <w:bCs/>
        </w:rPr>
        <w:t xml:space="preserve">rast slovenskej ekonomiky </w:t>
      </w:r>
      <w:r>
        <w:rPr>
          <w:bCs/>
        </w:rPr>
        <w:t xml:space="preserve">sa </w:t>
      </w:r>
      <w:r w:rsidRPr="00585BFE">
        <w:rPr>
          <w:bCs/>
        </w:rPr>
        <w:t>v roku 2019 spomalí na 2,4 %</w:t>
      </w:r>
      <w:r>
        <w:rPr>
          <w:bCs/>
        </w:rPr>
        <w:t xml:space="preserve"> a </w:t>
      </w:r>
      <w:r w:rsidRPr="00717986">
        <w:rPr>
          <w:bCs/>
        </w:rPr>
        <w:t xml:space="preserve">v roku 2020 dosiahne 2,3 %. Zamestnanosť </w:t>
      </w:r>
      <w:r>
        <w:rPr>
          <w:bCs/>
        </w:rPr>
        <w:t xml:space="preserve">má </w:t>
      </w:r>
      <w:r w:rsidRPr="00717986">
        <w:rPr>
          <w:bCs/>
        </w:rPr>
        <w:t xml:space="preserve">v roku 2020 </w:t>
      </w:r>
      <w:r>
        <w:rPr>
          <w:bCs/>
        </w:rPr>
        <w:t>rásť len veľmi miernym tempom</w:t>
      </w:r>
      <w:r w:rsidRPr="00717986">
        <w:rPr>
          <w:bCs/>
        </w:rPr>
        <w:t>.</w:t>
      </w:r>
      <w:r>
        <w:rPr>
          <w:bCs/>
        </w:rPr>
        <w:t xml:space="preserve"> </w:t>
      </w:r>
      <w:r w:rsidRPr="00585BFE">
        <w:rPr>
          <w:bCs/>
        </w:rPr>
        <w:t xml:space="preserve">Napriek tomu, že septembrovú prognózu MF SR považoval za realistickú aj Výbor pre makroekonomické prognózy, prognóza má aj riziká, ktoré návrh RVS nespomína a je otázne, či má vytvorenú rezervu v prípade ich naplnenia, resp. horšieho ako očakávaného makroekonomického vývoja. Za najväčšie riziko pre domácu ekonomiku považovali členovia </w:t>
      </w:r>
      <w:r>
        <w:rPr>
          <w:bCs/>
        </w:rPr>
        <w:t>výboru</w:t>
      </w:r>
      <w:r w:rsidRPr="00585BFE">
        <w:rPr>
          <w:bCs/>
        </w:rPr>
        <w:t xml:space="preserve"> otázne oživenie domáceho priemyslu a s tým súvisiacu stagnáciu, resp. pokles zamestnanosti. </w:t>
      </w:r>
      <w:r>
        <w:rPr>
          <w:bCs/>
        </w:rPr>
        <w:t>St</w:t>
      </w:r>
      <w:r w:rsidRPr="00717986">
        <w:rPr>
          <w:bCs/>
        </w:rPr>
        <w:t>ále pretrváva rizik</w:t>
      </w:r>
      <w:r>
        <w:rPr>
          <w:bCs/>
        </w:rPr>
        <w:t>o obchodných vojen vo svetovom obchode a</w:t>
      </w:r>
      <w:r w:rsidRPr="00717986">
        <w:rPr>
          <w:bCs/>
        </w:rPr>
        <w:t xml:space="preserve"> NKÚ SR upozorňuje, že aj keď MF SR predpokladá vo svojej prognóze udržanie rastu zamestnanosti, septembrové čísla z úradov práce indikujú rast</w:t>
      </w:r>
      <w:r w:rsidRPr="00585BFE">
        <w:rPr>
          <w:bCs/>
        </w:rPr>
        <w:t xml:space="preserve"> nezamestnanosti a októbrový indikátor dôvery v slovenskom priemysle výrazne klesol.</w:t>
      </w:r>
    </w:p>
    <w:p w14:paraId="13103D09" w14:textId="219447F2" w:rsidR="00FD392D" w:rsidRPr="000F1A09" w:rsidRDefault="00FD392D" w:rsidP="00FD392D">
      <w:pPr>
        <w:pStyle w:val="Odsekzoznamu"/>
        <w:numPr>
          <w:ilvl w:val="0"/>
          <w:numId w:val="18"/>
        </w:numPr>
        <w:tabs>
          <w:tab w:val="left" w:pos="567"/>
        </w:tabs>
        <w:spacing w:before="60" w:after="60"/>
        <w:jc w:val="both"/>
        <w:rPr>
          <w:bCs/>
        </w:rPr>
      </w:pPr>
      <w:r w:rsidRPr="000F1A09">
        <w:rPr>
          <w:bCs/>
        </w:rPr>
        <w:t xml:space="preserve">Návrh rozpočtu reaguje aj na zmeny vyplývajúce z poslednej </w:t>
      </w:r>
      <w:proofErr w:type="spellStart"/>
      <w:r w:rsidRPr="000F1A09">
        <w:rPr>
          <w:bCs/>
        </w:rPr>
        <w:t>benchmarkovej</w:t>
      </w:r>
      <w:proofErr w:type="spellEnd"/>
      <w:r w:rsidRPr="000F1A09">
        <w:rPr>
          <w:bCs/>
        </w:rPr>
        <w:t xml:space="preserve"> revízie výkazníctva zo strany </w:t>
      </w:r>
      <w:proofErr w:type="spellStart"/>
      <w:r w:rsidRPr="000F1A09">
        <w:rPr>
          <w:bCs/>
        </w:rPr>
        <w:t>Eurostatu</w:t>
      </w:r>
      <w:proofErr w:type="spellEnd"/>
      <w:r w:rsidRPr="000F1A09">
        <w:rPr>
          <w:bCs/>
        </w:rPr>
        <w:t>. Podľa „Správy ŠÚ SR o deficite a dlhu“</w:t>
      </w:r>
      <w:r w:rsidR="000640F8">
        <w:rPr>
          <w:bCs/>
        </w:rPr>
        <w:t>,</w:t>
      </w:r>
      <w:r w:rsidRPr="000F1A09">
        <w:rPr>
          <w:bCs/>
        </w:rPr>
        <w:t xml:space="preserve"> z 21. októbra 2019</w:t>
      </w:r>
      <w:r w:rsidR="000640F8">
        <w:rPr>
          <w:bCs/>
        </w:rPr>
        <w:t>,</w:t>
      </w:r>
      <w:r w:rsidRPr="000F1A09">
        <w:rPr>
          <w:bCs/>
        </w:rPr>
        <w:t xml:space="preserve"> deficit verejných financií SR v roku 2018 dosiahol úroveň 1,06 % HDP. Jesenná notifikácia o deficite a dlhu od </w:t>
      </w:r>
      <w:proofErr w:type="spellStart"/>
      <w:r w:rsidRPr="000F1A09">
        <w:rPr>
          <w:bCs/>
        </w:rPr>
        <w:t>Eurostatu</w:t>
      </w:r>
      <w:proofErr w:type="spellEnd"/>
      <w:r w:rsidRPr="000F1A09">
        <w:rPr>
          <w:bCs/>
        </w:rPr>
        <w:t xml:space="preserve"> tak zvýšila pôvodný deficit verejných financií z jarnej notifikácie po zohľadnení dodatočných faktorov o 0,36 p. b. Celkové zhoršenie deficitu VS pozostávalo z revízie vyplývajúcej z aktualizácie zdrojových dát s negatívnym vplyvom vo výške 0,23 % HDP a z </w:t>
      </w:r>
      <w:proofErr w:type="spellStart"/>
      <w:r w:rsidRPr="000F1A09">
        <w:rPr>
          <w:bCs/>
        </w:rPr>
        <w:t>benchmarko</w:t>
      </w:r>
      <w:r w:rsidR="000640F8">
        <w:rPr>
          <w:bCs/>
        </w:rPr>
        <w:t>vej</w:t>
      </w:r>
      <w:proofErr w:type="spellEnd"/>
      <w:r w:rsidR="000640F8">
        <w:rPr>
          <w:bCs/>
        </w:rPr>
        <w:t xml:space="preserve"> revízie s negatívnym vplyvom</w:t>
      </w:r>
      <w:r w:rsidRPr="000F1A09">
        <w:rPr>
          <w:bCs/>
        </w:rPr>
        <w:t xml:space="preserve"> 0,13 % HDP.</w:t>
      </w:r>
      <w:r w:rsidRPr="000F1A09">
        <w:rPr>
          <w:sz w:val="23"/>
          <w:szCs w:val="23"/>
        </w:rPr>
        <w:t xml:space="preserve"> </w:t>
      </w:r>
      <w:r>
        <w:rPr>
          <w:bCs/>
        </w:rPr>
        <w:t>O</w:t>
      </w:r>
      <w:r w:rsidRPr="000F1A09">
        <w:rPr>
          <w:bCs/>
        </w:rPr>
        <w:t xml:space="preserve">dhad na rok 2019 predpokladá schodok </w:t>
      </w:r>
      <w:r w:rsidR="00980D89">
        <w:rPr>
          <w:bCs/>
        </w:rPr>
        <w:t>vo </w:t>
      </w:r>
      <w:r>
        <w:rPr>
          <w:bCs/>
        </w:rPr>
        <w:t xml:space="preserve">výške </w:t>
      </w:r>
      <w:r w:rsidRPr="000F1A09">
        <w:rPr>
          <w:bCs/>
        </w:rPr>
        <w:t>0,68 % HDP.</w:t>
      </w:r>
    </w:p>
    <w:p w14:paraId="7102348B" w14:textId="77777777" w:rsidR="00FD392D" w:rsidRPr="00804509" w:rsidRDefault="00FD392D" w:rsidP="00FD392D">
      <w:pPr>
        <w:tabs>
          <w:tab w:val="left" w:pos="567"/>
        </w:tabs>
        <w:spacing w:before="60" w:after="60"/>
        <w:ind w:left="357"/>
        <w:jc w:val="both"/>
        <w:rPr>
          <w:rFonts w:eastAsia="Calibri"/>
        </w:rPr>
      </w:pPr>
      <w:r w:rsidRPr="00804509">
        <w:rPr>
          <w:rFonts w:eastAsia="Calibri"/>
        </w:rPr>
        <w:t>Návrh rozpočtu predpokladá v roku 2020 schodok na úrovni 0,49 % HDP. V rokoch 2021 a 2022 sú ciele stanov</w:t>
      </w:r>
      <w:r>
        <w:rPr>
          <w:rFonts w:eastAsia="Calibri"/>
        </w:rPr>
        <w:t>en</w:t>
      </w:r>
      <w:r w:rsidRPr="00804509">
        <w:rPr>
          <w:rFonts w:eastAsia="Calibri"/>
        </w:rPr>
        <w:t>é na úrovni vyrovnaného rozpočtu. Navrhované rozpočtové ciele vychádzajú z požiadaviek pravidiel Paktu stability a rastu a sú v súlade s konsolidačnými požiadavkami E</w:t>
      </w:r>
      <w:r>
        <w:rPr>
          <w:rFonts w:eastAsia="Calibri"/>
        </w:rPr>
        <w:t>K</w:t>
      </w:r>
      <w:r w:rsidRPr="00804509">
        <w:rPr>
          <w:rFonts w:eastAsia="Calibri"/>
        </w:rPr>
        <w:t>.</w:t>
      </w:r>
    </w:p>
    <w:p w14:paraId="7CA6B420" w14:textId="3B0C4495" w:rsidR="00FD392D" w:rsidRPr="00804509" w:rsidRDefault="000640F8" w:rsidP="00FD392D">
      <w:pPr>
        <w:tabs>
          <w:tab w:val="left" w:pos="567"/>
        </w:tabs>
        <w:spacing w:before="60" w:after="60"/>
        <w:ind w:left="357"/>
        <w:jc w:val="both"/>
        <w:rPr>
          <w:rFonts w:eastAsia="Calibri"/>
        </w:rPr>
      </w:pPr>
      <w:r>
        <w:rPr>
          <w:rFonts w:eastAsia="Calibri"/>
        </w:rPr>
        <w:t>Napriek horšiemu než</w:t>
      </w:r>
      <w:r w:rsidR="00FD392D">
        <w:rPr>
          <w:rFonts w:eastAsia="Calibri"/>
        </w:rPr>
        <w:t xml:space="preserve"> očakávanému výsledku hospodárenia v roku 2019, c</w:t>
      </w:r>
      <w:r w:rsidR="00FD392D" w:rsidRPr="006D535B">
        <w:rPr>
          <w:rFonts w:eastAsia="Calibri"/>
        </w:rPr>
        <w:t>elkové príjmy VS</w:t>
      </w:r>
      <w:r w:rsidR="00FD392D">
        <w:rPr>
          <w:rFonts w:eastAsia="Calibri"/>
        </w:rPr>
        <w:t xml:space="preserve"> sa na rok 2020 rozpočtujú</w:t>
      </w:r>
      <w:r w:rsidR="00FD392D" w:rsidRPr="006D535B">
        <w:rPr>
          <w:rFonts w:eastAsia="Calibri"/>
        </w:rPr>
        <w:t xml:space="preserve"> vo výške 38 866 mil. eur, čo je o 1 649 </w:t>
      </w:r>
      <w:r w:rsidR="00FD392D">
        <w:rPr>
          <w:rFonts w:eastAsia="Calibri"/>
        </w:rPr>
        <w:t>mil. </w:t>
      </w:r>
      <w:r>
        <w:rPr>
          <w:rFonts w:eastAsia="Calibri"/>
        </w:rPr>
        <w:t>eur viac v porovnaní s rozpočtom</w:t>
      </w:r>
      <w:r w:rsidR="00FD392D" w:rsidRPr="006D535B">
        <w:rPr>
          <w:rFonts w:eastAsia="Calibri"/>
        </w:rPr>
        <w:t xml:space="preserve"> na rok 2019, t. j. o </w:t>
      </w:r>
      <w:r w:rsidR="00EE57C6">
        <w:rPr>
          <w:rFonts w:eastAsia="Calibri"/>
        </w:rPr>
        <w:t>4,43 </w:t>
      </w:r>
      <w:r w:rsidR="00FD392D" w:rsidRPr="006D535B">
        <w:rPr>
          <w:rFonts w:eastAsia="Calibri"/>
        </w:rPr>
        <w:t>%.</w:t>
      </w:r>
      <w:r w:rsidR="00FD392D">
        <w:rPr>
          <w:rFonts w:eastAsia="Calibri"/>
        </w:rPr>
        <w:t xml:space="preserve"> </w:t>
      </w:r>
      <w:r w:rsidR="00FD392D" w:rsidRPr="00C65CAA">
        <w:rPr>
          <w:rFonts w:eastAsia="Calibri"/>
        </w:rPr>
        <w:t xml:space="preserve">Rozpočtovanie daňových a odvodových </w:t>
      </w:r>
      <w:r w:rsidR="00FD392D">
        <w:rPr>
          <w:rFonts w:eastAsia="Calibri"/>
        </w:rPr>
        <w:t>príjmov v návrhu RVS na rok 2020</w:t>
      </w:r>
      <w:r w:rsidR="00FD392D" w:rsidRPr="00C65CAA">
        <w:rPr>
          <w:rFonts w:eastAsia="Calibri"/>
        </w:rPr>
        <w:t xml:space="preserve"> vychádza z</w:t>
      </w:r>
      <w:r w:rsidR="00FD392D">
        <w:rPr>
          <w:rFonts w:eastAsia="Calibri"/>
        </w:rPr>
        <w:t>o septembrovej</w:t>
      </w:r>
      <w:r w:rsidR="00FD392D" w:rsidRPr="00C65CAA">
        <w:rPr>
          <w:rFonts w:eastAsia="Calibri"/>
        </w:rPr>
        <w:t xml:space="preserve"> prognózy daňových </w:t>
      </w:r>
      <w:r w:rsidR="00FD392D">
        <w:rPr>
          <w:rFonts w:eastAsia="Calibri"/>
        </w:rPr>
        <w:t xml:space="preserve">a odvodových </w:t>
      </w:r>
      <w:r w:rsidR="00FD392D" w:rsidRPr="00C65CAA">
        <w:rPr>
          <w:rFonts w:eastAsia="Calibri"/>
        </w:rPr>
        <w:t>príjmo</w:t>
      </w:r>
      <w:r w:rsidR="00FD392D">
        <w:rPr>
          <w:rFonts w:eastAsia="Calibri"/>
        </w:rPr>
        <w:t xml:space="preserve">v MF SR, považovanej za realistickú aj členmi </w:t>
      </w:r>
      <w:r w:rsidR="00FD392D" w:rsidRPr="00C65CAA">
        <w:rPr>
          <w:rFonts w:eastAsia="Calibri"/>
        </w:rPr>
        <w:t>Výbor</w:t>
      </w:r>
      <w:r w:rsidR="00FD392D">
        <w:rPr>
          <w:rFonts w:eastAsia="Calibri"/>
        </w:rPr>
        <w:t>u pr</w:t>
      </w:r>
      <w:r w:rsidR="00FD392D" w:rsidRPr="00C65CAA">
        <w:rPr>
          <w:rFonts w:eastAsia="Calibri"/>
        </w:rPr>
        <w:t xml:space="preserve">e daňové prognózy. </w:t>
      </w:r>
      <w:r w:rsidR="00FD392D">
        <w:rPr>
          <w:rFonts w:eastAsia="Calibri"/>
        </w:rPr>
        <w:t>Podľa NKÚ SR sú rizikom legislatívne opatrenia, ktoré sú síce zahrnuté v prognóze, ale doposiaľ neboli schválené v NR SR, ďalej legislatívne opatrenia, ktoré neboli zahrnuté v prognóze a najmä legislatívne opatrenia, pri ktorých nebol vyčíslený vplyv na rozpočet verejnej správy napríklad pri dani z pridanej hodnoty a dani z príjmov.</w:t>
      </w:r>
    </w:p>
    <w:p w14:paraId="225924BD" w14:textId="77777777" w:rsidR="00FD392D" w:rsidRDefault="00FD392D" w:rsidP="00FD392D">
      <w:pPr>
        <w:tabs>
          <w:tab w:val="left" w:pos="567"/>
        </w:tabs>
        <w:spacing w:before="60" w:after="60"/>
        <w:ind w:left="357"/>
        <w:jc w:val="both"/>
        <w:rPr>
          <w:rFonts w:eastAsia="Calibri"/>
          <w:iCs/>
        </w:rPr>
      </w:pPr>
      <w:r w:rsidRPr="00C65CAA">
        <w:rPr>
          <w:rFonts w:eastAsia="Calibri"/>
        </w:rPr>
        <w:t>Hrubý dlh v</w:t>
      </w:r>
      <w:r>
        <w:rPr>
          <w:rFonts w:eastAsia="Calibri"/>
        </w:rPr>
        <w:t>erejnej správy sa má v roku 2020 zvýšiť o 800 mil. eur na úroveň 45 895</w:t>
      </w:r>
      <w:r w:rsidRPr="00C65CAA">
        <w:rPr>
          <w:rFonts w:eastAsia="Calibri"/>
        </w:rPr>
        <w:t xml:space="preserve"> mil. eur, čo bude predstavovať zníž</w:t>
      </w:r>
      <w:r>
        <w:rPr>
          <w:rFonts w:eastAsia="Calibri"/>
        </w:rPr>
        <w:t>enie jeho podielu na úroveň 46,8</w:t>
      </w:r>
      <w:r w:rsidRPr="00C65CAA">
        <w:rPr>
          <w:rFonts w:eastAsia="Calibri"/>
        </w:rPr>
        <w:t xml:space="preserve"> % HDP. Znamená to, že dlh </w:t>
      </w:r>
      <w:r>
        <w:rPr>
          <w:rFonts w:eastAsia="Calibri"/>
        </w:rPr>
        <w:t xml:space="preserve">sa udrží </w:t>
      </w:r>
      <w:r>
        <w:rPr>
          <w:rFonts w:eastAsia="Calibri"/>
          <w:iCs/>
        </w:rPr>
        <w:t>pod dolným</w:t>
      </w:r>
      <w:r w:rsidRPr="00C65CAA">
        <w:rPr>
          <w:rFonts w:eastAsia="Calibri"/>
          <w:iCs/>
        </w:rPr>
        <w:t xml:space="preserve"> sankčn</w:t>
      </w:r>
      <w:r>
        <w:rPr>
          <w:rFonts w:eastAsia="Calibri"/>
          <w:iCs/>
        </w:rPr>
        <w:t>ým</w:t>
      </w:r>
      <w:r w:rsidRPr="00C65CAA">
        <w:rPr>
          <w:rFonts w:eastAsia="Calibri"/>
          <w:iCs/>
        </w:rPr>
        <w:t xml:space="preserve"> pásmo</w:t>
      </w:r>
      <w:r>
        <w:rPr>
          <w:rFonts w:eastAsia="Calibri"/>
          <w:iCs/>
        </w:rPr>
        <w:t>m</w:t>
      </w:r>
      <w:r w:rsidRPr="00C65CAA">
        <w:rPr>
          <w:rFonts w:eastAsia="Calibri"/>
          <w:iCs/>
        </w:rPr>
        <w:t xml:space="preserve"> dlhovej brzdy ústavného zákona o rozpočtovej zodpovednosti.</w:t>
      </w:r>
    </w:p>
    <w:p w14:paraId="50E33CE7" w14:textId="77777777" w:rsidR="00FD392D" w:rsidRPr="00CF69BB" w:rsidRDefault="00FD392D" w:rsidP="00FD392D">
      <w:pPr>
        <w:numPr>
          <w:ilvl w:val="0"/>
          <w:numId w:val="18"/>
        </w:numPr>
        <w:shd w:val="clear" w:color="auto" w:fill="FFFFFF"/>
        <w:tabs>
          <w:tab w:val="left" w:pos="567"/>
        </w:tabs>
        <w:spacing w:before="60" w:after="60"/>
        <w:jc w:val="both"/>
        <w:rPr>
          <w:rFonts w:eastAsia="Calibri"/>
        </w:rPr>
      </w:pPr>
      <w:r w:rsidRPr="00CF69BB">
        <w:rPr>
          <w:rFonts w:eastAsia="Calibri"/>
        </w:rPr>
        <w:lastRenderedPageBreak/>
        <w:t xml:space="preserve">Návrh ŠR na rok 2020 je ohraničený východiskovým rámcom návrhu RVS na rok 2020. Schodok ŠR, rozpočtovaný na hotovostnej báze, sa má v roku 2020 medziročne zvýšiť o 641 mil. eur na úroveň 2 682 mil. eur, z toho príjmy ŠR sa majú medziročne zvýšiť </w:t>
      </w:r>
      <w:r>
        <w:rPr>
          <w:rFonts w:eastAsia="Calibri"/>
        </w:rPr>
        <w:t xml:space="preserve">o 2,5 % a výdavky ŠR o 5,9 % </w:t>
      </w:r>
    </w:p>
    <w:p w14:paraId="38A44661" w14:textId="77777777" w:rsidR="00FD392D" w:rsidRPr="001A6309" w:rsidRDefault="00FD392D" w:rsidP="00FD392D">
      <w:pPr>
        <w:pStyle w:val="Odsekzoznamu"/>
        <w:numPr>
          <w:ilvl w:val="0"/>
          <w:numId w:val="18"/>
        </w:numPr>
        <w:tabs>
          <w:tab w:val="left" w:pos="567"/>
        </w:tabs>
        <w:spacing w:before="60" w:after="60"/>
        <w:jc w:val="both"/>
        <w:rPr>
          <w:rFonts w:eastAsia="Calibri"/>
        </w:rPr>
      </w:pPr>
      <w:r w:rsidRPr="001A6309">
        <w:rPr>
          <w:rFonts w:eastAsia="Calibri"/>
        </w:rPr>
        <w:t>NKÚ SR kontrolou rozpočtovania výdavkov vo vybraných kapitolách ŠR na rok 2020 a vlastnou analytickou činnosťou identifikoval niekoľko rizík:</w:t>
      </w:r>
    </w:p>
    <w:p w14:paraId="112CD6A0" w14:textId="24B1B849" w:rsidR="00FD392D" w:rsidRDefault="00FD392D" w:rsidP="00FD392D">
      <w:pPr>
        <w:tabs>
          <w:tab w:val="left" w:pos="567"/>
        </w:tabs>
        <w:spacing w:before="60" w:after="60"/>
        <w:ind w:left="357"/>
        <w:jc w:val="both"/>
        <w:rPr>
          <w:rFonts w:eastAsia="Calibri"/>
        </w:rPr>
      </w:pPr>
      <w:r>
        <w:rPr>
          <w:rFonts w:eastAsia="Calibri"/>
        </w:rPr>
        <w:t xml:space="preserve">V oblasti </w:t>
      </w:r>
      <w:r w:rsidRPr="00482366">
        <w:rPr>
          <w:rFonts w:eastAsia="Calibri"/>
          <w:b/>
        </w:rPr>
        <w:t>školstva, vedy a výskumu</w:t>
      </w:r>
      <w:r w:rsidRPr="00482366">
        <w:rPr>
          <w:rFonts w:eastAsia="Calibri"/>
        </w:rPr>
        <w:t xml:space="preserve"> sa </w:t>
      </w:r>
      <w:r>
        <w:rPr>
          <w:rFonts w:eastAsia="Calibri"/>
        </w:rPr>
        <w:t>Slovensko</w:t>
      </w:r>
      <w:r w:rsidRPr="00482366">
        <w:rPr>
          <w:rFonts w:eastAsia="Calibri"/>
        </w:rPr>
        <w:t xml:space="preserve"> dlhodobo borí s viacerými pro</w:t>
      </w:r>
      <w:r w:rsidR="002D2E34">
        <w:rPr>
          <w:rFonts w:eastAsia="Calibri"/>
        </w:rPr>
        <w:t>blémami, pričom medzi ich príčiny</w:t>
      </w:r>
      <w:r w:rsidRPr="00482366">
        <w:rPr>
          <w:rFonts w:eastAsia="Calibri"/>
        </w:rPr>
        <w:t xml:space="preserve"> možno zaradiť poddimenzované financovanie, ale aj medzery v efektívnosti manažovania. Úroveň financovania dobre popisuje ukazovateľ verejných výdavkov SR na vzdelávanie</w:t>
      </w:r>
      <w:r w:rsidR="002D2E34">
        <w:rPr>
          <w:rFonts w:eastAsia="Calibri"/>
        </w:rPr>
        <w:t>,</w:t>
      </w:r>
      <w:r w:rsidRPr="00482366">
        <w:rPr>
          <w:rFonts w:eastAsia="Calibri"/>
        </w:rPr>
        <w:t xml:space="preserve"> vyjadrených ako % HDP, ktorého hodnota sa dlhodobo nachádza pod úrovňou priemeru za porovnateľné krajiny. Predpokladaná hodnota tohto ukazovateľa na rok 2020 je vo výške 4,2 %. Ide o hodnotu totožnú s hodnotou z r</w:t>
      </w:r>
      <w:r w:rsidR="00EE57C6">
        <w:rPr>
          <w:rFonts w:eastAsia="Calibri"/>
        </w:rPr>
        <w:t>oku 2010, a zároveň je o 0,4 p. </w:t>
      </w:r>
      <w:r w:rsidRPr="00482366">
        <w:rPr>
          <w:rFonts w:eastAsia="Calibri"/>
        </w:rPr>
        <w:t>b. nižšia ako bol priemer za krajiny EÚ v roku 2017 a o 0,7 p. b. nižšia ako priemer za krajiny V3 v tom istom roku. S manažmentom školstva súvisí aj diskutovaný, no do</w:t>
      </w:r>
      <w:r>
        <w:rPr>
          <w:rFonts w:eastAsia="Calibri"/>
        </w:rPr>
        <w:t>teraz</w:t>
      </w:r>
      <w:r w:rsidRPr="00482366">
        <w:rPr>
          <w:rFonts w:eastAsia="Calibri"/>
        </w:rPr>
        <w:t xml:space="preserve"> neriešený problém racionalizácie siete škôl. </w:t>
      </w:r>
    </w:p>
    <w:p w14:paraId="0032745F" w14:textId="77777777" w:rsidR="00FD392D" w:rsidRDefault="00FD392D" w:rsidP="00FD392D">
      <w:pPr>
        <w:tabs>
          <w:tab w:val="left" w:pos="567"/>
        </w:tabs>
        <w:spacing w:before="60" w:after="60"/>
        <w:ind w:left="357"/>
        <w:jc w:val="both"/>
        <w:rPr>
          <w:rFonts w:eastAsia="Calibri"/>
        </w:rPr>
      </w:pPr>
      <w:r>
        <w:rPr>
          <w:rFonts w:eastAsia="Calibri"/>
        </w:rPr>
        <w:t>V </w:t>
      </w:r>
      <w:r>
        <w:rPr>
          <w:rFonts w:eastAsia="Calibri"/>
          <w:b/>
        </w:rPr>
        <w:t>zdravotníctve</w:t>
      </w:r>
      <w:r>
        <w:rPr>
          <w:rFonts w:eastAsia="Calibri"/>
        </w:rPr>
        <w:t xml:space="preserve"> nižšiu hodnotu za peniaze spôsobuje neefektívna alokácia zdrojov. Priestor na zefektívnenie je najmä v liekovej politike a v ambulantnej starostlivosti. V roku 2020 by mali byť realizované úsporné opatrenia vo výške 114 mil. eur vo výdavkoch na lieky a dietetické potraviny. NKÚ SR upozorňuje na niektoré riziká úsporných opatrení. V ambulantnej starostlivosti rast hodnoty za peniaze brzdí podhodnotená primárna starostlivosť, ktorá sa prejavuje nízkymi počtami a vysokým priemerným vekom všeobecných lekárov, ako aj ich obmedzenými kompetenciami. Ako reakcia na uvedené skutočnosti vznikol v roku 2012 Rezidentský program. NKÚ SR poukazuje na vybrané faktory, ktoré sa v rokoch 2014 – 2018 podieľali na klesajúcom záujme lekárov o tento program a v súčasnosti ovplyvňujú Rezidentské štúdium. NKÚ SR tiež poukazuje na súvislosti s pokračujúcim rastom dlhu univerzitných a fakultných nemocníc.</w:t>
      </w:r>
    </w:p>
    <w:p w14:paraId="2AA7157D" w14:textId="39DD6014" w:rsidR="00FD392D" w:rsidRPr="00692CDD" w:rsidRDefault="00FD392D" w:rsidP="00FD392D">
      <w:pPr>
        <w:tabs>
          <w:tab w:val="left" w:pos="567"/>
        </w:tabs>
        <w:spacing w:before="60" w:after="60"/>
        <w:ind w:left="357"/>
        <w:jc w:val="both"/>
        <w:rPr>
          <w:rFonts w:eastAsia="Calibri"/>
        </w:rPr>
      </w:pPr>
      <w:r w:rsidRPr="00692CDD">
        <w:rPr>
          <w:rFonts w:eastAsia="Calibri"/>
        </w:rPr>
        <w:t>Mnohé ciele z programového rozpočtu, ktoré si na rok 2020 stanovilo</w:t>
      </w:r>
      <w:r w:rsidRPr="00B56A7B">
        <w:rPr>
          <w:rFonts w:eastAsia="Calibri"/>
        </w:rPr>
        <w:t xml:space="preserve"> </w:t>
      </w:r>
      <w:r w:rsidRPr="00692CDD">
        <w:rPr>
          <w:rFonts w:eastAsia="Calibri"/>
        </w:rPr>
        <w:t>splniť</w:t>
      </w:r>
      <w:r w:rsidRPr="00B56A7B">
        <w:rPr>
          <w:rFonts w:eastAsia="Calibri"/>
        </w:rPr>
        <w:t xml:space="preserve"> </w:t>
      </w:r>
      <w:r>
        <w:rPr>
          <w:rFonts w:eastAsia="Calibri"/>
          <w:b/>
        </w:rPr>
        <w:t>Ministerstvo dopravy a výstavby </w:t>
      </w:r>
      <w:r w:rsidRPr="00B56A7B">
        <w:rPr>
          <w:rFonts w:eastAsia="Calibri"/>
          <w:b/>
        </w:rPr>
        <w:t>SR</w:t>
      </w:r>
      <w:r w:rsidRPr="00692CDD">
        <w:rPr>
          <w:rFonts w:eastAsia="Calibri"/>
        </w:rPr>
        <w:t xml:space="preserve">, nemajú buď dostatočné finančné krytie, alebo sú </w:t>
      </w:r>
      <w:r>
        <w:rPr>
          <w:rFonts w:eastAsia="Calibri"/>
        </w:rPr>
        <w:t>neambiciózne a neprispejú</w:t>
      </w:r>
      <w:r w:rsidR="002D2E34">
        <w:rPr>
          <w:rFonts w:eastAsia="Calibri"/>
        </w:rPr>
        <w:t xml:space="preserve"> k zlepšeniu súčasného stavu</w:t>
      </w:r>
      <w:r w:rsidRPr="00692CDD">
        <w:rPr>
          <w:rFonts w:eastAsia="Calibri"/>
        </w:rPr>
        <w:t xml:space="preserve"> cest</w:t>
      </w:r>
      <w:r w:rsidR="002D2E34">
        <w:rPr>
          <w:rFonts w:eastAsia="Calibri"/>
        </w:rPr>
        <w:t>nej a železničnej infraštruktúry</w:t>
      </w:r>
      <w:r w:rsidRPr="00692CDD">
        <w:rPr>
          <w:rFonts w:eastAsia="Calibri"/>
        </w:rPr>
        <w:t>. Na</w:t>
      </w:r>
      <w:r>
        <w:rPr>
          <w:rFonts w:eastAsia="Calibri"/>
        </w:rPr>
        <w:t>plánované výdavky na výstavbu D </w:t>
      </w:r>
      <w:r w:rsidRPr="00692CDD">
        <w:rPr>
          <w:rFonts w:eastAsia="Calibri"/>
        </w:rPr>
        <w:t>a RC sú na rok 2020 nedostatočné. Navyše</w:t>
      </w:r>
      <w:r>
        <w:rPr>
          <w:rFonts w:eastAsia="Calibri"/>
        </w:rPr>
        <w:t>,</w:t>
      </w:r>
      <w:r w:rsidRPr="00692CDD">
        <w:rPr>
          <w:rFonts w:eastAsia="Calibri"/>
        </w:rPr>
        <w:t xml:space="preserve"> rezort dopravy plánuje začať výstavbu úseku, ktorý nebol posúdený z hľadiska najlepšej hodnoty za peniaze. Riziko vzniká aj pri plnení termínov výstavby niektorých dôležitých úsekov financovaných prostredníctvom fondov EÚ. Rovnako pretrváva riziko pokračujúceho slabého čerpania eurofondov na vybraných prioritných osiach OP Integrovaná infraštruktúra.</w:t>
      </w:r>
    </w:p>
    <w:p w14:paraId="66F01FFF" w14:textId="77777777" w:rsidR="00FD392D" w:rsidRPr="00D73F86" w:rsidRDefault="00FD392D" w:rsidP="00FD392D">
      <w:pPr>
        <w:tabs>
          <w:tab w:val="left" w:pos="567"/>
        </w:tabs>
        <w:spacing w:before="60" w:after="60"/>
        <w:ind w:left="357"/>
        <w:jc w:val="both"/>
        <w:rPr>
          <w:rFonts w:eastAsia="Calibri"/>
        </w:rPr>
      </w:pPr>
      <w:r w:rsidRPr="00D73F86">
        <w:rPr>
          <w:rFonts w:eastAsia="Calibri"/>
        </w:rPr>
        <w:t xml:space="preserve">V rámci </w:t>
      </w:r>
      <w:r w:rsidRPr="002156C1">
        <w:rPr>
          <w:rFonts w:eastAsia="Calibri"/>
          <w:b/>
        </w:rPr>
        <w:t>sociálnych politík</w:t>
      </w:r>
      <w:r w:rsidRPr="00D73F86">
        <w:rPr>
          <w:rFonts w:eastAsia="Calibri"/>
        </w:rPr>
        <w:t xml:space="preserve"> NKÚ SR upozorňuje na nekoncepčný zásah do systému dôchodkového poistenia, ktorý narúša princíp zásluhovosti a znižuje motiváciu platiť poistné. Súvisí s novelou zákona o sociálnom poistení, ktorou sa od januára 2020 minimálne dôchodky namiesto životného minima budú odvádzať od výšky priemernej mzdy.</w:t>
      </w:r>
    </w:p>
    <w:p w14:paraId="25085BB8" w14:textId="77777777" w:rsidR="00FD392D" w:rsidRPr="00C65CAA" w:rsidRDefault="00FD392D" w:rsidP="00FD392D">
      <w:pPr>
        <w:tabs>
          <w:tab w:val="left" w:pos="567"/>
        </w:tabs>
        <w:spacing w:before="60" w:after="60"/>
        <w:jc w:val="both"/>
        <w:rPr>
          <w:rFonts w:eastAsia="Calibri"/>
        </w:rPr>
      </w:pPr>
      <w:r w:rsidRPr="00C65CAA">
        <w:rPr>
          <w:rFonts w:eastAsia="Calibri"/>
        </w:rPr>
        <w:t>NKÚ SR ďalej upozorňuje na:</w:t>
      </w:r>
    </w:p>
    <w:p w14:paraId="4CB372C4" w14:textId="77777777" w:rsidR="00FD392D" w:rsidRPr="00C65CAA" w:rsidRDefault="00FD392D" w:rsidP="00FD392D">
      <w:pPr>
        <w:pStyle w:val="Odsekzoznamu"/>
        <w:numPr>
          <w:ilvl w:val="0"/>
          <w:numId w:val="20"/>
        </w:numPr>
        <w:spacing w:before="60" w:after="60"/>
        <w:jc w:val="both"/>
        <w:rPr>
          <w:rFonts w:eastAsia="Calibri"/>
        </w:rPr>
      </w:pPr>
      <w:r w:rsidRPr="00C65CAA">
        <w:rPr>
          <w:rFonts w:eastAsia="Calibri"/>
        </w:rPr>
        <w:t>nevyhnutnosť pristupovať k čerpaniu rezerv v súlade s ich účelovým určením a v prípade bližšie nešpecifikovaných rezerv zabezpečiť ich oprávnené použitie v kapitolách, kde vzniknú riziká v priebehu roka</w:t>
      </w:r>
    </w:p>
    <w:p w14:paraId="1B46A9A3" w14:textId="77777777" w:rsidR="00FD392D" w:rsidRDefault="00FD392D" w:rsidP="00FD392D">
      <w:pPr>
        <w:pStyle w:val="Odsekzoznamu"/>
        <w:numPr>
          <w:ilvl w:val="0"/>
          <w:numId w:val="20"/>
        </w:numPr>
        <w:spacing w:before="60" w:after="60"/>
        <w:jc w:val="both"/>
        <w:rPr>
          <w:rFonts w:eastAsia="Calibri"/>
        </w:rPr>
      </w:pPr>
      <w:r w:rsidRPr="00C65CAA">
        <w:rPr>
          <w:rFonts w:eastAsia="Calibri"/>
        </w:rPr>
        <w:t>neplnenie opatrení hodnoty za peniaze, ktorých implementácia je bez očakávaných fiškálnych úspor</w:t>
      </w:r>
      <w:r>
        <w:rPr>
          <w:rFonts w:eastAsia="Calibri"/>
          <w:lang w:val="en-US"/>
        </w:rPr>
        <w:t>;</w:t>
      </w:r>
      <w:r w:rsidRPr="00C65CAA">
        <w:rPr>
          <w:rFonts w:eastAsia="Calibri"/>
        </w:rPr>
        <w:t xml:space="preserve"> </w:t>
      </w:r>
      <w:r>
        <w:rPr>
          <w:rFonts w:eastAsia="Calibri"/>
        </w:rPr>
        <w:t>v</w:t>
      </w:r>
      <w:r w:rsidRPr="00C65CAA">
        <w:rPr>
          <w:rFonts w:eastAsia="Calibri"/>
        </w:rPr>
        <w:t>ýnimkou je len kapitola MZ SR, ktorá dosiahla čiastočné úspory</w:t>
      </w:r>
    </w:p>
    <w:p w14:paraId="00E6A34B" w14:textId="77777777" w:rsidR="00FD392D" w:rsidRDefault="00FD392D" w:rsidP="00FD392D">
      <w:pPr>
        <w:pStyle w:val="Odsekzoznamu"/>
        <w:numPr>
          <w:ilvl w:val="0"/>
          <w:numId w:val="20"/>
        </w:numPr>
        <w:spacing w:before="60" w:after="60"/>
        <w:contextualSpacing w:val="0"/>
        <w:jc w:val="both"/>
        <w:rPr>
          <w:rFonts w:eastAsia="Calibri"/>
        </w:rPr>
      </w:pPr>
      <w:r>
        <w:rPr>
          <w:rFonts w:eastAsia="Calibri"/>
        </w:rPr>
        <w:t>legislatívne opatrenia, pri ktorých nie je vyčíslený vplyv na rozpočet VS.</w:t>
      </w:r>
    </w:p>
    <w:p w14:paraId="2B1315E4" w14:textId="09192473" w:rsidR="00FD392D" w:rsidRPr="002156C1" w:rsidRDefault="00FD392D" w:rsidP="00FD392D">
      <w:pPr>
        <w:pStyle w:val="Odsekzoznamu"/>
        <w:numPr>
          <w:ilvl w:val="0"/>
          <w:numId w:val="18"/>
        </w:numPr>
        <w:autoSpaceDE w:val="0"/>
        <w:autoSpaceDN w:val="0"/>
        <w:adjustRightInd w:val="0"/>
        <w:spacing w:before="60" w:after="60"/>
        <w:ind w:left="357" w:hanging="357"/>
        <w:contextualSpacing w:val="0"/>
        <w:jc w:val="both"/>
        <w:rPr>
          <w:rFonts w:cs="Calibri"/>
        </w:rPr>
      </w:pPr>
      <w:r w:rsidRPr="002156C1">
        <w:rPr>
          <w:rFonts w:cs="Calibri"/>
        </w:rPr>
        <w:t>Čistá finančná pozícia SR voči rozpočtu EÚ v roku 2020 medziročne klesá o 63 mil. e</w:t>
      </w:r>
      <w:r w:rsidR="00B339DA">
        <w:rPr>
          <w:rFonts w:cs="Calibri"/>
        </w:rPr>
        <w:t>ur na úroveň 756 mil. eur, t. </w:t>
      </w:r>
      <w:r w:rsidRPr="002156C1">
        <w:rPr>
          <w:rFonts w:cs="Calibri"/>
        </w:rPr>
        <w:t>j. o 7,6 %. NKÚ SR upozorňuje, že v procese uzatvárania operačných programov zo strany E</w:t>
      </w:r>
      <w:r>
        <w:rPr>
          <w:rFonts w:cs="Calibri"/>
        </w:rPr>
        <w:t>K</w:t>
      </w:r>
      <w:r w:rsidRPr="002156C1">
        <w:rPr>
          <w:rFonts w:cs="Calibri"/>
        </w:rPr>
        <w:t xml:space="preserve"> existuje riziko, že výška záverečných platieb zo strany EK môže byť nižšia ako suma uvedená v záverečných žiadostiach o platbu. A tiež na riziko neplnenia čiastkových cieľov výkonnostného rámca, čo môže mať negatívny vplyv na rozpočet VS v nasledujúcich rokoch.</w:t>
      </w:r>
    </w:p>
    <w:p w14:paraId="163B94AA" w14:textId="001AD349" w:rsidR="00FD392D" w:rsidRDefault="00FD392D" w:rsidP="00FD392D">
      <w:pPr>
        <w:pStyle w:val="Odsekzoznamu"/>
        <w:numPr>
          <w:ilvl w:val="0"/>
          <w:numId w:val="18"/>
        </w:numPr>
        <w:autoSpaceDE w:val="0"/>
        <w:autoSpaceDN w:val="0"/>
        <w:adjustRightInd w:val="0"/>
        <w:spacing w:before="60" w:after="60"/>
        <w:ind w:left="357" w:hanging="357"/>
        <w:contextualSpacing w:val="0"/>
        <w:jc w:val="both"/>
        <w:rPr>
          <w:rFonts w:cs="Calibri"/>
        </w:rPr>
      </w:pPr>
      <w:r>
        <w:rPr>
          <w:rFonts w:cs="Calibri"/>
        </w:rPr>
        <w:t xml:space="preserve">V oblasti ostatných subjektov verejnej správy plánovaný </w:t>
      </w:r>
      <w:r w:rsidRPr="00D73F86">
        <w:rPr>
          <w:rFonts w:cs="Calibri"/>
        </w:rPr>
        <w:t xml:space="preserve">prebytok v samospráve by sa mal </w:t>
      </w:r>
      <w:r w:rsidR="001C284A">
        <w:rPr>
          <w:rFonts w:cs="Calibri"/>
        </w:rPr>
        <w:t>v porovnaní s </w:t>
      </w:r>
      <w:r w:rsidR="00927567">
        <w:rPr>
          <w:rFonts w:cs="Calibri"/>
        </w:rPr>
        <w:t>rozpočtom</w:t>
      </w:r>
      <w:r w:rsidRPr="00D73F86">
        <w:rPr>
          <w:rFonts w:cs="Calibri"/>
        </w:rPr>
        <w:t xml:space="preserve"> na rok 2019 znížiť o 119 492 tis. eur. Riziko rozpočtov obcí aj VÚC vznik</w:t>
      </w:r>
      <w:r w:rsidR="00927567">
        <w:rPr>
          <w:rFonts w:cs="Calibri"/>
        </w:rPr>
        <w:t>á najmä z možnej neistoty</w:t>
      </w:r>
      <w:r w:rsidRPr="00D73F86">
        <w:rPr>
          <w:rFonts w:cs="Calibri"/>
        </w:rPr>
        <w:t xml:space="preserve"> na pracovnom trhu. </w:t>
      </w:r>
      <w:r>
        <w:rPr>
          <w:rFonts w:cs="Calibri"/>
        </w:rPr>
        <w:t>Prípadný r</w:t>
      </w:r>
      <w:r w:rsidRPr="00D73F86">
        <w:rPr>
          <w:rFonts w:cs="Calibri"/>
        </w:rPr>
        <w:t>ast nezamestnanosti v roku 2020 by mohol negatívne ovplyvniť ich príjmové stránky prostredníctvom prevodu DPFO. Na druhej strane, v obciach existuje priestor na ovplyvnenie ich príjmov prostredníctvom ostatných daní, najmä z nehnuteľností. Tlak na výdavkovú stranu rozpočtu územnej samosprávy mô</w:t>
      </w:r>
      <w:r w:rsidR="00506603">
        <w:rPr>
          <w:rFonts w:cs="Calibri"/>
        </w:rPr>
        <w:t>že nastať najmä na položkách, akými</w:t>
      </w:r>
      <w:r w:rsidRPr="00D73F86">
        <w:rPr>
          <w:rFonts w:cs="Calibri"/>
        </w:rPr>
        <w:t xml:space="preserve"> </w:t>
      </w:r>
      <w:r>
        <w:rPr>
          <w:rFonts w:cs="Calibri"/>
        </w:rPr>
        <w:t xml:space="preserve">sú </w:t>
      </w:r>
      <w:r w:rsidRPr="00D73F86">
        <w:rPr>
          <w:rFonts w:cs="Calibri"/>
        </w:rPr>
        <w:t>mzdy, tovary a služby. Na tie totiž vplýva mnoho legislatívnych zmien, ktorých dopad nie je vždy dostatočne vyčíslený a reálne sa prejaví až v praxi. Pozitívne možno hodnotiť medziročný rast kapitálových výdavkov v obciach aj VÚC.</w:t>
      </w:r>
    </w:p>
    <w:p w14:paraId="0F7D434A" w14:textId="77777777" w:rsidR="002A5C77" w:rsidRPr="002A5C77" w:rsidRDefault="002A5C77" w:rsidP="002A5C77">
      <w:pPr>
        <w:autoSpaceDE w:val="0"/>
        <w:autoSpaceDN w:val="0"/>
        <w:adjustRightInd w:val="0"/>
        <w:spacing w:before="60" w:after="60"/>
        <w:jc w:val="both"/>
        <w:rPr>
          <w:rFonts w:cs="Calibri"/>
        </w:rPr>
      </w:pPr>
    </w:p>
    <w:p w14:paraId="06C2EBA8" w14:textId="31B792DE" w:rsidR="00FD392D" w:rsidRDefault="00FD392D" w:rsidP="00FD392D">
      <w:pPr>
        <w:tabs>
          <w:tab w:val="left" w:pos="567"/>
        </w:tabs>
        <w:spacing w:before="60" w:after="60"/>
        <w:jc w:val="both"/>
        <w:rPr>
          <w:rFonts w:eastAsia="Calibri"/>
        </w:rPr>
      </w:pPr>
      <w:r w:rsidRPr="00C65CAA">
        <w:rPr>
          <w:rFonts w:eastAsia="Calibri"/>
        </w:rPr>
        <w:lastRenderedPageBreak/>
        <w:t>NKÚ SR na základe výsledkov kontrolnej činnosti</w:t>
      </w:r>
      <w:r w:rsidR="00506603">
        <w:rPr>
          <w:rFonts w:eastAsia="Calibri"/>
        </w:rPr>
        <w:t>,</w:t>
      </w:r>
      <w:r w:rsidRPr="00C65CAA">
        <w:rPr>
          <w:rFonts w:eastAsia="Calibri"/>
        </w:rPr>
        <w:t xml:space="preserve"> po zohľadnení makroekonomických rámcov a východiskového </w:t>
      </w:r>
      <w:r>
        <w:rPr>
          <w:rFonts w:eastAsia="Calibri"/>
        </w:rPr>
        <w:t>rámca návrhu RVS SR na roky 2020 až 2022</w:t>
      </w:r>
      <w:r w:rsidR="00506603">
        <w:rPr>
          <w:rFonts w:eastAsia="Calibri"/>
        </w:rPr>
        <w:t>,</w:t>
      </w:r>
    </w:p>
    <w:p w14:paraId="7ED7361A" w14:textId="77777777" w:rsidR="00FD392D" w:rsidRDefault="00FD392D" w:rsidP="00FD392D">
      <w:pPr>
        <w:tabs>
          <w:tab w:val="left" w:pos="567"/>
        </w:tabs>
        <w:spacing w:before="60" w:after="60"/>
        <w:jc w:val="center"/>
        <w:rPr>
          <w:rFonts w:eastAsia="Calibri"/>
          <w:b/>
        </w:rPr>
      </w:pPr>
      <w:r w:rsidRPr="00C65CAA">
        <w:rPr>
          <w:rFonts w:eastAsia="Calibri"/>
          <w:b/>
        </w:rPr>
        <w:t>nemá zásadné pripomienky</w:t>
      </w:r>
    </w:p>
    <w:p w14:paraId="21437022" w14:textId="77777777" w:rsidR="00FD392D" w:rsidRPr="00C65CAA" w:rsidRDefault="00FD392D" w:rsidP="00FD392D">
      <w:pPr>
        <w:tabs>
          <w:tab w:val="left" w:pos="567"/>
        </w:tabs>
        <w:spacing w:before="60" w:after="60"/>
        <w:jc w:val="both"/>
        <w:rPr>
          <w:rFonts w:eastAsia="Calibri"/>
        </w:rPr>
      </w:pPr>
      <w:r>
        <w:rPr>
          <w:rFonts w:eastAsia="Calibri"/>
        </w:rPr>
        <w:t>k návrhu zákona o ŠR na rok 2020</w:t>
      </w:r>
      <w:r w:rsidRPr="00C65CAA">
        <w:rPr>
          <w:rFonts w:eastAsia="Calibri"/>
        </w:rPr>
        <w:t>.</w:t>
      </w:r>
    </w:p>
    <w:p w14:paraId="33317AC8" w14:textId="77777777" w:rsidR="00FD392D" w:rsidRPr="00C65CAA" w:rsidRDefault="00FD392D" w:rsidP="00FD392D">
      <w:pPr>
        <w:spacing w:before="60" w:after="60"/>
        <w:jc w:val="both"/>
        <w:rPr>
          <w:rFonts w:eastAsia="Calibri"/>
        </w:rPr>
      </w:pPr>
      <w:r w:rsidRPr="00C65CAA">
        <w:rPr>
          <w:rFonts w:eastAsia="Calibri"/>
        </w:rPr>
        <w:t>Makroekonomické rámce a východisk</w:t>
      </w:r>
      <w:r>
        <w:rPr>
          <w:rFonts w:eastAsia="Calibri"/>
        </w:rPr>
        <w:t>ový rámec návrhu RVS na rok 2020, návrh ŠR na rok 2020</w:t>
      </w:r>
      <w:r w:rsidRPr="00C65CAA">
        <w:rPr>
          <w:rFonts w:eastAsia="Calibri"/>
        </w:rPr>
        <w:t xml:space="preserve"> a návrh súhrnného rozpočtu ostatných subje</w:t>
      </w:r>
      <w:r>
        <w:rPr>
          <w:rFonts w:eastAsia="Calibri"/>
        </w:rPr>
        <w:t>ktov verejnej správy na rok 2020</w:t>
      </w:r>
      <w:r w:rsidRPr="00C65CAA">
        <w:rPr>
          <w:rFonts w:eastAsia="Calibri"/>
        </w:rPr>
        <w:t xml:space="preserve"> sú zostavené v súlade s Ústavou SR, ústavnými zákonmi, zákonmi a ďalšími všeobecne záväznými právnymi predpismi platnými v SR, medzinárodnými zmluvami a inými dokumentmi, ktorými je SR viazaná, právom Európskych spoločenstiev a právom EÚ. </w:t>
      </w:r>
    </w:p>
    <w:p w14:paraId="0C400780" w14:textId="4FAD93C8" w:rsidR="00FD392D" w:rsidRPr="00C65CAA" w:rsidRDefault="00FD392D" w:rsidP="00FD392D">
      <w:pPr>
        <w:shd w:val="clear" w:color="auto" w:fill="FFFFFF"/>
        <w:spacing w:before="60" w:after="60"/>
        <w:jc w:val="both"/>
        <w:rPr>
          <w:rFonts w:eastAsia="Calibri"/>
        </w:rPr>
      </w:pPr>
      <w:r w:rsidRPr="00C65CAA">
        <w:rPr>
          <w:rFonts w:eastAsia="Calibri"/>
        </w:rPr>
        <w:t>NKÚ SR vo svojej nezávislej kontrol</w:t>
      </w:r>
      <w:r>
        <w:rPr>
          <w:rFonts w:eastAsia="Calibri"/>
        </w:rPr>
        <w:t>nej činnosti bude aj v roku 2020</w:t>
      </w:r>
      <w:r w:rsidRPr="00C65CAA">
        <w:rPr>
          <w:rFonts w:eastAsia="Calibri"/>
        </w:rPr>
        <w:t xml:space="preserve"> klásť dôraz na hospodárne, efektívne a účinné vynakladanie verejných zdrojov štátnou správou, samosprávou a občanmi štátu</w:t>
      </w:r>
      <w:r w:rsidR="00506603">
        <w:rPr>
          <w:rFonts w:eastAsia="Calibri"/>
        </w:rPr>
        <w:t>,</w:t>
      </w:r>
      <w:r w:rsidRPr="00C65CAA">
        <w:rPr>
          <w:rFonts w:eastAsia="Calibri"/>
        </w:rPr>
        <w:t xml:space="preserve"> a tým dôsledne napĺňať poslanie úradu – prispieť k zlepšeniu hospodárenia s verejnými prostriedkami a kvality verejných služieb.</w:t>
      </w:r>
    </w:p>
    <w:p w14:paraId="0F6C7FDC" w14:textId="0FDD1CC2" w:rsidR="00FD392D" w:rsidRPr="00C65CAA" w:rsidRDefault="00FD392D" w:rsidP="00FD392D">
      <w:pPr>
        <w:shd w:val="clear" w:color="auto" w:fill="FFFFFF"/>
        <w:spacing w:before="60" w:after="60"/>
        <w:jc w:val="both"/>
        <w:rPr>
          <w:rFonts w:eastAsia="Calibri"/>
        </w:rPr>
      </w:pPr>
      <w:r w:rsidRPr="00C65CAA">
        <w:rPr>
          <w:rFonts w:eastAsia="Calibri"/>
        </w:rPr>
        <w:t>Tým je NKÚ SR pripravený napomáhať správnemu hospodáreniu s verejnými finančnými zdrojmi a</w:t>
      </w:r>
      <w:r w:rsidR="00506603">
        <w:rPr>
          <w:rFonts w:eastAsia="Calibri"/>
        </w:rPr>
        <w:t> </w:t>
      </w:r>
      <w:r w:rsidRPr="00C65CAA">
        <w:rPr>
          <w:rFonts w:eastAsia="Calibri"/>
        </w:rPr>
        <w:t>majetkom</w:t>
      </w:r>
      <w:r w:rsidR="00506603">
        <w:rPr>
          <w:rFonts w:eastAsia="Calibri"/>
        </w:rPr>
        <w:t>,</w:t>
      </w:r>
      <w:r w:rsidRPr="00C65CAA">
        <w:rPr>
          <w:rFonts w:eastAsia="Calibri"/>
        </w:rPr>
        <w:t xml:space="preserve"> a</w:t>
      </w:r>
      <w:r w:rsidR="00506603">
        <w:rPr>
          <w:rFonts w:eastAsia="Calibri"/>
        </w:rPr>
        <w:t>j</w:t>
      </w:r>
      <w:r w:rsidRPr="00C65CAA">
        <w:rPr>
          <w:rFonts w:eastAsia="Calibri"/>
        </w:rPr>
        <w:t> riešeniu celospoločensky významných problémov, preverením ktorých budú príslušným kontrolovaným subjektom poskytnuté potrebné informácie pre prijatie efektívnych a účinných opatrení na ich riešenie.</w:t>
      </w:r>
    </w:p>
    <w:p w14:paraId="5071E3E7" w14:textId="123678C7" w:rsidR="00FD392D" w:rsidRPr="00C65CAA" w:rsidRDefault="00506603" w:rsidP="00FD392D">
      <w:pPr>
        <w:shd w:val="clear" w:color="auto" w:fill="FFFFFF"/>
        <w:spacing w:before="60" w:after="60"/>
        <w:jc w:val="both"/>
        <w:rPr>
          <w:rFonts w:eastAsia="Calibri"/>
        </w:rPr>
      </w:pPr>
      <w:r>
        <w:rPr>
          <w:rFonts w:eastAsia="Calibri"/>
        </w:rPr>
        <w:t>V tejto súvislosti NKÚ SR bude aj</w:t>
      </w:r>
      <w:r w:rsidR="00FD392D" w:rsidRPr="00C65CAA">
        <w:rPr>
          <w:rFonts w:eastAsia="Calibri"/>
        </w:rPr>
        <w:t xml:space="preserve"> naďalej poskytovať objektívne informácie o zistených skutočnostiach v tejto oblasti, tak NR SR, ako aj verejnosti. </w:t>
      </w:r>
    </w:p>
    <w:p w14:paraId="3C40EB9C" w14:textId="77777777" w:rsidR="00FD392D" w:rsidRPr="00C65CAA" w:rsidRDefault="00FD392D" w:rsidP="00FD392D">
      <w:pPr>
        <w:shd w:val="clear" w:color="auto" w:fill="FFFFFF"/>
        <w:spacing w:before="60" w:after="60"/>
        <w:jc w:val="both"/>
        <w:rPr>
          <w:rFonts w:eastAsia="Calibri"/>
        </w:rPr>
      </w:pPr>
      <w:r w:rsidRPr="00C65CAA">
        <w:rPr>
          <w:rFonts w:eastAsia="Calibri"/>
        </w:rPr>
        <w:t>Podrobnejšie hodnotenia Stanovisk</w:t>
      </w:r>
      <w:r>
        <w:rPr>
          <w:rFonts w:eastAsia="Calibri"/>
        </w:rPr>
        <w:t>a NKÚ SR k návrhu ŠR na rok 2020</w:t>
      </w:r>
      <w:r w:rsidRPr="00C65CAA">
        <w:rPr>
          <w:rFonts w:eastAsia="Calibri"/>
        </w:rPr>
        <w:t xml:space="preserve"> sú uvedené v jeho ďalších častiach:</w:t>
      </w:r>
    </w:p>
    <w:p w14:paraId="219B9F95" w14:textId="77777777" w:rsidR="00FD392D" w:rsidRPr="00C65CAA" w:rsidRDefault="00FD392D" w:rsidP="00FD392D">
      <w:pPr>
        <w:numPr>
          <w:ilvl w:val="0"/>
          <w:numId w:val="19"/>
        </w:numPr>
        <w:shd w:val="clear" w:color="auto" w:fill="FFFFFF"/>
        <w:ind w:left="357" w:hanging="357"/>
        <w:contextualSpacing/>
        <w:jc w:val="both"/>
      </w:pPr>
      <w:r>
        <w:t xml:space="preserve">Makroekonomický </w:t>
      </w:r>
      <w:r w:rsidRPr="00C65CAA">
        <w:t>rám</w:t>
      </w:r>
      <w:r>
        <w:t>ec návrhu RVS na rok 2020</w:t>
      </w:r>
    </w:p>
    <w:p w14:paraId="6A45DDC9" w14:textId="77777777" w:rsidR="00FD392D" w:rsidRPr="00C65CAA" w:rsidRDefault="00FD392D" w:rsidP="00FD392D">
      <w:pPr>
        <w:numPr>
          <w:ilvl w:val="0"/>
          <w:numId w:val="19"/>
        </w:numPr>
        <w:shd w:val="clear" w:color="auto" w:fill="FFFFFF"/>
        <w:ind w:left="357" w:hanging="357"/>
        <w:contextualSpacing/>
        <w:jc w:val="both"/>
      </w:pPr>
      <w:r>
        <w:t>Východiskový</w:t>
      </w:r>
      <w:r w:rsidRPr="00C65CAA">
        <w:t xml:space="preserve"> rám</w:t>
      </w:r>
      <w:r>
        <w:t>e</w:t>
      </w:r>
      <w:r w:rsidRPr="00C65CAA">
        <w:t>c</w:t>
      </w:r>
      <w:r>
        <w:t xml:space="preserve"> návrhu RVS na rok 2020</w:t>
      </w:r>
    </w:p>
    <w:p w14:paraId="155A4CE0" w14:textId="77777777" w:rsidR="00FD392D" w:rsidRPr="00C65CAA" w:rsidRDefault="00FD392D" w:rsidP="00FD392D">
      <w:pPr>
        <w:numPr>
          <w:ilvl w:val="0"/>
          <w:numId w:val="19"/>
        </w:numPr>
        <w:shd w:val="clear" w:color="auto" w:fill="FFFFFF"/>
        <w:ind w:left="357" w:hanging="357"/>
        <w:contextualSpacing/>
        <w:jc w:val="both"/>
      </w:pPr>
      <w:r>
        <w:t>Návrhu ŠR na rok 2020</w:t>
      </w:r>
    </w:p>
    <w:p w14:paraId="4443F395" w14:textId="77777777" w:rsidR="00FD392D" w:rsidRPr="001A6309" w:rsidRDefault="00FD392D" w:rsidP="00FD392D">
      <w:pPr>
        <w:pStyle w:val="Odsekzoznamu"/>
        <w:numPr>
          <w:ilvl w:val="0"/>
          <w:numId w:val="19"/>
        </w:numPr>
        <w:ind w:left="357" w:hanging="357"/>
      </w:pPr>
      <w:bookmarkStart w:id="10" w:name="_Toc23344135"/>
      <w:r w:rsidRPr="001A6309">
        <w:t>Riziká vo vybraných politikách a kapitolách ŠR</w:t>
      </w:r>
      <w:bookmarkEnd w:id="10"/>
    </w:p>
    <w:p w14:paraId="7DE47C88" w14:textId="56FEB13D" w:rsidR="00FD392D" w:rsidRPr="00C65CAA" w:rsidRDefault="00FD392D" w:rsidP="00FD392D">
      <w:pPr>
        <w:numPr>
          <w:ilvl w:val="0"/>
          <w:numId w:val="19"/>
        </w:numPr>
        <w:shd w:val="clear" w:color="auto" w:fill="FFFFFF"/>
        <w:contextualSpacing/>
        <w:jc w:val="both"/>
      </w:pPr>
      <w:r>
        <w:t>Rozpočtové</w:t>
      </w:r>
      <w:r w:rsidR="00506603">
        <w:t xml:space="preserve"> vzťahy</w:t>
      </w:r>
      <w:r w:rsidRPr="00C65CAA">
        <w:t xml:space="preserve"> SR a EÚ </w:t>
      </w:r>
      <w:r>
        <w:t>v</w:t>
      </w:r>
      <w:r w:rsidRPr="00C65CAA">
        <w:t xml:space="preserve"> rok</w:t>
      </w:r>
      <w:r>
        <w:t>u 2020</w:t>
      </w:r>
    </w:p>
    <w:p w14:paraId="418A72B4" w14:textId="77777777" w:rsidR="00FD392D" w:rsidRPr="00C65CAA" w:rsidRDefault="00FD392D" w:rsidP="00FD392D">
      <w:pPr>
        <w:numPr>
          <w:ilvl w:val="0"/>
          <w:numId w:val="19"/>
        </w:numPr>
        <w:shd w:val="clear" w:color="auto" w:fill="FFFFFF"/>
        <w:contextualSpacing/>
        <w:jc w:val="both"/>
      </w:pPr>
      <w:r>
        <w:t>N</w:t>
      </w:r>
      <w:r w:rsidRPr="00C65CAA">
        <w:t>ávrhu súhrnného rozpočtu ostatných subjektov verejnej správy na rok 20</w:t>
      </w:r>
      <w:r>
        <w:t>20.</w:t>
      </w:r>
    </w:p>
    <w:p w14:paraId="775F429F" w14:textId="77777777" w:rsidR="00FD392D" w:rsidRPr="00C65CAA" w:rsidRDefault="00FD392D" w:rsidP="00FD392D">
      <w:pPr>
        <w:shd w:val="clear" w:color="auto" w:fill="FFFFFF"/>
        <w:contextualSpacing/>
        <w:jc w:val="both"/>
      </w:pPr>
    </w:p>
    <w:p w14:paraId="3476C388" w14:textId="77777777" w:rsidR="004925C2" w:rsidRDefault="004925C2" w:rsidP="004925C2"/>
    <w:p w14:paraId="4B381877" w14:textId="77777777" w:rsidR="004925C2" w:rsidRDefault="004925C2" w:rsidP="004925C2"/>
    <w:p w14:paraId="420F61D3" w14:textId="77777777" w:rsidR="004925C2" w:rsidRDefault="004925C2" w:rsidP="004925C2"/>
    <w:p w14:paraId="6328B843" w14:textId="77777777" w:rsidR="004925C2" w:rsidRDefault="004925C2" w:rsidP="004925C2"/>
    <w:p w14:paraId="2C31CFA9" w14:textId="572F84BF" w:rsidR="001F3A50" w:rsidRDefault="001F3A50">
      <w:r>
        <w:br w:type="page"/>
      </w:r>
    </w:p>
    <w:p w14:paraId="550482BB" w14:textId="1C4AF3BD" w:rsidR="006A54DB" w:rsidRDefault="006A54DB"/>
    <w:p w14:paraId="02756ABD" w14:textId="27610144" w:rsidR="006A54DB" w:rsidRDefault="003C3A82">
      <w:r>
        <w:rPr>
          <w:noProof/>
          <w:lang w:eastAsia="sk-SK"/>
        </w:rPr>
        <w:drawing>
          <wp:anchor distT="0" distB="0" distL="114300" distR="114300" simplePos="0" relativeHeight="251659264" behindDoc="0" locked="0" layoutInCell="1" allowOverlap="1" wp14:anchorId="43DD2CCD" wp14:editId="587CFC11">
            <wp:simplePos x="808074" y="1063256"/>
            <wp:positionH relativeFrom="margin">
              <wp:align>center</wp:align>
            </wp:positionH>
            <wp:positionV relativeFrom="margin">
              <wp:align>center</wp:align>
            </wp:positionV>
            <wp:extent cx="5941060" cy="7992110"/>
            <wp:effectExtent l="0" t="0" r="2540" b="8890"/>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C4906F.tmp"/>
                    <pic:cNvPicPr/>
                  </pic:nvPicPr>
                  <pic:blipFill>
                    <a:blip r:embed="rId11">
                      <a:extLst>
                        <a:ext uri="{28A0092B-C50C-407E-A947-70E740481C1C}">
                          <a14:useLocalDpi xmlns:a14="http://schemas.microsoft.com/office/drawing/2010/main" val="0"/>
                        </a:ext>
                      </a:extLst>
                    </a:blip>
                    <a:stretch>
                      <a:fillRect/>
                    </a:stretch>
                  </pic:blipFill>
                  <pic:spPr>
                    <a:xfrm>
                      <a:off x="0" y="0"/>
                      <a:ext cx="5941060" cy="7992110"/>
                    </a:xfrm>
                    <a:prstGeom prst="rect">
                      <a:avLst/>
                    </a:prstGeom>
                  </pic:spPr>
                </pic:pic>
              </a:graphicData>
            </a:graphic>
          </wp:anchor>
        </w:drawing>
      </w:r>
      <w:r w:rsidR="006A54DB">
        <w:br w:type="page"/>
      </w:r>
    </w:p>
    <w:p w14:paraId="0DF860C3" w14:textId="77777777" w:rsidR="00FF468A" w:rsidRDefault="0011162C" w:rsidP="000A2429">
      <w:pPr>
        <w:pStyle w:val="Nadpis1"/>
        <w:numPr>
          <w:ilvl w:val="0"/>
          <w:numId w:val="1"/>
        </w:numPr>
        <w:spacing w:after="240"/>
        <w:ind w:left="714" w:hanging="357"/>
        <w:rPr>
          <w:rFonts w:eastAsia="Times New Roman"/>
        </w:rPr>
      </w:pPr>
      <w:bookmarkStart w:id="11" w:name="_Toc515523242"/>
      <w:bookmarkStart w:id="12" w:name="_Toc24098440"/>
      <w:bookmarkEnd w:id="4"/>
      <w:r>
        <w:lastRenderedPageBreak/>
        <w:t>Makroe</w:t>
      </w:r>
      <w:r w:rsidR="00FF468A" w:rsidRPr="00066EFF">
        <w:t xml:space="preserve">konomický </w:t>
      </w:r>
      <w:r w:rsidR="00FF468A">
        <w:t xml:space="preserve">rámec </w:t>
      </w:r>
      <w:r>
        <w:t>návrhu RVS</w:t>
      </w:r>
      <w:r w:rsidR="00FF468A" w:rsidRPr="00066EFF">
        <w:rPr>
          <w:rFonts w:eastAsia="Times New Roman"/>
        </w:rPr>
        <w:t xml:space="preserve"> </w:t>
      </w:r>
      <w:bookmarkEnd w:id="11"/>
      <w:r>
        <w:rPr>
          <w:rFonts w:eastAsia="Times New Roman"/>
        </w:rPr>
        <w:t>na</w:t>
      </w:r>
      <w:r w:rsidR="00FF468A">
        <w:rPr>
          <w:rFonts w:eastAsia="Times New Roman"/>
        </w:rPr>
        <w:t> rok 20</w:t>
      </w:r>
      <w:r>
        <w:rPr>
          <w:rFonts w:eastAsia="Times New Roman"/>
        </w:rPr>
        <w:t>20</w:t>
      </w:r>
      <w:bookmarkEnd w:id="12"/>
    </w:p>
    <w:p w14:paraId="0CA4CE91" w14:textId="307EA262" w:rsidR="008A68FA" w:rsidRPr="00C65CAA" w:rsidRDefault="008A68FA" w:rsidP="008A68FA">
      <w:pPr>
        <w:autoSpaceDE w:val="0"/>
        <w:autoSpaceDN w:val="0"/>
        <w:adjustRightInd w:val="0"/>
        <w:spacing w:before="100" w:after="120"/>
        <w:ind w:firstLine="708"/>
        <w:jc w:val="both"/>
        <w:rPr>
          <w:b/>
          <w:bCs/>
        </w:rPr>
      </w:pPr>
      <w:r w:rsidRPr="00C65CAA">
        <w:t xml:space="preserve">Makroekonomické predpoklady </w:t>
      </w:r>
      <w:r>
        <w:t xml:space="preserve">návrhu </w:t>
      </w:r>
      <w:r w:rsidRPr="00C65CAA">
        <w:t>RVS na roky 20</w:t>
      </w:r>
      <w:r>
        <w:t>20 až 2022</w:t>
      </w:r>
      <w:r w:rsidRPr="00C65CAA">
        <w:t xml:space="preserve"> vychádzajú z prognózy </w:t>
      </w:r>
      <w:r w:rsidR="00B339DA">
        <w:t>MF SR zo </w:t>
      </w:r>
      <w:r>
        <w:t xml:space="preserve">septembra 2019. </w:t>
      </w:r>
      <w:r w:rsidRPr="00C65CAA">
        <w:rPr>
          <w:b/>
          <w:bCs/>
        </w:rPr>
        <w:t xml:space="preserve">Aktualizovaná prognóza </w:t>
      </w:r>
      <w:r>
        <w:rPr>
          <w:b/>
          <w:bCs/>
        </w:rPr>
        <w:t>MF SR</w:t>
      </w:r>
      <w:r w:rsidRPr="00C65CAA">
        <w:rPr>
          <w:b/>
          <w:bCs/>
        </w:rPr>
        <w:t xml:space="preserve"> očakáva v roku 201</w:t>
      </w:r>
      <w:r>
        <w:rPr>
          <w:b/>
          <w:bCs/>
        </w:rPr>
        <w:t>9</w:t>
      </w:r>
      <w:r w:rsidRPr="00C65CAA">
        <w:rPr>
          <w:b/>
          <w:bCs/>
        </w:rPr>
        <w:t xml:space="preserve"> reáln</w:t>
      </w:r>
      <w:r>
        <w:rPr>
          <w:b/>
          <w:bCs/>
        </w:rPr>
        <w:t>y</w:t>
      </w:r>
      <w:r w:rsidRPr="00C65CAA">
        <w:rPr>
          <w:b/>
          <w:bCs/>
        </w:rPr>
        <w:t xml:space="preserve"> rast slovenskej ekonomiky </w:t>
      </w:r>
      <w:r>
        <w:rPr>
          <w:b/>
          <w:bCs/>
        </w:rPr>
        <w:t>2,4</w:t>
      </w:r>
      <w:r w:rsidR="00B339DA">
        <w:rPr>
          <w:b/>
          <w:bCs/>
        </w:rPr>
        <w:t> </w:t>
      </w:r>
      <w:r w:rsidRPr="00C65CAA">
        <w:rPr>
          <w:b/>
          <w:bCs/>
        </w:rPr>
        <w:t xml:space="preserve">%. V nasledujúcom roku by tempo jej rastu malo byť </w:t>
      </w:r>
      <w:r>
        <w:rPr>
          <w:b/>
          <w:bCs/>
        </w:rPr>
        <w:t>pomal</w:t>
      </w:r>
      <w:r w:rsidRPr="00C65CAA">
        <w:rPr>
          <w:b/>
          <w:bCs/>
        </w:rPr>
        <w:t xml:space="preserve">šie a to </w:t>
      </w:r>
      <w:r>
        <w:rPr>
          <w:b/>
          <w:bCs/>
        </w:rPr>
        <w:t>2</w:t>
      </w:r>
      <w:r w:rsidRPr="00C65CAA">
        <w:rPr>
          <w:b/>
          <w:bCs/>
        </w:rPr>
        <w:t>,</w:t>
      </w:r>
      <w:r>
        <w:rPr>
          <w:b/>
          <w:bCs/>
        </w:rPr>
        <w:t>3</w:t>
      </w:r>
      <w:r w:rsidRPr="00C65CAA">
        <w:rPr>
          <w:b/>
          <w:bCs/>
        </w:rPr>
        <w:t xml:space="preserve"> %.</w:t>
      </w:r>
      <w:r>
        <w:rPr>
          <w:b/>
          <w:bCs/>
        </w:rPr>
        <w:t xml:space="preserve"> </w:t>
      </w:r>
    </w:p>
    <w:p w14:paraId="2C46D1E9" w14:textId="127B1F9A" w:rsidR="0047450E" w:rsidRDefault="0047450E" w:rsidP="008A68FA">
      <w:pPr>
        <w:autoSpaceDE w:val="0"/>
        <w:autoSpaceDN w:val="0"/>
        <w:adjustRightInd w:val="0"/>
        <w:spacing w:before="100" w:after="120"/>
        <w:ind w:firstLine="708"/>
        <w:jc w:val="both"/>
        <w:rPr>
          <w:rFonts w:eastAsia="Calibri"/>
        </w:rPr>
      </w:pPr>
      <w:r w:rsidRPr="001B34AC">
        <w:t xml:space="preserve">Spomalenie </w:t>
      </w:r>
      <w:r w:rsidR="005264C2">
        <w:t xml:space="preserve">ekonomického </w:t>
      </w:r>
      <w:r w:rsidRPr="001B34AC">
        <w:t xml:space="preserve">rastu Slovenska v roku 2019 je dôsledkom naplnenia viacerých rizík </w:t>
      </w:r>
      <w:r w:rsidR="001C284A">
        <w:t>prognózy a </w:t>
      </w:r>
      <w:r w:rsidR="00B339DA">
        <w:t>to najmä z </w:t>
      </w:r>
      <w:r w:rsidRPr="001B34AC">
        <w:t>externého prostredia. Otvorená ekonomika Slovenska trpí dôsledko</w:t>
      </w:r>
      <w:r w:rsidR="001C284A">
        <w:t>m spomalenia vývoja v Nemecku a </w:t>
      </w:r>
      <w:r w:rsidRPr="001B34AC">
        <w:t>následkami obchodných vojen. Slabšie sa vyvíja najmä export a mierne negatívne je ovplyvnená aj súkromná spotreba. Naopak</w:t>
      </w:r>
      <w:r w:rsidR="00506603">
        <w:t>,</w:t>
      </w:r>
      <w:r w:rsidRPr="001B34AC">
        <w:t xml:space="preserve"> nad očakávania sa vyvíja vládna spotreba a trh práce, a to aj vďaka výraznému rastu miezd</w:t>
      </w:r>
      <w:r>
        <w:t>.</w:t>
      </w:r>
    </w:p>
    <w:p w14:paraId="5FC02E31" w14:textId="3E505E84" w:rsidR="008A68FA" w:rsidRPr="006C3F3C" w:rsidRDefault="008A68FA" w:rsidP="008A68FA">
      <w:pPr>
        <w:autoSpaceDE w:val="0"/>
        <w:autoSpaceDN w:val="0"/>
        <w:adjustRightInd w:val="0"/>
        <w:spacing w:before="100" w:after="120"/>
        <w:ind w:firstLine="708"/>
        <w:jc w:val="both"/>
        <w:rPr>
          <w:b/>
          <w:bCs/>
        </w:rPr>
      </w:pPr>
      <w:r>
        <w:rPr>
          <w:rFonts w:eastAsia="Calibri"/>
        </w:rPr>
        <w:t xml:space="preserve">Pomalší rast ekonomiky v roku 2020 má byť spojený aj so stagnáciou na trhu práce a miernejším rastom spotreby domácností, súvisiacej aj s pomalšou dynamikou rastu miezd. </w:t>
      </w:r>
    </w:p>
    <w:tbl>
      <w:tblPr>
        <w:tblStyle w:val="Mriekatabuky"/>
        <w:tblW w:w="933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3"/>
      </w:tblGrid>
      <w:tr w:rsidR="008A68FA" w:rsidRPr="00C65CAA" w14:paraId="528CF0E5" w14:textId="77777777" w:rsidTr="008A68FA">
        <w:trPr>
          <w:trHeight w:val="20"/>
        </w:trPr>
        <w:tc>
          <w:tcPr>
            <w:tcW w:w="9333" w:type="dxa"/>
            <w:tcBorders>
              <w:top w:val="single" w:sz="4" w:space="0" w:color="auto"/>
              <w:bottom w:val="single" w:sz="4" w:space="0" w:color="auto"/>
            </w:tcBorders>
            <w:shd w:val="clear" w:color="auto" w:fill="0070C0"/>
          </w:tcPr>
          <w:p w14:paraId="6AB8E743" w14:textId="77777777" w:rsidR="008A68FA" w:rsidRPr="00C65CAA" w:rsidRDefault="008A68FA" w:rsidP="008A68FA">
            <w:pPr>
              <w:jc w:val="both"/>
              <w:rPr>
                <w:b/>
                <w:sz w:val="20"/>
                <w:szCs w:val="20"/>
              </w:rPr>
            </w:pPr>
            <w:r w:rsidRPr="00541253">
              <w:rPr>
                <w:b/>
                <w:color w:val="FFFFFF"/>
                <w:sz w:val="20"/>
                <w:szCs w:val="20"/>
              </w:rPr>
              <w:t>Porovnanie makroekonomických predpokladov rozpočtu na rok 20</w:t>
            </w:r>
            <w:r>
              <w:rPr>
                <w:b/>
                <w:color w:val="FFFFFF"/>
                <w:sz w:val="20"/>
                <w:szCs w:val="20"/>
              </w:rPr>
              <w:t>20</w:t>
            </w:r>
            <w:r w:rsidRPr="00541253">
              <w:rPr>
                <w:b/>
                <w:color w:val="FFFFFF"/>
                <w:sz w:val="20"/>
                <w:szCs w:val="20"/>
              </w:rPr>
              <w:t xml:space="preserve"> s očakávanou skutočnosťou na rok 201</w:t>
            </w:r>
            <w:r>
              <w:rPr>
                <w:b/>
                <w:color w:val="FFFFFF"/>
                <w:sz w:val="20"/>
                <w:szCs w:val="20"/>
              </w:rPr>
              <w:t>9</w:t>
            </w:r>
          </w:p>
        </w:tc>
      </w:tr>
      <w:tr w:rsidR="008A68FA" w:rsidRPr="00C65CAA" w14:paraId="6C7050C9" w14:textId="77777777" w:rsidTr="008A68FA">
        <w:tblPrEx>
          <w:tblCellMar>
            <w:left w:w="70" w:type="dxa"/>
            <w:right w:w="70" w:type="dxa"/>
          </w:tblCellMar>
        </w:tblPrEx>
        <w:trPr>
          <w:trHeight w:val="20"/>
        </w:trPr>
        <w:tc>
          <w:tcPr>
            <w:tcW w:w="9333" w:type="dxa"/>
            <w:tcBorders>
              <w:top w:val="single" w:sz="4" w:space="0" w:color="auto"/>
            </w:tcBorders>
          </w:tcPr>
          <w:p w14:paraId="04026F31" w14:textId="77777777" w:rsidR="008A68FA" w:rsidRPr="00C65CAA" w:rsidRDefault="008A68FA" w:rsidP="00236949">
            <w:pPr>
              <w:rPr>
                <w:sz w:val="20"/>
                <w:szCs w:val="20"/>
              </w:rPr>
            </w:pPr>
            <w:r>
              <w:rPr>
                <w:noProof/>
                <w:lang w:eastAsia="sk-SK"/>
              </w:rPr>
              <w:drawing>
                <wp:inline distT="0" distB="0" distL="0" distR="0" wp14:anchorId="0E7C55DB" wp14:editId="52F67518">
                  <wp:extent cx="5802630" cy="1950720"/>
                  <wp:effectExtent l="0" t="0" r="7620" b="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BD832BF" w14:textId="77777777" w:rsidR="008A68FA" w:rsidRPr="004A4F13" w:rsidRDefault="008A68FA" w:rsidP="008A68FA">
      <w:pPr>
        <w:jc w:val="both"/>
        <w:rPr>
          <w:i/>
          <w:sz w:val="18"/>
          <w:szCs w:val="18"/>
        </w:rPr>
      </w:pPr>
      <w:r w:rsidRPr="004A4F13">
        <w:rPr>
          <w:i/>
          <w:sz w:val="18"/>
          <w:szCs w:val="18"/>
        </w:rPr>
        <w:t>Poznámka: % predstavuje predpokladaný rast podľa prognózy z rozpočtu VS na rok 2020 oproti očakávanej skutočnosti 2019</w:t>
      </w:r>
    </w:p>
    <w:p w14:paraId="201F8974" w14:textId="77777777" w:rsidR="008A68FA" w:rsidRPr="004A4F13" w:rsidRDefault="008A68FA" w:rsidP="008A68FA">
      <w:pPr>
        <w:rPr>
          <w:i/>
          <w:sz w:val="18"/>
          <w:szCs w:val="18"/>
        </w:rPr>
      </w:pPr>
      <w:r w:rsidRPr="004A4F13">
        <w:rPr>
          <w:i/>
          <w:sz w:val="18"/>
          <w:szCs w:val="18"/>
        </w:rPr>
        <w:t xml:space="preserve">Zdroj: </w:t>
      </w:r>
      <w:r w:rsidR="00F418ED">
        <w:rPr>
          <w:i/>
          <w:sz w:val="18"/>
          <w:szCs w:val="18"/>
        </w:rPr>
        <w:t xml:space="preserve">Návrh </w:t>
      </w:r>
      <w:r w:rsidRPr="004A4F13">
        <w:rPr>
          <w:i/>
          <w:sz w:val="18"/>
          <w:szCs w:val="18"/>
        </w:rPr>
        <w:t xml:space="preserve">RVS na roky 2020 až 2022, </w:t>
      </w:r>
      <w:r w:rsidR="004A4F13">
        <w:rPr>
          <w:i/>
          <w:sz w:val="18"/>
          <w:szCs w:val="18"/>
        </w:rPr>
        <w:t>p</w:t>
      </w:r>
      <w:r w:rsidRPr="004A4F13">
        <w:rPr>
          <w:i/>
          <w:sz w:val="18"/>
          <w:szCs w:val="18"/>
        </w:rPr>
        <w:t>rognóza MF SR zo septembra 2019</w:t>
      </w:r>
    </w:p>
    <w:p w14:paraId="74E8E63A" w14:textId="77777777" w:rsidR="008A68FA" w:rsidRDefault="008A68FA" w:rsidP="008A68FA">
      <w:pPr>
        <w:pStyle w:val="Bezriadkovania"/>
        <w:rPr>
          <w:sz w:val="18"/>
          <w:szCs w:val="18"/>
        </w:rPr>
      </w:pPr>
    </w:p>
    <w:p w14:paraId="25D53D07" w14:textId="1CBDFAEA" w:rsidR="008A68FA" w:rsidRDefault="008A68FA" w:rsidP="008A68FA">
      <w:pPr>
        <w:pStyle w:val="Bezriadkovania"/>
        <w:spacing w:after="120"/>
        <w:ind w:firstLine="709"/>
        <w:jc w:val="both"/>
      </w:pPr>
      <w:r>
        <w:t xml:space="preserve">Napriek tomu, že septembrovú prognózu MF SR považoval za realistickú aj </w:t>
      </w:r>
      <w:r w:rsidRPr="00C65CAA">
        <w:t>Výbor pre makroekonomické prognózy</w:t>
      </w:r>
      <w:r>
        <w:t xml:space="preserve"> (</w:t>
      </w:r>
      <w:proofErr w:type="spellStart"/>
      <w:r>
        <w:t>VpMP</w:t>
      </w:r>
      <w:proofErr w:type="spellEnd"/>
      <w:r>
        <w:t>)</w:t>
      </w:r>
      <w:r>
        <w:rPr>
          <w:rStyle w:val="Odkaznapoznmkupodiarou"/>
        </w:rPr>
        <w:footnoteReference w:id="1"/>
      </w:r>
      <w:r>
        <w:t xml:space="preserve">, </w:t>
      </w:r>
      <w:r w:rsidRPr="00BB3E0E">
        <w:rPr>
          <w:b/>
        </w:rPr>
        <w:t>prognóza má aj riziká, ktoré návrh RVS nespomína</w:t>
      </w:r>
      <w:r>
        <w:t xml:space="preserve"> a</w:t>
      </w:r>
      <w:r w:rsidR="004C3F01">
        <w:t xml:space="preserve"> je otázne, či </w:t>
      </w:r>
      <w:r w:rsidRPr="00E663D3">
        <w:t>má vytvorenú rezervu v prípade ich naplnenia</w:t>
      </w:r>
      <w:r>
        <w:t>, resp. horšieho ako očakávaného makroekonomického vývoja</w:t>
      </w:r>
      <w:r w:rsidRPr="00C65CAA">
        <w:t xml:space="preserve">. </w:t>
      </w:r>
      <w:r w:rsidRPr="00D33CC4">
        <w:t xml:space="preserve">Za najväčšie riziko </w:t>
      </w:r>
      <w:r>
        <w:t xml:space="preserve">pre domácu ekonomiku považovali členovia </w:t>
      </w:r>
      <w:proofErr w:type="spellStart"/>
      <w:r>
        <w:t>VpMP</w:t>
      </w:r>
      <w:proofErr w:type="spellEnd"/>
      <w:r>
        <w:t xml:space="preserve"> otázne oživenie domáceho priemyslu a s tým súvisiacu</w:t>
      </w:r>
      <w:r w:rsidRPr="00D33CC4">
        <w:t xml:space="preserve"> stagn</w:t>
      </w:r>
      <w:r>
        <w:t xml:space="preserve">áciu, resp. </w:t>
      </w:r>
      <w:r w:rsidRPr="00D33CC4">
        <w:t xml:space="preserve">pokles zamestnanosti. Najmä </w:t>
      </w:r>
      <w:r>
        <w:t xml:space="preserve">firmy </w:t>
      </w:r>
      <w:r w:rsidRPr="00D33CC4">
        <w:t xml:space="preserve">v súkromnom sektore sú </w:t>
      </w:r>
      <w:r>
        <w:t xml:space="preserve">v prípade negatívnych očakávaní </w:t>
      </w:r>
      <w:r w:rsidRPr="00D33CC4">
        <w:t>opatrnejšie</w:t>
      </w:r>
      <w:r w:rsidR="00506603">
        <w:t>, čo má dosah</w:t>
      </w:r>
      <w:r>
        <w:t xml:space="preserve"> na ekonomickú aktivitu</w:t>
      </w:r>
      <w:r w:rsidRPr="00D33CC4">
        <w:t xml:space="preserve"> a</w:t>
      </w:r>
      <w:r>
        <w:t> ochotu investovať</w:t>
      </w:r>
      <w:r w:rsidRPr="00D33CC4">
        <w:t>.</w:t>
      </w:r>
    </w:p>
    <w:p w14:paraId="0092F60F" w14:textId="623A99B0" w:rsidR="008A68FA" w:rsidRDefault="008A68FA" w:rsidP="008A68FA">
      <w:pPr>
        <w:pStyle w:val="Bezriadkovania"/>
        <w:ind w:firstLine="708"/>
        <w:jc w:val="both"/>
        <w:rPr>
          <w:szCs w:val="18"/>
        </w:rPr>
      </w:pPr>
      <w:r>
        <w:t xml:space="preserve">Stále </w:t>
      </w:r>
      <w:r w:rsidR="00506603">
        <w:t>pretrvávajúcim rizikom s dosahom</w:t>
      </w:r>
      <w:r>
        <w:t xml:space="preserve"> aj na malú otvorenú ekonomiku SR sú o</w:t>
      </w:r>
      <w:r w:rsidRPr="00D33CC4">
        <w:t>bchodn</w:t>
      </w:r>
      <w:r>
        <w:t xml:space="preserve">é vojny </w:t>
      </w:r>
      <w:r w:rsidRPr="00C65CAA">
        <w:t>medzi USA, Čínou a EÚ</w:t>
      </w:r>
      <w:r>
        <w:t>, ktorých efekt môže</w:t>
      </w:r>
      <w:r w:rsidRPr="00D33CC4">
        <w:t xml:space="preserve"> trvať dlhšie </w:t>
      </w:r>
      <w:r>
        <w:t>ako sa pôvodne predpokladalo (</w:t>
      </w:r>
      <w:r w:rsidRPr="00D33CC4">
        <w:t xml:space="preserve">minimálne do prezidentských volieb </w:t>
      </w:r>
      <w:r>
        <w:t>v </w:t>
      </w:r>
      <w:r w:rsidRPr="00D33CC4">
        <w:t>USA</w:t>
      </w:r>
      <w:r>
        <w:t xml:space="preserve">) </w:t>
      </w:r>
      <w:r w:rsidRPr="00D33CC4">
        <w:t>a</w:t>
      </w:r>
      <w:r>
        <w:t> </w:t>
      </w:r>
      <w:r w:rsidRPr="00D33CC4">
        <w:t>efekt</w:t>
      </w:r>
      <w:r>
        <w:t xml:space="preserve"> už</w:t>
      </w:r>
      <w:r w:rsidRPr="00D33CC4">
        <w:t xml:space="preserve"> zavedených ciel bude mať negatívny vplyv až do r</w:t>
      </w:r>
      <w:r>
        <w:t>oku</w:t>
      </w:r>
      <w:r w:rsidRPr="00D33CC4">
        <w:t xml:space="preserve"> 2021. </w:t>
      </w:r>
      <w:r>
        <w:t>Najväčší obchodný partner SR, nemecká ekonomika,</w:t>
      </w:r>
      <w:r w:rsidRPr="00D33CC4">
        <w:t xml:space="preserve"> má podľa </w:t>
      </w:r>
      <w:r>
        <w:t>aktuálnych</w:t>
      </w:r>
      <w:r w:rsidRPr="00D33CC4">
        <w:t xml:space="preserve"> odhadov dosiahnuť dno v budúcom roku</w:t>
      </w:r>
      <w:r w:rsidR="00506603">
        <w:t>,</w:t>
      </w:r>
      <w:r w:rsidRPr="00D33CC4">
        <w:t xml:space="preserve"> a</w:t>
      </w:r>
      <w:r w:rsidR="00506603">
        <w:t xml:space="preserve"> potom</w:t>
      </w:r>
      <w:r w:rsidRPr="00D33CC4">
        <w:t xml:space="preserve"> bude rásť </w:t>
      </w:r>
      <w:r>
        <w:t>len miernym</w:t>
      </w:r>
      <w:r w:rsidRPr="00D33CC4">
        <w:t xml:space="preserve"> </w:t>
      </w:r>
      <w:proofErr w:type="spellStart"/>
      <w:r w:rsidRPr="00D33CC4">
        <w:t>medzikvartálnym</w:t>
      </w:r>
      <w:proofErr w:type="spellEnd"/>
      <w:r w:rsidRPr="00D33CC4">
        <w:t xml:space="preserve"> tempom na úrovni cca 0,1 %</w:t>
      </w:r>
      <w:r>
        <w:t>. Súčasné predstihové indikátory potvrdzujú, že e</w:t>
      </w:r>
      <w:r w:rsidRPr="000723F0">
        <w:t xml:space="preserve">konomická aktivita eurozóny sa na začiatku štvrtého </w:t>
      </w:r>
      <w:r>
        <w:t>štvrťroka</w:t>
      </w:r>
      <w:r w:rsidRPr="000723F0">
        <w:t xml:space="preserve"> naďalej nachádza blízko stagnácie.</w:t>
      </w:r>
      <w:r w:rsidRPr="00D16213">
        <w:t xml:space="preserve"> </w:t>
      </w:r>
      <w:r>
        <w:t>P</w:t>
      </w:r>
      <w:r w:rsidRPr="00102775">
        <w:t>okles priemyselnej výroby</w:t>
      </w:r>
      <w:r>
        <w:t xml:space="preserve"> v Nemecku</w:t>
      </w:r>
      <w:r w:rsidRPr="00102775">
        <w:t xml:space="preserve"> by </w:t>
      </w:r>
      <w:r>
        <w:t xml:space="preserve">mohol </w:t>
      </w:r>
      <w:r w:rsidRPr="00102775">
        <w:t>negatívne ovplyvni</w:t>
      </w:r>
      <w:r>
        <w:t>ť</w:t>
      </w:r>
      <w:r w:rsidRPr="00102775">
        <w:t xml:space="preserve"> slovenský export</w:t>
      </w:r>
      <w:r w:rsidRPr="00956B30">
        <w:rPr>
          <w:szCs w:val="18"/>
        </w:rPr>
        <w:t xml:space="preserve"> </w:t>
      </w:r>
      <w:r>
        <w:rPr>
          <w:szCs w:val="18"/>
        </w:rPr>
        <w:t>a súčasné</w:t>
      </w:r>
      <w:r w:rsidRPr="00EA6848">
        <w:rPr>
          <w:szCs w:val="18"/>
        </w:rPr>
        <w:t xml:space="preserve"> signály z</w:t>
      </w:r>
      <w:r>
        <w:rPr>
          <w:szCs w:val="18"/>
        </w:rPr>
        <w:t> nemeckého trhu práce potvrdzujú riziko, keď</w:t>
      </w:r>
      <w:r w:rsidR="00C22A15">
        <w:rPr>
          <w:szCs w:val="18"/>
        </w:rPr>
        <w:t>že</w:t>
      </w:r>
      <w:r>
        <w:rPr>
          <w:szCs w:val="18"/>
        </w:rPr>
        <w:t xml:space="preserve"> zamestnanosť klesla prvýkrát od roku 2013</w:t>
      </w:r>
      <w:r w:rsidRPr="00AE273A">
        <w:t>.</w:t>
      </w:r>
      <w:r>
        <w:t xml:space="preserve"> </w:t>
      </w:r>
      <w:r>
        <w:rPr>
          <w:szCs w:val="18"/>
        </w:rPr>
        <w:t xml:space="preserve">NKÚ SR upozorňuje, že aj keď </w:t>
      </w:r>
      <w:r w:rsidRPr="00EA6848">
        <w:rPr>
          <w:szCs w:val="18"/>
        </w:rPr>
        <w:t xml:space="preserve">MF SR predpokladá </w:t>
      </w:r>
      <w:r>
        <w:rPr>
          <w:szCs w:val="18"/>
        </w:rPr>
        <w:t xml:space="preserve">vo svojej prognóze </w:t>
      </w:r>
      <w:r w:rsidRPr="00EA6848">
        <w:rPr>
          <w:szCs w:val="18"/>
        </w:rPr>
        <w:t xml:space="preserve">udržanie rastu zamestnanosti, </w:t>
      </w:r>
      <w:r>
        <w:rPr>
          <w:szCs w:val="18"/>
        </w:rPr>
        <w:t>septembrové čísla z úradov práce indikujú rast nezamestnanosti a októbrový indikátor dôvery v</w:t>
      </w:r>
      <w:r w:rsidR="00C22A15">
        <w:rPr>
          <w:szCs w:val="18"/>
        </w:rPr>
        <w:t xml:space="preserve"> slovenskom </w:t>
      </w:r>
      <w:r>
        <w:rPr>
          <w:szCs w:val="18"/>
        </w:rPr>
        <w:t>priemysle výrazne klesol.</w:t>
      </w:r>
    </w:p>
    <w:p w14:paraId="20F65FFD" w14:textId="2C97FCD3" w:rsidR="008A68FA" w:rsidRDefault="008A68FA" w:rsidP="008A68FA">
      <w:pPr>
        <w:autoSpaceDE w:val="0"/>
        <w:autoSpaceDN w:val="0"/>
        <w:adjustRightInd w:val="0"/>
        <w:spacing w:before="100" w:after="100"/>
        <w:ind w:firstLine="708"/>
        <w:jc w:val="both"/>
      </w:pPr>
      <w:r>
        <w:t>Očakávania MF SR ohľadom prognózy priemernej inflácie vo výške 2,5 % v roku 2019 môžu byť mierne podhodnotené, keďže</w:t>
      </w:r>
      <w:r w:rsidRPr="00C65CAA">
        <w:rPr>
          <w:bCs/>
        </w:rPr>
        <w:t xml:space="preserve"> </w:t>
      </w:r>
      <w:r>
        <w:rPr>
          <w:bCs/>
        </w:rPr>
        <w:t>z</w:t>
      </w:r>
      <w:r w:rsidRPr="00C65CAA">
        <w:rPr>
          <w:bCs/>
        </w:rPr>
        <w:t>a</w:t>
      </w:r>
      <w:r>
        <w:rPr>
          <w:bCs/>
        </w:rPr>
        <w:t xml:space="preserve"> prvých deväť mesiacov roka 2019</w:t>
      </w:r>
      <w:r w:rsidRPr="00C65CAA">
        <w:rPr>
          <w:bCs/>
        </w:rPr>
        <w:t xml:space="preserve"> dosiahla medziročná inflácia v priemere už 2,6 %. </w:t>
      </w:r>
      <w:r w:rsidR="0047450E" w:rsidRPr="006E1D6B">
        <w:t>Prognóza inflácie</w:t>
      </w:r>
      <w:r w:rsidR="005264C2">
        <w:t xml:space="preserve"> na rok 2020</w:t>
      </w:r>
      <w:r w:rsidR="0047450E" w:rsidRPr="006E1D6B">
        <w:t xml:space="preserve"> vo výške 2,1 % už počíta s výrazným rastom cien elektr</w:t>
      </w:r>
      <w:r w:rsidR="0047450E">
        <w:t>ickej energie (približne 10%</w:t>
      </w:r>
      <w:r w:rsidR="005264C2">
        <w:t>-</w:t>
      </w:r>
      <w:r w:rsidR="00506603">
        <w:t>percent</w:t>
      </w:r>
      <w:r w:rsidR="005264C2">
        <w:t>ný nárast</w:t>
      </w:r>
      <w:r w:rsidR="0047450E" w:rsidRPr="006E1D6B">
        <w:t>).</w:t>
      </w:r>
    </w:p>
    <w:p w14:paraId="26CD2BC7" w14:textId="77777777" w:rsidR="008A68FA" w:rsidRDefault="008A68FA" w:rsidP="008A68FA">
      <w:pPr>
        <w:pStyle w:val="Bezriadkovania"/>
        <w:rPr>
          <w:sz w:val="18"/>
          <w:szCs w:val="18"/>
        </w:rPr>
      </w:pPr>
    </w:p>
    <w:p w14:paraId="28153F7C" w14:textId="77777777" w:rsidR="00BB0EAF" w:rsidRDefault="0011162C" w:rsidP="000A2429">
      <w:pPr>
        <w:pStyle w:val="Nadpis1"/>
        <w:numPr>
          <w:ilvl w:val="0"/>
          <w:numId w:val="1"/>
        </w:numPr>
        <w:spacing w:before="240" w:after="240"/>
        <w:ind w:left="714" w:hanging="357"/>
      </w:pPr>
      <w:bookmarkStart w:id="13" w:name="_Toc480788314"/>
      <w:bookmarkStart w:id="14" w:name="_Toc24098441"/>
      <w:r>
        <w:lastRenderedPageBreak/>
        <w:t>Východiskový rámec návrhu RVS</w:t>
      </w:r>
      <w:bookmarkEnd w:id="13"/>
      <w:r>
        <w:t xml:space="preserve"> na rok 2020</w:t>
      </w:r>
      <w:bookmarkEnd w:id="14"/>
    </w:p>
    <w:p w14:paraId="52312D22" w14:textId="77777777" w:rsidR="00546CD8" w:rsidRPr="00C50B48" w:rsidRDefault="00546CD8" w:rsidP="003B541D">
      <w:pPr>
        <w:tabs>
          <w:tab w:val="left" w:pos="1560"/>
        </w:tabs>
        <w:spacing w:before="120" w:after="120"/>
        <w:ind w:firstLine="709"/>
        <w:jc w:val="both"/>
        <w:rPr>
          <w:rFonts w:eastAsia="Calibri"/>
          <w:bCs/>
        </w:rPr>
      </w:pPr>
      <w:bookmarkStart w:id="15" w:name="_Toc480788315"/>
      <w:r w:rsidRPr="000462D4">
        <w:rPr>
          <w:rFonts w:eastAsia="Calibri"/>
          <w:bCs/>
        </w:rPr>
        <w:t>Na základe septembrovej makroekonomickej a daňovej prognózy predpokladá návrh RVS na roky 2020 až 2022, vykázaný na základe metodiky ESA 2010, nasledovné výsledky hospodárenia v roku 2020:</w:t>
      </w:r>
    </w:p>
    <w:p w14:paraId="439D5292" w14:textId="77777777" w:rsidR="00546CD8" w:rsidRPr="00C50B48" w:rsidRDefault="00546CD8" w:rsidP="00D37540">
      <w:pPr>
        <w:tabs>
          <w:tab w:val="left" w:pos="1560"/>
        </w:tabs>
        <w:jc w:val="both"/>
        <w:rPr>
          <w:rFonts w:eastAsia="Calibri"/>
          <w:bCs/>
        </w:rPr>
      </w:pPr>
      <w:r w:rsidRPr="00C50B48">
        <w:rPr>
          <w:rFonts w:eastAsia="Calibri"/>
          <w:bCs/>
        </w:rPr>
        <w:t>Príjmy</w:t>
      </w:r>
      <w:r w:rsidRPr="00C50B48">
        <w:rPr>
          <w:rFonts w:eastAsia="Calibri"/>
          <w:bCs/>
        </w:rPr>
        <w:tab/>
      </w:r>
      <w:r w:rsidRPr="00C50B48">
        <w:rPr>
          <w:rFonts w:eastAsia="Calibri"/>
          <w:bCs/>
        </w:rPr>
        <w:tab/>
        <w:t>38 866 mil. eur</w:t>
      </w:r>
    </w:p>
    <w:p w14:paraId="05758BB3" w14:textId="77777777" w:rsidR="00546CD8" w:rsidRPr="00C50B48" w:rsidRDefault="00546CD8" w:rsidP="00D37540">
      <w:pPr>
        <w:tabs>
          <w:tab w:val="left" w:pos="1560"/>
        </w:tabs>
        <w:jc w:val="both"/>
        <w:rPr>
          <w:rFonts w:eastAsia="Calibri"/>
          <w:bCs/>
        </w:rPr>
      </w:pPr>
      <w:r w:rsidRPr="00C50B48">
        <w:rPr>
          <w:rFonts w:eastAsia="Calibri"/>
          <w:bCs/>
        </w:rPr>
        <w:t xml:space="preserve">Výdavky </w:t>
      </w:r>
      <w:r w:rsidRPr="00C50B48">
        <w:rPr>
          <w:rFonts w:eastAsia="Calibri"/>
          <w:bCs/>
        </w:rPr>
        <w:tab/>
      </w:r>
      <w:r w:rsidRPr="00C50B48">
        <w:rPr>
          <w:rFonts w:eastAsia="Calibri"/>
          <w:bCs/>
        </w:rPr>
        <w:tab/>
        <w:t>39 346 mil. eur</w:t>
      </w:r>
    </w:p>
    <w:p w14:paraId="097D11A5" w14:textId="77777777" w:rsidR="00546CD8" w:rsidRPr="00C50B48" w:rsidRDefault="00546CD8" w:rsidP="00D37540">
      <w:pPr>
        <w:tabs>
          <w:tab w:val="left" w:pos="1560"/>
        </w:tabs>
        <w:jc w:val="both"/>
        <w:rPr>
          <w:rFonts w:eastAsia="Calibri"/>
          <w:bCs/>
        </w:rPr>
      </w:pPr>
      <w:r w:rsidRPr="00C50B48">
        <w:rPr>
          <w:rFonts w:eastAsia="Calibri"/>
          <w:bCs/>
        </w:rPr>
        <w:t xml:space="preserve">Schodok </w:t>
      </w:r>
      <w:r w:rsidRPr="00C50B48">
        <w:rPr>
          <w:rFonts w:eastAsia="Calibri"/>
          <w:bCs/>
        </w:rPr>
        <w:tab/>
      </w:r>
      <w:r w:rsidR="00AC387E">
        <w:rPr>
          <w:rFonts w:eastAsia="Calibri"/>
          <w:bCs/>
        </w:rPr>
        <w:tab/>
        <w:t xml:space="preserve">   </w:t>
      </w:r>
      <w:r w:rsidRPr="00C50B48">
        <w:rPr>
          <w:rFonts w:eastAsia="Calibri"/>
          <w:bCs/>
        </w:rPr>
        <w:t>- 480 mil. eur</w:t>
      </w:r>
    </w:p>
    <w:p w14:paraId="1E1AA296" w14:textId="77777777" w:rsidR="00546CD8" w:rsidRPr="00BC63C8" w:rsidRDefault="00546CD8" w:rsidP="003B541D">
      <w:pPr>
        <w:spacing w:before="120" w:after="120"/>
        <w:ind w:firstLine="851"/>
        <w:jc w:val="both"/>
        <w:rPr>
          <w:rFonts w:eastAsia="Calibri"/>
        </w:rPr>
      </w:pPr>
      <w:r w:rsidRPr="00BC63C8">
        <w:rPr>
          <w:rFonts w:eastAsia="Calibri"/>
        </w:rPr>
        <w:t xml:space="preserve">Podľa návrhu </w:t>
      </w:r>
      <w:r>
        <w:rPr>
          <w:rFonts w:eastAsia="Calibri"/>
        </w:rPr>
        <w:t xml:space="preserve">RVS </w:t>
      </w:r>
      <w:r w:rsidRPr="00BC63C8">
        <w:rPr>
          <w:rFonts w:eastAsia="Calibri"/>
        </w:rPr>
        <w:t xml:space="preserve">na rok 2020 sú celkové príjmy VS rozpočtované vo výške 38 866 mil. eur, čo </w:t>
      </w:r>
      <w:r>
        <w:rPr>
          <w:rFonts w:eastAsia="Calibri"/>
        </w:rPr>
        <w:t>je o </w:t>
      </w:r>
      <w:r w:rsidRPr="00BC63C8">
        <w:rPr>
          <w:rFonts w:eastAsia="Calibri"/>
        </w:rPr>
        <w:t>1</w:t>
      </w:r>
      <w:r w:rsidR="00AC387E">
        <w:rPr>
          <w:rFonts w:eastAsia="Calibri"/>
        </w:rPr>
        <w:t> 649 </w:t>
      </w:r>
      <w:r w:rsidRPr="00BC63C8">
        <w:rPr>
          <w:rFonts w:eastAsia="Calibri"/>
        </w:rPr>
        <w:t>mil. eur</w:t>
      </w:r>
      <w:r>
        <w:rPr>
          <w:rFonts w:eastAsia="Calibri"/>
        </w:rPr>
        <w:t xml:space="preserve"> viac</w:t>
      </w:r>
      <w:r w:rsidRPr="00BC63C8">
        <w:rPr>
          <w:rFonts w:eastAsia="Calibri"/>
        </w:rPr>
        <w:t xml:space="preserve"> oproti </w:t>
      </w:r>
      <w:r>
        <w:rPr>
          <w:rFonts w:eastAsia="Calibri"/>
        </w:rPr>
        <w:t>r</w:t>
      </w:r>
      <w:r w:rsidRPr="00BC63C8">
        <w:rPr>
          <w:rFonts w:eastAsia="Calibri"/>
        </w:rPr>
        <w:t>ozpočtu</w:t>
      </w:r>
      <w:r>
        <w:rPr>
          <w:rFonts w:eastAsia="Calibri"/>
        </w:rPr>
        <w:t xml:space="preserve"> na rok 2019</w:t>
      </w:r>
      <w:r w:rsidRPr="00BC63C8">
        <w:rPr>
          <w:rFonts w:eastAsia="Calibri"/>
        </w:rPr>
        <w:t>,</w:t>
      </w:r>
      <w:r>
        <w:rPr>
          <w:rFonts w:eastAsia="Calibri"/>
        </w:rPr>
        <w:t xml:space="preserve"> t. j. </w:t>
      </w:r>
      <w:r w:rsidRPr="00BC63C8">
        <w:rPr>
          <w:rFonts w:eastAsia="Calibri"/>
        </w:rPr>
        <w:t>o 4,43 %.</w:t>
      </w:r>
      <w:r>
        <w:rPr>
          <w:rFonts w:eastAsia="Calibri"/>
        </w:rPr>
        <w:t xml:space="preserve"> </w:t>
      </w:r>
      <w:r w:rsidRPr="00BC63C8">
        <w:rPr>
          <w:rFonts w:eastAsia="Calibri"/>
        </w:rPr>
        <w:t>C</w:t>
      </w:r>
      <w:r>
        <w:rPr>
          <w:rFonts w:eastAsia="Calibri"/>
        </w:rPr>
        <w:t>elkové výdavky VS boli</w:t>
      </w:r>
      <w:r w:rsidRPr="00BC63C8">
        <w:rPr>
          <w:rFonts w:eastAsia="Calibri"/>
        </w:rPr>
        <w:t xml:space="preserve"> určené v objeme 39</w:t>
      </w:r>
      <w:r>
        <w:rPr>
          <w:rFonts w:eastAsia="Calibri"/>
        </w:rPr>
        <w:t> </w:t>
      </w:r>
      <w:r w:rsidRPr="00BC63C8">
        <w:rPr>
          <w:rFonts w:eastAsia="Calibri"/>
        </w:rPr>
        <w:t>346</w:t>
      </w:r>
      <w:r>
        <w:rPr>
          <w:rFonts w:eastAsia="Calibri"/>
        </w:rPr>
        <w:t> mil. </w:t>
      </w:r>
      <w:r w:rsidRPr="00BC63C8">
        <w:rPr>
          <w:rFonts w:eastAsia="Calibri"/>
        </w:rPr>
        <w:t xml:space="preserve">eur, čo predstavuje </w:t>
      </w:r>
      <w:r>
        <w:rPr>
          <w:rFonts w:eastAsia="Calibri"/>
        </w:rPr>
        <w:t>zvýšenie</w:t>
      </w:r>
      <w:r w:rsidRPr="00BC63C8">
        <w:rPr>
          <w:rFonts w:eastAsia="Calibri"/>
        </w:rPr>
        <w:t xml:space="preserve"> o 2 130 mil. eur,</w:t>
      </w:r>
      <w:r>
        <w:rPr>
          <w:rFonts w:eastAsia="Calibri"/>
        </w:rPr>
        <w:t xml:space="preserve"> t. j. o </w:t>
      </w:r>
      <w:r w:rsidRPr="00BC63C8">
        <w:rPr>
          <w:rFonts w:eastAsia="Calibri"/>
        </w:rPr>
        <w:t>5,72 % oproti</w:t>
      </w:r>
      <w:r>
        <w:rPr>
          <w:rFonts w:eastAsia="Calibri"/>
        </w:rPr>
        <w:t xml:space="preserve"> rozpočtu na rok 2019.</w:t>
      </w:r>
    </w:p>
    <w:p w14:paraId="7EDC1E71" w14:textId="08AD81CD" w:rsidR="00546CD8" w:rsidRDefault="00546CD8" w:rsidP="003B541D">
      <w:pPr>
        <w:spacing w:before="120" w:after="120"/>
        <w:ind w:firstLine="851"/>
        <w:jc w:val="both"/>
        <w:rPr>
          <w:rFonts w:eastAsia="Calibri"/>
        </w:rPr>
      </w:pPr>
      <w:r>
        <w:rPr>
          <w:rFonts w:eastAsia="Calibri"/>
        </w:rPr>
        <w:t xml:space="preserve">Príprava návrhu RVS bola poznamenaná metodickým spresnením hospodárskych výsledkov </w:t>
      </w:r>
      <w:r w:rsidRPr="001010B2">
        <w:rPr>
          <w:rFonts w:eastAsia="Calibri"/>
        </w:rPr>
        <w:t>vyplývajúc</w:t>
      </w:r>
      <w:r>
        <w:rPr>
          <w:rFonts w:eastAsia="Calibri"/>
        </w:rPr>
        <w:t xml:space="preserve">ich </w:t>
      </w:r>
      <w:r w:rsidRPr="001010B2">
        <w:rPr>
          <w:rFonts w:eastAsia="Calibri"/>
        </w:rPr>
        <w:t xml:space="preserve">z poslednej </w:t>
      </w:r>
      <w:proofErr w:type="spellStart"/>
      <w:r w:rsidRPr="001010B2">
        <w:rPr>
          <w:rFonts w:eastAsia="Calibri"/>
        </w:rPr>
        <w:t>benchmarkovej</w:t>
      </w:r>
      <w:proofErr w:type="spellEnd"/>
      <w:r w:rsidRPr="001010B2">
        <w:rPr>
          <w:rFonts w:eastAsia="Calibri"/>
        </w:rPr>
        <w:t xml:space="preserve"> revízie v</w:t>
      </w:r>
      <w:r>
        <w:rPr>
          <w:rFonts w:eastAsia="Calibri"/>
        </w:rPr>
        <w:t xml:space="preserve">ýkazníctva zo strany </w:t>
      </w:r>
      <w:proofErr w:type="spellStart"/>
      <w:r>
        <w:rPr>
          <w:rFonts w:eastAsia="Calibri"/>
        </w:rPr>
        <w:t>Eurostatu</w:t>
      </w:r>
      <w:proofErr w:type="spellEnd"/>
      <w:r>
        <w:rPr>
          <w:rFonts w:eastAsia="Calibri"/>
        </w:rPr>
        <w:t>. V</w:t>
      </w:r>
      <w:r w:rsidRPr="001010B2">
        <w:rPr>
          <w:rFonts w:eastAsia="Calibri"/>
        </w:rPr>
        <w:t xml:space="preserve"> zmysle usmernení Š</w:t>
      </w:r>
      <w:r>
        <w:rPr>
          <w:rFonts w:eastAsia="Calibri"/>
        </w:rPr>
        <w:t>Ú SR, ktoré</w:t>
      </w:r>
      <w:r w:rsidRPr="001010B2">
        <w:rPr>
          <w:rFonts w:eastAsia="Calibri"/>
        </w:rPr>
        <w:t xml:space="preserve"> v roku 2019 </w:t>
      </w:r>
      <w:r>
        <w:rPr>
          <w:rFonts w:eastAsia="Calibri"/>
        </w:rPr>
        <w:t xml:space="preserve">predstavovali </w:t>
      </w:r>
      <w:r w:rsidRPr="001010B2">
        <w:rPr>
          <w:rFonts w:eastAsia="Calibri"/>
        </w:rPr>
        <w:t>celkový negatívny vplyv vo výške 0</w:t>
      </w:r>
      <w:r w:rsidR="00211927">
        <w:rPr>
          <w:rFonts w:eastAsia="Calibri"/>
        </w:rPr>
        <w:t>,1 % HDP – n</w:t>
      </w:r>
      <w:r>
        <w:rPr>
          <w:rFonts w:eastAsia="Calibri"/>
        </w:rPr>
        <w:t>ajvýraznejšie sa výsledky upravovali za rok 2018, kde sa deficit v porovnaní s</w:t>
      </w:r>
      <w:r w:rsidR="0072313D">
        <w:rPr>
          <w:rFonts w:eastAsia="Calibri"/>
        </w:rPr>
        <w:t>o skutočnosťou za rok 2018</w:t>
      </w:r>
      <w:r>
        <w:rPr>
          <w:rFonts w:eastAsia="Calibri"/>
        </w:rPr>
        <w:t xml:space="preserve"> zv</w:t>
      </w:r>
      <w:r w:rsidR="0072313D">
        <w:rPr>
          <w:rFonts w:eastAsia="Calibri"/>
        </w:rPr>
        <w:t>ýšil o 0,36 % HDP, t. j. o 321,7</w:t>
      </w:r>
      <w:r>
        <w:rPr>
          <w:rFonts w:eastAsia="Calibri"/>
        </w:rPr>
        <w:t> </w:t>
      </w:r>
      <w:r w:rsidR="00AC387E">
        <w:rPr>
          <w:rFonts w:eastAsia="Calibri"/>
        </w:rPr>
        <w:t>mil. eur a dosiahol výšku 951,2 </w:t>
      </w:r>
      <w:r>
        <w:rPr>
          <w:rFonts w:eastAsia="Calibri"/>
        </w:rPr>
        <w:t xml:space="preserve">mil. eur. </w:t>
      </w:r>
    </w:p>
    <w:p w14:paraId="5D88DFF7" w14:textId="4BD70101" w:rsidR="00130DC8" w:rsidRDefault="00B65248" w:rsidP="00496553">
      <w:pPr>
        <w:pStyle w:val="Nadpis2"/>
        <w:spacing w:before="0"/>
      </w:pPr>
      <w:bookmarkStart w:id="16" w:name="_Toc24098442"/>
      <w:r w:rsidRPr="00B65248">
        <w:t>2</w:t>
      </w:r>
      <w:r w:rsidR="008B401F" w:rsidRPr="00B65248">
        <w:t>.1</w:t>
      </w:r>
      <w:r w:rsidR="008B401F" w:rsidRPr="00B65248">
        <w:tab/>
      </w:r>
      <w:bookmarkEnd w:id="15"/>
      <w:r w:rsidR="0011162C">
        <w:t>Rozpočtovanie príjmov v návrhu RVS</w:t>
      </w:r>
      <w:bookmarkEnd w:id="16"/>
    </w:p>
    <w:p w14:paraId="6704FDF0" w14:textId="7053B793" w:rsidR="00546CD8" w:rsidRDefault="00546CD8" w:rsidP="003B541D">
      <w:pPr>
        <w:spacing w:before="120" w:after="120"/>
        <w:ind w:firstLine="851"/>
        <w:jc w:val="both"/>
        <w:rPr>
          <w:rFonts w:eastAsia="Calibri"/>
        </w:rPr>
      </w:pPr>
      <w:r w:rsidRPr="00BC63C8">
        <w:rPr>
          <w:rFonts w:eastAsia="Calibri"/>
        </w:rPr>
        <w:t xml:space="preserve">Návrh RVS na rok 2020 vychádza z aktualizovaných predpokladov o spomalení rastu </w:t>
      </w:r>
      <w:r w:rsidR="004A4F13">
        <w:rPr>
          <w:rFonts w:eastAsia="Calibri"/>
        </w:rPr>
        <w:t>s</w:t>
      </w:r>
      <w:r w:rsidRPr="00BC63C8">
        <w:rPr>
          <w:rFonts w:eastAsia="Calibri"/>
        </w:rPr>
        <w:t>lovenskej ekonomiky. Reaguje na nižší</w:t>
      </w:r>
      <w:r w:rsidR="00211927">
        <w:rPr>
          <w:rFonts w:eastAsia="Calibri"/>
        </w:rPr>
        <w:t>,</w:t>
      </w:r>
      <w:r w:rsidRPr="00BC63C8">
        <w:rPr>
          <w:rFonts w:eastAsia="Calibri"/>
        </w:rPr>
        <w:t xml:space="preserve"> </w:t>
      </w:r>
      <w:r>
        <w:rPr>
          <w:rFonts w:eastAsia="Calibri"/>
        </w:rPr>
        <w:t xml:space="preserve">ako očakávaný </w:t>
      </w:r>
      <w:r w:rsidRPr="00BC63C8">
        <w:rPr>
          <w:rFonts w:eastAsia="Calibri"/>
        </w:rPr>
        <w:t xml:space="preserve">výber daní v priebehu roka 2019. Oproti </w:t>
      </w:r>
      <w:r>
        <w:rPr>
          <w:rFonts w:eastAsia="Calibri"/>
        </w:rPr>
        <w:t>návrh</w:t>
      </w:r>
      <w:r w:rsidR="00D8590D">
        <w:rPr>
          <w:rFonts w:eastAsia="Calibri"/>
        </w:rPr>
        <w:t>u</w:t>
      </w:r>
      <w:r>
        <w:rPr>
          <w:rFonts w:eastAsia="Calibri"/>
        </w:rPr>
        <w:t xml:space="preserve"> RVS na roky 2019 až </w:t>
      </w:r>
      <w:r w:rsidRPr="00BC63C8">
        <w:rPr>
          <w:rFonts w:eastAsia="Calibri"/>
        </w:rPr>
        <w:t>2021,</w:t>
      </w:r>
      <w:r>
        <w:rPr>
          <w:rFonts w:eastAsia="Calibri"/>
        </w:rPr>
        <w:t xml:space="preserve"> by mali </w:t>
      </w:r>
      <w:r w:rsidRPr="00BC63C8">
        <w:rPr>
          <w:rFonts w:eastAsia="Calibri"/>
        </w:rPr>
        <w:t>klesnú</w:t>
      </w:r>
      <w:r>
        <w:rPr>
          <w:rFonts w:eastAsia="Calibri"/>
        </w:rPr>
        <w:t>ť</w:t>
      </w:r>
      <w:r w:rsidRPr="00BC63C8">
        <w:rPr>
          <w:rFonts w:eastAsia="Calibri"/>
        </w:rPr>
        <w:t xml:space="preserve"> daňové a odvodové príjmy v roku 2020 o 700 mil. eur. </w:t>
      </w:r>
      <w:r w:rsidRPr="001C228A">
        <w:rPr>
          <w:rFonts w:eastAsia="Calibri"/>
        </w:rPr>
        <w:t xml:space="preserve">Odhadované daňové príjmy VS </w:t>
      </w:r>
      <w:r>
        <w:rPr>
          <w:rFonts w:eastAsia="Calibri"/>
        </w:rPr>
        <w:t xml:space="preserve">medziročne </w:t>
      </w:r>
      <w:r w:rsidRPr="001C228A">
        <w:rPr>
          <w:rFonts w:eastAsia="Calibri"/>
        </w:rPr>
        <w:t>vzrastú o 2,6 % (435 612 tis. eur)</w:t>
      </w:r>
      <w:r>
        <w:rPr>
          <w:rFonts w:eastAsia="Calibri"/>
        </w:rPr>
        <w:t xml:space="preserve">. </w:t>
      </w:r>
      <w:r w:rsidRPr="001C228A">
        <w:rPr>
          <w:rFonts w:eastAsia="Calibri"/>
        </w:rPr>
        <w:t xml:space="preserve">Najrýchlejšie </w:t>
      </w:r>
      <w:r>
        <w:rPr>
          <w:rFonts w:eastAsia="Calibri"/>
        </w:rPr>
        <w:t xml:space="preserve">by mali rásť </w:t>
      </w:r>
      <w:r w:rsidRPr="001C228A">
        <w:rPr>
          <w:rFonts w:eastAsia="Calibri"/>
        </w:rPr>
        <w:t xml:space="preserve">dane za tovary a služby, </w:t>
      </w:r>
      <w:r>
        <w:rPr>
          <w:rFonts w:eastAsia="Calibri"/>
        </w:rPr>
        <w:t xml:space="preserve">ktoré si oproti rozpočtu na rok 2019 </w:t>
      </w:r>
      <w:r w:rsidRPr="001C228A">
        <w:rPr>
          <w:rFonts w:eastAsia="Calibri"/>
        </w:rPr>
        <w:t xml:space="preserve">polepšia o 3,5 %, </w:t>
      </w:r>
      <w:r>
        <w:rPr>
          <w:rFonts w:eastAsia="Calibri"/>
        </w:rPr>
        <w:t>(316 467 </w:t>
      </w:r>
      <w:r w:rsidRPr="001C228A">
        <w:rPr>
          <w:rFonts w:eastAsia="Calibri"/>
        </w:rPr>
        <w:t>tis. eur)</w:t>
      </w:r>
      <w:r>
        <w:rPr>
          <w:rFonts w:eastAsia="Calibri"/>
        </w:rPr>
        <w:t xml:space="preserve">. </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46CD8" w:rsidRPr="004E7C40" w14:paraId="1534CEA6" w14:textId="77777777" w:rsidTr="001216B7">
        <w:trPr>
          <w:trHeight w:val="145"/>
        </w:trPr>
        <w:tc>
          <w:tcPr>
            <w:tcW w:w="5000" w:type="pct"/>
            <w:tcBorders>
              <w:top w:val="single" w:sz="4" w:space="0" w:color="auto"/>
              <w:bottom w:val="single" w:sz="4" w:space="0" w:color="auto"/>
            </w:tcBorders>
            <w:shd w:val="clear" w:color="auto" w:fill="0070C0"/>
          </w:tcPr>
          <w:p w14:paraId="458EE004" w14:textId="749907A5" w:rsidR="00546CD8" w:rsidRPr="001C228A" w:rsidRDefault="00546CD8" w:rsidP="00511FAF">
            <w:pPr>
              <w:contextualSpacing/>
              <w:jc w:val="both"/>
              <w:rPr>
                <w:b/>
                <w:sz w:val="20"/>
                <w:szCs w:val="20"/>
              </w:rPr>
            </w:pPr>
            <w:r w:rsidRPr="001C228A">
              <w:rPr>
                <w:b/>
                <w:color w:val="FFFFFF"/>
                <w:sz w:val="20"/>
                <w:szCs w:val="20"/>
              </w:rPr>
              <w:t>Vývoj podielu jednotlivých dr</w:t>
            </w:r>
            <w:r w:rsidR="00D8590D">
              <w:rPr>
                <w:b/>
                <w:color w:val="FFFFFF"/>
                <w:sz w:val="20"/>
                <w:szCs w:val="20"/>
              </w:rPr>
              <w:t>uhov daní  na celkových daňových a odvodových príjmoch</w:t>
            </w:r>
            <w:r w:rsidRPr="001C228A">
              <w:rPr>
                <w:b/>
                <w:color w:val="FFFFFF"/>
                <w:sz w:val="20"/>
                <w:szCs w:val="20"/>
              </w:rPr>
              <w:t xml:space="preserve"> VS v rokoch 2011</w:t>
            </w:r>
            <w:r w:rsidR="004A4F13">
              <w:rPr>
                <w:b/>
                <w:color w:val="FFFFFF"/>
                <w:sz w:val="20"/>
                <w:szCs w:val="20"/>
              </w:rPr>
              <w:t xml:space="preserve"> </w:t>
            </w:r>
            <w:r w:rsidRPr="001C228A">
              <w:rPr>
                <w:b/>
                <w:color w:val="FFFFFF"/>
                <w:sz w:val="20"/>
                <w:szCs w:val="20"/>
              </w:rPr>
              <w:t>- 2022 (v %)</w:t>
            </w:r>
          </w:p>
        </w:tc>
      </w:tr>
      <w:tr w:rsidR="00546CD8" w:rsidRPr="004E7C40" w14:paraId="63342C8A" w14:textId="77777777" w:rsidTr="001216B7">
        <w:tblPrEx>
          <w:tblCellMar>
            <w:left w:w="70" w:type="dxa"/>
            <w:right w:w="70" w:type="dxa"/>
          </w:tblCellMar>
        </w:tblPrEx>
        <w:trPr>
          <w:trHeight w:val="1077"/>
        </w:trPr>
        <w:tc>
          <w:tcPr>
            <w:tcW w:w="5000" w:type="pct"/>
            <w:tcBorders>
              <w:top w:val="single" w:sz="4" w:space="0" w:color="auto"/>
              <w:bottom w:val="single" w:sz="4" w:space="0" w:color="auto"/>
            </w:tcBorders>
          </w:tcPr>
          <w:p w14:paraId="25E87DF0" w14:textId="77777777" w:rsidR="00546CD8" w:rsidRPr="004E7C40" w:rsidRDefault="00546CD8" w:rsidP="00511FAF">
            <w:pPr>
              <w:contextualSpacing/>
              <w:jc w:val="both"/>
            </w:pPr>
            <w:r>
              <w:rPr>
                <w:noProof/>
                <w:lang w:eastAsia="sk-SK"/>
              </w:rPr>
              <w:drawing>
                <wp:inline distT="0" distB="0" distL="0" distR="0" wp14:anchorId="53F6FEF2" wp14:editId="459F72F7">
                  <wp:extent cx="5789295" cy="1852551"/>
                  <wp:effectExtent l="0" t="0" r="1905"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639D877E" w14:textId="77777777" w:rsidR="00546CD8" w:rsidRPr="00236949" w:rsidRDefault="00546CD8" w:rsidP="00546CD8">
      <w:pPr>
        <w:jc w:val="both"/>
        <w:rPr>
          <w:i/>
          <w:sz w:val="18"/>
          <w:szCs w:val="18"/>
        </w:rPr>
      </w:pPr>
      <w:r w:rsidRPr="00236949">
        <w:rPr>
          <w:i/>
          <w:sz w:val="18"/>
          <w:szCs w:val="18"/>
        </w:rPr>
        <w:t xml:space="preserve">Zdroj: MF SR, </w:t>
      </w:r>
      <w:r w:rsidR="00F418ED">
        <w:rPr>
          <w:i/>
          <w:sz w:val="18"/>
          <w:szCs w:val="18"/>
        </w:rPr>
        <w:t xml:space="preserve">Návrh </w:t>
      </w:r>
      <w:r w:rsidRPr="00236949">
        <w:rPr>
          <w:i/>
          <w:sz w:val="18"/>
          <w:szCs w:val="18"/>
        </w:rPr>
        <w:t xml:space="preserve">RVS </w:t>
      </w:r>
      <w:r w:rsidR="00F418ED">
        <w:rPr>
          <w:i/>
          <w:sz w:val="18"/>
          <w:szCs w:val="18"/>
        </w:rPr>
        <w:t xml:space="preserve">na roky </w:t>
      </w:r>
      <w:r w:rsidRPr="00236949">
        <w:rPr>
          <w:i/>
          <w:sz w:val="18"/>
          <w:szCs w:val="18"/>
        </w:rPr>
        <w:t>2020</w:t>
      </w:r>
      <w:r w:rsidR="004A4F13">
        <w:rPr>
          <w:i/>
          <w:sz w:val="18"/>
          <w:szCs w:val="18"/>
        </w:rPr>
        <w:t xml:space="preserve"> </w:t>
      </w:r>
      <w:r w:rsidRPr="00236949">
        <w:rPr>
          <w:i/>
          <w:sz w:val="18"/>
          <w:szCs w:val="18"/>
        </w:rPr>
        <w:t>-</w:t>
      </w:r>
      <w:r w:rsidR="004A4F13">
        <w:rPr>
          <w:i/>
          <w:sz w:val="18"/>
          <w:szCs w:val="18"/>
        </w:rPr>
        <w:t xml:space="preserve"> </w:t>
      </w:r>
      <w:r w:rsidRPr="00236949">
        <w:rPr>
          <w:i/>
          <w:sz w:val="18"/>
          <w:szCs w:val="18"/>
        </w:rPr>
        <w:t xml:space="preserve">2022, </w:t>
      </w:r>
      <w:r w:rsidR="004A4F13">
        <w:rPr>
          <w:i/>
          <w:sz w:val="18"/>
          <w:szCs w:val="18"/>
        </w:rPr>
        <w:t>p</w:t>
      </w:r>
      <w:r w:rsidR="004A4F13" w:rsidRPr="004A4F13">
        <w:rPr>
          <w:i/>
          <w:sz w:val="18"/>
          <w:szCs w:val="18"/>
        </w:rPr>
        <w:t>rognóza MF SR zo septembra 2019</w:t>
      </w:r>
    </w:p>
    <w:p w14:paraId="2D63D30D" w14:textId="5A82AD76" w:rsidR="00546CD8" w:rsidRDefault="00546CD8" w:rsidP="003B541D">
      <w:pPr>
        <w:spacing w:before="120" w:after="120"/>
        <w:ind w:firstLine="851"/>
        <w:jc w:val="both"/>
        <w:rPr>
          <w:rFonts w:eastAsia="Calibri"/>
        </w:rPr>
      </w:pPr>
      <w:r w:rsidRPr="001C228A">
        <w:rPr>
          <w:rFonts w:eastAsia="Calibri"/>
        </w:rPr>
        <w:t>Pri tvorbe rozpočtu sa potvrdil dlhodobý a pokračujúci trend zvýšenia podielu odvodových príjmov na celkovom výbere daní a odvodov. V kontexte prijatých</w:t>
      </w:r>
      <w:r>
        <w:rPr>
          <w:rFonts w:eastAsia="Calibri"/>
        </w:rPr>
        <w:t xml:space="preserve"> a plánovaných</w:t>
      </w:r>
      <w:r w:rsidRPr="001C228A">
        <w:rPr>
          <w:rFonts w:eastAsia="Calibri"/>
        </w:rPr>
        <w:t xml:space="preserve"> legislatívnych opatrení </w:t>
      </w:r>
      <w:r>
        <w:rPr>
          <w:rFonts w:eastAsia="Calibri"/>
        </w:rPr>
        <w:t>sa predpokladá rast odvodových príjmov</w:t>
      </w:r>
      <w:r w:rsidRPr="001C228A">
        <w:rPr>
          <w:rFonts w:eastAsia="Calibri"/>
        </w:rPr>
        <w:t xml:space="preserve"> o 4,6 % (558 992 tis. eur) oproti rozpočtu </w:t>
      </w:r>
      <w:r>
        <w:rPr>
          <w:rFonts w:eastAsia="Calibri"/>
        </w:rPr>
        <w:t>na rok 2019</w:t>
      </w:r>
      <w:r w:rsidR="00F418ED">
        <w:rPr>
          <w:rFonts w:eastAsia="Calibri"/>
        </w:rPr>
        <w:t>,</w:t>
      </w:r>
      <w:r w:rsidRPr="001C228A">
        <w:rPr>
          <w:rFonts w:eastAsia="Calibri"/>
        </w:rPr>
        <w:t xml:space="preserve"> </w:t>
      </w:r>
      <w:r w:rsidR="00F418ED">
        <w:rPr>
          <w:rFonts w:eastAsia="Calibri"/>
        </w:rPr>
        <w:t>r</w:t>
      </w:r>
      <w:r>
        <w:rPr>
          <w:rFonts w:eastAsia="Calibri"/>
        </w:rPr>
        <w:t>ast príjmov Sociálnej poisťovne o 4,2 % (</w:t>
      </w:r>
      <w:r w:rsidRPr="001C228A">
        <w:rPr>
          <w:rFonts w:eastAsia="Calibri"/>
        </w:rPr>
        <w:t>369 071 tis. eur)</w:t>
      </w:r>
      <w:r>
        <w:rPr>
          <w:rFonts w:eastAsia="Calibri"/>
        </w:rPr>
        <w:t xml:space="preserve"> a p</w:t>
      </w:r>
      <w:r w:rsidRPr="001C228A">
        <w:rPr>
          <w:rFonts w:eastAsia="Calibri"/>
        </w:rPr>
        <w:t>ríjm</w:t>
      </w:r>
      <w:r w:rsidR="00F418ED">
        <w:rPr>
          <w:rFonts w:eastAsia="Calibri"/>
        </w:rPr>
        <w:t>ov</w:t>
      </w:r>
      <w:r w:rsidRPr="001C228A">
        <w:rPr>
          <w:rFonts w:eastAsia="Calibri"/>
        </w:rPr>
        <w:t xml:space="preserve"> zdravotných  poisťovní</w:t>
      </w:r>
      <w:r w:rsidR="00211927" w:rsidRPr="00211927">
        <w:rPr>
          <w:rFonts w:eastAsia="Calibri"/>
        </w:rPr>
        <w:t xml:space="preserve"> </w:t>
      </w:r>
      <w:r w:rsidR="00211927" w:rsidRPr="001C228A">
        <w:rPr>
          <w:rFonts w:eastAsia="Calibri"/>
        </w:rPr>
        <w:t>o</w:t>
      </w:r>
      <w:r w:rsidRPr="001C228A">
        <w:rPr>
          <w:rFonts w:eastAsia="Calibri"/>
        </w:rPr>
        <w:t xml:space="preserve"> takmer 4,7 %, </w:t>
      </w:r>
      <w:r>
        <w:rPr>
          <w:rFonts w:eastAsia="Calibri"/>
        </w:rPr>
        <w:t>t. j.</w:t>
      </w:r>
      <w:r w:rsidRPr="001C228A">
        <w:rPr>
          <w:rFonts w:eastAsia="Calibri"/>
        </w:rPr>
        <w:t xml:space="preserve"> o 189 921 tis. eur</w:t>
      </w:r>
      <w:r>
        <w:rPr>
          <w:rFonts w:eastAsia="Calibri"/>
        </w:rPr>
        <w:t xml:space="preserve">. </w:t>
      </w:r>
      <w:r w:rsidRPr="00856528">
        <w:rPr>
          <w:rFonts w:eastAsia="Calibri"/>
        </w:rPr>
        <w:t xml:space="preserve">Kumulatívne legislatívne rozhodnutia, v priebehu deviatich predchádzajúcich rokov, sa prejavili na </w:t>
      </w:r>
      <w:r>
        <w:rPr>
          <w:rFonts w:eastAsia="Calibri"/>
        </w:rPr>
        <w:t>náraste</w:t>
      </w:r>
      <w:r w:rsidR="000C470D">
        <w:rPr>
          <w:rFonts w:eastAsia="Calibri"/>
        </w:rPr>
        <w:t xml:space="preserve"> podielu odvodového zaťaženia z 38,9 </w:t>
      </w:r>
      <w:r w:rsidRPr="00856528">
        <w:rPr>
          <w:rFonts w:eastAsia="Calibri"/>
        </w:rPr>
        <w:t xml:space="preserve">% v roku 2011 na 42,2 % v návrhu RVS na rok 2020. Naopak, </w:t>
      </w:r>
      <w:r w:rsidR="00F418ED">
        <w:rPr>
          <w:rFonts w:eastAsia="Calibri"/>
        </w:rPr>
        <w:t xml:space="preserve">podiel </w:t>
      </w:r>
      <w:r w:rsidRPr="00856528">
        <w:rPr>
          <w:rFonts w:eastAsia="Calibri"/>
        </w:rPr>
        <w:t>dan</w:t>
      </w:r>
      <w:r w:rsidR="00F418ED">
        <w:rPr>
          <w:rFonts w:eastAsia="Calibri"/>
        </w:rPr>
        <w:t>í</w:t>
      </w:r>
      <w:r w:rsidRPr="00856528">
        <w:rPr>
          <w:rFonts w:eastAsia="Calibri"/>
        </w:rPr>
        <w:t xml:space="preserve"> za tovary a služby kles</w:t>
      </w:r>
      <w:r w:rsidR="00F418ED">
        <w:rPr>
          <w:rFonts w:eastAsia="Calibri"/>
        </w:rPr>
        <w:t>o</w:t>
      </w:r>
      <w:r w:rsidRPr="00856528">
        <w:rPr>
          <w:rFonts w:eastAsia="Calibri"/>
        </w:rPr>
        <w:t>l z 37,4 % na 30,9 %. Nič na tom nezmenil fakt, že v roku 2020 dôjde k úprave základu dan</w:t>
      </w:r>
      <w:r w:rsidR="004A4F13">
        <w:rPr>
          <w:rFonts w:eastAsia="Calibri"/>
        </w:rPr>
        <w:t>e</w:t>
      </w:r>
      <w:r w:rsidRPr="00856528">
        <w:rPr>
          <w:rFonts w:eastAsia="Calibri"/>
        </w:rPr>
        <w:t xml:space="preserve"> pr</w:t>
      </w:r>
      <w:r>
        <w:rPr>
          <w:rFonts w:eastAsia="Calibri"/>
        </w:rPr>
        <w:t>i dani z príjmov fyzických osôb. Štátu sa darí napĺňať príjem rozpočtu cez navýšenie odvodového zaťaženia a</w:t>
      </w:r>
      <w:r w:rsidR="004A4F13">
        <w:rPr>
          <w:rFonts w:eastAsia="Calibri"/>
        </w:rPr>
        <w:t>j</w:t>
      </w:r>
      <w:r>
        <w:rPr>
          <w:rFonts w:eastAsia="Calibri"/>
        </w:rPr>
        <w:t> vďaka pokračujúcemu rastu zamestnanosti.</w:t>
      </w:r>
    </w:p>
    <w:p w14:paraId="69A4713D" w14:textId="1F2177C6" w:rsidR="00546CD8" w:rsidRDefault="00546CD8" w:rsidP="003B541D">
      <w:pPr>
        <w:spacing w:before="120" w:after="120"/>
        <w:ind w:firstLine="851"/>
        <w:jc w:val="both"/>
      </w:pPr>
      <w:r w:rsidRPr="00BE0150">
        <w:t xml:space="preserve">Od roku 2014 každý nový návrh rozpočtu priniesol </w:t>
      </w:r>
      <w:r w:rsidR="00F418ED">
        <w:t>s</w:t>
      </w:r>
      <w:r w:rsidRPr="00BE0150">
        <w:t xml:space="preserve">o sebou </w:t>
      </w:r>
      <w:r w:rsidR="00F418ED">
        <w:t xml:space="preserve">ročne </w:t>
      </w:r>
      <w:r w:rsidRPr="00BE0150">
        <w:t xml:space="preserve">v priemere 13 legislatívnych zmien v oblasti daní a odvodov. </w:t>
      </w:r>
      <w:r>
        <w:t xml:space="preserve">Návrh RVS na rok 2019 a 2020 zašiel v tomto ohľade ešte ďalej a priniesol legislatívne zmeny, ktoré neboli zapracované </w:t>
      </w:r>
      <w:r w:rsidR="00F418ED">
        <w:t xml:space="preserve">ani </w:t>
      </w:r>
      <w:r>
        <w:t>v p</w:t>
      </w:r>
      <w:r w:rsidRPr="00C5168D">
        <w:t>rognóze daňových príjmov</w:t>
      </w:r>
      <w:r>
        <w:t xml:space="preserve"> zo septembra 2018 a neboli zahrnuté do príjmov v RVS </w:t>
      </w:r>
      <w:r w:rsidRPr="00C5168D">
        <w:t>na roky 2019 až 2021</w:t>
      </w:r>
      <w:r>
        <w:t>. Podobne aj v návrhu RVS na rok 2020 sa počíta s legislatívnymi úpravami, pri ktorých nie je jasné</w:t>
      </w:r>
      <w:r w:rsidR="00F418ED">
        <w:t>,</w:t>
      </w:r>
      <w:r>
        <w:t xml:space="preserve"> či budú schválené po prijatí </w:t>
      </w:r>
      <w:r w:rsidR="000C470D">
        <w:t>zákona o ŠR</w:t>
      </w:r>
      <w:r w:rsidR="00AC4C7F">
        <w:t>.</w:t>
      </w:r>
    </w:p>
    <w:p w14:paraId="649910FE" w14:textId="6210BCEF" w:rsidR="00546CD8" w:rsidRDefault="00AC4C7F" w:rsidP="00AC4C7F">
      <w:pPr>
        <w:spacing w:before="120" w:after="120"/>
        <w:ind w:firstLine="709"/>
        <w:jc w:val="both"/>
      </w:pPr>
      <w:r>
        <w:t>V nasledujúcej tabuľke je uvedený p</w:t>
      </w:r>
      <w:r w:rsidR="00546CD8">
        <w:t>rehľad najvýznamnejších legislatívnych zmien</w:t>
      </w:r>
      <w:r w:rsidR="00546CD8" w:rsidRPr="001E238B">
        <w:t xml:space="preserve"> </w:t>
      </w:r>
      <w:r w:rsidR="00546CD8">
        <w:t xml:space="preserve">schválených nad rámec rozpočtu VS </w:t>
      </w:r>
      <w:r w:rsidR="00546CD8" w:rsidRPr="001E238B">
        <w:t>na roky 2019 až 202</w:t>
      </w:r>
      <w:r w:rsidR="00546CD8">
        <w:t>1</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4"/>
        <w:gridCol w:w="966"/>
        <w:gridCol w:w="968"/>
        <w:gridCol w:w="968"/>
      </w:tblGrid>
      <w:tr w:rsidR="00D8590D" w:rsidRPr="00E06664" w14:paraId="0534077A" w14:textId="77777777" w:rsidTr="00D8590D">
        <w:trPr>
          <w:trHeight w:val="170"/>
          <w:tblHeader/>
        </w:trPr>
        <w:tc>
          <w:tcPr>
            <w:tcW w:w="3447" w:type="pct"/>
            <w:tcBorders>
              <w:right w:val="single" w:sz="4" w:space="0" w:color="FFFFFF" w:themeColor="background1"/>
            </w:tcBorders>
            <w:shd w:val="clear" w:color="auto" w:fill="0070C0"/>
            <w:noWrap/>
            <w:vAlign w:val="center"/>
          </w:tcPr>
          <w:p w14:paraId="5F2DC653" w14:textId="77777777" w:rsidR="00D8590D" w:rsidRPr="00E06664" w:rsidRDefault="00D8590D" w:rsidP="00511FAF">
            <w:pPr>
              <w:rPr>
                <w:b/>
                <w:color w:val="FFFFFF" w:themeColor="background1"/>
                <w:sz w:val="20"/>
                <w:szCs w:val="20"/>
              </w:rPr>
            </w:pPr>
            <w:r w:rsidRPr="00E06664">
              <w:rPr>
                <w:b/>
                <w:color w:val="FFFFFF" w:themeColor="background1"/>
                <w:sz w:val="20"/>
                <w:szCs w:val="20"/>
              </w:rPr>
              <w:lastRenderedPageBreak/>
              <w:t>Opatrenia (v tis. eur, ESA 2010)</w:t>
            </w:r>
          </w:p>
        </w:tc>
        <w:tc>
          <w:tcPr>
            <w:tcW w:w="517" w:type="pct"/>
            <w:tcBorders>
              <w:left w:val="single" w:sz="4" w:space="0" w:color="FFFFFF" w:themeColor="background1"/>
              <w:right w:val="single" w:sz="4" w:space="0" w:color="FFFFFF" w:themeColor="background1"/>
            </w:tcBorders>
            <w:shd w:val="clear" w:color="auto" w:fill="0070C0"/>
            <w:noWrap/>
          </w:tcPr>
          <w:p w14:paraId="7A1E4720" w14:textId="77777777" w:rsidR="00D8590D" w:rsidRPr="00E06664" w:rsidRDefault="00D8590D" w:rsidP="00511FAF">
            <w:pPr>
              <w:jc w:val="center"/>
              <w:rPr>
                <w:b/>
                <w:color w:val="FFFFFF" w:themeColor="background1"/>
                <w:sz w:val="20"/>
                <w:szCs w:val="20"/>
              </w:rPr>
            </w:pPr>
            <w:r w:rsidRPr="00E06664">
              <w:rPr>
                <w:b/>
                <w:color w:val="FFFFFF" w:themeColor="background1"/>
                <w:sz w:val="20"/>
                <w:szCs w:val="20"/>
              </w:rPr>
              <w:t>2019</w:t>
            </w:r>
          </w:p>
        </w:tc>
        <w:tc>
          <w:tcPr>
            <w:tcW w:w="518" w:type="pct"/>
            <w:tcBorders>
              <w:left w:val="single" w:sz="4" w:space="0" w:color="FFFFFF" w:themeColor="background1"/>
              <w:right w:val="single" w:sz="4" w:space="0" w:color="FFFFFF" w:themeColor="background1"/>
            </w:tcBorders>
            <w:shd w:val="clear" w:color="auto" w:fill="0070C0"/>
            <w:noWrap/>
          </w:tcPr>
          <w:p w14:paraId="769B82D2" w14:textId="77777777" w:rsidR="00D8590D" w:rsidRPr="00E06664" w:rsidRDefault="00D8590D" w:rsidP="00511FAF">
            <w:pPr>
              <w:jc w:val="center"/>
              <w:rPr>
                <w:b/>
                <w:color w:val="FFFFFF" w:themeColor="background1"/>
                <w:sz w:val="20"/>
                <w:szCs w:val="20"/>
              </w:rPr>
            </w:pPr>
            <w:r w:rsidRPr="00E06664">
              <w:rPr>
                <w:b/>
                <w:color w:val="FFFFFF" w:themeColor="background1"/>
                <w:sz w:val="20"/>
                <w:szCs w:val="20"/>
              </w:rPr>
              <w:t>2020</w:t>
            </w:r>
          </w:p>
        </w:tc>
        <w:tc>
          <w:tcPr>
            <w:tcW w:w="518" w:type="pct"/>
            <w:tcBorders>
              <w:left w:val="single" w:sz="4" w:space="0" w:color="FFFFFF" w:themeColor="background1"/>
              <w:right w:val="single" w:sz="4" w:space="0" w:color="FFFFFF" w:themeColor="background1"/>
            </w:tcBorders>
            <w:shd w:val="clear" w:color="auto" w:fill="0070C0"/>
            <w:noWrap/>
          </w:tcPr>
          <w:p w14:paraId="46F69738" w14:textId="77777777" w:rsidR="00D8590D" w:rsidRPr="00E06664" w:rsidRDefault="00D8590D" w:rsidP="00511FAF">
            <w:pPr>
              <w:jc w:val="center"/>
              <w:rPr>
                <w:b/>
                <w:color w:val="FFFFFF" w:themeColor="background1"/>
                <w:sz w:val="20"/>
                <w:szCs w:val="20"/>
              </w:rPr>
            </w:pPr>
            <w:r w:rsidRPr="00E06664">
              <w:rPr>
                <w:b/>
                <w:color w:val="FFFFFF" w:themeColor="background1"/>
                <w:sz w:val="20"/>
                <w:szCs w:val="20"/>
              </w:rPr>
              <w:t>2021</w:t>
            </w:r>
          </w:p>
        </w:tc>
      </w:tr>
      <w:tr w:rsidR="00D8590D" w:rsidRPr="00035217" w14:paraId="3D5ECA11" w14:textId="77777777" w:rsidTr="00D8590D">
        <w:trPr>
          <w:trHeight w:val="170"/>
        </w:trPr>
        <w:tc>
          <w:tcPr>
            <w:tcW w:w="3447" w:type="pct"/>
            <w:shd w:val="clear" w:color="auto" w:fill="auto"/>
            <w:noWrap/>
          </w:tcPr>
          <w:p w14:paraId="380F884C" w14:textId="77777777" w:rsidR="00D8590D" w:rsidRPr="00DF276B" w:rsidRDefault="00D8590D" w:rsidP="00511FAF">
            <w:pPr>
              <w:rPr>
                <w:b/>
                <w:sz w:val="20"/>
                <w:szCs w:val="20"/>
              </w:rPr>
            </w:pPr>
            <w:r w:rsidRPr="00DF276B">
              <w:rPr>
                <w:b/>
                <w:sz w:val="20"/>
                <w:szCs w:val="20"/>
              </w:rPr>
              <w:t xml:space="preserve">Legislatívne vplyvy </w:t>
            </w:r>
            <w:r>
              <w:rPr>
                <w:b/>
                <w:sz w:val="20"/>
                <w:szCs w:val="20"/>
              </w:rPr>
              <w:t xml:space="preserve">v príjmovej oblasti </w:t>
            </w:r>
            <w:r w:rsidRPr="00DF276B">
              <w:rPr>
                <w:b/>
                <w:sz w:val="20"/>
                <w:szCs w:val="20"/>
              </w:rPr>
              <w:t xml:space="preserve">celkom </w:t>
            </w:r>
          </w:p>
        </w:tc>
        <w:tc>
          <w:tcPr>
            <w:tcW w:w="517" w:type="pct"/>
            <w:shd w:val="clear" w:color="auto" w:fill="auto"/>
            <w:noWrap/>
          </w:tcPr>
          <w:p w14:paraId="46EC8F32" w14:textId="77777777" w:rsidR="00D8590D" w:rsidRPr="00DF276B" w:rsidRDefault="00D8590D" w:rsidP="00511FAF">
            <w:pPr>
              <w:jc w:val="right"/>
              <w:rPr>
                <w:b/>
                <w:sz w:val="20"/>
                <w:szCs w:val="20"/>
              </w:rPr>
            </w:pPr>
            <w:r>
              <w:rPr>
                <w:b/>
                <w:sz w:val="20"/>
                <w:szCs w:val="20"/>
              </w:rPr>
              <w:t>-133 403</w:t>
            </w:r>
          </w:p>
        </w:tc>
        <w:tc>
          <w:tcPr>
            <w:tcW w:w="518" w:type="pct"/>
            <w:shd w:val="clear" w:color="auto" w:fill="auto"/>
            <w:noWrap/>
          </w:tcPr>
          <w:p w14:paraId="7C3E44DB" w14:textId="77777777" w:rsidR="00D8590D" w:rsidRPr="00DF276B" w:rsidRDefault="00D8590D" w:rsidP="00511FAF">
            <w:pPr>
              <w:jc w:val="right"/>
              <w:rPr>
                <w:b/>
                <w:sz w:val="20"/>
                <w:szCs w:val="20"/>
              </w:rPr>
            </w:pPr>
            <w:r>
              <w:rPr>
                <w:b/>
                <w:sz w:val="20"/>
                <w:szCs w:val="20"/>
              </w:rPr>
              <w:t>-113 445</w:t>
            </w:r>
          </w:p>
        </w:tc>
        <w:tc>
          <w:tcPr>
            <w:tcW w:w="518" w:type="pct"/>
            <w:shd w:val="clear" w:color="auto" w:fill="auto"/>
            <w:noWrap/>
          </w:tcPr>
          <w:p w14:paraId="7BE481A3" w14:textId="77777777" w:rsidR="00D8590D" w:rsidRPr="00DF276B" w:rsidRDefault="00D8590D" w:rsidP="00511FAF">
            <w:pPr>
              <w:jc w:val="right"/>
              <w:rPr>
                <w:b/>
                <w:sz w:val="20"/>
                <w:szCs w:val="20"/>
              </w:rPr>
            </w:pPr>
            <w:r>
              <w:rPr>
                <w:b/>
                <w:sz w:val="20"/>
                <w:szCs w:val="20"/>
              </w:rPr>
              <w:t>-113 445</w:t>
            </w:r>
          </w:p>
        </w:tc>
      </w:tr>
      <w:tr w:rsidR="00D8590D" w:rsidRPr="00035217" w14:paraId="09D61D8B" w14:textId="77777777" w:rsidTr="00D8590D">
        <w:trPr>
          <w:trHeight w:val="170"/>
        </w:trPr>
        <w:tc>
          <w:tcPr>
            <w:tcW w:w="3447" w:type="pct"/>
            <w:shd w:val="clear" w:color="auto" w:fill="auto"/>
            <w:noWrap/>
          </w:tcPr>
          <w:p w14:paraId="787AD520" w14:textId="77777777" w:rsidR="00D8590D" w:rsidRDefault="00D8590D" w:rsidP="00511FAF">
            <w:pPr>
              <w:rPr>
                <w:sz w:val="20"/>
                <w:szCs w:val="20"/>
              </w:rPr>
            </w:pPr>
            <w:r>
              <w:rPr>
                <w:sz w:val="20"/>
                <w:szCs w:val="20"/>
              </w:rPr>
              <w:t>z toho:</w:t>
            </w:r>
          </w:p>
        </w:tc>
        <w:tc>
          <w:tcPr>
            <w:tcW w:w="517" w:type="pct"/>
            <w:shd w:val="clear" w:color="auto" w:fill="auto"/>
            <w:noWrap/>
          </w:tcPr>
          <w:p w14:paraId="1B4F1C7F" w14:textId="77777777" w:rsidR="00D8590D" w:rsidRDefault="00D8590D" w:rsidP="00511FAF">
            <w:pPr>
              <w:jc w:val="right"/>
              <w:rPr>
                <w:sz w:val="20"/>
                <w:szCs w:val="20"/>
              </w:rPr>
            </w:pPr>
          </w:p>
        </w:tc>
        <w:tc>
          <w:tcPr>
            <w:tcW w:w="518" w:type="pct"/>
            <w:shd w:val="clear" w:color="auto" w:fill="auto"/>
            <w:noWrap/>
          </w:tcPr>
          <w:p w14:paraId="4504EEF5" w14:textId="77777777" w:rsidR="00D8590D" w:rsidRPr="00DF276B" w:rsidRDefault="00D8590D" w:rsidP="00511FAF">
            <w:pPr>
              <w:jc w:val="right"/>
              <w:rPr>
                <w:sz w:val="20"/>
                <w:szCs w:val="20"/>
              </w:rPr>
            </w:pPr>
          </w:p>
        </w:tc>
        <w:tc>
          <w:tcPr>
            <w:tcW w:w="518" w:type="pct"/>
            <w:shd w:val="clear" w:color="auto" w:fill="auto"/>
            <w:noWrap/>
          </w:tcPr>
          <w:p w14:paraId="694FF708" w14:textId="77777777" w:rsidR="00D8590D" w:rsidRPr="00DF276B" w:rsidRDefault="00D8590D" w:rsidP="00511FAF">
            <w:pPr>
              <w:jc w:val="right"/>
              <w:rPr>
                <w:sz w:val="20"/>
                <w:szCs w:val="20"/>
              </w:rPr>
            </w:pPr>
          </w:p>
        </w:tc>
      </w:tr>
      <w:tr w:rsidR="00D8590D" w:rsidRPr="00035217" w14:paraId="23B1AAAB" w14:textId="77777777" w:rsidTr="00D8590D">
        <w:trPr>
          <w:trHeight w:val="170"/>
        </w:trPr>
        <w:tc>
          <w:tcPr>
            <w:tcW w:w="3447" w:type="pct"/>
            <w:shd w:val="clear" w:color="auto" w:fill="auto"/>
            <w:noWrap/>
          </w:tcPr>
          <w:p w14:paraId="76380308" w14:textId="77777777" w:rsidR="00D8590D" w:rsidRPr="007E1807" w:rsidRDefault="00D8590D" w:rsidP="000A2429">
            <w:pPr>
              <w:pStyle w:val="Odsekzoznamu"/>
              <w:numPr>
                <w:ilvl w:val="0"/>
                <w:numId w:val="8"/>
              </w:numPr>
              <w:rPr>
                <w:sz w:val="20"/>
                <w:szCs w:val="20"/>
              </w:rPr>
            </w:pPr>
            <w:r w:rsidRPr="007E1807">
              <w:rPr>
                <w:sz w:val="20"/>
                <w:szCs w:val="20"/>
              </w:rPr>
              <w:t>Znížená sadzba DPH na ubytovacie služby</w:t>
            </w:r>
          </w:p>
        </w:tc>
        <w:tc>
          <w:tcPr>
            <w:tcW w:w="517" w:type="pct"/>
            <w:shd w:val="clear" w:color="auto" w:fill="auto"/>
            <w:noWrap/>
          </w:tcPr>
          <w:p w14:paraId="5DD94A2F" w14:textId="77777777" w:rsidR="00D8590D" w:rsidRPr="00DF276B" w:rsidRDefault="00D8590D" w:rsidP="00511FAF">
            <w:pPr>
              <w:jc w:val="right"/>
              <w:rPr>
                <w:sz w:val="20"/>
                <w:szCs w:val="20"/>
              </w:rPr>
            </w:pPr>
            <w:r>
              <w:rPr>
                <w:sz w:val="20"/>
                <w:szCs w:val="20"/>
              </w:rPr>
              <w:t>-24 256</w:t>
            </w:r>
            <w:r w:rsidRPr="00DF276B">
              <w:rPr>
                <w:sz w:val="20"/>
                <w:szCs w:val="20"/>
              </w:rPr>
              <w:t xml:space="preserve"> </w:t>
            </w:r>
          </w:p>
        </w:tc>
        <w:tc>
          <w:tcPr>
            <w:tcW w:w="518" w:type="pct"/>
            <w:shd w:val="clear" w:color="auto" w:fill="auto"/>
            <w:noWrap/>
          </w:tcPr>
          <w:p w14:paraId="73FFC5B6" w14:textId="77777777" w:rsidR="00D8590D" w:rsidRPr="00DF276B" w:rsidRDefault="00D8590D" w:rsidP="00511FAF">
            <w:pPr>
              <w:jc w:val="right"/>
              <w:rPr>
                <w:sz w:val="20"/>
                <w:szCs w:val="20"/>
              </w:rPr>
            </w:pPr>
            <w:r w:rsidRPr="00DF276B">
              <w:rPr>
                <w:sz w:val="20"/>
                <w:szCs w:val="20"/>
              </w:rPr>
              <w:t>-2</w:t>
            </w:r>
            <w:r>
              <w:rPr>
                <w:sz w:val="20"/>
                <w:szCs w:val="20"/>
              </w:rPr>
              <w:t>5</w:t>
            </w:r>
            <w:r w:rsidRPr="00DF276B">
              <w:rPr>
                <w:sz w:val="20"/>
                <w:szCs w:val="20"/>
              </w:rPr>
              <w:t xml:space="preserve"> </w:t>
            </w:r>
            <w:r>
              <w:rPr>
                <w:sz w:val="20"/>
                <w:szCs w:val="20"/>
              </w:rPr>
              <w:t>449</w:t>
            </w:r>
            <w:r w:rsidRPr="00DF276B">
              <w:rPr>
                <w:sz w:val="20"/>
                <w:szCs w:val="20"/>
              </w:rPr>
              <w:t xml:space="preserve"> </w:t>
            </w:r>
          </w:p>
        </w:tc>
        <w:tc>
          <w:tcPr>
            <w:tcW w:w="518" w:type="pct"/>
            <w:shd w:val="clear" w:color="auto" w:fill="auto"/>
            <w:noWrap/>
          </w:tcPr>
          <w:p w14:paraId="3650D2C0" w14:textId="77777777" w:rsidR="00D8590D" w:rsidRPr="00DF276B" w:rsidRDefault="00D8590D" w:rsidP="00511FAF">
            <w:pPr>
              <w:jc w:val="right"/>
              <w:rPr>
                <w:sz w:val="20"/>
                <w:szCs w:val="20"/>
              </w:rPr>
            </w:pPr>
            <w:r w:rsidRPr="00DF276B">
              <w:rPr>
                <w:sz w:val="20"/>
                <w:szCs w:val="20"/>
              </w:rPr>
              <w:t>-</w:t>
            </w:r>
            <w:r>
              <w:rPr>
                <w:sz w:val="20"/>
                <w:szCs w:val="20"/>
              </w:rPr>
              <w:t>26</w:t>
            </w:r>
            <w:r w:rsidRPr="00DF276B">
              <w:rPr>
                <w:sz w:val="20"/>
                <w:szCs w:val="20"/>
              </w:rPr>
              <w:t xml:space="preserve"> </w:t>
            </w:r>
            <w:r>
              <w:rPr>
                <w:sz w:val="20"/>
                <w:szCs w:val="20"/>
              </w:rPr>
              <w:t>641</w:t>
            </w:r>
            <w:r w:rsidRPr="00DF276B">
              <w:rPr>
                <w:sz w:val="20"/>
                <w:szCs w:val="20"/>
              </w:rPr>
              <w:t xml:space="preserve"> </w:t>
            </w:r>
          </w:p>
        </w:tc>
      </w:tr>
      <w:tr w:rsidR="00D8590D" w:rsidRPr="00035217" w14:paraId="5E13B6EA" w14:textId="77777777" w:rsidTr="00D8590D">
        <w:trPr>
          <w:trHeight w:val="170"/>
        </w:trPr>
        <w:tc>
          <w:tcPr>
            <w:tcW w:w="3447" w:type="pct"/>
            <w:shd w:val="clear" w:color="auto" w:fill="auto"/>
            <w:noWrap/>
          </w:tcPr>
          <w:p w14:paraId="71ED379D" w14:textId="77777777" w:rsidR="00D8590D" w:rsidRPr="007E1807" w:rsidRDefault="00D8590D" w:rsidP="000A2429">
            <w:pPr>
              <w:pStyle w:val="Odsekzoznamu"/>
              <w:numPr>
                <w:ilvl w:val="0"/>
                <w:numId w:val="8"/>
              </w:numPr>
              <w:rPr>
                <w:sz w:val="20"/>
                <w:szCs w:val="20"/>
              </w:rPr>
            </w:pPr>
            <w:r w:rsidRPr="007E1807">
              <w:rPr>
                <w:sz w:val="20"/>
                <w:szCs w:val="20"/>
              </w:rPr>
              <w:t>Oslobodenie rekreačných poukazov od daní a odvodov</w:t>
            </w:r>
          </w:p>
        </w:tc>
        <w:tc>
          <w:tcPr>
            <w:tcW w:w="517" w:type="pct"/>
            <w:shd w:val="clear" w:color="auto" w:fill="auto"/>
            <w:noWrap/>
          </w:tcPr>
          <w:p w14:paraId="347B658A" w14:textId="77777777" w:rsidR="00D8590D" w:rsidRPr="00DF276B" w:rsidRDefault="00D8590D" w:rsidP="00511FAF">
            <w:pPr>
              <w:jc w:val="right"/>
              <w:rPr>
                <w:sz w:val="20"/>
                <w:szCs w:val="20"/>
              </w:rPr>
            </w:pPr>
            <w:r>
              <w:rPr>
                <w:sz w:val="20"/>
                <w:szCs w:val="20"/>
              </w:rPr>
              <w:t>-57 666</w:t>
            </w:r>
            <w:r w:rsidRPr="00DF276B">
              <w:rPr>
                <w:sz w:val="20"/>
                <w:szCs w:val="20"/>
              </w:rPr>
              <w:t xml:space="preserve"> </w:t>
            </w:r>
          </w:p>
        </w:tc>
        <w:tc>
          <w:tcPr>
            <w:tcW w:w="518" w:type="pct"/>
            <w:shd w:val="clear" w:color="auto" w:fill="auto"/>
            <w:noWrap/>
          </w:tcPr>
          <w:p w14:paraId="7CF3415C" w14:textId="77777777" w:rsidR="00D8590D" w:rsidRPr="00DF276B" w:rsidRDefault="00D8590D" w:rsidP="00511FAF">
            <w:pPr>
              <w:jc w:val="right"/>
              <w:rPr>
                <w:sz w:val="20"/>
                <w:szCs w:val="20"/>
              </w:rPr>
            </w:pPr>
            <w:r>
              <w:rPr>
                <w:sz w:val="20"/>
                <w:szCs w:val="20"/>
              </w:rPr>
              <w:t>-58 958</w:t>
            </w:r>
          </w:p>
        </w:tc>
        <w:tc>
          <w:tcPr>
            <w:tcW w:w="518" w:type="pct"/>
            <w:shd w:val="clear" w:color="auto" w:fill="auto"/>
            <w:noWrap/>
          </w:tcPr>
          <w:p w14:paraId="1B1F6BA6" w14:textId="77777777" w:rsidR="00D8590D" w:rsidRPr="00DF276B" w:rsidRDefault="00D8590D" w:rsidP="00511FAF">
            <w:pPr>
              <w:jc w:val="right"/>
              <w:rPr>
                <w:sz w:val="20"/>
                <w:szCs w:val="20"/>
              </w:rPr>
            </w:pPr>
            <w:r>
              <w:rPr>
                <w:sz w:val="20"/>
                <w:szCs w:val="20"/>
              </w:rPr>
              <w:t>-60 236</w:t>
            </w:r>
            <w:r w:rsidRPr="00DF276B">
              <w:rPr>
                <w:sz w:val="20"/>
                <w:szCs w:val="20"/>
              </w:rPr>
              <w:t xml:space="preserve"> </w:t>
            </w:r>
          </w:p>
        </w:tc>
      </w:tr>
      <w:tr w:rsidR="00D8590D" w:rsidRPr="00035217" w14:paraId="7F70CD6C" w14:textId="77777777" w:rsidTr="00D8590D">
        <w:trPr>
          <w:trHeight w:val="170"/>
        </w:trPr>
        <w:tc>
          <w:tcPr>
            <w:tcW w:w="3447" w:type="pct"/>
            <w:shd w:val="clear" w:color="auto" w:fill="auto"/>
            <w:noWrap/>
          </w:tcPr>
          <w:p w14:paraId="355D0E18" w14:textId="77777777" w:rsidR="00D8590D" w:rsidRPr="007E1807" w:rsidRDefault="00D8590D" w:rsidP="000A2429">
            <w:pPr>
              <w:pStyle w:val="Odsekzoznamu"/>
              <w:numPr>
                <w:ilvl w:val="0"/>
                <w:numId w:val="8"/>
              </w:numPr>
              <w:rPr>
                <w:sz w:val="20"/>
                <w:szCs w:val="20"/>
              </w:rPr>
            </w:pPr>
            <w:r w:rsidRPr="007E1807">
              <w:rPr>
                <w:sz w:val="20"/>
                <w:szCs w:val="20"/>
              </w:rPr>
              <w:t>Ročné zúčtovanie sociálnych odvodov (posun účinnosti od 2022)</w:t>
            </w:r>
          </w:p>
        </w:tc>
        <w:tc>
          <w:tcPr>
            <w:tcW w:w="517" w:type="pct"/>
            <w:shd w:val="clear" w:color="auto" w:fill="auto"/>
            <w:noWrap/>
          </w:tcPr>
          <w:p w14:paraId="4DF27573" w14:textId="77777777" w:rsidR="00D8590D" w:rsidRPr="00DF276B" w:rsidRDefault="00D8590D" w:rsidP="00511FAF">
            <w:pPr>
              <w:jc w:val="right"/>
              <w:rPr>
                <w:sz w:val="20"/>
                <w:szCs w:val="20"/>
              </w:rPr>
            </w:pPr>
            <w:r w:rsidRPr="00DF276B">
              <w:rPr>
                <w:sz w:val="20"/>
                <w:szCs w:val="20"/>
              </w:rPr>
              <w:t>0</w:t>
            </w:r>
          </w:p>
        </w:tc>
        <w:tc>
          <w:tcPr>
            <w:tcW w:w="518" w:type="pct"/>
            <w:shd w:val="clear" w:color="auto" w:fill="auto"/>
            <w:noWrap/>
          </w:tcPr>
          <w:p w14:paraId="6990A899" w14:textId="77777777" w:rsidR="00D8590D" w:rsidRPr="00DF276B" w:rsidRDefault="00D8590D" w:rsidP="00511FAF">
            <w:pPr>
              <w:jc w:val="right"/>
              <w:rPr>
                <w:sz w:val="20"/>
                <w:szCs w:val="20"/>
              </w:rPr>
            </w:pPr>
            <w:r w:rsidRPr="00DF276B">
              <w:rPr>
                <w:sz w:val="20"/>
                <w:szCs w:val="20"/>
              </w:rPr>
              <w:t>0</w:t>
            </w:r>
          </w:p>
        </w:tc>
        <w:tc>
          <w:tcPr>
            <w:tcW w:w="518" w:type="pct"/>
            <w:shd w:val="clear" w:color="auto" w:fill="auto"/>
            <w:noWrap/>
          </w:tcPr>
          <w:p w14:paraId="6DA0DE08" w14:textId="062846C5" w:rsidR="00D8590D" w:rsidRPr="00DF276B" w:rsidRDefault="00D8590D" w:rsidP="00511FAF">
            <w:pPr>
              <w:jc w:val="right"/>
              <w:rPr>
                <w:sz w:val="20"/>
                <w:szCs w:val="20"/>
              </w:rPr>
            </w:pPr>
            <w:r w:rsidRPr="00DF276B">
              <w:rPr>
                <w:sz w:val="20"/>
                <w:szCs w:val="20"/>
              </w:rPr>
              <w:t>50 034</w:t>
            </w:r>
          </w:p>
        </w:tc>
      </w:tr>
      <w:tr w:rsidR="00D8590D" w:rsidRPr="00035217" w14:paraId="49942214" w14:textId="77777777" w:rsidTr="00D8590D">
        <w:trPr>
          <w:trHeight w:val="170"/>
        </w:trPr>
        <w:tc>
          <w:tcPr>
            <w:tcW w:w="3447" w:type="pct"/>
            <w:shd w:val="clear" w:color="auto" w:fill="auto"/>
            <w:noWrap/>
            <w:vAlign w:val="center"/>
          </w:tcPr>
          <w:p w14:paraId="2585A01F" w14:textId="77777777" w:rsidR="00D8590D" w:rsidRDefault="00D8590D" w:rsidP="00511FAF">
            <w:pPr>
              <w:rPr>
                <w:color w:val="000000"/>
                <w:sz w:val="20"/>
                <w:szCs w:val="20"/>
              </w:rPr>
            </w:pPr>
            <w:r w:rsidRPr="00DF276B">
              <w:rPr>
                <w:b/>
                <w:sz w:val="20"/>
                <w:szCs w:val="20"/>
              </w:rPr>
              <w:t xml:space="preserve">Legislatívne vplyvy </w:t>
            </w:r>
            <w:r>
              <w:rPr>
                <w:b/>
                <w:sz w:val="20"/>
                <w:szCs w:val="20"/>
              </w:rPr>
              <w:t xml:space="preserve">vo výdavkovej oblasti </w:t>
            </w:r>
            <w:r w:rsidRPr="00DF276B">
              <w:rPr>
                <w:b/>
                <w:sz w:val="20"/>
                <w:szCs w:val="20"/>
              </w:rPr>
              <w:t>celkom</w:t>
            </w:r>
          </w:p>
        </w:tc>
        <w:tc>
          <w:tcPr>
            <w:tcW w:w="517" w:type="pct"/>
            <w:shd w:val="clear" w:color="auto" w:fill="auto"/>
            <w:noWrap/>
            <w:vAlign w:val="center"/>
          </w:tcPr>
          <w:p w14:paraId="125C90B8" w14:textId="77777777" w:rsidR="00D8590D" w:rsidRPr="0058333A" w:rsidRDefault="00D8590D" w:rsidP="00511FAF">
            <w:pPr>
              <w:jc w:val="right"/>
              <w:rPr>
                <w:b/>
                <w:color w:val="000000"/>
                <w:sz w:val="20"/>
                <w:szCs w:val="20"/>
              </w:rPr>
            </w:pPr>
            <w:r w:rsidRPr="0058333A">
              <w:rPr>
                <w:b/>
                <w:color w:val="000000"/>
                <w:sz w:val="20"/>
                <w:szCs w:val="20"/>
              </w:rPr>
              <w:t>-58 028</w:t>
            </w:r>
          </w:p>
        </w:tc>
        <w:tc>
          <w:tcPr>
            <w:tcW w:w="518" w:type="pct"/>
            <w:shd w:val="clear" w:color="auto" w:fill="auto"/>
            <w:noWrap/>
            <w:vAlign w:val="center"/>
          </w:tcPr>
          <w:p w14:paraId="042892F4" w14:textId="77777777" w:rsidR="00D8590D" w:rsidRPr="0058333A" w:rsidRDefault="00D8590D" w:rsidP="00511FAF">
            <w:pPr>
              <w:jc w:val="right"/>
              <w:rPr>
                <w:b/>
                <w:color w:val="000000"/>
                <w:sz w:val="20"/>
                <w:szCs w:val="20"/>
              </w:rPr>
            </w:pPr>
            <w:r w:rsidRPr="0058333A">
              <w:rPr>
                <w:b/>
                <w:color w:val="000000"/>
                <w:sz w:val="20"/>
                <w:szCs w:val="20"/>
              </w:rPr>
              <w:t>-78 943</w:t>
            </w:r>
          </w:p>
        </w:tc>
        <w:tc>
          <w:tcPr>
            <w:tcW w:w="518" w:type="pct"/>
            <w:shd w:val="clear" w:color="auto" w:fill="auto"/>
            <w:noWrap/>
            <w:vAlign w:val="bottom"/>
          </w:tcPr>
          <w:p w14:paraId="239A3F48" w14:textId="77777777" w:rsidR="00D8590D" w:rsidRPr="0058333A" w:rsidRDefault="00D8590D" w:rsidP="00511FAF">
            <w:pPr>
              <w:jc w:val="right"/>
              <w:rPr>
                <w:b/>
                <w:color w:val="000000"/>
                <w:sz w:val="20"/>
                <w:szCs w:val="20"/>
              </w:rPr>
            </w:pPr>
            <w:r w:rsidRPr="0058333A">
              <w:rPr>
                <w:b/>
                <w:color w:val="000000"/>
                <w:sz w:val="20"/>
                <w:szCs w:val="20"/>
              </w:rPr>
              <w:t>-80 724</w:t>
            </w:r>
          </w:p>
        </w:tc>
      </w:tr>
      <w:tr w:rsidR="00D8590D" w:rsidRPr="00035217" w14:paraId="3EF9BC3A" w14:textId="77777777" w:rsidTr="00D8590D">
        <w:trPr>
          <w:trHeight w:val="170"/>
        </w:trPr>
        <w:tc>
          <w:tcPr>
            <w:tcW w:w="3447" w:type="pct"/>
            <w:shd w:val="clear" w:color="auto" w:fill="auto"/>
            <w:noWrap/>
            <w:vAlign w:val="center"/>
          </w:tcPr>
          <w:p w14:paraId="52EC2A1D" w14:textId="77777777" w:rsidR="00D8590D" w:rsidRDefault="00D8590D" w:rsidP="00511FAF">
            <w:pPr>
              <w:rPr>
                <w:color w:val="000000"/>
                <w:sz w:val="20"/>
                <w:szCs w:val="20"/>
              </w:rPr>
            </w:pPr>
            <w:r>
              <w:rPr>
                <w:color w:val="000000"/>
                <w:sz w:val="20"/>
                <w:szCs w:val="20"/>
              </w:rPr>
              <w:t>Zdvojnásobenie daňového bonusu na dieťa do 6 rokov od 1.4.2019</w:t>
            </w:r>
          </w:p>
        </w:tc>
        <w:tc>
          <w:tcPr>
            <w:tcW w:w="517" w:type="pct"/>
            <w:shd w:val="clear" w:color="auto" w:fill="auto"/>
            <w:noWrap/>
            <w:vAlign w:val="center"/>
          </w:tcPr>
          <w:p w14:paraId="49187400" w14:textId="77777777" w:rsidR="00D8590D" w:rsidRDefault="00D8590D" w:rsidP="00511FAF">
            <w:pPr>
              <w:jc w:val="right"/>
              <w:rPr>
                <w:color w:val="000000"/>
                <w:sz w:val="20"/>
                <w:szCs w:val="20"/>
              </w:rPr>
            </w:pPr>
            <w:r>
              <w:rPr>
                <w:color w:val="000000"/>
                <w:sz w:val="20"/>
                <w:szCs w:val="20"/>
              </w:rPr>
              <w:t>-58 028</w:t>
            </w:r>
          </w:p>
        </w:tc>
        <w:tc>
          <w:tcPr>
            <w:tcW w:w="518" w:type="pct"/>
            <w:shd w:val="clear" w:color="auto" w:fill="auto"/>
            <w:noWrap/>
            <w:vAlign w:val="center"/>
          </w:tcPr>
          <w:p w14:paraId="4A26F931" w14:textId="77777777" w:rsidR="00D8590D" w:rsidRDefault="00D8590D" w:rsidP="00511FAF">
            <w:pPr>
              <w:jc w:val="right"/>
              <w:rPr>
                <w:color w:val="000000"/>
                <w:sz w:val="20"/>
                <w:szCs w:val="20"/>
              </w:rPr>
            </w:pPr>
            <w:r>
              <w:rPr>
                <w:color w:val="000000"/>
                <w:sz w:val="20"/>
                <w:szCs w:val="20"/>
              </w:rPr>
              <w:t>-78 943</w:t>
            </w:r>
          </w:p>
        </w:tc>
        <w:tc>
          <w:tcPr>
            <w:tcW w:w="518" w:type="pct"/>
            <w:shd w:val="clear" w:color="auto" w:fill="auto"/>
            <w:noWrap/>
            <w:vAlign w:val="bottom"/>
          </w:tcPr>
          <w:p w14:paraId="5432BACB" w14:textId="77777777" w:rsidR="00D8590D" w:rsidRDefault="00D8590D" w:rsidP="00511FAF">
            <w:pPr>
              <w:jc w:val="right"/>
              <w:rPr>
                <w:color w:val="000000"/>
                <w:sz w:val="20"/>
                <w:szCs w:val="20"/>
              </w:rPr>
            </w:pPr>
            <w:r>
              <w:rPr>
                <w:color w:val="000000"/>
                <w:sz w:val="20"/>
                <w:szCs w:val="20"/>
              </w:rPr>
              <w:t>-80 724</w:t>
            </w:r>
          </w:p>
        </w:tc>
      </w:tr>
    </w:tbl>
    <w:p w14:paraId="0DB6E35A" w14:textId="77777777" w:rsidR="00546CD8" w:rsidRPr="00F418ED" w:rsidRDefault="00546CD8" w:rsidP="00546CD8">
      <w:pPr>
        <w:jc w:val="both"/>
        <w:rPr>
          <w:i/>
          <w:sz w:val="18"/>
          <w:szCs w:val="20"/>
        </w:rPr>
      </w:pPr>
      <w:r w:rsidRPr="00F418ED">
        <w:rPr>
          <w:i/>
          <w:sz w:val="18"/>
          <w:szCs w:val="20"/>
        </w:rPr>
        <w:t>Zdroj: Návrh RVS na roky 2020 až 2022</w:t>
      </w:r>
    </w:p>
    <w:p w14:paraId="3C3CA4D9" w14:textId="77777777" w:rsidR="00546CD8" w:rsidRDefault="00546CD8" w:rsidP="003B541D">
      <w:pPr>
        <w:spacing w:before="120" w:after="120"/>
        <w:ind w:firstLine="851"/>
        <w:jc w:val="both"/>
      </w:pPr>
      <w:r>
        <w:t xml:space="preserve">Legislatívne opatrenia v objeme viac ako 190 431 tis. eur </w:t>
      </w:r>
      <w:r w:rsidRPr="0008258C">
        <w:t>boli dodatočne prerokované Výborom pre daňové prognózy v decembri 2018, avšak neboli zahrnuté do príjmov v schválenom rozpočte verejnej správy na roky 2019 až 2021</w:t>
      </w:r>
      <w:r>
        <w:t xml:space="preserve">. </w:t>
      </w:r>
      <w:r w:rsidRPr="00C00105">
        <w:rPr>
          <w:b/>
        </w:rPr>
        <w:t>NKÚ SR konštatuje, že tento postup vytvára riziko, že nebudú naplnené základné parametre rozpočtu</w:t>
      </w:r>
      <w:r>
        <w:t>.</w:t>
      </w:r>
    </w:p>
    <w:p w14:paraId="7D8CF8A9" w14:textId="77777777" w:rsidR="00546CD8" w:rsidRDefault="00F418ED" w:rsidP="00F418ED">
      <w:pPr>
        <w:spacing w:before="120" w:after="120"/>
        <w:ind w:firstLine="709"/>
        <w:jc w:val="both"/>
        <w:rPr>
          <w:bCs/>
        </w:rPr>
      </w:pPr>
      <w:r>
        <w:t>V nasledujúcej tabuľke je sumarizovaný v</w:t>
      </w:r>
      <w:r w:rsidR="00546CD8" w:rsidRPr="007E1807">
        <w:t xml:space="preserve">plyv legislatívnych opatrení zahrnutých v prognóze daňových a odvodových príjmov VS </w:t>
      </w:r>
      <w:r w:rsidR="00546CD8">
        <w:t xml:space="preserve">na roky </w:t>
      </w:r>
      <w:r w:rsidR="00546CD8" w:rsidRPr="007E1807">
        <w:rPr>
          <w:bCs/>
        </w:rPr>
        <w:t>2020 až 2022</w:t>
      </w:r>
      <w:r>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42"/>
        <w:gridCol w:w="877"/>
        <w:gridCol w:w="879"/>
        <w:gridCol w:w="879"/>
        <w:gridCol w:w="869"/>
      </w:tblGrid>
      <w:tr w:rsidR="00546CD8" w:rsidRPr="00E06664" w14:paraId="1ADC4D24" w14:textId="77777777" w:rsidTr="003B541D">
        <w:trPr>
          <w:trHeight w:val="170"/>
          <w:tblHeader/>
        </w:trPr>
        <w:tc>
          <w:tcPr>
            <w:tcW w:w="3125" w:type="pct"/>
            <w:tcBorders>
              <w:right w:val="single" w:sz="4" w:space="0" w:color="FFFFFF"/>
            </w:tcBorders>
            <w:shd w:val="clear" w:color="auto" w:fill="0070C0"/>
            <w:noWrap/>
            <w:vAlign w:val="center"/>
          </w:tcPr>
          <w:p w14:paraId="242C77D0" w14:textId="77777777" w:rsidR="00546CD8" w:rsidRPr="00E06664" w:rsidRDefault="00546CD8" w:rsidP="00511FAF">
            <w:pPr>
              <w:rPr>
                <w:b/>
                <w:bCs/>
                <w:color w:val="000000"/>
                <w:sz w:val="20"/>
                <w:szCs w:val="20"/>
              </w:rPr>
            </w:pPr>
            <w:r w:rsidRPr="00E06664">
              <w:rPr>
                <w:b/>
                <w:color w:val="FFFFFF" w:themeColor="background1"/>
                <w:sz w:val="20"/>
                <w:szCs w:val="20"/>
              </w:rPr>
              <w:t xml:space="preserve">Opatrenia (tis. eur, </w:t>
            </w:r>
            <w:r w:rsidRPr="00E06664">
              <w:rPr>
                <w:b/>
                <w:color w:val="FFFFFF" w:themeColor="background1"/>
                <w:sz w:val="18"/>
                <w:szCs w:val="18"/>
              </w:rPr>
              <w:t>ESA 2010</w:t>
            </w:r>
            <w:r w:rsidRPr="00E06664">
              <w:rPr>
                <w:b/>
                <w:color w:val="FFFFFF" w:themeColor="background1"/>
                <w:sz w:val="20"/>
                <w:szCs w:val="20"/>
              </w:rPr>
              <w:t>)</w:t>
            </w:r>
          </w:p>
        </w:tc>
        <w:tc>
          <w:tcPr>
            <w:tcW w:w="469" w:type="pct"/>
            <w:tcBorders>
              <w:left w:val="single" w:sz="4" w:space="0" w:color="FFFFFF"/>
              <w:right w:val="single" w:sz="4" w:space="0" w:color="FFFFFF"/>
            </w:tcBorders>
            <w:shd w:val="clear" w:color="auto" w:fill="0070C0"/>
            <w:noWrap/>
          </w:tcPr>
          <w:p w14:paraId="58FD2953"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2019</w:t>
            </w:r>
          </w:p>
        </w:tc>
        <w:tc>
          <w:tcPr>
            <w:tcW w:w="470" w:type="pct"/>
            <w:tcBorders>
              <w:left w:val="single" w:sz="4" w:space="0" w:color="FFFFFF"/>
              <w:right w:val="single" w:sz="4" w:space="0" w:color="FFFFFF"/>
            </w:tcBorders>
            <w:shd w:val="clear" w:color="auto" w:fill="0070C0"/>
            <w:noWrap/>
          </w:tcPr>
          <w:p w14:paraId="032728ED"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2020</w:t>
            </w:r>
          </w:p>
        </w:tc>
        <w:tc>
          <w:tcPr>
            <w:tcW w:w="470" w:type="pct"/>
            <w:tcBorders>
              <w:left w:val="single" w:sz="4" w:space="0" w:color="FFFFFF"/>
              <w:right w:val="single" w:sz="4" w:space="0" w:color="FFFFFF"/>
            </w:tcBorders>
            <w:shd w:val="clear" w:color="auto" w:fill="0070C0"/>
            <w:noWrap/>
          </w:tcPr>
          <w:p w14:paraId="1059C26D"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2021</w:t>
            </w:r>
          </w:p>
        </w:tc>
        <w:tc>
          <w:tcPr>
            <w:tcW w:w="465" w:type="pct"/>
            <w:tcBorders>
              <w:left w:val="single" w:sz="4" w:space="0" w:color="FFFFFF"/>
            </w:tcBorders>
            <w:shd w:val="clear" w:color="auto" w:fill="0070C0"/>
            <w:noWrap/>
          </w:tcPr>
          <w:p w14:paraId="5E847729"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2022</w:t>
            </w:r>
          </w:p>
        </w:tc>
      </w:tr>
      <w:tr w:rsidR="00546CD8" w:rsidRPr="00035217" w14:paraId="0EE7D39D" w14:textId="77777777" w:rsidTr="003B541D">
        <w:trPr>
          <w:trHeight w:val="170"/>
        </w:trPr>
        <w:tc>
          <w:tcPr>
            <w:tcW w:w="3125" w:type="pct"/>
            <w:shd w:val="clear" w:color="auto" w:fill="auto"/>
            <w:noWrap/>
          </w:tcPr>
          <w:p w14:paraId="1088317A" w14:textId="77777777" w:rsidR="00546CD8" w:rsidRPr="00DF276B" w:rsidRDefault="00546CD8" w:rsidP="00511FAF">
            <w:pPr>
              <w:rPr>
                <w:b/>
                <w:sz w:val="20"/>
                <w:szCs w:val="20"/>
              </w:rPr>
            </w:pPr>
            <w:r w:rsidRPr="00DF276B">
              <w:rPr>
                <w:b/>
                <w:sz w:val="20"/>
                <w:szCs w:val="20"/>
              </w:rPr>
              <w:t xml:space="preserve">Legislatívne vplyvy </w:t>
            </w:r>
            <w:r>
              <w:rPr>
                <w:b/>
                <w:sz w:val="20"/>
                <w:szCs w:val="20"/>
              </w:rPr>
              <w:t xml:space="preserve">v príjmovej oblasti </w:t>
            </w:r>
            <w:r w:rsidRPr="00DF276B">
              <w:rPr>
                <w:b/>
                <w:sz w:val="20"/>
                <w:szCs w:val="20"/>
              </w:rPr>
              <w:t xml:space="preserve">celkom </w:t>
            </w:r>
          </w:p>
        </w:tc>
        <w:tc>
          <w:tcPr>
            <w:tcW w:w="469" w:type="pct"/>
            <w:shd w:val="clear" w:color="auto" w:fill="auto"/>
            <w:noWrap/>
          </w:tcPr>
          <w:p w14:paraId="53DECF2A" w14:textId="77777777" w:rsidR="00546CD8" w:rsidRPr="00DF276B" w:rsidRDefault="00546CD8" w:rsidP="00511FAF">
            <w:pPr>
              <w:jc w:val="right"/>
              <w:rPr>
                <w:b/>
                <w:sz w:val="20"/>
                <w:szCs w:val="20"/>
              </w:rPr>
            </w:pPr>
            <w:r>
              <w:rPr>
                <w:b/>
                <w:sz w:val="20"/>
                <w:szCs w:val="20"/>
              </w:rPr>
              <w:t>-118 980</w:t>
            </w:r>
          </w:p>
        </w:tc>
        <w:tc>
          <w:tcPr>
            <w:tcW w:w="470" w:type="pct"/>
            <w:shd w:val="clear" w:color="auto" w:fill="auto"/>
            <w:noWrap/>
          </w:tcPr>
          <w:p w14:paraId="25BE60CA" w14:textId="77777777" w:rsidR="00546CD8" w:rsidRPr="00DF276B" w:rsidRDefault="00546CD8" w:rsidP="00511FAF">
            <w:pPr>
              <w:jc w:val="right"/>
              <w:rPr>
                <w:b/>
                <w:sz w:val="20"/>
                <w:szCs w:val="20"/>
              </w:rPr>
            </w:pPr>
            <w:r>
              <w:rPr>
                <w:b/>
                <w:sz w:val="20"/>
                <w:szCs w:val="20"/>
              </w:rPr>
              <w:t>-354 051</w:t>
            </w:r>
          </w:p>
        </w:tc>
        <w:tc>
          <w:tcPr>
            <w:tcW w:w="470" w:type="pct"/>
            <w:shd w:val="clear" w:color="auto" w:fill="auto"/>
            <w:noWrap/>
          </w:tcPr>
          <w:p w14:paraId="1393F9C1" w14:textId="77777777" w:rsidR="00546CD8" w:rsidRPr="00DF276B" w:rsidRDefault="00546CD8" w:rsidP="00511FAF">
            <w:pPr>
              <w:jc w:val="right"/>
              <w:rPr>
                <w:b/>
                <w:sz w:val="20"/>
                <w:szCs w:val="20"/>
              </w:rPr>
            </w:pPr>
            <w:r>
              <w:rPr>
                <w:b/>
                <w:sz w:val="20"/>
                <w:szCs w:val="20"/>
              </w:rPr>
              <w:t>-351 364</w:t>
            </w:r>
          </w:p>
        </w:tc>
        <w:tc>
          <w:tcPr>
            <w:tcW w:w="465" w:type="pct"/>
            <w:shd w:val="clear" w:color="auto" w:fill="auto"/>
            <w:noWrap/>
          </w:tcPr>
          <w:p w14:paraId="2EE128D2" w14:textId="77777777" w:rsidR="00546CD8" w:rsidRPr="00DF276B" w:rsidRDefault="00546CD8" w:rsidP="00511FAF">
            <w:pPr>
              <w:jc w:val="right"/>
              <w:rPr>
                <w:b/>
                <w:sz w:val="20"/>
                <w:szCs w:val="20"/>
              </w:rPr>
            </w:pPr>
            <w:r>
              <w:rPr>
                <w:b/>
                <w:sz w:val="20"/>
                <w:szCs w:val="20"/>
              </w:rPr>
              <w:t>-355 760</w:t>
            </w:r>
          </w:p>
        </w:tc>
      </w:tr>
      <w:tr w:rsidR="00546CD8" w:rsidRPr="007E1807" w14:paraId="5368382D" w14:textId="77777777" w:rsidTr="003B541D">
        <w:trPr>
          <w:trHeight w:val="170"/>
        </w:trPr>
        <w:tc>
          <w:tcPr>
            <w:tcW w:w="3125" w:type="pct"/>
            <w:shd w:val="clear" w:color="auto" w:fill="auto"/>
            <w:noWrap/>
          </w:tcPr>
          <w:p w14:paraId="6EADE0E9" w14:textId="77777777" w:rsidR="00546CD8" w:rsidRPr="007E1807" w:rsidRDefault="00546CD8" w:rsidP="00511FAF">
            <w:pPr>
              <w:rPr>
                <w:sz w:val="20"/>
                <w:szCs w:val="20"/>
              </w:rPr>
            </w:pPr>
            <w:r>
              <w:rPr>
                <w:sz w:val="20"/>
                <w:szCs w:val="20"/>
              </w:rPr>
              <w:t>z</w:t>
            </w:r>
            <w:r w:rsidRPr="007E1807">
              <w:rPr>
                <w:sz w:val="20"/>
                <w:szCs w:val="20"/>
              </w:rPr>
              <w:t xml:space="preserve"> toho:</w:t>
            </w:r>
          </w:p>
        </w:tc>
        <w:tc>
          <w:tcPr>
            <w:tcW w:w="469" w:type="pct"/>
            <w:shd w:val="clear" w:color="auto" w:fill="auto"/>
            <w:noWrap/>
          </w:tcPr>
          <w:p w14:paraId="1F9A314C" w14:textId="77777777" w:rsidR="00546CD8" w:rsidRPr="007E1807" w:rsidRDefault="00546CD8" w:rsidP="00511FAF">
            <w:pPr>
              <w:jc w:val="right"/>
              <w:rPr>
                <w:sz w:val="20"/>
                <w:szCs w:val="20"/>
              </w:rPr>
            </w:pPr>
          </w:p>
        </w:tc>
        <w:tc>
          <w:tcPr>
            <w:tcW w:w="470" w:type="pct"/>
            <w:shd w:val="clear" w:color="auto" w:fill="auto"/>
            <w:noWrap/>
          </w:tcPr>
          <w:p w14:paraId="796204C0" w14:textId="77777777" w:rsidR="00546CD8" w:rsidRPr="007E1807" w:rsidRDefault="00546CD8" w:rsidP="00511FAF">
            <w:pPr>
              <w:jc w:val="right"/>
              <w:rPr>
                <w:sz w:val="20"/>
                <w:szCs w:val="20"/>
              </w:rPr>
            </w:pPr>
          </w:p>
        </w:tc>
        <w:tc>
          <w:tcPr>
            <w:tcW w:w="470" w:type="pct"/>
            <w:shd w:val="clear" w:color="auto" w:fill="auto"/>
            <w:noWrap/>
          </w:tcPr>
          <w:p w14:paraId="405D3947" w14:textId="77777777" w:rsidR="00546CD8" w:rsidRPr="007E1807" w:rsidRDefault="00546CD8" w:rsidP="00511FAF">
            <w:pPr>
              <w:jc w:val="right"/>
              <w:rPr>
                <w:sz w:val="20"/>
                <w:szCs w:val="20"/>
              </w:rPr>
            </w:pPr>
          </w:p>
        </w:tc>
        <w:tc>
          <w:tcPr>
            <w:tcW w:w="465" w:type="pct"/>
            <w:shd w:val="clear" w:color="auto" w:fill="auto"/>
            <w:noWrap/>
          </w:tcPr>
          <w:p w14:paraId="536B38A0" w14:textId="77777777" w:rsidR="00546CD8" w:rsidRPr="007E1807" w:rsidRDefault="00546CD8" w:rsidP="00511FAF">
            <w:pPr>
              <w:jc w:val="right"/>
              <w:rPr>
                <w:sz w:val="20"/>
                <w:szCs w:val="20"/>
              </w:rPr>
            </w:pPr>
          </w:p>
        </w:tc>
      </w:tr>
      <w:tr w:rsidR="00546CD8" w:rsidRPr="00035217" w14:paraId="7E415C9D" w14:textId="77777777" w:rsidTr="003B541D">
        <w:trPr>
          <w:trHeight w:val="170"/>
        </w:trPr>
        <w:tc>
          <w:tcPr>
            <w:tcW w:w="3125" w:type="pct"/>
            <w:shd w:val="clear" w:color="auto" w:fill="auto"/>
            <w:noWrap/>
          </w:tcPr>
          <w:p w14:paraId="603FFF52" w14:textId="77777777" w:rsidR="00546CD8" w:rsidRPr="00DF1EDF" w:rsidRDefault="00546CD8" w:rsidP="000A2429">
            <w:pPr>
              <w:pStyle w:val="Odsekzoznamu"/>
              <w:numPr>
                <w:ilvl w:val="0"/>
                <w:numId w:val="8"/>
              </w:numPr>
              <w:rPr>
                <w:sz w:val="20"/>
                <w:szCs w:val="20"/>
              </w:rPr>
            </w:pPr>
            <w:r w:rsidRPr="00DF1EDF">
              <w:rPr>
                <w:sz w:val="20"/>
                <w:szCs w:val="20"/>
              </w:rPr>
              <w:t>15% sadzba DPPO pre firmy s obratom do 100 tis. eur</w:t>
            </w:r>
          </w:p>
        </w:tc>
        <w:tc>
          <w:tcPr>
            <w:tcW w:w="469" w:type="pct"/>
            <w:shd w:val="clear" w:color="auto" w:fill="auto"/>
            <w:noWrap/>
          </w:tcPr>
          <w:p w14:paraId="1232D8FD"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43BB207A" w14:textId="77777777" w:rsidR="00546CD8" w:rsidRPr="00DF276B" w:rsidRDefault="00546CD8" w:rsidP="00511FAF">
            <w:pPr>
              <w:jc w:val="right"/>
              <w:rPr>
                <w:sz w:val="20"/>
                <w:szCs w:val="20"/>
              </w:rPr>
            </w:pPr>
            <w:r>
              <w:rPr>
                <w:sz w:val="20"/>
                <w:szCs w:val="20"/>
              </w:rPr>
              <w:t>-41 654</w:t>
            </w:r>
          </w:p>
        </w:tc>
        <w:tc>
          <w:tcPr>
            <w:tcW w:w="470" w:type="pct"/>
            <w:shd w:val="clear" w:color="auto" w:fill="auto"/>
            <w:noWrap/>
          </w:tcPr>
          <w:p w14:paraId="7CD9B57E" w14:textId="77777777" w:rsidR="00546CD8" w:rsidRPr="00DF276B" w:rsidRDefault="00546CD8" w:rsidP="00511FAF">
            <w:pPr>
              <w:jc w:val="right"/>
              <w:rPr>
                <w:sz w:val="20"/>
                <w:szCs w:val="20"/>
              </w:rPr>
            </w:pPr>
            <w:r>
              <w:rPr>
                <w:sz w:val="20"/>
                <w:szCs w:val="20"/>
              </w:rPr>
              <w:t>-44 072</w:t>
            </w:r>
          </w:p>
        </w:tc>
        <w:tc>
          <w:tcPr>
            <w:tcW w:w="465" w:type="pct"/>
            <w:shd w:val="clear" w:color="auto" w:fill="auto"/>
            <w:noWrap/>
          </w:tcPr>
          <w:p w14:paraId="4714A66C" w14:textId="77777777" w:rsidR="00546CD8" w:rsidRPr="00DF276B" w:rsidRDefault="00546CD8" w:rsidP="00511FAF">
            <w:pPr>
              <w:jc w:val="right"/>
              <w:rPr>
                <w:sz w:val="20"/>
                <w:szCs w:val="20"/>
              </w:rPr>
            </w:pPr>
            <w:r>
              <w:rPr>
                <w:sz w:val="20"/>
                <w:szCs w:val="20"/>
              </w:rPr>
              <w:t>-45 220</w:t>
            </w:r>
          </w:p>
        </w:tc>
      </w:tr>
      <w:tr w:rsidR="00546CD8" w:rsidRPr="00035217" w14:paraId="6862382E" w14:textId="77777777" w:rsidTr="003B541D">
        <w:trPr>
          <w:trHeight w:val="170"/>
        </w:trPr>
        <w:tc>
          <w:tcPr>
            <w:tcW w:w="3125" w:type="pct"/>
            <w:shd w:val="clear" w:color="auto" w:fill="auto"/>
            <w:noWrap/>
          </w:tcPr>
          <w:p w14:paraId="2C8AFC01" w14:textId="77777777" w:rsidR="00546CD8" w:rsidRPr="00DF1EDF" w:rsidRDefault="00546CD8" w:rsidP="000A2429">
            <w:pPr>
              <w:pStyle w:val="Odsekzoznamu"/>
              <w:numPr>
                <w:ilvl w:val="0"/>
                <w:numId w:val="8"/>
              </w:numPr>
              <w:rPr>
                <w:sz w:val="20"/>
                <w:szCs w:val="20"/>
              </w:rPr>
            </w:pPr>
            <w:r w:rsidRPr="00DF1EDF">
              <w:rPr>
                <w:sz w:val="20"/>
                <w:szCs w:val="20"/>
              </w:rPr>
              <w:t>Zvýšenie NČZD na 21- násobok ŽM</w:t>
            </w:r>
          </w:p>
        </w:tc>
        <w:tc>
          <w:tcPr>
            <w:tcW w:w="469" w:type="pct"/>
            <w:shd w:val="clear" w:color="auto" w:fill="auto"/>
            <w:noWrap/>
          </w:tcPr>
          <w:p w14:paraId="6AF28DB3"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7632F5F9" w14:textId="77777777" w:rsidR="00546CD8" w:rsidRPr="00A923BB" w:rsidRDefault="00546CD8" w:rsidP="00511FAF">
            <w:pPr>
              <w:jc w:val="right"/>
              <w:rPr>
                <w:sz w:val="20"/>
                <w:szCs w:val="20"/>
              </w:rPr>
            </w:pPr>
            <w:r w:rsidRPr="00A923BB">
              <w:rPr>
                <w:sz w:val="20"/>
                <w:szCs w:val="20"/>
              </w:rPr>
              <w:t>-135 402</w:t>
            </w:r>
          </w:p>
        </w:tc>
        <w:tc>
          <w:tcPr>
            <w:tcW w:w="470" w:type="pct"/>
            <w:shd w:val="clear" w:color="auto" w:fill="auto"/>
            <w:noWrap/>
          </w:tcPr>
          <w:p w14:paraId="1C134BAB" w14:textId="77777777" w:rsidR="00546CD8" w:rsidRPr="00DF276B" w:rsidRDefault="00546CD8" w:rsidP="00511FAF">
            <w:pPr>
              <w:jc w:val="right"/>
              <w:rPr>
                <w:sz w:val="20"/>
                <w:szCs w:val="20"/>
              </w:rPr>
            </w:pPr>
            <w:r>
              <w:rPr>
                <w:sz w:val="20"/>
                <w:szCs w:val="20"/>
              </w:rPr>
              <w:t>-136 117</w:t>
            </w:r>
          </w:p>
        </w:tc>
        <w:tc>
          <w:tcPr>
            <w:tcW w:w="465" w:type="pct"/>
            <w:shd w:val="clear" w:color="auto" w:fill="auto"/>
            <w:noWrap/>
          </w:tcPr>
          <w:p w14:paraId="2B4A9C7D" w14:textId="77777777" w:rsidR="00546CD8" w:rsidRPr="00DF276B" w:rsidRDefault="00546CD8" w:rsidP="00511FAF">
            <w:pPr>
              <w:jc w:val="right"/>
              <w:rPr>
                <w:sz w:val="20"/>
                <w:szCs w:val="20"/>
              </w:rPr>
            </w:pPr>
            <w:r>
              <w:rPr>
                <w:sz w:val="20"/>
                <w:szCs w:val="20"/>
              </w:rPr>
              <w:t>-136 764</w:t>
            </w:r>
          </w:p>
        </w:tc>
      </w:tr>
      <w:tr w:rsidR="00546CD8" w:rsidRPr="00035217" w14:paraId="6BE094CE" w14:textId="77777777" w:rsidTr="003B541D">
        <w:trPr>
          <w:trHeight w:val="170"/>
        </w:trPr>
        <w:tc>
          <w:tcPr>
            <w:tcW w:w="3125" w:type="pct"/>
            <w:shd w:val="clear" w:color="auto" w:fill="auto"/>
            <w:noWrap/>
          </w:tcPr>
          <w:p w14:paraId="1B123593" w14:textId="77777777" w:rsidR="00546CD8" w:rsidRPr="00DF1EDF" w:rsidRDefault="00546CD8" w:rsidP="000A2429">
            <w:pPr>
              <w:pStyle w:val="Odsekzoznamu"/>
              <w:numPr>
                <w:ilvl w:val="0"/>
                <w:numId w:val="8"/>
              </w:numPr>
              <w:rPr>
                <w:sz w:val="20"/>
                <w:szCs w:val="20"/>
              </w:rPr>
            </w:pPr>
            <w:r w:rsidRPr="00DF1EDF">
              <w:rPr>
                <w:sz w:val="20"/>
                <w:szCs w:val="20"/>
              </w:rPr>
              <w:t>Znížená sadzba  SZČO na 15% pre obrat do 100 tis. eur</w:t>
            </w:r>
          </w:p>
        </w:tc>
        <w:tc>
          <w:tcPr>
            <w:tcW w:w="469" w:type="pct"/>
            <w:shd w:val="clear" w:color="auto" w:fill="auto"/>
            <w:noWrap/>
          </w:tcPr>
          <w:p w14:paraId="249DFB5B"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5BC09950" w14:textId="77777777" w:rsidR="00546CD8" w:rsidRPr="00DF276B" w:rsidRDefault="00546CD8" w:rsidP="00511FAF">
            <w:pPr>
              <w:jc w:val="right"/>
              <w:rPr>
                <w:sz w:val="20"/>
                <w:szCs w:val="20"/>
              </w:rPr>
            </w:pPr>
            <w:r>
              <w:rPr>
                <w:sz w:val="20"/>
                <w:szCs w:val="20"/>
              </w:rPr>
              <w:t>-19 500</w:t>
            </w:r>
          </w:p>
        </w:tc>
        <w:tc>
          <w:tcPr>
            <w:tcW w:w="470" w:type="pct"/>
            <w:shd w:val="clear" w:color="auto" w:fill="auto"/>
            <w:noWrap/>
          </w:tcPr>
          <w:p w14:paraId="06C6884E" w14:textId="77777777" w:rsidR="00546CD8" w:rsidRPr="00DF276B" w:rsidRDefault="00546CD8" w:rsidP="00511FAF">
            <w:pPr>
              <w:jc w:val="right"/>
              <w:rPr>
                <w:sz w:val="20"/>
                <w:szCs w:val="20"/>
              </w:rPr>
            </w:pPr>
            <w:r>
              <w:rPr>
                <w:sz w:val="20"/>
                <w:szCs w:val="20"/>
              </w:rPr>
              <w:t>-19 365</w:t>
            </w:r>
          </w:p>
        </w:tc>
        <w:tc>
          <w:tcPr>
            <w:tcW w:w="465" w:type="pct"/>
            <w:shd w:val="clear" w:color="auto" w:fill="auto"/>
            <w:noWrap/>
          </w:tcPr>
          <w:p w14:paraId="0967BD94" w14:textId="77777777" w:rsidR="00546CD8" w:rsidRPr="00DF276B" w:rsidRDefault="00546CD8" w:rsidP="00511FAF">
            <w:pPr>
              <w:jc w:val="right"/>
              <w:rPr>
                <w:sz w:val="20"/>
                <w:szCs w:val="20"/>
              </w:rPr>
            </w:pPr>
            <w:r>
              <w:rPr>
                <w:sz w:val="20"/>
                <w:szCs w:val="20"/>
              </w:rPr>
              <w:t>-20 841</w:t>
            </w:r>
          </w:p>
        </w:tc>
      </w:tr>
      <w:tr w:rsidR="00546CD8" w:rsidRPr="00035217" w14:paraId="30579573" w14:textId="77777777" w:rsidTr="003B541D">
        <w:trPr>
          <w:trHeight w:val="170"/>
        </w:trPr>
        <w:tc>
          <w:tcPr>
            <w:tcW w:w="3125" w:type="pct"/>
            <w:shd w:val="clear" w:color="auto" w:fill="auto"/>
            <w:noWrap/>
          </w:tcPr>
          <w:p w14:paraId="21B98BF6" w14:textId="77777777" w:rsidR="00546CD8" w:rsidRPr="00DF1EDF" w:rsidRDefault="00546CD8" w:rsidP="000A2429">
            <w:pPr>
              <w:pStyle w:val="Odsekzoznamu"/>
              <w:numPr>
                <w:ilvl w:val="0"/>
                <w:numId w:val="8"/>
              </w:numPr>
              <w:rPr>
                <w:sz w:val="20"/>
                <w:szCs w:val="20"/>
              </w:rPr>
            </w:pPr>
            <w:r w:rsidRPr="00DF1EDF">
              <w:rPr>
                <w:sz w:val="20"/>
                <w:szCs w:val="20"/>
              </w:rPr>
              <w:t>Zvýšenie spotrebnej dane z tabakových výrobkov od 2020</w:t>
            </w:r>
          </w:p>
        </w:tc>
        <w:tc>
          <w:tcPr>
            <w:tcW w:w="469" w:type="pct"/>
            <w:shd w:val="clear" w:color="auto" w:fill="auto"/>
            <w:noWrap/>
          </w:tcPr>
          <w:p w14:paraId="663B3036"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07B56B47" w14:textId="77777777" w:rsidR="00546CD8" w:rsidRPr="00DF276B" w:rsidRDefault="00546CD8" w:rsidP="00511FAF">
            <w:pPr>
              <w:jc w:val="right"/>
              <w:rPr>
                <w:sz w:val="20"/>
                <w:szCs w:val="20"/>
              </w:rPr>
            </w:pPr>
            <w:r>
              <w:rPr>
                <w:sz w:val="20"/>
                <w:szCs w:val="20"/>
              </w:rPr>
              <w:t>101 846</w:t>
            </w:r>
          </w:p>
        </w:tc>
        <w:tc>
          <w:tcPr>
            <w:tcW w:w="470" w:type="pct"/>
            <w:shd w:val="clear" w:color="auto" w:fill="auto"/>
            <w:noWrap/>
          </w:tcPr>
          <w:p w14:paraId="55E1263C" w14:textId="77777777" w:rsidR="00546CD8" w:rsidRPr="00DF276B" w:rsidRDefault="00546CD8" w:rsidP="00511FAF">
            <w:pPr>
              <w:jc w:val="right"/>
              <w:rPr>
                <w:sz w:val="20"/>
                <w:szCs w:val="20"/>
              </w:rPr>
            </w:pPr>
            <w:r>
              <w:rPr>
                <w:sz w:val="20"/>
                <w:szCs w:val="20"/>
              </w:rPr>
              <w:t>137 310</w:t>
            </w:r>
          </w:p>
        </w:tc>
        <w:tc>
          <w:tcPr>
            <w:tcW w:w="465" w:type="pct"/>
            <w:shd w:val="clear" w:color="auto" w:fill="auto"/>
            <w:noWrap/>
          </w:tcPr>
          <w:p w14:paraId="3984A26A" w14:textId="77777777" w:rsidR="00546CD8" w:rsidRPr="00DF276B" w:rsidRDefault="00546CD8" w:rsidP="00511FAF">
            <w:pPr>
              <w:jc w:val="right"/>
              <w:rPr>
                <w:sz w:val="20"/>
                <w:szCs w:val="20"/>
              </w:rPr>
            </w:pPr>
            <w:r>
              <w:rPr>
                <w:sz w:val="20"/>
                <w:szCs w:val="20"/>
              </w:rPr>
              <w:t>137 559</w:t>
            </w:r>
          </w:p>
        </w:tc>
      </w:tr>
    </w:tbl>
    <w:p w14:paraId="2B0D278F" w14:textId="77777777" w:rsidR="00546CD8" w:rsidRPr="00F418ED" w:rsidRDefault="00546CD8" w:rsidP="00546CD8">
      <w:pPr>
        <w:jc w:val="both"/>
        <w:rPr>
          <w:i/>
          <w:sz w:val="18"/>
          <w:szCs w:val="20"/>
        </w:rPr>
      </w:pPr>
      <w:r w:rsidRPr="00F418ED">
        <w:rPr>
          <w:i/>
          <w:sz w:val="18"/>
          <w:szCs w:val="20"/>
        </w:rPr>
        <w:t>Zdroj: Návrh RVS na roky 2020 až 2022</w:t>
      </w:r>
    </w:p>
    <w:p w14:paraId="32B35711" w14:textId="5DB8372D" w:rsidR="00236949" w:rsidRPr="00236949" w:rsidRDefault="00546CD8" w:rsidP="003B541D">
      <w:pPr>
        <w:spacing w:before="120" w:after="120"/>
        <w:ind w:firstLine="708"/>
        <w:jc w:val="both"/>
      </w:pPr>
      <w:r w:rsidRPr="00236949">
        <w:t xml:space="preserve">Legislatívne opatrenia znižujú príjmovú stránku rozpočtu v celkovom predpokladanom objeme 354 mil. eur. Vychádzajú z predpokladu pozitívneho makroekonomického vývoja, ktorý sa prejaví na vyššom výbere daní. </w:t>
      </w:r>
      <w:r w:rsidR="000C470D">
        <w:t>U</w:t>
      </w:r>
      <w:r w:rsidRPr="00236949">
        <w:t>ž pri príprave rozpočtu, v dôsledku spomalenia ekonomiky, došlo k zníženiu odhadu výberu daňových a odvodových príjmov o ďalších 346 mil. eur. Zároveň prognóza predpokladá, že dôjde k zv</w:t>
      </w:r>
      <w:r w:rsidR="00AC387E" w:rsidRPr="00236949">
        <w:t xml:space="preserve">ýšeniu </w:t>
      </w:r>
      <w:r w:rsidR="00AC387E" w:rsidRPr="001216B7">
        <w:rPr>
          <w:b/>
        </w:rPr>
        <w:t>sadzby spotrebnej dane z </w:t>
      </w:r>
      <w:r w:rsidRPr="001216B7">
        <w:rPr>
          <w:b/>
        </w:rPr>
        <w:t>tabakových výrobkov</w:t>
      </w:r>
      <w:r w:rsidRPr="00236949">
        <w:t xml:space="preserve">, ktorá by mala priniesť do rozpočtu od 102 až </w:t>
      </w:r>
      <w:r w:rsidR="000C470D">
        <w:t xml:space="preserve">do </w:t>
      </w:r>
      <w:r w:rsidRPr="00236949">
        <w:t>138 mil. eur v rokoch 2020 až 2022. Samotný návrh rozpočtu pripúšťa riziko, že opatrenie nebude schválené v NR SR. V takom prípade nebude príjmová stránka rozpočtu naplnená a ciele rozpočtu budú ohrozené</w:t>
      </w:r>
      <w:r w:rsidR="00236949" w:rsidRPr="00236949">
        <w:t xml:space="preserve">. </w:t>
      </w:r>
    </w:p>
    <w:p w14:paraId="251FF0E8" w14:textId="77777777" w:rsidR="00546CD8" w:rsidRDefault="00546CD8" w:rsidP="00F418ED">
      <w:pPr>
        <w:spacing w:before="120" w:after="120"/>
        <w:ind w:firstLine="708"/>
        <w:jc w:val="both"/>
        <w:rPr>
          <w:bCs/>
        </w:rPr>
      </w:pPr>
      <w:r w:rsidRPr="00DF1EDF">
        <w:t xml:space="preserve">Vplyv legislatívnych opatrení nezahrnutých v predloženom návrhu RVS na rok </w:t>
      </w:r>
      <w:r w:rsidRPr="00DF1EDF">
        <w:rPr>
          <w:bCs/>
        </w:rPr>
        <w:t>2020 až 2022</w:t>
      </w:r>
      <w:r w:rsidR="00F418ED">
        <w:rPr>
          <w:bCs/>
        </w:rPr>
        <w:t xml:space="preserve"> sumarizuje nasledujúca tabuľka.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42"/>
        <w:gridCol w:w="877"/>
        <w:gridCol w:w="879"/>
        <w:gridCol w:w="879"/>
        <w:gridCol w:w="869"/>
      </w:tblGrid>
      <w:tr w:rsidR="00546CD8" w:rsidRPr="00E06664" w14:paraId="256D006E" w14:textId="77777777" w:rsidTr="003B541D">
        <w:trPr>
          <w:trHeight w:val="170"/>
          <w:tblHeader/>
        </w:trPr>
        <w:tc>
          <w:tcPr>
            <w:tcW w:w="3125" w:type="pct"/>
            <w:tcBorders>
              <w:right w:val="single" w:sz="4" w:space="0" w:color="FFFFFF"/>
            </w:tcBorders>
            <w:shd w:val="clear" w:color="auto" w:fill="0070C0"/>
            <w:noWrap/>
            <w:vAlign w:val="center"/>
          </w:tcPr>
          <w:p w14:paraId="5569C3EE" w14:textId="77777777" w:rsidR="00546CD8" w:rsidRPr="00E06664" w:rsidRDefault="00546CD8" w:rsidP="00511FAF">
            <w:pPr>
              <w:rPr>
                <w:b/>
                <w:bCs/>
                <w:color w:val="FFFFFF" w:themeColor="background1"/>
                <w:sz w:val="20"/>
                <w:szCs w:val="20"/>
              </w:rPr>
            </w:pPr>
            <w:r w:rsidRPr="00E06664">
              <w:rPr>
                <w:b/>
                <w:color w:val="FFFFFF" w:themeColor="background1"/>
                <w:sz w:val="20"/>
                <w:szCs w:val="20"/>
              </w:rPr>
              <w:t>Opatrenia (tis. eur, ESA 2010)</w:t>
            </w:r>
          </w:p>
        </w:tc>
        <w:tc>
          <w:tcPr>
            <w:tcW w:w="469" w:type="pct"/>
            <w:tcBorders>
              <w:left w:val="single" w:sz="4" w:space="0" w:color="FFFFFF"/>
              <w:right w:val="single" w:sz="4" w:space="0" w:color="FFFFFF"/>
            </w:tcBorders>
            <w:shd w:val="clear" w:color="auto" w:fill="0070C0"/>
            <w:noWrap/>
          </w:tcPr>
          <w:p w14:paraId="558E5E85"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2019</w:t>
            </w:r>
          </w:p>
        </w:tc>
        <w:tc>
          <w:tcPr>
            <w:tcW w:w="470" w:type="pct"/>
            <w:tcBorders>
              <w:left w:val="single" w:sz="4" w:space="0" w:color="FFFFFF"/>
              <w:right w:val="single" w:sz="4" w:space="0" w:color="FFFFFF"/>
            </w:tcBorders>
            <w:shd w:val="clear" w:color="auto" w:fill="0070C0"/>
            <w:noWrap/>
          </w:tcPr>
          <w:p w14:paraId="51CD0515"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2020</w:t>
            </w:r>
          </w:p>
        </w:tc>
        <w:tc>
          <w:tcPr>
            <w:tcW w:w="470" w:type="pct"/>
            <w:tcBorders>
              <w:left w:val="single" w:sz="4" w:space="0" w:color="FFFFFF"/>
              <w:right w:val="single" w:sz="4" w:space="0" w:color="FFFFFF"/>
            </w:tcBorders>
            <w:shd w:val="clear" w:color="auto" w:fill="0070C0"/>
            <w:noWrap/>
          </w:tcPr>
          <w:p w14:paraId="4148DEA1"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2021</w:t>
            </w:r>
          </w:p>
        </w:tc>
        <w:tc>
          <w:tcPr>
            <w:tcW w:w="465" w:type="pct"/>
            <w:tcBorders>
              <w:left w:val="single" w:sz="4" w:space="0" w:color="FFFFFF"/>
            </w:tcBorders>
            <w:shd w:val="clear" w:color="auto" w:fill="0070C0"/>
            <w:noWrap/>
          </w:tcPr>
          <w:p w14:paraId="2391A4D3" w14:textId="77777777" w:rsidR="00546CD8" w:rsidRPr="00E06664" w:rsidRDefault="00546CD8" w:rsidP="00511FAF">
            <w:pPr>
              <w:jc w:val="center"/>
              <w:rPr>
                <w:b/>
                <w:color w:val="FFFFFF" w:themeColor="background1"/>
                <w:sz w:val="20"/>
                <w:szCs w:val="20"/>
              </w:rPr>
            </w:pPr>
            <w:r w:rsidRPr="00E06664">
              <w:rPr>
                <w:b/>
                <w:color w:val="FFFFFF" w:themeColor="background1"/>
                <w:sz w:val="20"/>
                <w:szCs w:val="20"/>
              </w:rPr>
              <w:t>2022</w:t>
            </w:r>
          </w:p>
        </w:tc>
      </w:tr>
      <w:tr w:rsidR="00546CD8" w:rsidRPr="00035217" w14:paraId="6B08C7AF" w14:textId="77777777" w:rsidTr="003B541D">
        <w:trPr>
          <w:trHeight w:val="170"/>
        </w:trPr>
        <w:tc>
          <w:tcPr>
            <w:tcW w:w="3125" w:type="pct"/>
            <w:shd w:val="clear" w:color="auto" w:fill="auto"/>
            <w:noWrap/>
          </w:tcPr>
          <w:p w14:paraId="61B64444" w14:textId="77777777" w:rsidR="00546CD8" w:rsidRPr="00DF276B" w:rsidRDefault="00546CD8" w:rsidP="00511FAF">
            <w:pPr>
              <w:rPr>
                <w:b/>
                <w:sz w:val="20"/>
                <w:szCs w:val="20"/>
              </w:rPr>
            </w:pPr>
            <w:r w:rsidRPr="00DF276B">
              <w:rPr>
                <w:b/>
                <w:sz w:val="20"/>
                <w:szCs w:val="20"/>
              </w:rPr>
              <w:t xml:space="preserve">Legislatívne vplyvy </w:t>
            </w:r>
            <w:r>
              <w:rPr>
                <w:b/>
                <w:sz w:val="20"/>
                <w:szCs w:val="20"/>
              </w:rPr>
              <w:t xml:space="preserve">v príjmovej oblasti </w:t>
            </w:r>
            <w:r w:rsidRPr="00DF276B">
              <w:rPr>
                <w:b/>
                <w:sz w:val="20"/>
                <w:szCs w:val="20"/>
              </w:rPr>
              <w:t xml:space="preserve">celkom </w:t>
            </w:r>
          </w:p>
        </w:tc>
        <w:tc>
          <w:tcPr>
            <w:tcW w:w="469" w:type="pct"/>
            <w:shd w:val="clear" w:color="auto" w:fill="auto"/>
            <w:noWrap/>
          </w:tcPr>
          <w:p w14:paraId="2865C969"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63EC796A"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01FAC129" w14:textId="77777777" w:rsidR="00546CD8" w:rsidRPr="003A1C8B" w:rsidRDefault="00546CD8" w:rsidP="00511FAF">
            <w:pPr>
              <w:jc w:val="right"/>
              <w:rPr>
                <w:b/>
                <w:sz w:val="20"/>
                <w:szCs w:val="20"/>
              </w:rPr>
            </w:pPr>
            <w:r w:rsidRPr="003A1C8B">
              <w:rPr>
                <w:b/>
                <w:sz w:val="20"/>
                <w:szCs w:val="20"/>
              </w:rPr>
              <w:t>152 000</w:t>
            </w:r>
          </w:p>
        </w:tc>
        <w:tc>
          <w:tcPr>
            <w:tcW w:w="465" w:type="pct"/>
            <w:shd w:val="clear" w:color="auto" w:fill="auto"/>
            <w:noWrap/>
          </w:tcPr>
          <w:p w14:paraId="0BD0F9B8" w14:textId="77777777" w:rsidR="00546CD8" w:rsidRPr="003A1C8B" w:rsidRDefault="00546CD8" w:rsidP="00511FAF">
            <w:pPr>
              <w:jc w:val="right"/>
              <w:rPr>
                <w:b/>
                <w:sz w:val="20"/>
                <w:szCs w:val="20"/>
              </w:rPr>
            </w:pPr>
            <w:r w:rsidRPr="003A1C8B">
              <w:rPr>
                <w:b/>
                <w:sz w:val="20"/>
                <w:szCs w:val="20"/>
              </w:rPr>
              <w:t>160 000</w:t>
            </w:r>
          </w:p>
        </w:tc>
      </w:tr>
      <w:tr w:rsidR="00546CD8" w:rsidRPr="00035217" w14:paraId="4A349EA1" w14:textId="77777777" w:rsidTr="003B541D">
        <w:trPr>
          <w:trHeight w:val="170"/>
        </w:trPr>
        <w:tc>
          <w:tcPr>
            <w:tcW w:w="3125" w:type="pct"/>
            <w:shd w:val="clear" w:color="auto" w:fill="auto"/>
            <w:noWrap/>
          </w:tcPr>
          <w:p w14:paraId="4AE16C1E" w14:textId="77777777" w:rsidR="00546CD8" w:rsidRPr="00DF1EDF" w:rsidRDefault="00546CD8" w:rsidP="000A2429">
            <w:pPr>
              <w:pStyle w:val="Odsekzoznamu"/>
              <w:numPr>
                <w:ilvl w:val="0"/>
                <w:numId w:val="8"/>
              </w:numPr>
              <w:rPr>
                <w:sz w:val="20"/>
                <w:szCs w:val="20"/>
              </w:rPr>
            </w:pPr>
            <w:r w:rsidRPr="00DF1EDF">
              <w:rPr>
                <w:sz w:val="20"/>
                <w:szCs w:val="20"/>
              </w:rPr>
              <w:t>Predlženie platnosti osobitného bankového odvodu aj po roku 2020</w:t>
            </w:r>
          </w:p>
        </w:tc>
        <w:tc>
          <w:tcPr>
            <w:tcW w:w="469" w:type="pct"/>
            <w:shd w:val="clear" w:color="auto" w:fill="auto"/>
            <w:noWrap/>
          </w:tcPr>
          <w:p w14:paraId="44FD86A7" w14:textId="77777777" w:rsidR="00546CD8" w:rsidRPr="00DF276B" w:rsidRDefault="00546CD8" w:rsidP="00511FAF">
            <w:pPr>
              <w:jc w:val="right"/>
              <w:rPr>
                <w:sz w:val="20"/>
                <w:szCs w:val="20"/>
              </w:rPr>
            </w:pPr>
          </w:p>
        </w:tc>
        <w:tc>
          <w:tcPr>
            <w:tcW w:w="470" w:type="pct"/>
            <w:shd w:val="clear" w:color="auto" w:fill="auto"/>
            <w:noWrap/>
          </w:tcPr>
          <w:p w14:paraId="4D2380A5"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660B1AD2" w14:textId="77777777" w:rsidR="00546CD8" w:rsidRPr="00DF276B" w:rsidRDefault="00546CD8" w:rsidP="00511FAF">
            <w:pPr>
              <w:jc w:val="right"/>
              <w:rPr>
                <w:sz w:val="20"/>
                <w:szCs w:val="20"/>
              </w:rPr>
            </w:pPr>
            <w:r>
              <w:rPr>
                <w:sz w:val="20"/>
                <w:szCs w:val="20"/>
              </w:rPr>
              <w:t>152 000</w:t>
            </w:r>
          </w:p>
        </w:tc>
        <w:tc>
          <w:tcPr>
            <w:tcW w:w="465" w:type="pct"/>
            <w:shd w:val="clear" w:color="auto" w:fill="auto"/>
            <w:noWrap/>
          </w:tcPr>
          <w:p w14:paraId="5310E52C" w14:textId="77777777" w:rsidR="00546CD8" w:rsidRPr="00DF276B" w:rsidRDefault="00546CD8" w:rsidP="00511FAF">
            <w:pPr>
              <w:jc w:val="right"/>
              <w:rPr>
                <w:sz w:val="20"/>
                <w:szCs w:val="20"/>
              </w:rPr>
            </w:pPr>
            <w:r>
              <w:rPr>
                <w:sz w:val="20"/>
                <w:szCs w:val="20"/>
              </w:rPr>
              <w:t>160 000</w:t>
            </w:r>
          </w:p>
        </w:tc>
      </w:tr>
      <w:tr w:rsidR="00546CD8" w:rsidRPr="00035217" w14:paraId="7E575659" w14:textId="77777777" w:rsidTr="003B541D">
        <w:trPr>
          <w:trHeight w:val="170"/>
        </w:trPr>
        <w:tc>
          <w:tcPr>
            <w:tcW w:w="3125" w:type="pct"/>
            <w:shd w:val="clear" w:color="auto" w:fill="auto"/>
            <w:noWrap/>
          </w:tcPr>
          <w:p w14:paraId="5FB65191" w14:textId="77777777" w:rsidR="00546CD8" w:rsidRPr="00DF276B" w:rsidRDefault="00546CD8" w:rsidP="00511FAF">
            <w:pPr>
              <w:rPr>
                <w:b/>
                <w:sz w:val="20"/>
                <w:szCs w:val="20"/>
              </w:rPr>
            </w:pPr>
            <w:r w:rsidRPr="00DF276B">
              <w:rPr>
                <w:b/>
                <w:sz w:val="20"/>
                <w:szCs w:val="20"/>
              </w:rPr>
              <w:t xml:space="preserve">Legislatívne vplyvy </w:t>
            </w:r>
            <w:r>
              <w:rPr>
                <w:b/>
                <w:sz w:val="20"/>
                <w:szCs w:val="20"/>
              </w:rPr>
              <w:t xml:space="preserve">vo výdavkovej oblasti </w:t>
            </w:r>
            <w:r w:rsidRPr="00DF276B">
              <w:rPr>
                <w:b/>
                <w:sz w:val="20"/>
                <w:szCs w:val="20"/>
              </w:rPr>
              <w:t xml:space="preserve">celkom </w:t>
            </w:r>
          </w:p>
        </w:tc>
        <w:tc>
          <w:tcPr>
            <w:tcW w:w="469" w:type="pct"/>
            <w:shd w:val="clear" w:color="auto" w:fill="auto"/>
            <w:noWrap/>
          </w:tcPr>
          <w:p w14:paraId="706401A9" w14:textId="77777777" w:rsidR="00546CD8" w:rsidRPr="00DF276B" w:rsidRDefault="00546CD8" w:rsidP="00511FAF">
            <w:pPr>
              <w:jc w:val="right"/>
              <w:rPr>
                <w:b/>
                <w:sz w:val="20"/>
                <w:szCs w:val="20"/>
              </w:rPr>
            </w:pPr>
            <w:r>
              <w:rPr>
                <w:b/>
                <w:sz w:val="20"/>
                <w:szCs w:val="20"/>
              </w:rPr>
              <w:t>0</w:t>
            </w:r>
          </w:p>
        </w:tc>
        <w:tc>
          <w:tcPr>
            <w:tcW w:w="470" w:type="pct"/>
            <w:shd w:val="clear" w:color="auto" w:fill="auto"/>
            <w:noWrap/>
          </w:tcPr>
          <w:p w14:paraId="47A0B65E" w14:textId="66F38B42" w:rsidR="00546CD8" w:rsidRPr="00DF276B" w:rsidRDefault="00546CD8" w:rsidP="00511FAF">
            <w:pPr>
              <w:jc w:val="right"/>
              <w:rPr>
                <w:b/>
                <w:sz w:val="20"/>
                <w:szCs w:val="20"/>
              </w:rPr>
            </w:pPr>
            <w:r>
              <w:rPr>
                <w:b/>
                <w:sz w:val="20"/>
                <w:szCs w:val="20"/>
              </w:rPr>
              <w:t>8</w:t>
            </w:r>
            <w:r w:rsidR="00D8590D">
              <w:rPr>
                <w:b/>
                <w:sz w:val="20"/>
                <w:szCs w:val="20"/>
              </w:rPr>
              <w:t>0</w:t>
            </w:r>
            <w:r>
              <w:rPr>
                <w:b/>
                <w:sz w:val="20"/>
                <w:szCs w:val="20"/>
              </w:rPr>
              <w:t xml:space="preserve"> 000</w:t>
            </w:r>
          </w:p>
        </w:tc>
        <w:tc>
          <w:tcPr>
            <w:tcW w:w="470" w:type="pct"/>
            <w:shd w:val="clear" w:color="auto" w:fill="auto"/>
            <w:noWrap/>
          </w:tcPr>
          <w:p w14:paraId="7B81054B" w14:textId="77777777" w:rsidR="00546CD8" w:rsidRPr="00DF276B" w:rsidRDefault="00546CD8" w:rsidP="00511FAF">
            <w:pPr>
              <w:jc w:val="right"/>
              <w:rPr>
                <w:b/>
                <w:sz w:val="20"/>
                <w:szCs w:val="20"/>
              </w:rPr>
            </w:pPr>
            <w:r>
              <w:rPr>
                <w:b/>
                <w:sz w:val="20"/>
                <w:szCs w:val="20"/>
              </w:rPr>
              <w:t>148 000</w:t>
            </w:r>
          </w:p>
        </w:tc>
        <w:tc>
          <w:tcPr>
            <w:tcW w:w="465" w:type="pct"/>
            <w:shd w:val="clear" w:color="auto" w:fill="auto"/>
            <w:noWrap/>
          </w:tcPr>
          <w:p w14:paraId="1FB50396" w14:textId="77777777" w:rsidR="00546CD8" w:rsidRPr="00DF276B" w:rsidRDefault="00546CD8" w:rsidP="00511FAF">
            <w:pPr>
              <w:jc w:val="right"/>
              <w:rPr>
                <w:b/>
                <w:sz w:val="20"/>
                <w:szCs w:val="20"/>
              </w:rPr>
            </w:pPr>
            <w:r>
              <w:rPr>
                <w:b/>
                <w:sz w:val="20"/>
                <w:szCs w:val="20"/>
              </w:rPr>
              <w:t>148 000</w:t>
            </w:r>
          </w:p>
        </w:tc>
      </w:tr>
      <w:tr w:rsidR="00546CD8" w:rsidRPr="00035217" w14:paraId="7A9C26FA" w14:textId="77777777" w:rsidTr="003B541D">
        <w:trPr>
          <w:trHeight w:val="170"/>
        </w:trPr>
        <w:tc>
          <w:tcPr>
            <w:tcW w:w="3125" w:type="pct"/>
            <w:shd w:val="clear" w:color="auto" w:fill="auto"/>
            <w:noWrap/>
          </w:tcPr>
          <w:p w14:paraId="779891C2" w14:textId="77777777" w:rsidR="00546CD8" w:rsidRPr="00DF1EDF" w:rsidRDefault="00546CD8" w:rsidP="000A2429">
            <w:pPr>
              <w:pStyle w:val="Odsekzoznamu"/>
              <w:numPr>
                <w:ilvl w:val="0"/>
                <w:numId w:val="8"/>
              </w:numPr>
              <w:rPr>
                <w:sz w:val="20"/>
                <w:szCs w:val="20"/>
              </w:rPr>
            </w:pPr>
            <w:r w:rsidRPr="00DF1EDF">
              <w:rPr>
                <w:sz w:val="20"/>
                <w:szCs w:val="20"/>
              </w:rPr>
              <w:t>Zmena systému výpočtu minimálneho dôchodku</w:t>
            </w:r>
          </w:p>
        </w:tc>
        <w:tc>
          <w:tcPr>
            <w:tcW w:w="469" w:type="pct"/>
            <w:shd w:val="clear" w:color="auto" w:fill="auto"/>
            <w:noWrap/>
          </w:tcPr>
          <w:p w14:paraId="331CC261" w14:textId="77777777" w:rsidR="00546CD8" w:rsidRPr="00DF276B" w:rsidRDefault="00546CD8" w:rsidP="00511FAF">
            <w:pPr>
              <w:jc w:val="right"/>
              <w:rPr>
                <w:sz w:val="20"/>
                <w:szCs w:val="20"/>
              </w:rPr>
            </w:pPr>
            <w:r>
              <w:rPr>
                <w:sz w:val="20"/>
                <w:szCs w:val="20"/>
              </w:rPr>
              <w:t>0</w:t>
            </w:r>
          </w:p>
        </w:tc>
        <w:tc>
          <w:tcPr>
            <w:tcW w:w="470" w:type="pct"/>
            <w:shd w:val="clear" w:color="auto" w:fill="auto"/>
            <w:noWrap/>
          </w:tcPr>
          <w:p w14:paraId="7159C34D" w14:textId="56EED908" w:rsidR="00546CD8" w:rsidRPr="00DF276B" w:rsidRDefault="00546CD8" w:rsidP="00511FAF">
            <w:pPr>
              <w:jc w:val="right"/>
              <w:rPr>
                <w:sz w:val="20"/>
                <w:szCs w:val="20"/>
              </w:rPr>
            </w:pPr>
            <w:r>
              <w:rPr>
                <w:sz w:val="20"/>
                <w:szCs w:val="20"/>
              </w:rPr>
              <w:t>8</w:t>
            </w:r>
            <w:r w:rsidR="00D8590D">
              <w:rPr>
                <w:sz w:val="20"/>
                <w:szCs w:val="20"/>
              </w:rPr>
              <w:t>0</w:t>
            </w:r>
            <w:r>
              <w:rPr>
                <w:sz w:val="20"/>
                <w:szCs w:val="20"/>
              </w:rPr>
              <w:t xml:space="preserve"> 000</w:t>
            </w:r>
          </w:p>
        </w:tc>
        <w:tc>
          <w:tcPr>
            <w:tcW w:w="470" w:type="pct"/>
            <w:shd w:val="clear" w:color="auto" w:fill="auto"/>
            <w:noWrap/>
          </w:tcPr>
          <w:p w14:paraId="1BA6466E" w14:textId="77777777" w:rsidR="00546CD8" w:rsidRPr="00DF276B" w:rsidRDefault="00546CD8" w:rsidP="00511FAF">
            <w:pPr>
              <w:jc w:val="right"/>
              <w:rPr>
                <w:sz w:val="20"/>
                <w:szCs w:val="20"/>
              </w:rPr>
            </w:pPr>
            <w:r>
              <w:rPr>
                <w:sz w:val="20"/>
                <w:szCs w:val="20"/>
              </w:rPr>
              <w:t>148 000</w:t>
            </w:r>
          </w:p>
        </w:tc>
        <w:tc>
          <w:tcPr>
            <w:tcW w:w="465" w:type="pct"/>
            <w:shd w:val="clear" w:color="auto" w:fill="auto"/>
            <w:noWrap/>
          </w:tcPr>
          <w:p w14:paraId="54E89B56" w14:textId="77777777" w:rsidR="00546CD8" w:rsidRPr="00DF276B" w:rsidRDefault="00546CD8" w:rsidP="00511FAF">
            <w:pPr>
              <w:jc w:val="right"/>
              <w:rPr>
                <w:sz w:val="20"/>
                <w:szCs w:val="20"/>
              </w:rPr>
            </w:pPr>
            <w:r>
              <w:rPr>
                <w:sz w:val="20"/>
                <w:szCs w:val="20"/>
              </w:rPr>
              <w:t>148 000</w:t>
            </w:r>
          </w:p>
        </w:tc>
      </w:tr>
    </w:tbl>
    <w:p w14:paraId="539044DF" w14:textId="77777777" w:rsidR="00546CD8" w:rsidRPr="00856224" w:rsidRDefault="00546CD8" w:rsidP="00546CD8">
      <w:pPr>
        <w:jc w:val="both"/>
        <w:rPr>
          <w:i/>
          <w:sz w:val="18"/>
          <w:szCs w:val="20"/>
        </w:rPr>
      </w:pPr>
      <w:r w:rsidRPr="00856224">
        <w:rPr>
          <w:i/>
          <w:sz w:val="18"/>
          <w:szCs w:val="20"/>
        </w:rPr>
        <w:t>Zdroj: Návrh RVS na roky 2020 až 2022</w:t>
      </w:r>
    </w:p>
    <w:p w14:paraId="60AF092F" w14:textId="52DFFA5A" w:rsidR="00546CD8" w:rsidRDefault="00546CD8" w:rsidP="003B541D">
      <w:pPr>
        <w:spacing w:before="120" w:after="120"/>
        <w:ind w:firstLine="851"/>
        <w:jc w:val="both"/>
        <w:rPr>
          <w:b/>
        </w:rPr>
      </w:pPr>
      <w:r w:rsidRPr="001216B7">
        <w:rPr>
          <w:b/>
        </w:rPr>
        <w:t>Osobitný odvod vybraných finančných inštitúcií</w:t>
      </w:r>
      <w:r w:rsidRPr="00236949">
        <w:t xml:space="preserve"> už je zahrnutý v príjmovej časti návrhu RVS</w:t>
      </w:r>
      <w:r w:rsidR="00856224">
        <w:t xml:space="preserve"> na rok</w:t>
      </w:r>
      <w:r w:rsidRPr="00236949">
        <w:t xml:space="preserve"> 2020, je súčasťou štátnych finančných aktív a tvorí zdroje na krytie prípadných problémov vo finančnom sektore. Teda nie je dodatočným príjmom rozpočtu. Nie je určený na krytie zvýšených nákladov, ktoré bude mať Sociálna poisťovňa v súvislosti so zmenou vyplácania dôchodkov s účinnosťou od 1.</w:t>
      </w:r>
      <w:r w:rsidR="00856224">
        <w:t xml:space="preserve"> </w:t>
      </w:r>
      <w:r w:rsidRPr="00236949">
        <w:t>1.</w:t>
      </w:r>
      <w:r w:rsidR="00856224">
        <w:t xml:space="preserve"> </w:t>
      </w:r>
      <w:r w:rsidRPr="00236949">
        <w:t xml:space="preserve">2020. Legislatívne opatrenia, ktoré nie sú zahrnuté </w:t>
      </w:r>
      <w:r>
        <w:t>v návrhu RVS</w:t>
      </w:r>
      <w:r w:rsidR="00856224">
        <w:t>,</w:t>
      </w:r>
      <w:r>
        <w:t xml:space="preserve"> zvyšujú výdavkovú str</w:t>
      </w:r>
      <w:r w:rsidR="00856224">
        <w:t>a</w:t>
      </w:r>
      <w:r w:rsidR="00D8590D">
        <w:t>nu rozpočtu o </w:t>
      </w:r>
      <w:r>
        <w:t>8</w:t>
      </w:r>
      <w:r w:rsidR="00D8590D">
        <w:t>0</w:t>
      </w:r>
      <w:r>
        <w:t xml:space="preserve"> 000 tis. eur. </w:t>
      </w:r>
      <w:r w:rsidRPr="00423E3B">
        <w:rPr>
          <w:b/>
        </w:rPr>
        <w:t>NKÚ SR považuje tento postup za významn</w:t>
      </w:r>
      <w:r w:rsidR="00856224">
        <w:rPr>
          <w:b/>
        </w:rPr>
        <w:t>é</w:t>
      </w:r>
      <w:r w:rsidRPr="00423E3B">
        <w:rPr>
          <w:b/>
        </w:rPr>
        <w:t xml:space="preserve"> riziko a upozorňuje, že </w:t>
      </w:r>
      <w:r w:rsidR="00856224">
        <w:rPr>
          <w:b/>
        </w:rPr>
        <w:t>ak</w:t>
      </w:r>
      <w:r w:rsidRPr="00423E3B">
        <w:rPr>
          <w:b/>
        </w:rPr>
        <w:t xml:space="preserve"> nebudú prijaté opatrenia na príjmovej strane rozpočtu, ciele rozpočtu nemôžu byť splnené.</w:t>
      </w:r>
      <w:r>
        <w:rPr>
          <w:b/>
        </w:rPr>
        <w:t xml:space="preserve"> V návrhoch legislatívnych zmien, ktoré ovplyvnia vývoj rozpočtu </w:t>
      </w:r>
      <w:r w:rsidRPr="00845542">
        <w:rPr>
          <w:b/>
        </w:rPr>
        <w:t>v roku 2020, nie je vyčíslený vplyv na rozpočet VS.</w:t>
      </w:r>
    </w:p>
    <w:p w14:paraId="360038AD" w14:textId="77777777" w:rsidR="00546CD8" w:rsidRPr="00540CF5" w:rsidRDefault="00546CD8" w:rsidP="003B541D">
      <w:pPr>
        <w:spacing w:before="120" w:after="120"/>
        <w:rPr>
          <w:rFonts w:eastAsia="Calibri"/>
          <w:b/>
          <w:color w:val="0070C0"/>
        </w:rPr>
      </w:pPr>
      <w:r w:rsidRPr="00540CF5">
        <w:rPr>
          <w:rFonts w:eastAsia="Calibri"/>
          <w:b/>
          <w:color w:val="0070C0"/>
        </w:rPr>
        <w:t>Daňové príjmy verejnej správy</w:t>
      </w:r>
    </w:p>
    <w:p w14:paraId="418B0E34" w14:textId="58F7FA5E" w:rsidR="00546CD8" w:rsidRDefault="00546CD8" w:rsidP="00AC387E">
      <w:pPr>
        <w:pStyle w:val="Bezriadkovania"/>
        <w:spacing w:before="120" w:after="120"/>
        <w:ind w:firstLine="708"/>
        <w:jc w:val="both"/>
      </w:pPr>
      <w:r w:rsidRPr="001C100B">
        <w:t>Makroekonomické výsledky slovenskej ekonomiky výrazne negatívne vplývajú</w:t>
      </w:r>
      <w:r>
        <w:t xml:space="preserve"> na daňové základne a </w:t>
      </w:r>
      <w:r w:rsidRPr="001C100B">
        <w:t>následne na výber daní. Návrh rozpočtu</w:t>
      </w:r>
      <w:r>
        <w:t xml:space="preserve"> na rok 2020</w:t>
      </w:r>
      <w:r w:rsidRPr="001C100B">
        <w:t>, na základe septembrovej prognózy</w:t>
      </w:r>
      <w:r w:rsidR="002746CF">
        <w:t>,</w:t>
      </w:r>
      <w:r w:rsidRPr="001C100B">
        <w:t xml:space="preserve"> predpokladá výpado</w:t>
      </w:r>
      <w:r>
        <w:t>k príjmov v objeme 550 mil. eur</w:t>
      </w:r>
      <w:r w:rsidR="00D8590D">
        <w:t xml:space="preserve"> oproti júnovej prognóze</w:t>
      </w:r>
      <w:r>
        <w:t>. V roku 2022 môže</w:t>
      </w:r>
      <w:r w:rsidRPr="001C100B">
        <w:t xml:space="preserve"> výpadok vzhľadom na makroekono</w:t>
      </w:r>
      <w:r w:rsidR="00236949">
        <w:t>mický vývoj predstavovať až 800 </w:t>
      </w:r>
      <w:r w:rsidRPr="001C100B">
        <w:t>mil.</w:t>
      </w:r>
      <w:r>
        <w:t xml:space="preserve"> </w:t>
      </w:r>
      <w:r w:rsidRPr="001C100B">
        <w:t xml:space="preserve">eur. </w:t>
      </w:r>
      <w:r>
        <w:t xml:space="preserve">Príčinou je, že pracovný trh, </w:t>
      </w:r>
      <w:r w:rsidRPr="008A655A">
        <w:t>ktorý priamo ovplyvňuje odvody a daň z príjmov fyzických osôb</w:t>
      </w:r>
      <w:r w:rsidR="002746CF">
        <w:t>,</w:t>
      </w:r>
      <w:r w:rsidRPr="008A655A">
        <w:t xml:space="preserve"> </w:t>
      </w:r>
      <w:r>
        <w:t>sa bude postupne ochladzovať. Pesimistickejšie sú aj predpoklady ohľadom vývoja spotreby domácností, ktoré znížili odhad výberu DPH o 147 mil. eur</w:t>
      </w:r>
      <w:r w:rsidR="00D8590D">
        <w:t xml:space="preserve"> oproti júnovej prognóze</w:t>
      </w:r>
      <w:r>
        <w:t>.</w:t>
      </w:r>
    </w:p>
    <w:p w14:paraId="0EACB410" w14:textId="1B4C2FB6" w:rsidR="00546CD8" w:rsidRDefault="00546CD8" w:rsidP="00AC387E">
      <w:pPr>
        <w:spacing w:before="120" w:after="120"/>
        <w:ind w:firstLine="708"/>
        <w:jc w:val="both"/>
      </w:pPr>
      <w:r w:rsidRPr="00E737B4">
        <w:lastRenderedPageBreak/>
        <w:t xml:space="preserve">Daňové a odvodové príjmy verejnej správy v akruálnej metodike (ESA 2010) sú na rok 2020 prognózované </w:t>
      </w:r>
      <w:r w:rsidR="00AC387E">
        <w:t>v </w:t>
      </w:r>
      <w:r w:rsidRPr="00C944B2">
        <w:t xml:space="preserve">celkovej výške </w:t>
      </w:r>
      <w:r w:rsidRPr="00C944B2">
        <w:rPr>
          <w:bCs/>
        </w:rPr>
        <w:t xml:space="preserve">30 068 371 tis. eur bez sankcií, čo predstavuje nárast 3,6 % oproti </w:t>
      </w:r>
      <w:r w:rsidRPr="00C944B2">
        <w:t>očakávaným príjmom</w:t>
      </w:r>
      <w:r w:rsidRPr="00E737B4">
        <w:t xml:space="preserve"> za rok 2019. Odvodové prímy budú rasť tempom 4,5 % a sú rozpočtované v celkovom objeme 12 733 509 </w:t>
      </w:r>
      <w:r>
        <w:t>tis. eur. Na</w:t>
      </w:r>
      <w:r w:rsidR="002746CF">
        <w:t xml:space="preserve"> druhej strane,</w:t>
      </w:r>
      <w:r>
        <w:t xml:space="preserve"> </w:t>
      </w:r>
      <w:r w:rsidRPr="00E737B4">
        <w:t>daňové príjmy VS by mali rásť pomalšie o 2,9 % a</w:t>
      </w:r>
      <w:r>
        <w:t xml:space="preserve"> mali by dosiahnuť úroveň </w:t>
      </w:r>
      <w:r w:rsidRPr="00E737B4">
        <w:t>17 334</w:t>
      </w:r>
      <w:r>
        <w:t> </w:t>
      </w:r>
      <w:r w:rsidRPr="00E737B4">
        <w:t>862</w:t>
      </w:r>
      <w:r>
        <w:t xml:space="preserve"> </w:t>
      </w:r>
      <w:r w:rsidRPr="00E737B4">
        <w:t xml:space="preserve">tis. eur. </w:t>
      </w:r>
      <w:r>
        <w:t>Na  naplnenie</w:t>
      </w:r>
      <w:r w:rsidRPr="00E737B4">
        <w:t xml:space="preserve"> rozpočtu</w:t>
      </w:r>
      <w:r>
        <w:t xml:space="preserve"> príjmov</w:t>
      </w:r>
      <w:r w:rsidRPr="00E737B4">
        <w:t xml:space="preserve"> </w:t>
      </w:r>
      <w:r>
        <w:t xml:space="preserve">bude mať vplyv </w:t>
      </w:r>
      <w:r w:rsidRPr="00E737B4">
        <w:t>hlavne vývoj v oblasti odvodov a daní za tovary a služb</w:t>
      </w:r>
      <w:r w:rsidR="00211927">
        <w:t>y. Vývoj na trhu práce tentoraz</w:t>
      </w:r>
      <w:r w:rsidRPr="00E737B4">
        <w:t xml:space="preserve"> výrazne nenavýši príjmy</w:t>
      </w:r>
      <w:r>
        <w:t>.</w:t>
      </w:r>
      <w:r w:rsidRPr="00E737B4">
        <w:t xml:space="preserve"> </w:t>
      </w:r>
    </w:p>
    <w:tbl>
      <w:tblPr>
        <w:tblStyle w:val="Mriekatabuky"/>
        <w:tblW w:w="92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0"/>
      </w:tblGrid>
      <w:tr w:rsidR="00546CD8" w:rsidRPr="004360A5" w14:paraId="0359686F" w14:textId="77777777" w:rsidTr="00511FAF">
        <w:trPr>
          <w:trHeight w:val="227"/>
        </w:trPr>
        <w:tc>
          <w:tcPr>
            <w:tcW w:w="9230" w:type="dxa"/>
            <w:tcBorders>
              <w:top w:val="single" w:sz="4" w:space="0" w:color="auto"/>
              <w:bottom w:val="single" w:sz="4" w:space="0" w:color="auto"/>
            </w:tcBorders>
            <w:shd w:val="clear" w:color="auto" w:fill="0070C0"/>
          </w:tcPr>
          <w:p w14:paraId="1284951E" w14:textId="77777777" w:rsidR="00546CD8" w:rsidRPr="004360A5" w:rsidRDefault="00546CD8" w:rsidP="00511FAF">
            <w:pPr>
              <w:jc w:val="both"/>
              <w:rPr>
                <w:b/>
                <w:sz w:val="20"/>
                <w:szCs w:val="20"/>
              </w:rPr>
            </w:pPr>
            <w:r w:rsidRPr="004360A5">
              <w:rPr>
                <w:b/>
                <w:color w:val="FFFFFF"/>
                <w:sz w:val="20"/>
                <w:szCs w:val="20"/>
              </w:rPr>
              <w:t xml:space="preserve">Porovnanie prognózy daňových príjmov VS </w:t>
            </w:r>
            <w:r>
              <w:rPr>
                <w:b/>
                <w:color w:val="FFFFFF"/>
                <w:sz w:val="20"/>
                <w:szCs w:val="20"/>
              </w:rPr>
              <w:t>na rok</w:t>
            </w:r>
            <w:r w:rsidRPr="004360A5">
              <w:rPr>
                <w:b/>
                <w:color w:val="FFFFFF"/>
                <w:sz w:val="20"/>
                <w:szCs w:val="20"/>
              </w:rPr>
              <w:t xml:space="preserve"> 20</w:t>
            </w:r>
            <w:r>
              <w:rPr>
                <w:b/>
                <w:color w:val="FFFFFF"/>
                <w:sz w:val="20"/>
                <w:szCs w:val="20"/>
              </w:rPr>
              <w:t>20</w:t>
            </w:r>
            <w:r w:rsidRPr="004360A5">
              <w:rPr>
                <w:b/>
                <w:color w:val="FFFFFF"/>
                <w:sz w:val="20"/>
                <w:szCs w:val="20"/>
              </w:rPr>
              <w:t xml:space="preserve"> a vybraných daní </w:t>
            </w:r>
            <w:r>
              <w:rPr>
                <w:b/>
                <w:color w:val="FFFFFF"/>
                <w:sz w:val="20"/>
                <w:szCs w:val="20"/>
              </w:rPr>
              <w:t xml:space="preserve">podľa </w:t>
            </w:r>
            <w:r w:rsidRPr="004360A5">
              <w:rPr>
                <w:b/>
                <w:color w:val="FFFFFF"/>
                <w:sz w:val="20"/>
                <w:szCs w:val="20"/>
              </w:rPr>
              <w:t>očakávan</w:t>
            </w:r>
            <w:r>
              <w:rPr>
                <w:b/>
                <w:color w:val="FFFFFF"/>
                <w:sz w:val="20"/>
                <w:szCs w:val="20"/>
              </w:rPr>
              <w:t>ej</w:t>
            </w:r>
            <w:r w:rsidRPr="004360A5">
              <w:rPr>
                <w:b/>
                <w:color w:val="FFFFFF"/>
                <w:sz w:val="20"/>
                <w:szCs w:val="20"/>
              </w:rPr>
              <w:t xml:space="preserve"> skutočnost</w:t>
            </w:r>
            <w:r>
              <w:rPr>
                <w:b/>
                <w:color w:val="FFFFFF"/>
                <w:sz w:val="20"/>
                <w:szCs w:val="20"/>
              </w:rPr>
              <w:t>i</w:t>
            </w:r>
            <w:r w:rsidRPr="004360A5">
              <w:rPr>
                <w:b/>
                <w:color w:val="FFFFFF"/>
                <w:sz w:val="20"/>
                <w:szCs w:val="20"/>
              </w:rPr>
              <w:t xml:space="preserve"> za rok 201</w:t>
            </w:r>
            <w:r>
              <w:rPr>
                <w:b/>
                <w:color w:val="FFFFFF"/>
                <w:sz w:val="20"/>
                <w:szCs w:val="20"/>
              </w:rPr>
              <w:t>9</w:t>
            </w:r>
          </w:p>
        </w:tc>
      </w:tr>
      <w:tr w:rsidR="00546CD8" w:rsidRPr="004360A5" w14:paraId="096F1E87" w14:textId="77777777" w:rsidTr="00511FAF">
        <w:tblPrEx>
          <w:tblCellMar>
            <w:left w:w="70" w:type="dxa"/>
            <w:right w:w="70" w:type="dxa"/>
          </w:tblCellMar>
        </w:tblPrEx>
        <w:trPr>
          <w:trHeight w:val="2665"/>
        </w:trPr>
        <w:tc>
          <w:tcPr>
            <w:tcW w:w="9230" w:type="dxa"/>
            <w:tcBorders>
              <w:top w:val="single" w:sz="4" w:space="0" w:color="auto"/>
            </w:tcBorders>
          </w:tcPr>
          <w:p w14:paraId="18081736" w14:textId="77777777" w:rsidR="00546CD8" w:rsidRPr="00BF0269" w:rsidRDefault="00546CD8" w:rsidP="00511FAF">
            <w:pPr>
              <w:rPr>
                <w:sz w:val="20"/>
                <w:szCs w:val="20"/>
              </w:rPr>
            </w:pPr>
            <w:r>
              <w:rPr>
                <w:noProof/>
                <w:lang w:eastAsia="sk-SK"/>
              </w:rPr>
              <w:drawing>
                <wp:inline distT="0" distB="0" distL="0" distR="0" wp14:anchorId="110A3A89" wp14:editId="50745437">
                  <wp:extent cx="5720861" cy="1652954"/>
                  <wp:effectExtent l="0" t="0" r="0" b="444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06F2E575" w14:textId="77777777" w:rsidR="00546CD8" w:rsidRPr="00236949" w:rsidRDefault="00546CD8" w:rsidP="00546CD8">
      <w:pPr>
        <w:jc w:val="both"/>
        <w:rPr>
          <w:i/>
          <w:sz w:val="18"/>
          <w:szCs w:val="18"/>
        </w:rPr>
      </w:pPr>
      <w:r w:rsidRPr="00236949">
        <w:rPr>
          <w:i/>
          <w:sz w:val="18"/>
          <w:szCs w:val="18"/>
        </w:rPr>
        <w:t>Poznámka: % predstavuje predpokladaný rast podľa prognózy z rozpočtu VS na rok 2020 oproti očakávanej skutočnosti 2019</w:t>
      </w:r>
    </w:p>
    <w:p w14:paraId="2F5966C3" w14:textId="77777777" w:rsidR="00546CD8" w:rsidRPr="00236949" w:rsidRDefault="00546CD8" w:rsidP="00546CD8">
      <w:pPr>
        <w:rPr>
          <w:i/>
          <w:sz w:val="18"/>
          <w:szCs w:val="18"/>
        </w:rPr>
      </w:pPr>
      <w:r w:rsidRPr="00236949">
        <w:rPr>
          <w:i/>
          <w:sz w:val="18"/>
          <w:szCs w:val="18"/>
        </w:rPr>
        <w:t xml:space="preserve">Zdroj: </w:t>
      </w:r>
      <w:r w:rsidR="002746CF">
        <w:rPr>
          <w:i/>
          <w:sz w:val="18"/>
          <w:szCs w:val="18"/>
        </w:rPr>
        <w:t xml:space="preserve">Návrh </w:t>
      </w:r>
      <w:r w:rsidRPr="00236949">
        <w:rPr>
          <w:i/>
          <w:sz w:val="18"/>
          <w:szCs w:val="18"/>
        </w:rPr>
        <w:t xml:space="preserve">RVS na roky 2020 až 2022, </w:t>
      </w:r>
      <w:r w:rsidR="002746CF">
        <w:rPr>
          <w:i/>
          <w:sz w:val="18"/>
          <w:szCs w:val="18"/>
        </w:rPr>
        <w:t>p</w:t>
      </w:r>
      <w:r w:rsidRPr="00236949">
        <w:rPr>
          <w:i/>
          <w:sz w:val="18"/>
          <w:szCs w:val="18"/>
        </w:rPr>
        <w:t xml:space="preserve">rognóza </w:t>
      </w:r>
      <w:r w:rsidR="002746CF">
        <w:rPr>
          <w:i/>
          <w:sz w:val="18"/>
          <w:szCs w:val="18"/>
        </w:rPr>
        <w:t>MF SR zo</w:t>
      </w:r>
      <w:r w:rsidRPr="00236949">
        <w:rPr>
          <w:i/>
          <w:sz w:val="18"/>
          <w:szCs w:val="18"/>
        </w:rPr>
        <w:t xml:space="preserve"> septembr</w:t>
      </w:r>
      <w:r w:rsidR="002746CF">
        <w:rPr>
          <w:i/>
          <w:sz w:val="18"/>
          <w:szCs w:val="18"/>
        </w:rPr>
        <w:t>a</w:t>
      </w:r>
      <w:r w:rsidRPr="00236949">
        <w:rPr>
          <w:i/>
          <w:sz w:val="18"/>
          <w:szCs w:val="18"/>
        </w:rPr>
        <w:t xml:space="preserve"> 2019</w:t>
      </w:r>
    </w:p>
    <w:p w14:paraId="13C81598" w14:textId="0B524077" w:rsidR="00546CD8" w:rsidRDefault="00546CD8" w:rsidP="003B541D">
      <w:pPr>
        <w:spacing w:before="120" w:after="120"/>
        <w:ind w:firstLine="708"/>
        <w:jc w:val="both"/>
        <w:rPr>
          <w:b/>
        </w:rPr>
      </w:pPr>
      <w:r>
        <w:t xml:space="preserve">RVS na roky 2019 až 2021 </w:t>
      </w:r>
      <w:r w:rsidR="006D2B2F">
        <w:t>predpokladal</w:t>
      </w:r>
      <w:r>
        <w:t xml:space="preserve">, že štát vyberie na </w:t>
      </w:r>
      <w:r w:rsidRPr="006C6F4F">
        <w:rPr>
          <w:b/>
        </w:rPr>
        <w:t>daniach z príjmov fyzických osôb</w:t>
      </w:r>
      <w:r>
        <w:t xml:space="preserve"> 3 704</w:t>
      </w:r>
      <w:r w:rsidR="00B339DA">
        <w:t> </w:t>
      </w:r>
      <w:r>
        <w:t>112</w:t>
      </w:r>
      <w:r w:rsidR="00B339DA">
        <w:t> tis. </w:t>
      </w:r>
      <w:r w:rsidRPr="00744990">
        <w:t xml:space="preserve">eur, </w:t>
      </w:r>
      <w:r>
        <w:t>návrh RVS</w:t>
      </w:r>
      <w:r w:rsidR="00211927">
        <w:t xml:space="preserve"> však</w:t>
      </w:r>
      <w:r>
        <w:t xml:space="preserve"> po</w:t>
      </w:r>
      <w:r w:rsidR="000154FF">
        <w:t>číta</w:t>
      </w:r>
      <w:r w:rsidR="0020663F">
        <w:t xml:space="preserve"> so sumou</w:t>
      </w:r>
      <w:r w:rsidR="000154FF">
        <w:t> nižšou o 94 908</w:t>
      </w:r>
      <w:r>
        <w:t xml:space="preserve"> tis. eur. Pod znížen</w:t>
      </w:r>
      <w:r w:rsidR="000154FF">
        <w:t>ie sa podpísal ekonomický vývoj</w:t>
      </w:r>
      <w:r>
        <w:t>, ale aj navrhované legislatívne zmeny</w:t>
      </w:r>
      <w:r w:rsidR="00186DC7">
        <w:t>,</w:t>
      </w:r>
      <w:r>
        <w:t xml:space="preserve"> ako sú z</w:t>
      </w:r>
      <w:r w:rsidRPr="00DA1811">
        <w:t>výšenie NČZD (-1</w:t>
      </w:r>
      <w:r w:rsidR="000154FF">
        <w:t>35 402</w:t>
      </w:r>
      <w:r>
        <w:t xml:space="preserve"> tis. eur</w:t>
      </w:r>
      <w:r w:rsidRPr="00DA1811">
        <w:t>)</w:t>
      </w:r>
      <w:r>
        <w:t xml:space="preserve">, pri DPFO z podnikania návrh zníženia </w:t>
      </w:r>
      <w:r w:rsidRPr="00402393">
        <w:t>sadzb</w:t>
      </w:r>
      <w:r>
        <w:t>y</w:t>
      </w:r>
      <w:r w:rsidRPr="00402393">
        <w:t xml:space="preserve"> </w:t>
      </w:r>
      <w:r w:rsidR="00BD0676">
        <w:t>na 15 % pri</w:t>
      </w:r>
      <w:r>
        <w:t xml:space="preserve"> príjmoch </w:t>
      </w:r>
      <w:r w:rsidR="000154FF">
        <w:t>do 100 tis. eur (-41 654</w:t>
      </w:r>
      <w:r>
        <w:t xml:space="preserve"> tis. eur</w:t>
      </w:r>
      <w:r w:rsidRPr="00402393">
        <w:t>)</w:t>
      </w:r>
      <w:r>
        <w:t xml:space="preserve">. Návrh RVS na rok 2020 ráta s objemom 3 609 204 tis. eur, čo je o </w:t>
      </w:r>
      <w:r w:rsidRPr="00162DD9">
        <w:t>74 089</w:t>
      </w:r>
      <w:r>
        <w:t xml:space="preserve"> tis. eur viac ako očakávaná skutočnosť v roku 2019. Plánovaný výnos dane sa opiera o prognózu postupného ochladenia na t</w:t>
      </w:r>
      <w:r w:rsidR="0020663F">
        <w:t>rhu práce, ktorého vyššie vplyvy</w:t>
      </w:r>
      <w:r>
        <w:t xml:space="preserve"> sa prejavia až za horizontom roka 2020. </w:t>
      </w:r>
      <w:r w:rsidRPr="000126A7">
        <w:rPr>
          <w:b/>
        </w:rPr>
        <w:t xml:space="preserve">Na výber dane budú mať výraznejší vplyv </w:t>
      </w:r>
      <w:r>
        <w:rPr>
          <w:b/>
        </w:rPr>
        <w:t xml:space="preserve">navrhované legislatívne úpravy </w:t>
      </w:r>
      <w:r w:rsidR="00BD0676">
        <w:rPr>
          <w:b/>
        </w:rPr>
        <w:t>než</w:t>
      </w:r>
      <w:r>
        <w:rPr>
          <w:b/>
        </w:rPr>
        <w:t xml:space="preserve"> makroekonomické prostredie.</w:t>
      </w:r>
    </w:p>
    <w:p w14:paraId="7DF11805" w14:textId="03CD2CD7" w:rsidR="00546CD8" w:rsidRPr="00744990" w:rsidRDefault="00546CD8" w:rsidP="003B541D">
      <w:pPr>
        <w:spacing w:before="120" w:after="120"/>
        <w:ind w:firstLine="708"/>
        <w:jc w:val="both"/>
      </w:pPr>
      <w:r w:rsidRPr="006C6F4F">
        <w:rPr>
          <w:b/>
        </w:rPr>
        <w:t>DPPO</w:t>
      </w:r>
      <w:r w:rsidRPr="00744990">
        <w:t xml:space="preserve"> bola</w:t>
      </w:r>
      <w:r w:rsidR="000154FF">
        <w:t xml:space="preserve">  na rok 2020 rozpočtovaná vo výške  2 808 985 tis. eur, čo predstavuje medziročný pokles o 91 163 tis. eur.</w:t>
      </w:r>
      <w:r w:rsidRPr="006C6F4F">
        <w:t xml:space="preserve"> Rok</w:t>
      </w:r>
      <w:r>
        <w:t xml:space="preserve"> 2019 a budúce roky budú poznačené nižšou </w:t>
      </w:r>
      <w:r w:rsidR="0020663F">
        <w:t>ziskovosťou firiem. Okrem dosahu</w:t>
      </w:r>
      <w:r>
        <w:t xml:space="preserve"> </w:t>
      </w:r>
      <w:r w:rsidR="00BD0676">
        <w:t>pomalšieho</w:t>
      </w:r>
      <w:r>
        <w:t xml:space="preserve"> rastu ekonomiky budú mať na výber dane vplyv aj legislatívne zmeny. Zníženie sadzby na 15 %</w:t>
      </w:r>
      <w:r w:rsidR="00BD0676">
        <w:t>,</w:t>
      </w:r>
      <w:r>
        <w:t xml:space="preserve"> </w:t>
      </w:r>
      <w:r w:rsidRPr="00306758">
        <w:t>pre firmy</w:t>
      </w:r>
      <w:r>
        <w:t xml:space="preserve"> s obratom do 100 tis. eur, </w:t>
      </w:r>
      <w:r w:rsidRPr="00306758">
        <w:t>je spojen</w:t>
      </w:r>
      <w:r>
        <w:t>é</w:t>
      </w:r>
      <w:r w:rsidRPr="00306758">
        <w:t xml:space="preserve"> s výpadkom okolo 45</w:t>
      </w:r>
      <w:r w:rsidR="00AC387E">
        <w:t> 000 tis. </w:t>
      </w:r>
      <w:r w:rsidRPr="00306758">
        <w:t>eur</w:t>
      </w:r>
      <w:r w:rsidRPr="008F4DED">
        <w:rPr>
          <w:color w:val="FF0000"/>
        </w:rPr>
        <w:t xml:space="preserve">. </w:t>
      </w:r>
      <w:r w:rsidRPr="000126A7">
        <w:rPr>
          <w:b/>
        </w:rPr>
        <w:t>Vzhľadom na to, že DPPO v priebehu roku ponúka veľmi málo údajov o vý</w:t>
      </w:r>
      <w:r w:rsidR="00BD0676">
        <w:rPr>
          <w:b/>
        </w:rPr>
        <w:t>bere</w:t>
      </w:r>
      <w:r w:rsidRPr="000126A7">
        <w:rPr>
          <w:b/>
        </w:rPr>
        <w:t xml:space="preserve"> dan</w:t>
      </w:r>
      <w:r w:rsidR="00BD0676">
        <w:rPr>
          <w:b/>
        </w:rPr>
        <w:t>í</w:t>
      </w:r>
      <w:r w:rsidRPr="000126A7">
        <w:rPr>
          <w:b/>
        </w:rPr>
        <w:t xml:space="preserve"> a jej citlivosti na vývoj ekonomiky, </w:t>
      </w:r>
      <w:r w:rsidR="00BD0676">
        <w:rPr>
          <w:b/>
        </w:rPr>
        <w:t>je</w:t>
      </w:r>
      <w:r w:rsidR="00F56C63">
        <w:rPr>
          <w:b/>
        </w:rPr>
        <w:t>j</w:t>
      </w:r>
      <w:r w:rsidR="00BD0676">
        <w:rPr>
          <w:b/>
        </w:rPr>
        <w:t xml:space="preserve"> prognózovanie je problematické</w:t>
      </w:r>
      <w:r>
        <w:t xml:space="preserve">. </w:t>
      </w:r>
    </w:p>
    <w:p w14:paraId="253373AD" w14:textId="0D69F89E" w:rsidR="00546CD8" w:rsidRDefault="00546CD8" w:rsidP="003B541D">
      <w:pPr>
        <w:spacing w:before="120" w:after="120"/>
        <w:ind w:firstLine="708"/>
        <w:jc w:val="both"/>
      </w:pPr>
      <w:r w:rsidRPr="00344EA4">
        <w:t xml:space="preserve">Predpoklad RVS </w:t>
      </w:r>
      <w:r w:rsidR="00F56C63">
        <w:t xml:space="preserve">na rok </w:t>
      </w:r>
      <w:r w:rsidRPr="00344EA4">
        <w:t xml:space="preserve">2019 </w:t>
      </w:r>
      <w:r w:rsidRPr="00D04CBE">
        <w:rPr>
          <w:b/>
        </w:rPr>
        <w:t>vo výbere DPH</w:t>
      </w:r>
      <w:r w:rsidRPr="00344EA4">
        <w:t xml:space="preserve"> b</w:t>
      </w:r>
      <w:r w:rsidR="00312A4A">
        <w:t>y mal byť</w:t>
      </w:r>
      <w:r w:rsidR="0020663F">
        <w:t>,</w:t>
      </w:r>
      <w:r w:rsidRPr="00344EA4">
        <w:t xml:space="preserve"> aj napriek ochladeniu ekonomiky</w:t>
      </w:r>
      <w:r w:rsidR="0020663F">
        <w:t>,</w:t>
      </w:r>
      <w:r w:rsidRPr="00344EA4">
        <w:t xml:space="preserve"> naplnený. Očakávaný výnos DPH v roku 2019 by mal dosiahnuť 6 668 093 tis. eur, čo predstavuje </w:t>
      </w:r>
      <w:r>
        <w:t xml:space="preserve">oproti RVS </w:t>
      </w:r>
      <w:r w:rsidR="00F56C63">
        <w:t xml:space="preserve">na rok </w:t>
      </w:r>
      <w:r>
        <w:t xml:space="preserve">2019 </w:t>
      </w:r>
      <w:r w:rsidRPr="00344EA4">
        <w:t>rast o 4 429 tis.</w:t>
      </w:r>
      <w:r>
        <w:t xml:space="preserve"> eur. Návrh RVS na rok 2020</w:t>
      </w:r>
      <w:r w:rsidRPr="00344EA4">
        <w:t xml:space="preserve"> bol ovplyvnený makroekonomickým vývojom a revidovaný </w:t>
      </w:r>
      <w:r w:rsidR="00F56C63">
        <w:t xml:space="preserve">nadol </w:t>
      </w:r>
      <w:r w:rsidR="00B339DA">
        <w:t>o 95 715 tis. </w:t>
      </w:r>
      <w:r w:rsidRPr="00344EA4">
        <w:t>eur. Poklesne spotreba domácností, slabnúci impor</w:t>
      </w:r>
      <w:r>
        <w:t xml:space="preserve">t zníži výber DPH na colniciach a </w:t>
      </w:r>
      <w:r w:rsidRPr="00344EA4">
        <w:t>vplyv bude mať aj zníženie sadzby na vybrané potraviny (- 80 000 tis. eur)</w:t>
      </w:r>
      <w:r>
        <w:t>. Návrh RVS na rok 2020 predpokladá výber DPH v objeme 6 920 372 tis. eur, čo je o </w:t>
      </w:r>
      <w:r w:rsidRPr="00344EA4">
        <w:t>252 279</w:t>
      </w:r>
      <w:r w:rsidR="00AC387E">
        <w:t xml:space="preserve"> tis. </w:t>
      </w:r>
      <w:r>
        <w:t>eur viac</w:t>
      </w:r>
      <w:r w:rsidR="0020663F">
        <w:t>,</w:t>
      </w:r>
      <w:r>
        <w:t xml:space="preserve"> ako je očakávaný výnos v roku 2019.</w:t>
      </w:r>
    </w:p>
    <w:p w14:paraId="41E97110" w14:textId="3E833A86" w:rsidR="00546CD8" w:rsidRDefault="00312A4A" w:rsidP="003B541D">
      <w:pPr>
        <w:spacing w:before="120" w:after="120"/>
        <w:ind w:firstLine="708"/>
        <w:jc w:val="both"/>
        <w:rPr>
          <w:sz w:val="18"/>
          <w:szCs w:val="18"/>
        </w:rPr>
      </w:pPr>
      <w:r>
        <w:t xml:space="preserve">Z hľadiska daňovej medzery na </w:t>
      </w:r>
      <w:r w:rsidR="00546CD8">
        <w:t xml:space="preserve">DPH </w:t>
      </w:r>
      <w:r>
        <w:t xml:space="preserve">patrí </w:t>
      </w:r>
      <w:r w:rsidR="00546CD8">
        <w:t>S</w:t>
      </w:r>
      <w:r w:rsidR="00186DC7">
        <w:t>R</w:t>
      </w:r>
      <w:r w:rsidR="00546CD8">
        <w:t xml:space="preserve"> podľa EK medzi posledných päť krajín EÚ s daňovou medzerou vyššou ako 20 %. V našich podmienkach to zname</w:t>
      </w:r>
      <w:r w:rsidR="00AC387E">
        <w:t>ná, že ročne prichádzame o 1,7 </w:t>
      </w:r>
      <w:r w:rsidR="00546CD8">
        <w:t>mld. eur.</w:t>
      </w:r>
      <w:r w:rsidR="0050698A">
        <w:t xml:space="preserve"> </w:t>
      </w:r>
      <w:r w:rsidR="00546CD8">
        <w:t>Opatrenia, ktoré zavádza MF SR</w:t>
      </w:r>
      <w:r>
        <w:t>,</w:t>
      </w:r>
      <w:r w:rsidR="00546CD8">
        <w:t xml:space="preserve"> neprin</w:t>
      </w:r>
      <w:r>
        <w:t>ášajú zatiaľ</w:t>
      </w:r>
      <w:r w:rsidR="00546CD8">
        <w:t xml:space="preserve"> výrazné výsledky. Sú zameriavané na sektory, kde nie je predpoklad najväčšieho odlivu dane. O</w:t>
      </w:r>
      <w:r w:rsidR="00546CD8" w:rsidRPr="003750D1">
        <w:t>n</w:t>
      </w:r>
      <w:r w:rsidR="0020663F">
        <w:t>-</w:t>
      </w:r>
      <w:r w:rsidR="00546CD8" w:rsidRPr="003750D1">
        <w:t>line napojen</w:t>
      </w:r>
      <w:r w:rsidR="00546CD8">
        <w:t xml:space="preserve">ie </w:t>
      </w:r>
      <w:r w:rsidR="00546CD8" w:rsidRPr="003750D1">
        <w:t xml:space="preserve">všetkých pokladníc na portál finančnej správy </w:t>
      </w:r>
      <w:proofErr w:type="spellStart"/>
      <w:r w:rsidR="00546CD8" w:rsidRPr="003750D1">
        <w:t>eKasa</w:t>
      </w:r>
      <w:proofErr w:type="spellEnd"/>
      <w:r w:rsidR="00546CD8">
        <w:t xml:space="preserve"> bolo zavedené so značným meškaním</w:t>
      </w:r>
      <w:r>
        <w:t xml:space="preserve"> a je sprevádzané</w:t>
      </w:r>
      <w:r w:rsidRPr="00312A4A">
        <w:t xml:space="preserve"> </w:t>
      </w:r>
      <w:r>
        <w:t>dodatočnou administratívnou a finančnou záťažou pre malých a stredných podnikateľov</w:t>
      </w:r>
      <w:r w:rsidR="00546CD8">
        <w:t>. Momentálne stále nie je pripojen</w:t>
      </w:r>
      <w:r w:rsidR="0043553C">
        <w:t>á</w:t>
      </w:r>
      <w:r w:rsidR="00546CD8">
        <w:t xml:space="preserve"> takmer po</w:t>
      </w:r>
      <w:r>
        <w:t>lovica registračných pokladníc.</w:t>
      </w:r>
    </w:p>
    <w:p w14:paraId="33A35C03" w14:textId="79ADB556" w:rsidR="00546CD8" w:rsidRPr="0032752B" w:rsidRDefault="00546CD8" w:rsidP="003B541D">
      <w:pPr>
        <w:spacing w:before="120" w:after="120"/>
        <w:ind w:firstLine="708"/>
        <w:jc w:val="both"/>
      </w:pPr>
      <w:r w:rsidRPr="00AE3A33">
        <w:t xml:space="preserve">Príjem do </w:t>
      </w:r>
      <w:r w:rsidRPr="00F57739">
        <w:rPr>
          <w:b/>
        </w:rPr>
        <w:t>fondov sociálneho a zdravotného poistenia</w:t>
      </w:r>
      <w:r w:rsidRPr="00AE3A33">
        <w:t xml:space="preserve"> by mal byť v roku 2019 vyšší oproti očakávaniam rozpočtu o</w:t>
      </w:r>
      <w:r>
        <w:t> 10 623 tis. eur</w:t>
      </w:r>
      <w:r w:rsidRPr="00AE3A33">
        <w:t xml:space="preserve">, </w:t>
      </w:r>
      <w:r w:rsidR="000C470D">
        <w:t xml:space="preserve">keďže </w:t>
      </w:r>
      <w:r w:rsidRPr="00AE3A33">
        <w:t>spomalenie ekonomiky sa ešte neprejavilo na trhu práce. Plánovaný výber</w:t>
      </w:r>
      <w:r>
        <w:t xml:space="preserve"> by mal rásť </w:t>
      </w:r>
      <w:r w:rsidRPr="00AE3A33">
        <w:t xml:space="preserve">aj v roku 2020 a je prognózovaný v objeme 12 733 509 tis. eur, </w:t>
      </w:r>
      <w:r>
        <w:t xml:space="preserve">čo medziročne </w:t>
      </w:r>
      <w:r w:rsidRPr="00AE3A33">
        <w:t>predstavuje rast o 558</w:t>
      </w:r>
      <w:r>
        <w:t> </w:t>
      </w:r>
      <w:r w:rsidRPr="00AE3A33">
        <w:t>99</w:t>
      </w:r>
      <w:r>
        <w:t xml:space="preserve">2 tis. eur </w:t>
      </w:r>
      <w:r w:rsidR="00236428">
        <w:t xml:space="preserve">oproti RVS na rok 2019 </w:t>
      </w:r>
      <w:r w:rsidRPr="00AE3A33">
        <w:t>(o 4,6 %).</w:t>
      </w:r>
      <w:r>
        <w:t xml:space="preserve"> Z toho sociálne odvody o </w:t>
      </w:r>
      <w:r w:rsidRPr="008D2E97">
        <w:t>369</w:t>
      </w:r>
      <w:r>
        <w:t> </w:t>
      </w:r>
      <w:r w:rsidRPr="008D2E97">
        <w:t>071</w:t>
      </w:r>
      <w:r>
        <w:t xml:space="preserve"> tis. eur a zdravotné odvody o</w:t>
      </w:r>
      <w:r w:rsidRPr="008D2E97">
        <w:t>189</w:t>
      </w:r>
      <w:r>
        <w:t> </w:t>
      </w:r>
      <w:r w:rsidRPr="008D2E97">
        <w:t>921</w:t>
      </w:r>
      <w:r>
        <w:t xml:space="preserve"> tis. eur. Prognóza naplnenia príjmov zo sociálnych odvodov je postavená na optimistickom scenári, že makroekonomické faktory zasiahnu trh práce len postupne a neprejavia sa naplno. Stále sa ráta s rastom priemernej mzdy. Rast odvodov bol každoročne základom príjmovej stránky rozpočtu. Pri tvorbe rozpočtu, revízia mzdovej bázy znížila odhad </w:t>
      </w:r>
      <w:r w:rsidRPr="00DA5C66">
        <w:t xml:space="preserve">sociálnych a zdravotných odvodov </w:t>
      </w:r>
      <w:r>
        <w:t>o 242 000 tis. eur oproti pôvodným predpokladom.</w:t>
      </w:r>
      <w:r w:rsidRPr="00E01A66">
        <w:t xml:space="preserve"> Legislatívne vplyvy majú len minimálny dopad na aktualizáciu p</w:t>
      </w:r>
      <w:r>
        <w:t xml:space="preserve">rognózy. Odhad vývoja predpokladá stagnáciu v roku 2019 a výraznejšie ochladenie </w:t>
      </w:r>
      <w:r>
        <w:lastRenderedPageBreak/>
        <w:t>pracovného trhu v </w:t>
      </w:r>
      <w:r w:rsidR="00312A4A">
        <w:t>roku 2020. Ú</w:t>
      </w:r>
      <w:r>
        <w:t xml:space="preserve">rady práce už dnes evidujú počet nahlásených hromadných prepúšťaní na úrovni roka 2015. </w:t>
      </w:r>
      <w:r w:rsidRPr="0032752B">
        <w:t>Slovenská ekonomika je otvorenou ekonomikou</w:t>
      </w:r>
      <w:r w:rsidR="0020663F">
        <w:t>,</w:t>
      </w:r>
      <w:r w:rsidRPr="0032752B">
        <w:t xml:space="preserve"> postavenou predovšetkým na domácom automobilovom priemysle, ktorý závisí od globálneho vývoja. V prípade pokračovania negatívneho vývoja a prepadu objednávok </w:t>
      </w:r>
      <w:r w:rsidR="00312A4A">
        <w:t>môže</w:t>
      </w:r>
      <w:r w:rsidRPr="0032752B">
        <w:t xml:space="preserve"> </w:t>
      </w:r>
      <w:r w:rsidR="00312A4A">
        <w:t>s</w:t>
      </w:r>
      <w:r w:rsidRPr="0032752B">
        <w:t>lovenský pracovný trh</w:t>
      </w:r>
      <w:r>
        <w:t xml:space="preserve"> reagovať</w:t>
      </w:r>
      <w:r w:rsidRPr="0032752B">
        <w:t xml:space="preserve"> pokles</w:t>
      </w:r>
      <w:r w:rsidR="00312A4A">
        <w:t>om</w:t>
      </w:r>
      <w:r w:rsidRPr="0032752B">
        <w:t xml:space="preserve"> zamestnanosti. Pretrváva tak riziko, že prognóza výnosov poistných </w:t>
      </w:r>
      <w:r>
        <w:t>odvodov je optimistická.</w:t>
      </w:r>
    </w:p>
    <w:p w14:paraId="1D0DB9D5" w14:textId="5C084F20" w:rsidR="00546CD8" w:rsidRDefault="00546CD8" w:rsidP="003B541D">
      <w:pPr>
        <w:spacing w:before="120" w:after="120"/>
        <w:ind w:firstLine="851"/>
        <w:jc w:val="both"/>
        <w:rPr>
          <w:b/>
        </w:rPr>
      </w:pPr>
      <w:r>
        <w:rPr>
          <w:b/>
        </w:rPr>
        <w:t>Rizikom prognózovania príjmov VS sa javí makroekonomický vývoj</w:t>
      </w:r>
      <w:r w:rsidR="0020663F">
        <w:rPr>
          <w:b/>
        </w:rPr>
        <w:t>,</w:t>
      </w:r>
      <w:r>
        <w:rPr>
          <w:b/>
        </w:rPr>
        <w:t xml:space="preserve"> a tiež </w:t>
      </w:r>
      <w:r w:rsidR="00E06664">
        <w:rPr>
          <w:b/>
        </w:rPr>
        <w:t>navrhované alebo schválené</w:t>
      </w:r>
      <w:r>
        <w:rPr>
          <w:b/>
        </w:rPr>
        <w:t xml:space="preserve"> legislatívne opatrenia</w:t>
      </w:r>
      <w:r w:rsidR="00186DC7">
        <w:rPr>
          <w:b/>
        </w:rPr>
        <w:t>,</w:t>
      </w:r>
      <w:r>
        <w:rPr>
          <w:b/>
        </w:rPr>
        <w:t xml:space="preserve"> pri ktorých nie sú vyčíslené dopady na rozpočet VS.</w:t>
      </w:r>
    </w:p>
    <w:p w14:paraId="329ED295" w14:textId="77777777" w:rsidR="004C748F" w:rsidRDefault="00FF7627" w:rsidP="0053313A">
      <w:pPr>
        <w:pStyle w:val="Nadpis2"/>
      </w:pPr>
      <w:bookmarkStart w:id="17" w:name="_Toc480788317"/>
      <w:bookmarkStart w:id="18" w:name="_Toc24098443"/>
      <w:r w:rsidRPr="000F48CC">
        <w:t>2</w:t>
      </w:r>
      <w:r w:rsidR="008B401F" w:rsidRPr="000F48CC">
        <w:t>.</w:t>
      </w:r>
      <w:r w:rsidRPr="000F48CC">
        <w:t>2</w:t>
      </w:r>
      <w:r w:rsidR="008B401F" w:rsidRPr="000F48CC">
        <w:tab/>
      </w:r>
      <w:r w:rsidR="008A37C0">
        <w:t xml:space="preserve"> </w:t>
      </w:r>
      <w:r w:rsidR="0011162C">
        <w:t>Fiškálny rámec návrhu RVS</w:t>
      </w:r>
      <w:bookmarkEnd w:id="17"/>
      <w:bookmarkEnd w:id="18"/>
    </w:p>
    <w:p w14:paraId="12016C6F" w14:textId="77777777" w:rsidR="00546CD8" w:rsidRPr="00E83BB5" w:rsidRDefault="00546CD8" w:rsidP="003B541D">
      <w:pPr>
        <w:spacing w:before="120" w:after="120"/>
        <w:ind w:firstLine="709"/>
        <w:jc w:val="both"/>
        <w:rPr>
          <w:rFonts w:eastAsia="Calibri"/>
          <w:strike/>
        </w:rPr>
      </w:pPr>
      <w:r w:rsidRPr="00FC2024">
        <w:rPr>
          <w:rFonts w:eastAsia="Calibri"/>
        </w:rPr>
        <w:t>Podľa predbežných výsledkov hospodárenia deficit VS v metodike ESA 2010 dosiahne za rok 2019 úroveň  0,68</w:t>
      </w:r>
      <w:r>
        <w:rPr>
          <w:rFonts w:eastAsia="Calibri"/>
        </w:rPr>
        <w:t xml:space="preserve"> % HDP.</w:t>
      </w:r>
      <w:r w:rsidRPr="00FC2024">
        <w:rPr>
          <w:rFonts w:eastAsia="Calibri"/>
        </w:rPr>
        <w:t xml:space="preserve"> Rozpočet na rok 2019 bol plánovaný </w:t>
      </w:r>
      <w:r>
        <w:rPr>
          <w:rFonts w:eastAsia="Calibri"/>
        </w:rPr>
        <w:t>ako vyrovnaný. Z</w:t>
      </w:r>
      <w:r w:rsidRPr="00FC2024">
        <w:rPr>
          <w:rFonts w:eastAsia="Calibri"/>
          <w:bCs/>
        </w:rPr>
        <w:t xml:space="preserve">namená to, že </w:t>
      </w:r>
      <w:r w:rsidRPr="00FC2024">
        <w:rPr>
          <w:rFonts w:eastAsia="Calibri"/>
        </w:rPr>
        <w:t xml:space="preserve">kľúčový cieľ rozpočtu VS na rok 2019 nebude splnený. </w:t>
      </w:r>
      <w:r w:rsidRPr="00FC2024">
        <w:rPr>
          <w:rFonts w:eastAsia="Calibri"/>
          <w:b/>
        </w:rPr>
        <w:t xml:space="preserve">Pri takomto východiskovom stave je schodok RVS na rok 2020 naplánovaný </w:t>
      </w:r>
      <w:r w:rsidRPr="00845542">
        <w:rPr>
          <w:rFonts w:eastAsia="Calibri"/>
          <w:b/>
        </w:rPr>
        <w:t>na úrovni 0,49 % HDP, pričom RVS na roky 2019 až 2021 rátal v roku 2020 s prebytkom vo výške</w:t>
      </w:r>
      <w:r w:rsidR="00E35FB9">
        <w:rPr>
          <w:rFonts w:eastAsia="Calibri"/>
          <w:b/>
        </w:rPr>
        <w:t xml:space="preserve"> </w:t>
      </w:r>
      <w:r w:rsidRPr="00845542">
        <w:rPr>
          <w:rFonts w:eastAsia="Calibri"/>
          <w:b/>
        </w:rPr>
        <w:t>0,1 % HDP.</w:t>
      </w:r>
    </w:p>
    <w:p w14:paraId="5BA98AAE" w14:textId="7E2D40D9" w:rsidR="00546CD8" w:rsidRDefault="00E35FB9" w:rsidP="00E35FB9">
      <w:pPr>
        <w:spacing w:before="120" w:after="120"/>
        <w:ind w:firstLine="709"/>
        <w:rPr>
          <w:bCs/>
        </w:rPr>
      </w:pPr>
      <w:r>
        <w:rPr>
          <w:bCs/>
        </w:rPr>
        <w:t>V nasledujúcej tabuľke je uvedený v</w:t>
      </w:r>
      <w:r w:rsidR="00546CD8">
        <w:rPr>
          <w:bCs/>
        </w:rPr>
        <w:t>ývoj schodku</w:t>
      </w:r>
      <w:r w:rsidR="00546CD8" w:rsidRPr="004360A5">
        <w:rPr>
          <w:bCs/>
        </w:rPr>
        <w:t xml:space="preserve"> </w:t>
      </w:r>
      <w:r w:rsidR="00236428">
        <w:rPr>
          <w:bCs/>
        </w:rPr>
        <w:t>VS v rokoch 2017</w:t>
      </w:r>
      <w:r w:rsidR="00546CD8" w:rsidRPr="004360A5">
        <w:rPr>
          <w:bCs/>
        </w:rPr>
        <w:t xml:space="preserve"> až 20</w:t>
      </w:r>
      <w:r>
        <w:rPr>
          <w:bCs/>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1"/>
        <w:gridCol w:w="778"/>
        <w:gridCol w:w="993"/>
        <w:gridCol w:w="854"/>
        <w:gridCol w:w="864"/>
        <w:gridCol w:w="854"/>
        <w:gridCol w:w="1032"/>
        <w:gridCol w:w="1030"/>
      </w:tblGrid>
      <w:tr w:rsidR="00236428" w:rsidRPr="004360A5" w14:paraId="20808D9B" w14:textId="77777777" w:rsidTr="00236428">
        <w:trPr>
          <w:trHeight w:val="267"/>
          <w:tblHeader/>
        </w:trPr>
        <w:tc>
          <w:tcPr>
            <w:tcW w:w="1573" w:type="pct"/>
            <w:tcBorders>
              <w:right w:val="single" w:sz="4" w:space="0" w:color="FFFFFF" w:themeColor="background1"/>
            </w:tcBorders>
            <w:shd w:val="clear" w:color="auto" w:fill="0070C0"/>
            <w:noWrap/>
            <w:vAlign w:val="center"/>
            <w:hideMark/>
          </w:tcPr>
          <w:p w14:paraId="123A236F" w14:textId="77777777" w:rsidR="00236428" w:rsidRPr="004360A5" w:rsidRDefault="00236428" w:rsidP="00511FAF">
            <w:pPr>
              <w:rPr>
                <w:b/>
                <w:bCs/>
                <w:color w:val="FFFFFF"/>
                <w:sz w:val="20"/>
                <w:szCs w:val="20"/>
              </w:rPr>
            </w:pPr>
            <w:r w:rsidRPr="004360A5">
              <w:rPr>
                <w:b/>
                <w:bCs/>
                <w:color w:val="FFFFFF"/>
                <w:sz w:val="20"/>
                <w:szCs w:val="20"/>
              </w:rPr>
              <w:t>Schodok VS</w:t>
            </w:r>
          </w:p>
          <w:p w14:paraId="5B6E1437" w14:textId="77777777" w:rsidR="00236428" w:rsidRPr="004360A5" w:rsidRDefault="00236428" w:rsidP="00511FAF">
            <w:pPr>
              <w:rPr>
                <w:b/>
                <w:bCs/>
                <w:color w:val="FFFFFF"/>
                <w:sz w:val="20"/>
                <w:szCs w:val="20"/>
              </w:rPr>
            </w:pPr>
            <w:r w:rsidRPr="004360A5">
              <w:rPr>
                <w:b/>
                <w:bCs/>
                <w:color w:val="FFFFFF"/>
                <w:sz w:val="20"/>
                <w:szCs w:val="20"/>
              </w:rPr>
              <w:t>(ESA 2010, v mil. eur)</w:t>
            </w:r>
          </w:p>
        </w:tc>
        <w:tc>
          <w:tcPr>
            <w:tcW w:w="416" w:type="pct"/>
            <w:tcBorders>
              <w:left w:val="single" w:sz="4" w:space="0" w:color="FFFFFF" w:themeColor="background1"/>
              <w:right w:val="single" w:sz="4" w:space="0" w:color="FFFFFF" w:themeColor="background1"/>
            </w:tcBorders>
            <w:shd w:val="clear" w:color="auto" w:fill="0070C0"/>
            <w:noWrap/>
            <w:vAlign w:val="center"/>
            <w:hideMark/>
          </w:tcPr>
          <w:p w14:paraId="08CDA7AE" w14:textId="77777777" w:rsidR="00236428" w:rsidRPr="004360A5" w:rsidRDefault="00236428" w:rsidP="00511FAF">
            <w:pPr>
              <w:jc w:val="center"/>
              <w:rPr>
                <w:b/>
                <w:bCs/>
                <w:color w:val="FFFFFF"/>
                <w:sz w:val="20"/>
                <w:szCs w:val="20"/>
              </w:rPr>
            </w:pPr>
            <w:r w:rsidRPr="004360A5">
              <w:rPr>
                <w:b/>
                <w:bCs/>
                <w:color w:val="FFFFFF"/>
                <w:sz w:val="20"/>
                <w:szCs w:val="20"/>
              </w:rPr>
              <w:t>201</w:t>
            </w:r>
            <w:r>
              <w:rPr>
                <w:b/>
                <w:bCs/>
                <w:color w:val="FFFFFF"/>
                <w:sz w:val="20"/>
                <w:szCs w:val="20"/>
              </w:rPr>
              <w:t>7</w:t>
            </w:r>
          </w:p>
        </w:tc>
        <w:tc>
          <w:tcPr>
            <w:tcW w:w="531" w:type="pct"/>
            <w:tcBorders>
              <w:left w:val="single" w:sz="4" w:space="0" w:color="FFFFFF" w:themeColor="background1"/>
              <w:right w:val="single" w:sz="4" w:space="0" w:color="FFFFFF" w:themeColor="background1"/>
            </w:tcBorders>
            <w:shd w:val="clear" w:color="auto" w:fill="0070C0"/>
            <w:noWrap/>
            <w:vAlign w:val="center"/>
            <w:hideMark/>
          </w:tcPr>
          <w:p w14:paraId="54A68697" w14:textId="77777777" w:rsidR="00236428" w:rsidRPr="004360A5" w:rsidRDefault="00236428" w:rsidP="00511FAF">
            <w:pPr>
              <w:jc w:val="center"/>
              <w:rPr>
                <w:b/>
                <w:bCs/>
                <w:color w:val="FFFFFF"/>
                <w:sz w:val="20"/>
                <w:szCs w:val="20"/>
              </w:rPr>
            </w:pPr>
            <w:r w:rsidRPr="004360A5">
              <w:rPr>
                <w:b/>
                <w:bCs/>
                <w:color w:val="FFFFFF"/>
                <w:sz w:val="20"/>
                <w:szCs w:val="20"/>
              </w:rPr>
              <w:t>201</w:t>
            </w:r>
            <w:r>
              <w:rPr>
                <w:b/>
                <w:bCs/>
                <w:color w:val="FFFFFF"/>
                <w:sz w:val="20"/>
                <w:szCs w:val="20"/>
              </w:rPr>
              <w:t>8</w:t>
            </w:r>
            <w:r w:rsidRPr="004360A5">
              <w:rPr>
                <w:b/>
                <w:bCs/>
                <w:color w:val="FFFFFF"/>
                <w:sz w:val="20"/>
                <w:szCs w:val="20"/>
              </w:rPr>
              <w:t xml:space="preserve"> </w:t>
            </w:r>
          </w:p>
        </w:tc>
        <w:tc>
          <w:tcPr>
            <w:tcW w:w="457" w:type="pct"/>
            <w:tcBorders>
              <w:left w:val="single" w:sz="4" w:space="0" w:color="FFFFFF" w:themeColor="background1"/>
              <w:right w:val="single" w:sz="4" w:space="0" w:color="FFFFFF" w:themeColor="background1"/>
            </w:tcBorders>
            <w:shd w:val="clear" w:color="auto" w:fill="0070C0"/>
            <w:noWrap/>
            <w:vAlign w:val="center"/>
            <w:hideMark/>
          </w:tcPr>
          <w:p w14:paraId="13863A88" w14:textId="77777777" w:rsidR="00236428" w:rsidRPr="000B3B7E" w:rsidRDefault="00236428" w:rsidP="00511FAF">
            <w:pPr>
              <w:jc w:val="center"/>
              <w:rPr>
                <w:b/>
                <w:bCs/>
                <w:color w:val="FFFFFF"/>
                <w:sz w:val="18"/>
                <w:szCs w:val="18"/>
              </w:rPr>
            </w:pPr>
            <w:r w:rsidRPr="000B3B7E">
              <w:rPr>
                <w:b/>
                <w:bCs/>
                <w:color w:val="FFFFFF"/>
                <w:sz w:val="18"/>
                <w:szCs w:val="18"/>
              </w:rPr>
              <w:t>2019 RVS</w:t>
            </w:r>
          </w:p>
        </w:tc>
        <w:tc>
          <w:tcPr>
            <w:tcW w:w="462" w:type="pct"/>
            <w:tcBorders>
              <w:left w:val="single" w:sz="4" w:space="0" w:color="FFFFFF" w:themeColor="background1"/>
              <w:right w:val="single" w:sz="4" w:space="0" w:color="FFFFFF" w:themeColor="background1"/>
            </w:tcBorders>
            <w:shd w:val="clear" w:color="auto" w:fill="0070C0"/>
            <w:vAlign w:val="center"/>
          </w:tcPr>
          <w:p w14:paraId="1F80278F" w14:textId="77777777" w:rsidR="00236428" w:rsidRPr="000B3B7E" w:rsidRDefault="00236428" w:rsidP="00511FAF">
            <w:pPr>
              <w:jc w:val="center"/>
              <w:rPr>
                <w:b/>
                <w:bCs/>
                <w:color w:val="FFFFFF"/>
                <w:sz w:val="18"/>
                <w:szCs w:val="18"/>
              </w:rPr>
            </w:pPr>
            <w:r w:rsidRPr="000B3B7E">
              <w:rPr>
                <w:b/>
                <w:bCs/>
                <w:color w:val="FFFFFF"/>
                <w:sz w:val="18"/>
                <w:szCs w:val="18"/>
              </w:rPr>
              <w:t xml:space="preserve">2019 </w:t>
            </w:r>
            <w:r>
              <w:rPr>
                <w:b/>
                <w:bCs/>
                <w:color w:val="FFFFFF"/>
                <w:sz w:val="18"/>
                <w:szCs w:val="18"/>
              </w:rPr>
              <w:t>OS</w:t>
            </w:r>
          </w:p>
        </w:tc>
        <w:tc>
          <w:tcPr>
            <w:tcW w:w="457" w:type="pct"/>
            <w:tcBorders>
              <w:left w:val="single" w:sz="4" w:space="0" w:color="FFFFFF" w:themeColor="background1"/>
              <w:right w:val="single" w:sz="4" w:space="0" w:color="FFFFFF" w:themeColor="background1"/>
            </w:tcBorders>
            <w:shd w:val="clear" w:color="auto" w:fill="0070C0"/>
            <w:noWrap/>
            <w:vAlign w:val="center"/>
            <w:hideMark/>
          </w:tcPr>
          <w:p w14:paraId="127A5C9D" w14:textId="77777777" w:rsidR="00236428" w:rsidRPr="000B3B7E" w:rsidRDefault="00236428" w:rsidP="00511FAF">
            <w:pPr>
              <w:jc w:val="center"/>
              <w:rPr>
                <w:b/>
                <w:bCs/>
                <w:color w:val="FFFFFF"/>
                <w:sz w:val="18"/>
                <w:szCs w:val="18"/>
              </w:rPr>
            </w:pPr>
            <w:r w:rsidRPr="000B3B7E">
              <w:rPr>
                <w:b/>
                <w:bCs/>
                <w:color w:val="FFFFFF"/>
                <w:sz w:val="18"/>
                <w:szCs w:val="18"/>
              </w:rPr>
              <w:t>2020 RVS</w:t>
            </w:r>
          </w:p>
        </w:tc>
        <w:tc>
          <w:tcPr>
            <w:tcW w:w="552" w:type="pct"/>
            <w:tcBorders>
              <w:left w:val="single" w:sz="4" w:space="0" w:color="FFFFFF" w:themeColor="background1"/>
              <w:right w:val="single" w:sz="4" w:space="0" w:color="FFFFFF" w:themeColor="background1"/>
            </w:tcBorders>
            <w:shd w:val="clear" w:color="auto" w:fill="0070C0"/>
            <w:vAlign w:val="center"/>
          </w:tcPr>
          <w:p w14:paraId="7B3FA755" w14:textId="77777777" w:rsidR="00236428" w:rsidRPr="00D60BA6" w:rsidRDefault="00236428" w:rsidP="00511FAF">
            <w:pPr>
              <w:jc w:val="center"/>
              <w:rPr>
                <w:b/>
                <w:bCs/>
                <w:color w:val="FFFFFF"/>
                <w:sz w:val="18"/>
                <w:szCs w:val="18"/>
              </w:rPr>
            </w:pPr>
            <w:r w:rsidRPr="00D60BA6">
              <w:rPr>
                <w:b/>
                <w:bCs/>
                <w:color w:val="FFFFFF"/>
                <w:sz w:val="18"/>
                <w:szCs w:val="18"/>
              </w:rPr>
              <w:t xml:space="preserve">2021 </w:t>
            </w:r>
            <w:r>
              <w:rPr>
                <w:b/>
                <w:bCs/>
                <w:color w:val="FFFFFF"/>
                <w:sz w:val="18"/>
                <w:szCs w:val="18"/>
              </w:rPr>
              <w:t xml:space="preserve"> </w:t>
            </w:r>
            <w:r w:rsidRPr="00D60BA6">
              <w:rPr>
                <w:b/>
                <w:bCs/>
                <w:color w:val="FFFFFF"/>
                <w:sz w:val="18"/>
                <w:szCs w:val="18"/>
              </w:rPr>
              <w:t>RVS</w:t>
            </w:r>
          </w:p>
        </w:tc>
        <w:tc>
          <w:tcPr>
            <w:tcW w:w="551" w:type="pct"/>
            <w:tcBorders>
              <w:left w:val="single" w:sz="4" w:space="0" w:color="FFFFFF" w:themeColor="background1"/>
            </w:tcBorders>
            <w:shd w:val="clear" w:color="auto" w:fill="0070C0"/>
            <w:vAlign w:val="center"/>
          </w:tcPr>
          <w:p w14:paraId="54035FD7" w14:textId="77777777" w:rsidR="00236428" w:rsidRPr="000B3B7E" w:rsidRDefault="00236428" w:rsidP="00511FAF">
            <w:pPr>
              <w:jc w:val="center"/>
              <w:rPr>
                <w:b/>
                <w:bCs/>
                <w:color w:val="FFFFFF"/>
                <w:sz w:val="16"/>
                <w:szCs w:val="16"/>
              </w:rPr>
            </w:pPr>
            <w:r w:rsidRPr="000B3B7E">
              <w:rPr>
                <w:b/>
                <w:bCs/>
                <w:color w:val="FFFFFF"/>
                <w:sz w:val="16"/>
                <w:szCs w:val="16"/>
              </w:rPr>
              <w:t xml:space="preserve">Rozdiel </w:t>
            </w:r>
            <w:r>
              <w:rPr>
                <w:b/>
                <w:bCs/>
                <w:color w:val="FFFFFF"/>
                <w:sz w:val="16"/>
                <w:szCs w:val="16"/>
              </w:rPr>
              <w:t xml:space="preserve">        </w:t>
            </w:r>
            <w:r w:rsidRPr="000B3B7E">
              <w:rPr>
                <w:b/>
                <w:bCs/>
                <w:color w:val="FFFFFF"/>
                <w:sz w:val="16"/>
                <w:szCs w:val="16"/>
              </w:rPr>
              <w:t>20</w:t>
            </w:r>
            <w:r>
              <w:rPr>
                <w:b/>
                <w:bCs/>
                <w:color w:val="FFFFFF"/>
                <w:sz w:val="16"/>
                <w:szCs w:val="16"/>
              </w:rPr>
              <w:t>20</w:t>
            </w:r>
            <w:r w:rsidRPr="000B3B7E">
              <w:rPr>
                <w:b/>
                <w:bCs/>
                <w:color w:val="FFFFFF"/>
                <w:sz w:val="16"/>
                <w:szCs w:val="16"/>
              </w:rPr>
              <w:t xml:space="preserve"> RVS</w:t>
            </w:r>
            <w:r>
              <w:rPr>
                <w:b/>
                <w:bCs/>
                <w:color w:val="FFFFFF"/>
                <w:sz w:val="16"/>
                <w:szCs w:val="16"/>
              </w:rPr>
              <w:t xml:space="preserve"> </w:t>
            </w:r>
            <w:r w:rsidRPr="000B3B7E">
              <w:rPr>
                <w:b/>
                <w:bCs/>
                <w:color w:val="FFFFFF"/>
                <w:sz w:val="16"/>
                <w:szCs w:val="16"/>
              </w:rPr>
              <w:t xml:space="preserve">  20</w:t>
            </w:r>
            <w:r>
              <w:rPr>
                <w:b/>
                <w:bCs/>
                <w:color w:val="FFFFFF"/>
                <w:sz w:val="16"/>
                <w:szCs w:val="16"/>
              </w:rPr>
              <w:t>19</w:t>
            </w:r>
            <w:r w:rsidRPr="000B3B7E">
              <w:rPr>
                <w:b/>
                <w:bCs/>
                <w:color w:val="FFFFFF"/>
                <w:sz w:val="16"/>
                <w:szCs w:val="16"/>
              </w:rPr>
              <w:t xml:space="preserve"> OS</w:t>
            </w:r>
          </w:p>
        </w:tc>
      </w:tr>
      <w:tr w:rsidR="00236428" w:rsidRPr="004360A5" w14:paraId="06B3E1C7" w14:textId="77777777" w:rsidTr="00236428">
        <w:trPr>
          <w:trHeight w:val="257"/>
        </w:trPr>
        <w:tc>
          <w:tcPr>
            <w:tcW w:w="1573" w:type="pct"/>
            <w:shd w:val="clear" w:color="auto" w:fill="auto"/>
            <w:noWrap/>
            <w:vAlign w:val="center"/>
            <w:hideMark/>
          </w:tcPr>
          <w:p w14:paraId="7EC52642" w14:textId="77777777" w:rsidR="00236428" w:rsidRPr="00D60BA6" w:rsidRDefault="00236428" w:rsidP="00511FAF">
            <w:pPr>
              <w:rPr>
                <w:sz w:val="20"/>
                <w:szCs w:val="20"/>
              </w:rPr>
            </w:pPr>
            <w:r w:rsidRPr="00D60BA6">
              <w:rPr>
                <w:sz w:val="20"/>
                <w:szCs w:val="20"/>
              </w:rPr>
              <w:t>Príjmy spolu</w:t>
            </w:r>
          </w:p>
        </w:tc>
        <w:tc>
          <w:tcPr>
            <w:tcW w:w="416" w:type="pct"/>
            <w:shd w:val="clear" w:color="auto" w:fill="auto"/>
            <w:noWrap/>
            <w:vAlign w:val="center"/>
            <w:hideMark/>
          </w:tcPr>
          <w:p w14:paraId="22EBB40E" w14:textId="77777777" w:rsidR="00236428" w:rsidRPr="00D60BA6" w:rsidRDefault="00236428" w:rsidP="00511FAF">
            <w:pPr>
              <w:jc w:val="right"/>
              <w:rPr>
                <w:sz w:val="20"/>
                <w:szCs w:val="20"/>
              </w:rPr>
            </w:pPr>
            <w:r w:rsidRPr="00D60BA6">
              <w:rPr>
                <w:sz w:val="20"/>
                <w:szCs w:val="20"/>
              </w:rPr>
              <w:t>34 221</w:t>
            </w:r>
          </w:p>
        </w:tc>
        <w:tc>
          <w:tcPr>
            <w:tcW w:w="531" w:type="pct"/>
            <w:shd w:val="clear" w:color="auto" w:fill="auto"/>
            <w:noWrap/>
            <w:vAlign w:val="center"/>
            <w:hideMark/>
          </w:tcPr>
          <w:p w14:paraId="47673DF9" w14:textId="77777777" w:rsidR="00236428" w:rsidRPr="00D60BA6" w:rsidRDefault="00236428" w:rsidP="00511FAF">
            <w:pPr>
              <w:jc w:val="right"/>
              <w:rPr>
                <w:sz w:val="20"/>
                <w:szCs w:val="20"/>
              </w:rPr>
            </w:pPr>
            <w:r w:rsidRPr="00D60BA6">
              <w:rPr>
                <w:sz w:val="20"/>
                <w:szCs w:val="20"/>
              </w:rPr>
              <w:t>36 570</w:t>
            </w:r>
          </w:p>
        </w:tc>
        <w:tc>
          <w:tcPr>
            <w:tcW w:w="457" w:type="pct"/>
            <w:shd w:val="clear" w:color="auto" w:fill="auto"/>
            <w:noWrap/>
            <w:vAlign w:val="center"/>
            <w:hideMark/>
          </w:tcPr>
          <w:p w14:paraId="5EC15ED5" w14:textId="77777777" w:rsidR="00236428" w:rsidRPr="00573CA2" w:rsidRDefault="00236428" w:rsidP="00511FAF">
            <w:pPr>
              <w:jc w:val="right"/>
              <w:rPr>
                <w:sz w:val="20"/>
                <w:szCs w:val="20"/>
              </w:rPr>
            </w:pPr>
            <w:r w:rsidRPr="00573CA2">
              <w:rPr>
                <w:sz w:val="20"/>
                <w:szCs w:val="20"/>
              </w:rPr>
              <w:t>37 216</w:t>
            </w:r>
          </w:p>
        </w:tc>
        <w:tc>
          <w:tcPr>
            <w:tcW w:w="462" w:type="pct"/>
            <w:vAlign w:val="center"/>
          </w:tcPr>
          <w:p w14:paraId="3B60085E" w14:textId="77777777" w:rsidR="00236428" w:rsidRPr="00D60BA6" w:rsidRDefault="00236428" w:rsidP="00511FAF">
            <w:pPr>
              <w:jc w:val="right"/>
              <w:rPr>
                <w:sz w:val="20"/>
                <w:szCs w:val="20"/>
              </w:rPr>
            </w:pPr>
            <w:r w:rsidRPr="00D60BA6">
              <w:rPr>
                <w:sz w:val="20"/>
                <w:szCs w:val="20"/>
              </w:rPr>
              <w:t>37 740</w:t>
            </w:r>
          </w:p>
        </w:tc>
        <w:tc>
          <w:tcPr>
            <w:tcW w:w="457" w:type="pct"/>
            <w:shd w:val="clear" w:color="auto" w:fill="auto"/>
            <w:noWrap/>
            <w:vAlign w:val="center"/>
            <w:hideMark/>
          </w:tcPr>
          <w:p w14:paraId="6E2DC2B5" w14:textId="77777777" w:rsidR="00236428" w:rsidRPr="00D60BA6" w:rsidRDefault="00236428" w:rsidP="00511FAF">
            <w:pPr>
              <w:jc w:val="right"/>
              <w:rPr>
                <w:sz w:val="20"/>
                <w:szCs w:val="20"/>
              </w:rPr>
            </w:pPr>
            <w:r w:rsidRPr="00D60BA6">
              <w:rPr>
                <w:sz w:val="20"/>
                <w:szCs w:val="20"/>
              </w:rPr>
              <w:t>38 866</w:t>
            </w:r>
          </w:p>
        </w:tc>
        <w:tc>
          <w:tcPr>
            <w:tcW w:w="552" w:type="pct"/>
            <w:vAlign w:val="center"/>
          </w:tcPr>
          <w:p w14:paraId="6C937B4F" w14:textId="77777777" w:rsidR="00236428" w:rsidRPr="00D60BA6" w:rsidRDefault="00236428" w:rsidP="00511FAF">
            <w:pPr>
              <w:jc w:val="right"/>
              <w:rPr>
                <w:sz w:val="20"/>
                <w:szCs w:val="20"/>
              </w:rPr>
            </w:pPr>
            <w:r w:rsidRPr="00D60BA6">
              <w:rPr>
                <w:sz w:val="20"/>
                <w:szCs w:val="20"/>
              </w:rPr>
              <w:t>40 428</w:t>
            </w:r>
          </w:p>
        </w:tc>
        <w:tc>
          <w:tcPr>
            <w:tcW w:w="551" w:type="pct"/>
            <w:vAlign w:val="center"/>
          </w:tcPr>
          <w:p w14:paraId="70EE72B8" w14:textId="77777777" w:rsidR="00236428" w:rsidRPr="00D60BA6" w:rsidRDefault="00236428" w:rsidP="00511FAF">
            <w:pPr>
              <w:jc w:val="right"/>
              <w:rPr>
                <w:sz w:val="20"/>
                <w:szCs w:val="20"/>
              </w:rPr>
            </w:pPr>
            <w:r w:rsidRPr="00D60BA6">
              <w:rPr>
                <w:sz w:val="20"/>
                <w:szCs w:val="20"/>
              </w:rPr>
              <w:t>1 126</w:t>
            </w:r>
          </w:p>
        </w:tc>
      </w:tr>
      <w:tr w:rsidR="00236428" w:rsidRPr="004360A5" w14:paraId="69F6439A" w14:textId="77777777" w:rsidTr="00236428">
        <w:trPr>
          <w:trHeight w:val="257"/>
        </w:trPr>
        <w:tc>
          <w:tcPr>
            <w:tcW w:w="1573" w:type="pct"/>
            <w:shd w:val="clear" w:color="auto" w:fill="auto"/>
            <w:noWrap/>
            <w:vAlign w:val="center"/>
            <w:hideMark/>
          </w:tcPr>
          <w:p w14:paraId="3DE9362E" w14:textId="77777777" w:rsidR="00236428" w:rsidRPr="00D60BA6" w:rsidRDefault="00236428" w:rsidP="00511FAF">
            <w:pPr>
              <w:rPr>
                <w:sz w:val="20"/>
                <w:szCs w:val="20"/>
              </w:rPr>
            </w:pPr>
            <w:r w:rsidRPr="00D60BA6">
              <w:rPr>
                <w:sz w:val="20"/>
                <w:szCs w:val="20"/>
              </w:rPr>
              <w:t>Výdavky spolu</w:t>
            </w:r>
          </w:p>
        </w:tc>
        <w:tc>
          <w:tcPr>
            <w:tcW w:w="416" w:type="pct"/>
            <w:shd w:val="clear" w:color="auto" w:fill="auto"/>
            <w:noWrap/>
            <w:vAlign w:val="bottom"/>
            <w:hideMark/>
          </w:tcPr>
          <w:p w14:paraId="622FCF62" w14:textId="77777777" w:rsidR="00236428" w:rsidRPr="00D60BA6" w:rsidRDefault="00236428" w:rsidP="00511FAF">
            <w:pPr>
              <w:jc w:val="right"/>
              <w:rPr>
                <w:color w:val="000000"/>
                <w:sz w:val="20"/>
                <w:szCs w:val="20"/>
              </w:rPr>
            </w:pPr>
            <w:r w:rsidRPr="00D60BA6">
              <w:rPr>
                <w:color w:val="000000"/>
                <w:sz w:val="20"/>
                <w:szCs w:val="20"/>
              </w:rPr>
              <w:t>35 026</w:t>
            </w:r>
          </w:p>
        </w:tc>
        <w:tc>
          <w:tcPr>
            <w:tcW w:w="531" w:type="pct"/>
            <w:shd w:val="clear" w:color="auto" w:fill="auto"/>
            <w:noWrap/>
            <w:vAlign w:val="bottom"/>
            <w:hideMark/>
          </w:tcPr>
          <w:p w14:paraId="5F33BE89" w14:textId="77777777" w:rsidR="00236428" w:rsidRPr="00D60BA6" w:rsidRDefault="00236428" w:rsidP="00511FAF">
            <w:pPr>
              <w:jc w:val="right"/>
              <w:rPr>
                <w:color w:val="000000"/>
                <w:sz w:val="20"/>
                <w:szCs w:val="20"/>
              </w:rPr>
            </w:pPr>
            <w:r w:rsidRPr="00D60BA6">
              <w:rPr>
                <w:color w:val="000000"/>
                <w:sz w:val="20"/>
                <w:szCs w:val="20"/>
              </w:rPr>
              <w:t>37 521</w:t>
            </w:r>
          </w:p>
        </w:tc>
        <w:tc>
          <w:tcPr>
            <w:tcW w:w="457" w:type="pct"/>
            <w:shd w:val="clear" w:color="auto" w:fill="auto"/>
            <w:noWrap/>
            <w:vAlign w:val="bottom"/>
            <w:hideMark/>
          </w:tcPr>
          <w:p w14:paraId="5F21891A" w14:textId="77777777" w:rsidR="00236428" w:rsidRPr="00573CA2" w:rsidRDefault="00236428" w:rsidP="00511FAF">
            <w:pPr>
              <w:jc w:val="right"/>
              <w:rPr>
                <w:color w:val="000000"/>
                <w:sz w:val="20"/>
                <w:szCs w:val="20"/>
              </w:rPr>
            </w:pPr>
            <w:r w:rsidRPr="00573CA2">
              <w:rPr>
                <w:color w:val="000000"/>
                <w:sz w:val="20"/>
                <w:szCs w:val="20"/>
              </w:rPr>
              <w:t>37 216</w:t>
            </w:r>
          </w:p>
        </w:tc>
        <w:tc>
          <w:tcPr>
            <w:tcW w:w="462" w:type="pct"/>
            <w:vAlign w:val="bottom"/>
          </w:tcPr>
          <w:p w14:paraId="24958389" w14:textId="77777777" w:rsidR="00236428" w:rsidRPr="00D60BA6" w:rsidRDefault="00236428" w:rsidP="00511FAF">
            <w:pPr>
              <w:jc w:val="right"/>
              <w:rPr>
                <w:color w:val="000000"/>
                <w:sz w:val="20"/>
                <w:szCs w:val="20"/>
              </w:rPr>
            </w:pPr>
            <w:r w:rsidRPr="00D60BA6">
              <w:rPr>
                <w:color w:val="000000"/>
                <w:sz w:val="20"/>
                <w:szCs w:val="20"/>
              </w:rPr>
              <w:t>38 380</w:t>
            </w:r>
          </w:p>
        </w:tc>
        <w:tc>
          <w:tcPr>
            <w:tcW w:w="457" w:type="pct"/>
            <w:shd w:val="clear" w:color="auto" w:fill="auto"/>
            <w:noWrap/>
            <w:vAlign w:val="bottom"/>
            <w:hideMark/>
          </w:tcPr>
          <w:p w14:paraId="16E3F77D" w14:textId="77777777" w:rsidR="00236428" w:rsidRPr="00D60BA6" w:rsidRDefault="00236428" w:rsidP="00511FAF">
            <w:pPr>
              <w:jc w:val="right"/>
              <w:rPr>
                <w:color w:val="000000"/>
                <w:sz w:val="20"/>
                <w:szCs w:val="20"/>
              </w:rPr>
            </w:pPr>
            <w:r w:rsidRPr="00D60BA6">
              <w:rPr>
                <w:color w:val="000000"/>
                <w:sz w:val="20"/>
                <w:szCs w:val="20"/>
              </w:rPr>
              <w:t>39 346</w:t>
            </w:r>
          </w:p>
        </w:tc>
        <w:tc>
          <w:tcPr>
            <w:tcW w:w="552" w:type="pct"/>
            <w:vAlign w:val="bottom"/>
          </w:tcPr>
          <w:p w14:paraId="429A2C49" w14:textId="77777777" w:rsidR="00236428" w:rsidRPr="00D60BA6" w:rsidRDefault="00236428" w:rsidP="00511FAF">
            <w:pPr>
              <w:jc w:val="right"/>
              <w:rPr>
                <w:color w:val="000000"/>
                <w:sz w:val="20"/>
                <w:szCs w:val="20"/>
              </w:rPr>
            </w:pPr>
            <w:r w:rsidRPr="00D60BA6">
              <w:rPr>
                <w:color w:val="000000"/>
                <w:sz w:val="20"/>
                <w:szCs w:val="20"/>
              </w:rPr>
              <w:t>41 198</w:t>
            </w:r>
          </w:p>
        </w:tc>
        <w:tc>
          <w:tcPr>
            <w:tcW w:w="551" w:type="pct"/>
            <w:vAlign w:val="bottom"/>
          </w:tcPr>
          <w:p w14:paraId="2FA1B700" w14:textId="77777777" w:rsidR="00236428" w:rsidRPr="00D60BA6" w:rsidRDefault="00236428" w:rsidP="00511FAF">
            <w:pPr>
              <w:jc w:val="right"/>
              <w:rPr>
                <w:color w:val="000000"/>
                <w:sz w:val="20"/>
                <w:szCs w:val="20"/>
              </w:rPr>
            </w:pPr>
            <w:r w:rsidRPr="00D60BA6">
              <w:rPr>
                <w:color w:val="000000"/>
                <w:sz w:val="20"/>
                <w:szCs w:val="20"/>
              </w:rPr>
              <w:t>966</w:t>
            </w:r>
          </w:p>
        </w:tc>
      </w:tr>
      <w:tr w:rsidR="00236428" w:rsidRPr="004360A5" w14:paraId="606016BF" w14:textId="77777777" w:rsidTr="00236428">
        <w:trPr>
          <w:trHeight w:val="257"/>
        </w:trPr>
        <w:tc>
          <w:tcPr>
            <w:tcW w:w="1573" w:type="pct"/>
            <w:shd w:val="clear" w:color="auto" w:fill="auto"/>
            <w:noWrap/>
            <w:vAlign w:val="bottom"/>
            <w:hideMark/>
          </w:tcPr>
          <w:p w14:paraId="278C6B86" w14:textId="77777777" w:rsidR="00236428" w:rsidRPr="00D60BA6" w:rsidRDefault="00236428" w:rsidP="00511FAF">
            <w:pPr>
              <w:rPr>
                <w:b/>
                <w:bCs/>
                <w:sz w:val="20"/>
                <w:szCs w:val="20"/>
              </w:rPr>
            </w:pPr>
            <w:r w:rsidRPr="00D60BA6">
              <w:rPr>
                <w:b/>
                <w:bCs/>
                <w:sz w:val="20"/>
                <w:szCs w:val="20"/>
              </w:rPr>
              <w:t xml:space="preserve">Schodok </w:t>
            </w:r>
          </w:p>
        </w:tc>
        <w:tc>
          <w:tcPr>
            <w:tcW w:w="416" w:type="pct"/>
            <w:shd w:val="clear" w:color="auto" w:fill="auto"/>
            <w:noWrap/>
            <w:vAlign w:val="bottom"/>
            <w:hideMark/>
          </w:tcPr>
          <w:p w14:paraId="7870945A" w14:textId="77777777" w:rsidR="00236428" w:rsidRPr="00D60BA6" w:rsidRDefault="00236428" w:rsidP="00511FAF">
            <w:pPr>
              <w:jc w:val="right"/>
              <w:rPr>
                <w:b/>
                <w:bCs/>
                <w:color w:val="000000"/>
                <w:sz w:val="20"/>
                <w:szCs w:val="20"/>
              </w:rPr>
            </w:pPr>
            <w:r w:rsidRPr="00D60BA6">
              <w:rPr>
                <w:b/>
                <w:bCs/>
                <w:color w:val="000000"/>
                <w:sz w:val="20"/>
                <w:szCs w:val="20"/>
              </w:rPr>
              <w:t>-805</w:t>
            </w:r>
          </w:p>
        </w:tc>
        <w:tc>
          <w:tcPr>
            <w:tcW w:w="531" w:type="pct"/>
            <w:shd w:val="clear" w:color="auto" w:fill="auto"/>
            <w:noWrap/>
            <w:vAlign w:val="bottom"/>
            <w:hideMark/>
          </w:tcPr>
          <w:p w14:paraId="11F84792" w14:textId="77777777" w:rsidR="00236428" w:rsidRPr="00D60BA6" w:rsidRDefault="00236428" w:rsidP="00511FAF">
            <w:pPr>
              <w:jc w:val="right"/>
              <w:rPr>
                <w:b/>
                <w:bCs/>
                <w:color w:val="000000"/>
                <w:sz w:val="20"/>
                <w:szCs w:val="20"/>
              </w:rPr>
            </w:pPr>
            <w:r w:rsidRPr="00D60BA6">
              <w:rPr>
                <w:b/>
                <w:bCs/>
                <w:color w:val="000000"/>
                <w:sz w:val="20"/>
                <w:szCs w:val="20"/>
              </w:rPr>
              <w:t>-951</w:t>
            </w:r>
          </w:p>
        </w:tc>
        <w:tc>
          <w:tcPr>
            <w:tcW w:w="457" w:type="pct"/>
            <w:shd w:val="clear" w:color="auto" w:fill="auto"/>
            <w:noWrap/>
            <w:vAlign w:val="bottom"/>
            <w:hideMark/>
          </w:tcPr>
          <w:p w14:paraId="7CDE5DB7" w14:textId="77777777" w:rsidR="00236428" w:rsidRPr="00573CA2" w:rsidRDefault="00236428" w:rsidP="00511FAF">
            <w:pPr>
              <w:jc w:val="right"/>
              <w:rPr>
                <w:b/>
                <w:bCs/>
                <w:color w:val="000000"/>
                <w:sz w:val="20"/>
                <w:szCs w:val="20"/>
              </w:rPr>
            </w:pPr>
            <w:r w:rsidRPr="00573CA2">
              <w:rPr>
                <w:b/>
                <w:bCs/>
                <w:color w:val="000000"/>
                <w:sz w:val="20"/>
                <w:szCs w:val="20"/>
              </w:rPr>
              <w:t>0</w:t>
            </w:r>
          </w:p>
        </w:tc>
        <w:tc>
          <w:tcPr>
            <w:tcW w:w="462" w:type="pct"/>
            <w:vAlign w:val="bottom"/>
          </w:tcPr>
          <w:p w14:paraId="79BE1FBA" w14:textId="77777777" w:rsidR="00236428" w:rsidRPr="00D60BA6" w:rsidRDefault="00236428" w:rsidP="00511FAF">
            <w:pPr>
              <w:jc w:val="right"/>
              <w:rPr>
                <w:b/>
                <w:bCs/>
                <w:color w:val="000000"/>
                <w:sz w:val="20"/>
                <w:szCs w:val="20"/>
              </w:rPr>
            </w:pPr>
            <w:r w:rsidRPr="00D60BA6">
              <w:rPr>
                <w:b/>
                <w:bCs/>
                <w:color w:val="000000"/>
                <w:sz w:val="20"/>
                <w:szCs w:val="20"/>
              </w:rPr>
              <w:t>-640</w:t>
            </w:r>
          </w:p>
        </w:tc>
        <w:tc>
          <w:tcPr>
            <w:tcW w:w="457" w:type="pct"/>
            <w:shd w:val="clear" w:color="auto" w:fill="auto"/>
            <w:noWrap/>
            <w:vAlign w:val="bottom"/>
            <w:hideMark/>
          </w:tcPr>
          <w:p w14:paraId="0DD4124B" w14:textId="77777777" w:rsidR="00236428" w:rsidRPr="00D60BA6" w:rsidRDefault="00236428" w:rsidP="00511FAF">
            <w:pPr>
              <w:jc w:val="right"/>
              <w:rPr>
                <w:b/>
                <w:bCs/>
                <w:color w:val="000000"/>
                <w:sz w:val="20"/>
                <w:szCs w:val="20"/>
              </w:rPr>
            </w:pPr>
            <w:r w:rsidRPr="00D60BA6">
              <w:rPr>
                <w:b/>
                <w:bCs/>
                <w:color w:val="000000"/>
                <w:sz w:val="20"/>
                <w:szCs w:val="20"/>
              </w:rPr>
              <w:t>-480</w:t>
            </w:r>
          </w:p>
        </w:tc>
        <w:tc>
          <w:tcPr>
            <w:tcW w:w="552" w:type="pct"/>
            <w:vAlign w:val="bottom"/>
          </w:tcPr>
          <w:p w14:paraId="1BCE7421" w14:textId="77777777" w:rsidR="00236428" w:rsidRPr="00D60BA6" w:rsidRDefault="00236428" w:rsidP="00511FAF">
            <w:pPr>
              <w:jc w:val="right"/>
              <w:rPr>
                <w:b/>
                <w:bCs/>
                <w:color w:val="000000"/>
                <w:sz w:val="20"/>
                <w:szCs w:val="20"/>
              </w:rPr>
            </w:pPr>
            <w:r w:rsidRPr="00D60BA6">
              <w:rPr>
                <w:b/>
                <w:bCs/>
                <w:color w:val="000000"/>
                <w:sz w:val="20"/>
                <w:szCs w:val="20"/>
              </w:rPr>
              <w:t>-770</w:t>
            </w:r>
          </w:p>
        </w:tc>
        <w:tc>
          <w:tcPr>
            <w:tcW w:w="551" w:type="pct"/>
            <w:vAlign w:val="bottom"/>
          </w:tcPr>
          <w:p w14:paraId="5A49E842" w14:textId="77777777" w:rsidR="00236428" w:rsidRPr="00D60BA6" w:rsidRDefault="00236428" w:rsidP="00511FAF">
            <w:pPr>
              <w:jc w:val="right"/>
              <w:rPr>
                <w:b/>
                <w:bCs/>
                <w:color w:val="000000"/>
                <w:sz w:val="20"/>
                <w:szCs w:val="20"/>
              </w:rPr>
            </w:pPr>
            <w:r w:rsidRPr="00D60BA6">
              <w:rPr>
                <w:b/>
                <w:bCs/>
                <w:color w:val="000000"/>
                <w:sz w:val="20"/>
                <w:szCs w:val="20"/>
              </w:rPr>
              <w:t>159</w:t>
            </w:r>
          </w:p>
        </w:tc>
      </w:tr>
      <w:tr w:rsidR="00236428" w:rsidRPr="004360A5" w14:paraId="5A596742" w14:textId="77777777" w:rsidTr="00236428">
        <w:trPr>
          <w:trHeight w:val="257"/>
        </w:trPr>
        <w:tc>
          <w:tcPr>
            <w:tcW w:w="1573" w:type="pct"/>
            <w:shd w:val="clear" w:color="auto" w:fill="auto"/>
            <w:noWrap/>
            <w:vAlign w:val="bottom"/>
            <w:hideMark/>
          </w:tcPr>
          <w:p w14:paraId="6155975E" w14:textId="77777777" w:rsidR="00236428" w:rsidRPr="00D60BA6" w:rsidRDefault="00236428" w:rsidP="00511FAF">
            <w:pPr>
              <w:rPr>
                <w:b/>
                <w:bCs/>
                <w:sz w:val="20"/>
                <w:szCs w:val="20"/>
              </w:rPr>
            </w:pPr>
            <w:r w:rsidRPr="00D60BA6">
              <w:rPr>
                <w:b/>
                <w:bCs/>
                <w:sz w:val="20"/>
                <w:szCs w:val="20"/>
              </w:rPr>
              <w:t>Schodok k HDP (%)</w:t>
            </w:r>
          </w:p>
        </w:tc>
        <w:tc>
          <w:tcPr>
            <w:tcW w:w="416" w:type="pct"/>
            <w:shd w:val="clear" w:color="auto" w:fill="auto"/>
            <w:noWrap/>
            <w:vAlign w:val="bottom"/>
            <w:hideMark/>
          </w:tcPr>
          <w:p w14:paraId="05AE46B9" w14:textId="77777777" w:rsidR="00236428" w:rsidRPr="00D60BA6" w:rsidRDefault="00236428" w:rsidP="00511FAF">
            <w:pPr>
              <w:jc w:val="right"/>
              <w:rPr>
                <w:b/>
                <w:bCs/>
                <w:color w:val="000000"/>
                <w:sz w:val="20"/>
                <w:szCs w:val="20"/>
              </w:rPr>
            </w:pPr>
            <w:r w:rsidRPr="00D60BA6">
              <w:rPr>
                <w:b/>
                <w:bCs/>
                <w:color w:val="000000"/>
                <w:sz w:val="20"/>
                <w:szCs w:val="20"/>
              </w:rPr>
              <w:t>-0,95</w:t>
            </w:r>
          </w:p>
        </w:tc>
        <w:tc>
          <w:tcPr>
            <w:tcW w:w="531" w:type="pct"/>
            <w:shd w:val="clear" w:color="auto" w:fill="auto"/>
            <w:noWrap/>
            <w:vAlign w:val="bottom"/>
            <w:hideMark/>
          </w:tcPr>
          <w:p w14:paraId="09DBE45A" w14:textId="77777777" w:rsidR="00236428" w:rsidRPr="00D60BA6" w:rsidRDefault="00236428" w:rsidP="00511FAF">
            <w:pPr>
              <w:jc w:val="right"/>
              <w:rPr>
                <w:b/>
                <w:bCs/>
                <w:color w:val="000000"/>
                <w:sz w:val="20"/>
                <w:szCs w:val="20"/>
              </w:rPr>
            </w:pPr>
            <w:r w:rsidRPr="00D60BA6">
              <w:rPr>
                <w:b/>
                <w:bCs/>
                <w:color w:val="000000"/>
                <w:sz w:val="20"/>
                <w:szCs w:val="20"/>
              </w:rPr>
              <w:t>-1,06</w:t>
            </w:r>
          </w:p>
        </w:tc>
        <w:tc>
          <w:tcPr>
            <w:tcW w:w="457" w:type="pct"/>
            <w:shd w:val="clear" w:color="auto" w:fill="auto"/>
            <w:noWrap/>
            <w:vAlign w:val="bottom"/>
            <w:hideMark/>
          </w:tcPr>
          <w:p w14:paraId="53D40C90" w14:textId="77777777" w:rsidR="00236428" w:rsidRPr="00573CA2" w:rsidRDefault="00236428" w:rsidP="00511FAF">
            <w:pPr>
              <w:jc w:val="right"/>
              <w:rPr>
                <w:b/>
                <w:bCs/>
                <w:color w:val="000000"/>
                <w:sz w:val="20"/>
                <w:szCs w:val="20"/>
              </w:rPr>
            </w:pPr>
            <w:r w:rsidRPr="00573CA2">
              <w:rPr>
                <w:b/>
                <w:bCs/>
                <w:color w:val="000000"/>
                <w:sz w:val="20"/>
                <w:szCs w:val="20"/>
              </w:rPr>
              <w:t>0,00</w:t>
            </w:r>
          </w:p>
        </w:tc>
        <w:tc>
          <w:tcPr>
            <w:tcW w:w="462" w:type="pct"/>
            <w:vAlign w:val="bottom"/>
          </w:tcPr>
          <w:p w14:paraId="08F2CF2D" w14:textId="77777777" w:rsidR="00236428" w:rsidRPr="00D60BA6" w:rsidRDefault="00236428" w:rsidP="00511FAF">
            <w:pPr>
              <w:jc w:val="right"/>
              <w:rPr>
                <w:b/>
                <w:bCs/>
                <w:color w:val="000000"/>
                <w:sz w:val="20"/>
                <w:szCs w:val="20"/>
              </w:rPr>
            </w:pPr>
            <w:r w:rsidRPr="00D60BA6">
              <w:rPr>
                <w:b/>
                <w:bCs/>
                <w:color w:val="000000"/>
                <w:sz w:val="20"/>
                <w:szCs w:val="20"/>
              </w:rPr>
              <w:t>-0,68</w:t>
            </w:r>
          </w:p>
        </w:tc>
        <w:tc>
          <w:tcPr>
            <w:tcW w:w="457" w:type="pct"/>
            <w:shd w:val="clear" w:color="auto" w:fill="auto"/>
            <w:noWrap/>
            <w:vAlign w:val="bottom"/>
            <w:hideMark/>
          </w:tcPr>
          <w:p w14:paraId="6602A32C" w14:textId="77777777" w:rsidR="00236428" w:rsidRPr="00D60BA6" w:rsidRDefault="00236428" w:rsidP="00511FAF">
            <w:pPr>
              <w:jc w:val="right"/>
              <w:rPr>
                <w:b/>
                <w:bCs/>
                <w:color w:val="000000"/>
                <w:sz w:val="20"/>
                <w:szCs w:val="20"/>
              </w:rPr>
            </w:pPr>
            <w:r w:rsidRPr="00D60BA6">
              <w:rPr>
                <w:b/>
                <w:bCs/>
                <w:color w:val="000000"/>
                <w:sz w:val="20"/>
                <w:szCs w:val="20"/>
              </w:rPr>
              <w:t>-0,49</w:t>
            </w:r>
          </w:p>
        </w:tc>
        <w:tc>
          <w:tcPr>
            <w:tcW w:w="552" w:type="pct"/>
            <w:vAlign w:val="bottom"/>
          </w:tcPr>
          <w:p w14:paraId="0E3AC72C" w14:textId="77777777" w:rsidR="00236428" w:rsidRPr="00D60BA6" w:rsidRDefault="00236428" w:rsidP="00511FAF">
            <w:pPr>
              <w:jc w:val="right"/>
              <w:rPr>
                <w:b/>
                <w:bCs/>
                <w:color w:val="000000"/>
                <w:sz w:val="20"/>
                <w:szCs w:val="20"/>
              </w:rPr>
            </w:pPr>
            <w:r w:rsidRPr="00D60BA6">
              <w:rPr>
                <w:b/>
                <w:bCs/>
                <w:color w:val="000000"/>
                <w:sz w:val="20"/>
                <w:szCs w:val="20"/>
              </w:rPr>
              <w:t>-0,75</w:t>
            </w:r>
          </w:p>
        </w:tc>
        <w:tc>
          <w:tcPr>
            <w:tcW w:w="551" w:type="pct"/>
            <w:vAlign w:val="bottom"/>
          </w:tcPr>
          <w:p w14:paraId="7FF7A3F2" w14:textId="77777777" w:rsidR="00236428" w:rsidRPr="00D60BA6" w:rsidRDefault="00236428" w:rsidP="00511FAF">
            <w:pPr>
              <w:jc w:val="right"/>
              <w:rPr>
                <w:b/>
                <w:bCs/>
                <w:color w:val="000000"/>
                <w:sz w:val="20"/>
                <w:szCs w:val="20"/>
              </w:rPr>
            </w:pPr>
            <w:r w:rsidRPr="00D60BA6">
              <w:rPr>
                <w:b/>
                <w:bCs/>
                <w:color w:val="000000"/>
                <w:sz w:val="20"/>
                <w:szCs w:val="20"/>
              </w:rPr>
              <w:t>0,19</w:t>
            </w:r>
          </w:p>
        </w:tc>
      </w:tr>
      <w:tr w:rsidR="00236428" w:rsidRPr="004360A5" w14:paraId="58E96CD8" w14:textId="77777777" w:rsidTr="00236428">
        <w:trPr>
          <w:trHeight w:val="257"/>
        </w:trPr>
        <w:tc>
          <w:tcPr>
            <w:tcW w:w="1573" w:type="pct"/>
            <w:shd w:val="clear" w:color="auto" w:fill="auto"/>
            <w:noWrap/>
            <w:vAlign w:val="center"/>
            <w:hideMark/>
          </w:tcPr>
          <w:p w14:paraId="32DB41FE" w14:textId="77777777" w:rsidR="00236428" w:rsidRPr="00D60BA6" w:rsidRDefault="00236428" w:rsidP="00511FAF">
            <w:pPr>
              <w:rPr>
                <w:sz w:val="20"/>
                <w:szCs w:val="20"/>
              </w:rPr>
            </w:pPr>
            <w:r w:rsidRPr="00D60BA6">
              <w:rPr>
                <w:sz w:val="20"/>
                <w:szCs w:val="20"/>
              </w:rPr>
              <w:t>Cieľový schodok RVS (mil. eur)</w:t>
            </w:r>
          </w:p>
        </w:tc>
        <w:tc>
          <w:tcPr>
            <w:tcW w:w="416" w:type="pct"/>
            <w:shd w:val="clear" w:color="auto" w:fill="auto"/>
            <w:noWrap/>
            <w:vAlign w:val="center"/>
            <w:hideMark/>
          </w:tcPr>
          <w:p w14:paraId="50C493D0" w14:textId="77777777" w:rsidR="00236428" w:rsidRPr="00D60BA6" w:rsidRDefault="00236428" w:rsidP="00511FAF">
            <w:pPr>
              <w:jc w:val="right"/>
              <w:rPr>
                <w:sz w:val="20"/>
                <w:szCs w:val="20"/>
              </w:rPr>
            </w:pPr>
            <w:r w:rsidRPr="00D60BA6">
              <w:rPr>
                <w:sz w:val="20"/>
                <w:szCs w:val="20"/>
              </w:rPr>
              <w:t>-1 083</w:t>
            </w:r>
          </w:p>
        </w:tc>
        <w:tc>
          <w:tcPr>
            <w:tcW w:w="531" w:type="pct"/>
            <w:shd w:val="clear" w:color="auto" w:fill="auto"/>
            <w:noWrap/>
            <w:vAlign w:val="center"/>
            <w:hideMark/>
          </w:tcPr>
          <w:p w14:paraId="20676450" w14:textId="77777777" w:rsidR="00236428" w:rsidRPr="00D60BA6" w:rsidRDefault="00236428" w:rsidP="00511FAF">
            <w:pPr>
              <w:jc w:val="right"/>
              <w:rPr>
                <w:sz w:val="20"/>
                <w:szCs w:val="20"/>
              </w:rPr>
            </w:pPr>
            <w:r w:rsidRPr="00D60BA6">
              <w:rPr>
                <w:sz w:val="20"/>
                <w:szCs w:val="20"/>
              </w:rPr>
              <w:t>-743</w:t>
            </w:r>
          </w:p>
        </w:tc>
        <w:tc>
          <w:tcPr>
            <w:tcW w:w="457" w:type="pct"/>
            <w:shd w:val="clear" w:color="auto" w:fill="auto"/>
            <w:noWrap/>
            <w:vAlign w:val="center"/>
            <w:hideMark/>
          </w:tcPr>
          <w:p w14:paraId="39800B0F" w14:textId="77777777" w:rsidR="00236428" w:rsidRPr="00573CA2" w:rsidRDefault="00236428" w:rsidP="00511FAF">
            <w:pPr>
              <w:jc w:val="right"/>
              <w:rPr>
                <w:sz w:val="20"/>
                <w:szCs w:val="20"/>
              </w:rPr>
            </w:pPr>
            <w:r w:rsidRPr="00573CA2">
              <w:rPr>
                <w:sz w:val="20"/>
                <w:szCs w:val="20"/>
              </w:rPr>
              <w:t>0</w:t>
            </w:r>
          </w:p>
        </w:tc>
        <w:tc>
          <w:tcPr>
            <w:tcW w:w="462" w:type="pct"/>
            <w:vAlign w:val="center"/>
          </w:tcPr>
          <w:p w14:paraId="0035088F" w14:textId="77777777" w:rsidR="00236428" w:rsidRPr="00D60BA6" w:rsidRDefault="00236428" w:rsidP="00511FAF">
            <w:pPr>
              <w:jc w:val="right"/>
              <w:rPr>
                <w:sz w:val="20"/>
                <w:szCs w:val="20"/>
              </w:rPr>
            </w:pPr>
            <w:r w:rsidRPr="00D60BA6">
              <w:rPr>
                <w:sz w:val="20"/>
                <w:szCs w:val="20"/>
              </w:rPr>
              <w:t>0</w:t>
            </w:r>
          </w:p>
        </w:tc>
        <w:tc>
          <w:tcPr>
            <w:tcW w:w="457" w:type="pct"/>
            <w:shd w:val="clear" w:color="auto" w:fill="auto"/>
            <w:noWrap/>
            <w:vAlign w:val="center"/>
            <w:hideMark/>
          </w:tcPr>
          <w:p w14:paraId="0D95FBB7" w14:textId="77777777" w:rsidR="00236428" w:rsidRPr="00D60BA6" w:rsidRDefault="00236428" w:rsidP="00511FAF">
            <w:pPr>
              <w:jc w:val="right"/>
              <w:rPr>
                <w:sz w:val="20"/>
                <w:szCs w:val="20"/>
              </w:rPr>
            </w:pPr>
            <w:r w:rsidRPr="00D60BA6">
              <w:rPr>
                <w:sz w:val="20"/>
                <w:szCs w:val="20"/>
              </w:rPr>
              <w:t>-480</w:t>
            </w:r>
          </w:p>
        </w:tc>
        <w:tc>
          <w:tcPr>
            <w:tcW w:w="552" w:type="pct"/>
            <w:vAlign w:val="center"/>
          </w:tcPr>
          <w:p w14:paraId="4DE663F0" w14:textId="77777777" w:rsidR="00236428" w:rsidRPr="00D60BA6" w:rsidRDefault="00236428" w:rsidP="00511FAF">
            <w:pPr>
              <w:jc w:val="right"/>
              <w:rPr>
                <w:sz w:val="20"/>
                <w:szCs w:val="20"/>
              </w:rPr>
            </w:pPr>
            <w:r w:rsidRPr="00D60BA6">
              <w:rPr>
                <w:sz w:val="20"/>
                <w:szCs w:val="20"/>
              </w:rPr>
              <w:t>-770</w:t>
            </w:r>
          </w:p>
        </w:tc>
        <w:tc>
          <w:tcPr>
            <w:tcW w:w="551" w:type="pct"/>
            <w:vAlign w:val="center"/>
          </w:tcPr>
          <w:p w14:paraId="1A94C8D6" w14:textId="77777777" w:rsidR="00236428" w:rsidRPr="00D60BA6" w:rsidRDefault="00236428" w:rsidP="00511FAF">
            <w:pPr>
              <w:jc w:val="right"/>
              <w:rPr>
                <w:sz w:val="20"/>
                <w:szCs w:val="20"/>
              </w:rPr>
            </w:pPr>
            <w:r w:rsidRPr="00D60BA6">
              <w:rPr>
                <w:sz w:val="20"/>
                <w:szCs w:val="20"/>
              </w:rPr>
              <w:t>-480</w:t>
            </w:r>
          </w:p>
        </w:tc>
      </w:tr>
      <w:tr w:rsidR="00236428" w:rsidRPr="004360A5" w14:paraId="0967BE11" w14:textId="77777777" w:rsidTr="00236428">
        <w:trPr>
          <w:trHeight w:val="257"/>
        </w:trPr>
        <w:tc>
          <w:tcPr>
            <w:tcW w:w="1573" w:type="pct"/>
            <w:shd w:val="clear" w:color="auto" w:fill="auto"/>
            <w:noWrap/>
            <w:vAlign w:val="center"/>
            <w:hideMark/>
          </w:tcPr>
          <w:p w14:paraId="0E016FAA" w14:textId="77777777" w:rsidR="00236428" w:rsidRPr="00D60BA6" w:rsidRDefault="00236428" w:rsidP="00511FAF">
            <w:pPr>
              <w:rPr>
                <w:sz w:val="20"/>
                <w:szCs w:val="20"/>
              </w:rPr>
            </w:pPr>
            <w:r w:rsidRPr="00D60BA6">
              <w:rPr>
                <w:sz w:val="20"/>
                <w:szCs w:val="20"/>
              </w:rPr>
              <w:t>Cieľový schodok RVS (% HDP)</w:t>
            </w:r>
          </w:p>
        </w:tc>
        <w:tc>
          <w:tcPr>
            <w:tcW w:w="416" w:type="pct"/>
            <w:shd w:val="clear" w:color="auto" w:fill="auto"/>
            <w:noWrap/>
            <w:vAlign w:val="center"/>
            <w:hideMark/>
          </w:tcPr>
          <w:p w14:paraId="03B3CC93" w14:textId="77777777" w:rsidR="00236428" w:rsidRPr="00D60BA6" w:rsidRDefault="00236428" w:rsidP="00511FAF">
            <w:pPr>
              <w:jc w:val="right"/>
              <w:rPr>
                <w:sz w:val="20"/>
                <w:szCs w:val="20"/>
              </w:rPr>
            </w:pPr>
            <w:r w:rsidRPr="00D60BA6">
              <w:rPr>
                <w:sz w:val="20"/>
                <w:szCs w:val="20"/>
              </w:rPr>
              <w:t>-1,29</w:t>
            </w:r>
          </w:p>
        </w:tc>
        <w:tc>
          <w:tcPr>
            <w:tcW w:w="531" w:type="pct"/>
            <w:shd w:val="clear" w:color="auto" w:fill="auto"/>
            <w:noWrap/>
            <w:vAlign w:val="center"/>
            <w:hideMark/>
          </w:tcPr>
          <w:p w14:paraId="23BBE351" w14:textId="77777777" w:rsidR="00236428" w:rsidRPr="00D60BA6" w:rsidRDefault="00236428" w:rsidP="00511FAF">
            <w:pPr>
              <w:jc w:val="right"/>
              <w:rPr>
                <w:sz w:val="20"/>
                <w:szCs w:val="20"/>
              </w:rPr>
            </w:pPr>
            <w:r w:rsidRPr="00D60BA6">
              <w:rPr>
                <w:sz w:val="20"/>
                <w:szCs w:val="20"/>
              </w:rPr>
              <w:t>-0,83</w:t>
            </w:r>
          </w:p>
        </w:tc>
        <w:tc>
          <w:tcPr>
            <w:tcW w:w="457" w:type="pct"/>
            <w:shd w:val="clear" w:color="auto" w:fill="auto"/>
            <w:noWrap/>
            <w:vAlign w:val="center"/>
            <w:hideMark/>
          </w:tcPr>
          <w:p w14:paraId="7A0C71F0" w14:textId="77777777" w:rsidR="00236428" w:rsidRPr="00573CA2" w:rsidRDefault="00236428" w:rsidP="00511FAF">
            <w:pPr>
              <w:jc w:val="right"/>
              <w:rPr>
                <w:sz w:val="20"/>
                <w:szCs w:val="20"/>
              </w:rPr>
            </w:pPr>
            <w:r w:rsidRPr="00573CA2">
              <w:rPr>
                <w:sz w:val="20"/>
                <w:szCs w:val="20"/>
              </w:rPr>
              <w:t>0,00</w:t>
            </w:r>
          </w:p>
        </w:tc>
        <w:tc>
          <w:tcPr>
            <w:tcW w:w="462" w:type="pct"/>
            <w:vAlign w:val="center"/>
          </w:tcPr>
          <w:p w14:paraId="4A7C0A62" w14:textId="77777777" w:rsidR="00236428" w:rsidRPr="00D60BA6" w:rsidRDefault="00236428" w:rsidP="00511FAF">
            <w:pPr>
              <w:jc w:val="right"/>
              <w:rPr>
                <w:sz w:val="20"/>
                <w:szCs w:val="20"/>
              </w:rPr>
            </w:pPr>
            <w:r w:rsidRPr="00D60BA6">
              <w:rPr>
                <w:sz w:val="20"/>
                <w:szCs w:val="20"/>
              </w:rPr>
              <w:t>0,00</w:t>
            </w:r>
          </w:p>
        </w:tc>
        <w:tc>
          <w:tcPr>
            <w:tcW w:w="457" w:type="pct"/>
            <w:shd w:val="clear" w:color="auto" w:fill="auto"/>
            <w:noWrap/>
            <w:vAlign w:val="center"/>
            <w:hideMark/>
          </w:tcPr>
          <w:p w14:paraId="13A737BB" w14:textId="77777777" w:rsidR="00236428" w:rsidRPr="00D60BA6" w:rsidRDefault="00236428" w:rsidP="00511FAF">
            <w:pPr>
              <w:jc w:val="right"/>
              <w:rPr>
                <w:sz w:val="20"/>
                <w:szCs w:val="20"/>
              </w:rPr>
            </w:pPr>
            <w:r w:rsidRPr="00D60BA6">
              <w:rPr>
                <w:sz w:val="20"/>
                <w:szCs w:val="20"/>
              </w:rPr>
              <w:t>-0,49</w:t>
            </w:r>
          </w:p>
        </w:tc>
        <w:tc>
          <w:tcPr>
            <w:tcW w:w="552" w:type="pct"/>
            <w:vAlign w:val="center"/>
          </w:tcPr>
          <w:p w14:paraId="1111CA84" w14:textId="77777777" w:rsidR="00236428" w:rsidRPr="00D60BA6" w:rsidRDefault="00236428" w:rsidP="00511FAF">
            <w:pPr>
              <w:jc w:val="right"/>
              <w:rPr>
                <w:sz w:val="20"/>
                <w:szCs w:val="20"/>
              </w:rPr>
            </w:pPr>
            <w:r w:rsidRPr="00D60BA6">
              <w:rPr>
                <w:sz w:val="20"/>
                <w:szCs w:val="20"/>
              </w:rPr>
              <w:t>-0,75</w:t>
            </w:r>
          </w:p>
        </w:tc>
        <w:tc>
          <w:tcPr>
            <w:tcW w:w="551" w:type="pct"/>
            <w:vAlign w:val="center"/>
          </w:tcPr>
          <w:p w14:paraId="7292EBAA" w14:textId="77777777" w:rsidR="00236428" w:rsidRPr="00D60BA6" w:rsidRDefault="00236428" w:rsidP="00511FAF">
            <w:pPr>
              <w:jc w:val="right"/>
              <w:rPr>
                <w:sz w:val="20"/>
                <w:szCs w:val="20"/>
              </w:rPr>
            </w:pPr>
            <w:r w:rsidRPr="00D60BA6">
              <w:rPr>
                <w:sz w:val="20"/>
                <w:szCs w:val="20"/>
              </w:rPr>
              <w:t>-0,49</w:t>
            </w:r>
          </w:p>
        </w:tc>
      </w:tr>
      <w:tr w:rsidR="00236428" w:rsidRPr="004360A5" w14:paraId="43F34656" w14:textId="77777777" w:rsidTr="00236428">
        <w:trPr>
          <w:trHeight w:val="257"/>
        </w:trPr>
        <w:tc>
          <w:tcPr>
            <w:tcW w:w="1573" w:type="pct"/>
            <w:shd w:val="clear" w:color="auto" w:fill="auto"/>
            <w:noWrap/>
            <w:vAlign w:val="bottom"/>
            <w:hideMark/>
          </w:tcPr>
          <w:p w14:paraId="6BF33577" w14:textId="77777777" w:rsidR="00236428" w:rsidRPr="00D60BA6" w:rsidRDefault="00236428" w:rsidP="00511FAF">
            <w:pPr>
              <w:rPr>
                <w:sz w:val="20"/>
                <w:szCs w:val="20"/>
              </w:rPr>
            </w:pPr>
            <w:r w:rsidRPr="00D60BA6">
              <w:rPr>
                <w:sz w:val="20"/>
                <w:szCs w:val="20"/>
              </w:rPr>
              <w:t xml:space="preserve">HDP (mil. eur, </w:t>
            </w:r>
            <w:proofErr w:type="spellStart"/>
            <w:r w:rsidRPr="00D60BA6">
              <w:rPr>
                <w:sz w:val="20"/>
                <w:szCs w:val="20"/>
              </w:rPr>
              <w:t>b.c</w:t>
            </w:r>
            <w:proofErr w:type="spellEnd"/>
            <w:r w:rsidRPr="00D60BA6">
              <w:rPr>
                <w:sz w:val="20"/>
                <w:szCs w:val="20"/>
              </w:rPr>
              <w:t>.)</w:t>
            </w:r>
          </w:p>
        </w:tc>
        <w:tc>
          <w:tcPr>
            <w:tcW w:w="416" w:type="pct"/>
            <w:shd w:val="clear" w:color="auto" w:fill="auto"/>
            <w:noWrap/>
            <w:vAlign w:val="bottom"/>
            <w:hideMark/>
          </w:tcPr>
          <w:p w14:paraId="749F23E1" w14:textId="77777777" w:rsidR="00236428" w:rsidRPr="00D60BA6" w:rsidRDefault="00236428" w:rsidP="00511FAF">
            <w:pPr>
              <w:jc w:val="right"/>
              <w:rPr>
                <w:color w:val="000000"/>
                <w:sz w:val="20"/>
                <w:szCs w:val="20"/>
              </w:rPr>
            </w:pPr>
            <w:r w:rsidRPr="00D60BA6">
              <w:rPr>
                <w:color w:val="000000"/>
                <w:sz w:val="20"/>
                <w:szCs w:val="20"/>
              </w:rPr>
              <w:t>84 517</w:t>
            </w:r>
          </w:p>
        </w:tc>
        <w:tc>
          <w:tcPr>
            <w:tcW w:w="531" w:type="pct"/>
            <w:shd w:val="clear" w:color="auto" w:fill="auto"/>
            <w:noWrap/>
            <w:vAlign w:val="center"/>
            <w:hideMark/>
          </w:tcPr>
          <w:p w14:paraId="183058FD" w14:textId="77777777" w:rsidR="00236428" w:rsidRPr="00D60BA6" w:rsidRDefault="00236428" w:rsidP="00511FAF">
            <w:pPr>
              <w:jc w:val="right"/>
              <w:rPr>
                <w:sz w:val="20"/>
                <w:szCs w:val="20"/>
              </w:rPr>
            </w:pPr>
            <w:r w:rsidRPr="00D60BA6">
              <w:rPr>
                <w:sz w:val="20"/>
                <w:szCs w:val="20"/>
              </w:rPr>
              <w:t>89 721</w:t>
            </w:r>
          </w:p>
        </w:tc>
        <w:tc>
          <w:tcPr>
            <w:tcW w:w="457" w:type="pct"/>
            <w:shd w:val="clear" w:color="auto" w:fill="auto"/>
            <w:noWrap/>
            <w:vAlign w:val="center"/>
            <w:hideMark/>
          </w:tcPr>
          <w:p w14:paraId="11D2AB45" w14:textId="77777777" w:rsidR="00236428" w:rsidRPr="00D60BA6" w:rsidRDefault="00236428" w:rsidP="00511FAF">
            <w:pPr>
              <w:jc w:val="right"/>
              <w:rPr>
                <w:sz w:val="20"/>
                <w:szCs w:val="20"/>
              </w:rPr>
            </w:pPr>
            <w:r w:rsidRPr="00D60BA6">
              <w:rPr>
                <w:sz w:val="20"/>
                <w:szCs w:val="20"/>
              </w:rPr>
              <w:t>96 890</w:t>
            </w:r>
          </w:p>
        </w:tc>
        <w:tc>
          <w:tcPr>
            <w:tcW w:w="462" w:type="pct"/>
            <w:vAlign w:val="center"/>
          </w:tcPr>
          <w:p w14:paraId="5A0122DF" w14:textId="77777777" w:rsidR="00236428" w:rsidRPr="00D60BA6" w:rsidRDefault="00236428" w:rsidP="00511FAF">
            <w:pPr>
              <w:jc w:val="right"/>
              <w:rPr>
                <w:sz w:val="20"/>
                <w:szCs w:val="20"/>
              </w:rPr>
            </w:pPr>
            <w:r w:rsidRPr="00D60BA6">
              <w:rPr>
                <w:sz w:val="20"/>
                <w:szCs w:val="20"/>
              </w:rPr>
              <w:t>94 087</w:t>
            </w:r>
          </w:p>
        </w:tc>
        <w:tc>
          <w:tcPr>
            <w:tcW w:w="457" w:type="pct"/>
            <w:shd w:val="clear" w:color="auto" w:fill="auto"/>
            <w:noWrap/>
            <w:vAlign w:val="center"/>
            <w:hideMark/>
          </w:tcPr>
          <w:p w14:paraId="78A3B6AD" w14:textId="77777777" w:rsidR="00236428" w:rsidRPr="00D60BA6" w:rsidRDefault="00236428" w:rsidP="00511FAF">
            <w:pPr>
              <w:jc w:val="right"/>
              <w:rPr>
                <w:sz w:val="20"/>
                <w:szCs w:val="20"/>
              </w:rPr>
            </w:pPr>
            <w:r w:rsidRPr="00D60BA6">
              <w:rPr>
                <w:sz w:val="20"/>
                <w:szCs w:val="20"/>
              </w:rPr>
              <w:t>98 043</w:t>
            </w:r>
          </w:p>
        </w:tc>
        <w:tc>
          <w:tcPr>
            <w:tcW w:w="552" w:type="pct"/>
            <w:vAlign w:val="center"/>
          </w:tcPr>
          <w:p w14:paraId="3BA3F9BE" w14:textId="77777777" w:rsidR="00236428" w:rsidRPr="00D60BA6" w:rsidRDefault="00236428" w:rsidP="00511FAF">
            <w:pPr>
              <w:jc w:val="right"/>
              <w:rPr>
                <w:sz w:val="20"/>
                <w:szCs w:val="20"/>
              </w:rPr>
            </w:pPr>
            <w:r w:rsidRPr="00D60BA6">
              <w:rPr>
                <w:sz w:val="20"/>
                <w:szCs w:val="20"/>
              </w:rPr>
              <w:t>102 945</w:t>
            </w:r>
          </w:p>
        </w:tc>
        <w:tc>
          <w:tcPr>
            <w:tcW w:w="551" w:type="pct"/>
            <w:vAlign w:val="center"/>
          </w:tcPr>
          <w:p w14:paraId="1CB0C145" w14:textId="77777777" w:rsidR="00236428" w:rsidRPr="00D60BA6" w:rsidRDefault="00236428" w:rsidP="00511FAF">
            <w:pPr>
              <w:jc w:val="right"/>
              <w:rPr>
                <w:sz w:val="20"/>
                <w:szCs w:val="20"/>
              </w:rPr>
            </w:pPr>
            <w:r w:rsidRPr="00D60BA6">
              <w:rPr>
                <w:sz w:val="20"/>
                <w:szCs w:val="20"/>
              </w:rPr>
              <w:t>3 955</w:t>
            </w:r>
          </w:p>
        </w:tc>
      </w:tr>
      <w:tr w:rsidR="00236428" w:rsidRPr="004360A5" w14:paraId="6E8425C2" w14:textId="77777777" w:rsidTr="00236428">
        <w:trPr>
          <w:trHeight w:val="257"/>
        </w:trPr>
        <w:tc>
          <w:tcPr>
            <w:tcW w:w="1573" w:type="pct"/>
            <w:shd w:val="clear" w:color="auto" w:fill="auto"/>
            <w:noWrap/>
            <w:vAlign w:val="bottom"/>
            <w:hideMark/>
          </w:tcPr>
          <w:p w14:paraId="66DE3C03" w14:textId="77777777" w:rsidR="00236428" w:rsidRPr="00D60BA6" w:rsidRDefault="00236428" w:rsidP="00511FAF">
            <w:pPr>
              <w:rPr>
                <w:sz w:val="20"/>
                <w:szCs w:val="20"/>
              </w:rPr>
            </w:pPr>
            <w:r w:rsidRPr="00D60BA6">
              <w:rPr>
                <w:sz w:val="20"/>
                <w:szCs w:val="20"/>
              </w:rPr>
              <w:t>Príjmy spolu (% HDP)</w:t>
            </w:r>
          </w:p>
        </w:tc>
        <w:tc>
          <w:tcPr>
            <w:tcW w:w="416" w:type="pct"/>
            <w:shd w:val="clear" w:color="auto" w:fill="auto"/>
            <w:noWrap/>
            <w:vAlign w:val="bottom"/>
            <w:hideMark/>
          </w:tcPr>
          <w:p w14:paraId="51DA48E9" w14:textId="77777777" w:rsidR="00236428" w:rsidRPr="00D60BA6" w:rsidRDefault="00236428" w:rsidP="00511FAF">
            <w:pPr>
              <w:jc w:val="right"/>
              <w:rPr>
                <w:color w:val="000000"/>
                <w:sz w:val="20"/>
                <w:szCs w:val="20"/>
              </w:rPr>
            </w:pPr>
            <w:r w:rsidRPr="00D60BA6">
              <w:rPr>
                <w:color w:val="000000"/>
                <w:sz w:val="20"/>
                <w:szCs w:val="20"/>
              </w:rPr>
              <w:t>40,49</w:t>
            </w:r>
          </w:p>
        </w:tc>
        <w:tc>
          <w:tcPr>
            <w:tcW w:w="531" w:type="pct"/>
            <w:shd w:val="clear" w:color="auto" w:fill="auto"/>
            <w:noWrap/>
            <w:vAlign w:val="bottom"/>
            <w:hideMark/>
          </w:tcPr>
          <w:p w14:paraId="3E2BEF1B" w14:textId="77777777" w:rsidR="00236428" w:rsidRPr="00D60BA6" w:rsidRDefault="00236428" w:rsidP="00511FAF">
            <w:pPr>
              <w:jc w:val="right"/>
              <w:rPr>
                <w:color w:val="000000"/>
                <w:sz w:val="20"/>
                <w:szCs w:val="20"/>
              </w:rPr>
            </w:pPr>
            <w:r w:rsidRPr="00D60BA6">
              <w:rPr>
                <w:color w:val="000000"/>
                <w:sz w:val="20"/>
                <w:szCs w:val="20"/>
              </w:rPr>
              <w:t>40,76</w:t>
            </w:r>
          </w:p>
        </w:tc>
        <w:tc>
          <w:tcPr>
            <w:tcW w:w="457" w:type="pct"/>
            <w:shd w:val="clear" w:color="auto" w:fill="auto"/>
            <w:noWrap/>
            <w:vAlign w:val="bottom"/>
            <w:hideMark/>
          </w:tcPr>
          <w:p w14:paraId="3680BE31" w14:textId="77777777" w:rsidR="00236428" w:rsidRPr="00D60BA6" w:rsidRDefault="00236428" w:rsidP="00511FAF">
            <w:pPr>
              <w:jc w:val="right"/>
              <w:rPr>
                <w:color w:val="000000"/>
                <w:sz w:val="20"/>
                <w:szCs w:val="20"/>
              </w:rPr>
            </w:pPr>
            <w:r w:rsidRPr="00D60BA6">
              <w:rPr>
                <w:color w:val="000000"/>
                <w:sz w:val="20"/>
                <w:szCs w:val="20"/>
              </w:rPr>
              <w:t>38,41</w:t>
            </w:r>
          </w:p>
        </w:tc>
        <w:tc>
          <w:tcPr>
            <w:tcW w:w="462" w:type="pct"/>
            <w:vAlign w:val="bottom"/>
          </w:tcPr>
          <w:p w14:paraId="040D4069" w14:textId="77777777" w:rsidR="00236428" w:rsidRPr="00D60BA6" w:rsidRDefault="00236428" w:rsidP="00511FAF">
            <w:pPr>
              <w:jc w:val="right"/>
              <w:rPr>
                <w:color w:val="000000"/>
                <w:sz w:val="20"/>
                <w:szCs w:val="20"/>
              </w:rPr>
            </w:pPr>
            <w:r w:rsidRPr="00D60BA6">
              <w:rPr>
                <w:color w:val="000000"/>
                <w:sz w:val="20"/>
                <w:szCs w:val="20"/>
              </w:rPr>
              <w:t>40,11</w:t>
            </w:r>
          </w:p>
        </w:tc>
        <w:tc>
          <w:tcPr>
            <w:tcW w:w="457" w:type="pct"/>
            <w:shd w:val="clear" w:color="auto" w:fill="auto"/>
            <w:noWrap/>
            <w:vAlign w:val="bottom"/>
            <w:hideMark/>
          </w:tcPr>
          <w:p w14:paraId="0B6CB11F" w14:textId="77777777" w:rsidR="00236428" w:rsidRPr="00D60BA6" w:rsidRDefault="00236428" w:rsidP="00511FAF">
            <w:pPr>
              <w:jc w:val="right"/>
              <w:rPr>
                <w:color w:val="000000"/>
                <w:sz w:val="20"/>
                <w:szCs w:val="20"/>
              </w:rPr>
            </w:pPr>
            <w:r w:rsidRPr="00D60BA6">
              <w:rPr>
                <w:color w:val="000000"/>
                <w:sz w:val="20"/>
                <w:szCs w:val="20"/>
              </w:rPr>
              <w:t>39,64</w:t>
            </w:r>
          </w:p>
        </w:tc>
        <w:tc>
          <w:tcPr>
            <w:tcW w:w="552" w:type="pct"/>
            <w:vAlign w:val="bottom"/>
          </w:tcPr>
          <w:p w14:paraId="63D3B5D8" w14:textId="77777777" w:rsidR="00236428" w:rsidRPr="00D60BA6" w:rsidRDefault="00236428" w:rsidP="00511FAF">
            <w:pPr>
              <w:jc w:val="right"/>
              <w:rPr>
                <w:color w:val="000000"/>
                <w:sz w:val="20"/>
                <w:szCs w:val="20"/>
              </w:rPr>
            </w:pPr>
            <w:r w:rsidRPr="00D60BA6">
              <w:rPr>
                <w:color w:val="000000"/>
                <w:sz w:val="20"/>
                <w:szCs w:val="20"/>
              </w:rPr>
              <w:t>39,27</w:t>
            </w:r>
          </w:p>
        </w:tc>
        <w:tc>
          <w:tcPr>
            <w:tcW w:w="551" w:type="pct"/>
            <w:vAlign w:val="bottom"/>
          </w:tcPr>
          <w:p w14:paraId="4BF41987" w14:textId="77777777" w:rsidR="00236428" w:rsidRPr="00D60BA6" w:rsidRDefault="00236428" w:rsidP="00511FAF">
            <w:pPr>
              <w:jc w:val="right"/>
              <w:rPr>
                <w:color w:val="000000"/>
                <w:sz w:val="20"/>
                <w:szCs w:val="20"/>
              </w:rPr>
            </w:pPr>
            <w:r w:rsidRPr="00D60BA6">
              <w:rPr>
                <w:color w:val="000000"/>
                <w:sz w:val="20"/>
                <w:szCs w:val="20"/>
              </w:rPr>
              <w:t>-0,47</w:t>
            </w:r>
          </w:p>
        </w:tc>
      </w:tr>
      <w:tr w:rsidR="00236428" w:rsidRPr="004360A5" w14:paraId="4EBE84EE" w14:textId="77777777" w:rsidTr="00236428">
        <w:trPr>
          <w:trHeight w:val="267"/>
        </w:trPr>
        <w:tc>
          <w:tcPr>
            <w:tcW w:w="1573" w:type="pct"/>
            <w:shd w:val="clear" w:color="auto" w:fill="auto"/>
            <w:noWrap/>
            <w:vAlign w:val="bottom"/>
            <w:hideMark/>
          </w:tcPr>
          <w:p w14:paraId="5EA97BE3" w14:textId="77777777" w:rsidR="00236428" w:rsidRPr="00D60BA6" w:rsidRDefault="00236428" w:rsidP="00511FAF">
            <w:pPr>
              <w:rPr>
                <w:sz w:val="20"/>
                <w:szCs w:val="20"/>
              </w:rPr>
            </w:pPr>
            <w:r w:rsidRPr="00D60BA6">
              <w:rPr>
                <w:sz w:val="20"/>
                <w:szCs w:val="20"/>
              </w:rPr>
              <w:t>Výdavky spolu (% HDP)</w:t>
            </w:r>
          </w:p>
        </w:tc>
        <w:tc>
          <w:tcPr>
            <w:tcW w:w="416" w:type="pct"/>
            <w:shd w:val="clear" w:color="auto" w:fill="auto"/>
            <w:noWrap/>
            <w:vAlign w:val="bottom"/>
            <w:hideMark/>
          </w:tcPr>
          <w:p w14:paraId="660C92CD" w14:textId="77777777" w:rsidR="00236428" w:rsidRPr="00D60BA6" w:rsidRDefault="00236428" w:rsidP="00511FAF">
            <w:pPr>
              <w:jc w:val="right"/>
              <w:rPr>
                <w:color w:val="000000"/>
                <w:sz w:val="20"/>
                <w:szCs w:val="20"/>
              </w:rPr>
            </w:pPr>
            <w:r w:rsidRPr="00D60BA6">
              <w:rPr>
                <w:color w:val="000000"/>
                <w:sz w:val="20"/>
                <w:szCs w:val="20"/>
              </w:rPr>
              <w:t>41,44</w:t>
            </w:r>
          </w:p>
        </w:tc>
        <w:tc>
          <w:tcPr>
            <w:tcW w:w="531" w:type="pct"/>
            <w:shd w:val="clear" w:color="auto" w:fill="auto"/>
            <w:noWrap/>
            <w:vAlign w:val="bottom"/>
            <w:hideMark/>
          </w:tcPr>
          <w:p w14:paraId="0B68A395" w14:textId="77777777" w:rsidR="00236428" w:rsidRPr="00D60BA6" w:rsidRDefault="00236428" w:rsidP="00511FAF">
            <w:pPr>
              <w:jc w:val="right"/>
              <w:rPr>
                <w:color w:val="000000"/>
                <w:sz w:val="20"/>
                <w:szCs w:val="20"/>
              </w:rPr>
            </w:pPr>
            <w:r w:rsidRPr="00D60BA6">
              <w:rPr>
                <w:color w:val="000000"/>
                <w:sz w:val="20"/>
                <w:szCs w:val="20"/>
              </w:rPr>
              <w:t>41,82</w:t>
            </w:r>
          </w:p>
        </w:tc>
        <w:tc>
          <w:tcPr>
            <w:tcW w:w="457" w:type="pct"/>
            <w:shd w:val="clear" w:color="auto" w:fill="auto"/>
            <w:noWrap/>
            <w:vAlign w:val="bottom"/>
            <w:hideMark/>
          </w:tcPr>
          <w:p w14:paraId="48584E31" w14:textId="77777777" w:rsidR="00236428" w:rsidRPr="00D60BA6" w:rsidRDefault="00236428" w:rsidP="00511FAF">
            <w:pPr>
              <w:jc w:val="right"/>
              <w:rPr>
                <w:color w:val="000000"/>
                <w:sz w:val="20"/>
                <w:szCs w:val="20"/>
              </w:rPr>
            </w:pPr>
            <w:r w:rsidRPr="00D60BA6">
              <w:rPr>
                <w:color w:val="000000"/>
                <w:sz w:val="20"/>
                <w:szCs w:val="20"/>
              </w:rPr>
              <w:t>38,41</w:t>
            </w:r>
          </w:p>
        </w:tc>
        <w:tc>
          <w:tcPr>
            <w:tcW w:w="462" w:type="pct"/>
            <w:vAlign w:val="bottom"/>
          </w:tcPr>
          <w:p w14:paraId="7EBC7714" w14:textId="77777777" w:rsidR="00236428" w:rsidRPr="00D60BA6" w:rsidRDefault="00236428" w:rsidP="00511FAF">
            <w:pPr>
              <w:jc w:val="right"/>
              <w:rPr>
                <w:color w:val="000000"/>
                <w:sz w:val="20"/>
                <w:szCs w:val="20"/>
              </w:rPr>
            </w:pPr>
            <w:r w:rsidRPr="00D60BA6">
              <w:rPr>
                <w:color w:val="000000"/>
                <w:sz w:val="20"/>
                <w:szCs w:val="20"/>
              </w:rPr>
              <w:t>40,79</w:t>
            </w:r>
          </w:p>
        </w:tc>
        <w:tc>
          <w:tcPr>
            <w:tcW w:w="457" w:type="pct"/>
            <w:shd w:val="clear" w:color="auto" w:fill="auto"/>
            <w:noWrap/>
            <w:vAlign w:val="bottom"/>
            <w:hideMark/>
          </w:tcPr>
          <w:p w14:paraId="1F312CD5" w14:textId="77777777" w:rsidR="00236428" w:rsidRPr="00D60BA6" w:rsidRDefault="00236428" w:rsidP="00511FAF">
            <w:pPr>
              <w:jc w:val="right"/>
              <w:rPr>
                <w:color w:val="000000"/>
                <w:sz w:val="20"/>
                <w:szCs w:val="20"/>
              </w:rPr>
            </w:pPr>
            <w:r w:rsidRPr="00D60BA6">
              <w:rPr>
                <w:color w:val="000000"/>
                <w:sz w:val="20"/>
                <w:szCs w:val="20"/>
              </w:rPr>
              <w:t>40,13</w:t>
            </w:r>
          </w:p>
        </w:tc>
        <w:tc>
          <w:tcPr>
            <w:tcW w:w="552" w:type="pct"/>
            <w:vAlign w:val="bottom"/>
          </w:tcPr>
          <w:p w14:paraId="3C91B6E1" w14:textId="77777777" w:rsidR="00236428" w:rsidRPr="00D60BA6" w:rsidRDefault="00236428" w:rsidP="00511FAF">
            <w:pPr>
              <w:jc w:val="right"/>
              <w:rPr>
                <w:color w:val="000000"/>
                <w:sz w:val="20"/>
                <w:szCs w:val="20"/>
              </w:rPr>
            </w:pPr>
            <w:r w:rsidRPr="00D60BA6">
              <w:rPr>
                <w:color w:val="000000"/>
                <w:sz w:val="20"/>
                <w:szCs w:val="20"/>
              </w:rPr>
              <w:t>40,02</w:t>
            </w:r>
          </w:p>
        </w:tc>
        <w:tc>
          <w:tcPr>
            <w:tcW w:w="551" w:type="pct"/>
            <w:vAlign w:val="bottom"/>
          </w:tcPr>
          <w:p w14:paraId="3D21A4DD" w14:textId="77777777" w:rsidR="00236428" w:rsidRPr="00D60BA6" w:rsidRDefault="00236428" w:rsidP="00511FAF">
            <w:pPr>
              <w:jc w:val="right"/>
              <w:rPr>
                <w:color w:val="000000"/>
                <w:sz w:val="20"/>
                <w:szCs w:val="20"/>
              </w:rPr>
            </w:pPr>
            <w:r w:rsidRPr="00D60BA6">
              <w:rPr>
                <w:color w:val="000000"/>
                <w:sz w:val="20"/>
                <w:szCs w:val="20"/>
              </w:rPr>
              <w:t>-0,66</w:t>
            </w:r>
          </w:p>
        </w:tc>
      </w:tr>
    </w:tbl>
    <w:p w14:paraId="7DFE85B5" w14:textId="12A6AFF0" w:rsidR="00546CD8" w:rsidRPr="00236949" w:rsidRDefault="00546CD8" w:rsidP="00546CD8">
      <w:pPr>
        <w:rPr>
          <w:bCs/>
          <w:i/>
          <w:sz w:val="18"/>
          <w:szCs w:val="18"/>
        </w:rPr>
      </w:pPr>
      <w:r w:rsidRPr="00236949">
        <w:rPr>
          <w:bCs/>
          <w:i/>
          <w:sz w:val="18"/>
          <w:szCs w:val="18"/>
        </w:rPr>
        <w:t xml:space="preserve">Zdroj: MF SR, Návrh RVS </w:t>
      </w:r>
      <w:r w:rsidR="00E35FB9">
        <w:rPr>
          <w:bCs/>
          <w:i/>
          <w:sz w:val="18"/>
          <w:szCs w:val="18"/>
        </w:rPr>
        <w:t xml:space="preserve">na roky </w:t>
      </w:r>
      <w:r w:rsidRPr="00236949">
        <w:rPr>
          <w:bCs/>
          <w:i/>
          <w:sz w:val="18"/>
          <w:szCs w:val="18"/>
        </w:rPr>
        <w:t>2020</w:t>
      </w:r>
      <w:r w:rsidR="00E35FB9">
        <w:rPr>
          <w:bCs/>
          <w:i/>
          <w:sz w:val="18"/>
          <w:szCs w:val="18"/>
        </w:rPr>
        <w:t xml:space="preserve"> </w:t>
      </w:r>
      <w:r w:rsidR="0020663F">
        <w:rPr>
          <w:bCs/>
          <w:i/>
          <w:sz w:val="18"/>
          <w:szCs w:val="18"/>
        </w:rPr>
        <w:t>až</w:t>
      </w:r>
      <w:r w:rsidR="00E35FB9">
        <w:rPr>
          <w:bCs/>
          <w:i/>
          <w:sz w:val="18"/>
          <w:szCs w:val="18"/>
        </w:rPr>
        <w:t xml:space="preserve"> </w:t>
      </w:r>
      <w:r w:rsidRPr="00236949">
        <w:rPr>
          <w:bCs/>
          <w:i/>
          <w:sz w:val="18"/>
          <w:szCs w:val="18"/>
        </w:rPr>
        <w:t xml:space="preserve">2022, ŠÚ SR, </w:t>
      </w:r>
      <w:proofErr w:type="spellStart"/>
      <w:r w:rsidRPr="00236949">
        <w:rPr>
          <w:bCs/>
          <w:i/>
          <w:sz w:val="18"/>
          <w:szCs w:val="18"/>
        </w:rPr>
        <w:t>Eurostat</w:t>
      </w:r>
      <w:proofErr w:type="spellEnd"/>
    </w:p>
    <w:p w14:paraId="285C7C7F" w14:textId="47D20F62" w:rsidR="00546CD8" w:rsidRDefault="00546CD8" w:rsidP="003B541D">
      <w:pPr>
        <w:spacing w:before="120" w:after="120"/>
        <w:ind w:firstLine="709"/>
        <w:jc w:val="both"/>
        <w:rPr>
          <w:rFonts w:eastAsia="Calibri"/>
        </w:rPr>
      </w:pPr>
      <w:r w:rsidRPr="00D76091">
        <w:rPr>
          <w:rFonts w:eastAsia="Calibri"/>
        </w:rPr>
        <w:t xml:space="preserve">Podľa </w:t>
      </w:r>
      <w:r>
        <w:rPr>
          <w:rFonts w:eastAsia="Calibri"/>
        </w:rPr>
        <w:t>„</w:t>
      </w:r>
      <w:r w:rsidRPr="00D76091">
        <w:rPr>
          <w:rFonts w:eastAsia="Calibri"/>
        </w:rPr>
        <w:t xml:space="preserve">Správy </w:t>
      </w:r>
      <w:r>
        <w:rPr>
          <w:rFonts w:eastAsia="Calibri"/>
        </w:rPr>
        <w:t xml:space="preserve">ŠÚ SR </w:t>
      </w:r>
      <w:r w:rsidRPr="00D76091">
        <w:rPr>
          <w:rFonts w:eastAsia="Calibri"/>
        </w:rPr>
        <w:t>o deficite a</w:t>
      </w:r>
      <w:r>
        <w:rPr>
          <w:rFonts w:eastAsia="Calibri"/>
        </w:rPr>
        <w:t> </w:t>
      </w:r>
      <w:r w:rsidRPr="00D76091">
        <w:rPr>
          <w:rFonts w:eastAsia="Calibri"/>
        </w:rPr>
        <w:t>dlhu</w:t>
      </w:r>
      <w:r>
        <w:rPr>
          <w:rFonts w:eastAsia="Calibri"/>
        </w:rPr>
        <w:t>“</w:t>
      </w:r>
      <w:r w:rsidR="0020663F">
        <w:rPr>
          <w:rFonts w:eastAsia="Calibri"/>
        </w:rPr>
        <w:t>,</w:t>
      </w:r>
      <w:r w:rsidRPr="00D76091">
        <w:rPr>
          <w:rFonts w:eastAsia="Calibri"/>
        </w:rPr>
        <w:t xml:space="preserve"> </w:t>
      </w:r>
      <w:r w:rsidR="002F0ED8">
        <w:rPr>
          <w:rFonts w:eastAsia="Calibri"/>
        </w:rPr>
        <w:t>z</w:t>
      </w:r>
      <w:r w:rsidRPr="00D76091">
        <w:rPr>
          <w:rFonts w:eastAsia="Calibri"/>
        </w:rPr>
        <w:t xml:space="preserve"> 21.</w:t>
      </w:r>
      <w:r w:rsidR="00C941D1">
        <w:rPr>
          <w:rFonts w:eastAsia="Calibri"/>
        </w:rPr>
        <w:t xml:space="preserve"> </w:t>
      </w:r>
      <w:r w:rsidR="002F0ED8">
        <w:rPr>
          <w:rFonts w:eastAsia="Calibri"/>
        </w:rPr>
        <w:t>októbra</w:t>
      </w:r>
      <w:r w:rsidRPr="00D76091">
        <w:rPr>
          <w:rFonts w:eastAsia="Calibri"/>
        </w:rPr>
        <w:t xml:space="preserve"> 2019</w:t>
      </w:r>
      <w:r w:rsidR="0020663F">
        <w:rPr>
          <w:rFonts w:eastAsia="Calibri"/>
        </w:rPr>
        <w:t>,</w:t>
      </w:r>
      <w:r w:rsidRPr="00D76091">
        <w:rPr>
          <w:rFonts w:eastAsia="Calibri"/>
        </w:rPr>
        <w:t xml:space="preserve"> deficit verejných financií SR</w:t>
      </w:r>
      <w:r>
        <w:rPr>
          <w:rFonts w:eastAsia="Calibri"/>
        </w:rPr>
        <w:t xml:space="preserve"> v roku 2018</w:t>
      </w:r>
      <w:r w:rsidRPr="00D76091">
        <w:rPr>
          <w:rFonts w:eastAsia="Calibri"/>
        </w:rPr>
        <w:t xml:space="preserve"> dosiahol </w:t>
      </w:r>
      <w:r>
        <w:rPr>
          <w:rFonts w:eastAsia="Calibri"/>
        </w:rPr>
        <w:t xml:space="preserve">úroveň </w:t>
      </w:r>
      <w:r w:rsidRPr="00D76091">
        <w:rPr>
          <w:rFonts w:eastAsia="Calibri"/>
        </w:rPr>
        <w:t xml:space="preserve">1,06 % HDP. </w:t>
      </w:r>
      <w:r w:rsidR="002F0ED8">
        <w:rPr>
          <w:rFonts w:eastAsia="Calibri"/>
        </w:rPr>
        <w:t>J</w:t>
      </w:r>
      <w:r w:rsidRPr="00D76091">
        <w:rPr>
          <w:rFonts w:eastAsia="Calibri"/>
        </w:rPr>
        <w:t>esenn</w:t>
      </w:r>
      <w:r w:rsidR="002F0ED8">
        <w:rPr>
          <w:rFonts w:eastAsia="Calibri"/>
        </w:rPr>
        <w:t>á</w:t>
      </w:r>
      <w:r w:rsidRPr="00D76091">
        <w:rPr>
          <w:rFonts w:eastAsia="Calibri"/>
        </w:rPr>
        <w:t xml:space="preserve"> notifikáci</w:t>
      </w:r>
      <w:r w:rsidR="002F0ED8">
        <w:rPr>
          <w:rFonts w:eastAsia="Calibri"/>
        </w:rPr>
        <w:t>a</w:t>
      </w:r>
      <w:r w:rsidRPr="00D76091">
        <w:rPr>
          <w:rFonts w:eastAsia="Calibri"/>
        </w:rPr>
        <w:t xml:space="preserve"> </w:t>
      </w:r>
      <w:r w:rsidR="009B361B">
        <w:rPr>
          <w:rFonts w:eastAsia="Calibri"/>
        </w:rPr>
        <w:t xml:space="preserve">o </w:t>
      </w:r>
      <w:r w:rsidRPr="00D76091">
        <w:rPr>
          <w:rFonts w:eastAsia="Calibri"/>
        </w:rPr>
        <w:t>deficit</w:t>
      </w:r>
      <w:r w:rsidR="009B361B">
        <w:rPr>
          <w:rFonts w:eastAsia="Calibri"/>
        </w:rPr>
        <w:t>e</w:t>
      </w:r>
      <w:r w:rsidRPr="00D76091">
        <w:rPr>
          <w:rFonts w:eastAsia="Calibri"/>
        </w:rPr>
        <w:t xml:space="preserve"> a dlhu od </w:t>
      </w:r>
      <w:proofErr w:type="spellStart"/>
      <w:r w:rsidRPr="00D76091">
        <w:rPr>
          <w:rFonts w:eastAsia="Calibri"/>
        </w:rPr>
        <w:t>Eurostatu</w:t>
      </w:r>
      <w:proofErr w:type="spellEnd"/>
      <w:r w:rsidRPr="00D76091">
        <w:rPr>
          <w:rFonts w:eastAsia="Calibri"/>
        </w:rPr>
        <w:t xml:space="preserve"> tak zvýšil</w:t>
      </w:r>
      <w:r w:rsidR="002F0ED8">
        <w:rPr>
          <w:rFonts w:eastAsia="Calibri"/>
        </w:rPr>
        <w:t>a</w:t>
      </w:r>
      <w:r w:rsidRPr="00D76091">
        <w:rPr>
          <w:rFonts w:eastAsia="Calibri"/>
        </w:rPr>
        <w:t xml:space="preserve"> pôvodn</w:t>
      </w:r>
      <w:r w:rsidR="002F0ED8">
        <w:rPr>
          <w:rFonts w:eastAsia="Calibri"/>
        </w:rPr>
        <w:t xml:space="preserve">ý deficit verejných financií </w:t>
      </w:r>
      <w:r w:rsidR="00140EC7">
        <w:rPr>
          <w:rFonts w:eastAsia="Calibri"/>
        </w:rPr>
        <w:t>z </w:t>
      </w:r>
      <w:r w:rsidRPr="00D76091">
        <w:rPr>
          <w:rFonts w:eastAsia="Calibri"/>
        </w:rPr>
        <w:t>jarnej notifikácie po zohľadnení</w:t>
      </w:r>
      <w:r>
        <w:rPr>
          <w:rFonts w:eastAsia="Calibri"/>
        </w:rPr>
        <w:t xml:space="preserve"> dodatočných faktorov o </w:t>
      </w:r>
      <w:r w:rsidR="00AC387E">
        <w:rPr>
          <w:rFonts w:eastAsia="Calibri"/>
        </w:rPr>
        <w:t>0,36 </w:t>
      </w:r>
      <w:r w:rsidRPr="00D76091">
        <w:rPr>
          <w:rFonts w:eastAsia="Calibri"/>
        </w:rPr>
        <w:t xml:space="preserve">p. b. </w:t>
      </w:r>
      <w:proofErr w:type="spellStart"/>
      <w:r>
        <w:rPr>
          <w:rFonts w:eastAsia="Calibri"/>
        </w:rPr>
        <w:t>Eurostat</w:t>
      </w:r>
      <w:proofErr w:type="spellEnd"/>
      <w:r w:rsidRPr="00D76091">
        <w:rPr>
          <w:rFonts w:eastAsia="Calibri"/>
        </w:rPr>
        <w:t xml:space="preserve"> pri jarnej notifikácii </w:t>
      </w:r>
      <w:r w:rsidR="00140EC7">
        <w:rPr>
          <w:rFonts w:eastAsia="Calibri"/>
        </w:rPr>
        <w:t>vyjadril výhradu k </w:t>
      </w:r>
      <w:r w:rsidR="0020663F">
        <w:rPr>
          <w:rFonts w:eastAsia="Calibri"/>
        </w:rPr>
        <w:t>zaznamenaniu</w:t>
      </w:r>
      <w:r>
        <w:rPr>
          <w:rFonts w:eastAsia="Calibri"/>
        </w:rPr>
        <w:t xml:space="preserve"> vybraných výdavkov, </w:t>
      </w:r>
      <w:r w:rsidRPr="00D76091">
        <w:rPr>
          <w:rFonts w:eastAsia="Calibri"/>
        </w:rPr>
        <w:t>ktoré by mohli navýšiť deficit a dlh za rok 2018</w:t>
      </w:r>
      <w:r>
        <w:rPr>
          <w:rFonts w:eastAsia="Calibri"/>
        </w:rPr>
        <w:t xml:space="preserve"> o 0,3 % HDP</w:t>
      </w:r>
      <w:r w:rsidRPr="00D76091">
        <w:rPr>
          <w:rFonts w:eastAsia="Calibri"/>
        </w:rPr>
        <w:t xml:space="preserve">. Výšku deficitu sektora </w:t>
      </w:r>
      <w:r>
        <w:rPr>
          <w:rFonts w:eastAsia="Calibri"/>
        </w:rPr>
        <w:t>VS</w:t>
      </w:r>
      <w:r w:rsidRPr="00D76091">
        <w:rPr>
          <w:rFonts w:eastAsia="Calibri"/>
        </w:rPr>
        <w:t xml:space="preserve"> </w:t>
      </w:r>
      <w:r>
        <w:rPr>
          <w:rFonts w:eastAsia="Calibri"/>
        </w:rPr>
        <w:t xml:space="preserve">v roku 2018 </w:t>
      </w:r>
      <w:r w:rsidRPr="00D76091">
        <w:rPr>
          <w:rFonts w:eastAsia="Calibri"/>
        </w:rPr>
        <w:t>negatívne ovplyvnilo najmä uznanie záväzku voči prevádz</w:t>
      </w:r>
      <w:r w:rsidR="00140EC7">
        <w:rPr>
          <w:rFonts w:eastAsia="Calibri"/>
        </w:rPr>
        <w:t>kovateľom jadrových zariadení v </w:t>
      </w:r>
      <w:r w:rsidRPr="00D76091">
        <w:rPr>
          <w:rFonts w:eastAsia="Calibri"/>
        </w:rPr>
        <w:t>súvislosti s</w:t>
      </w:r>
      <w:r>
        <w:rPr>
          <w:rFonts w:eastAsia="Calibri"/>
        </w:rPr>
        <w:t> ich budúcim vyraďovaním a </w:t>
      </w:r>
      <w:r w:rsidRPr="00D76091">
        <w:rPr>
          <w:rFonts w:eastAsia="Calibri"/>
        </w:rPr>
        <w:t>zaznamenanie systému podpory výroby energie z obnoviteľných zdrojov. Na</w:t>
      </w:r>
      <w:r w:rsidR="00C941D1">
        <w:rPr>
          <w:rFonts w:eastAsia="Calibri"/>
        </w:rPr>
        <w:t>opak,</w:t>
      </w:r>
      <w:r w:rsidRPr="00D76091">
        <w:rPr>
          <w:rFonts w:eastAsia="Calibri"/>
        </w:rPr>
        <w:t xml:space="preserve"> pozitívny vplyv na výšku deficitu v roku 2018 mala zmena vykazovania príjmov z predaja telekomunikačných licencií</w:t>
      </w:r>
      <w:r>
        <w:rPr>
          <w:rFonts w:eastAsia="Calibri"/>
        </w:rPr>
        <w:t>.</w:t>
      </w:r>
      <w:r w:rsidRPr="00350396">
        <w:t xml:space="preserve"> </w:t>
      </w:r>
      <w:r w:rsidRPr="00350396">
        <w:rPr>
          <w:rFonts w:eastAsia="Calibri"/>
        </w:rPr>
        <w:t xml:space="preserve">Celkové zhoršenie deficitu </w:t>
      </w:r>
      <w:r>
        <w:rPr>
          <w:rFonts w:eastAsia="Calibri"/>
        </w:rPr>
        <w:t>VS pozostávalo</w:t>
      </w:r>
      <w:r w:rsidRPr="00350396">
        <w:rPr>
          <w:rFonts w:eastAsia="Calibri"/>
        </w:rPr>
        <w:t xml:space="preserve"> z revízie vyplývajúcej z aktualizácie zdrojových dát s n</w:t>
      </w:r>
      <w:r>
        <w:rPr>
          <w:rFonts w:eastAsia="Calibri"/>
        </w:rPr>
        <w:t>egatívnym vplyvom vo výške 0,23 % </w:t>
      </w:r>
      <w:r w:rsidR="00AC387E">
        <w:rPr>
          <w:rFonts w:eastAsia="Calibri"/>
        </w:rPr>
        <w:t xml:space="preserve">HDP a z </w:t>
      </w:r>
      <w:proofErr w:type="spellStart"/>
      <w:r w:rsidR="00AC387E">
        <w:rPr>
          <w:rFonts w:eastAsia="Calibri"/>
        </w:rPr>
        <w:t>benchmarkovej</w:t>
      </w:r>
      <w:proofErr w:type="spellEnd"/>
      <w:r w:rsidR="00AC387E">
        <w:rPr>
          <w:rFonts w:eastAsia="Calibri"/>
        </w:rPr>
        <w:t xml:space="preserve"> revízie s </w:t>
      </w:r>
      <w:r w:rsidRPr="00350396">
        <w:rPr>
          <w:rFonts w:eastAsia="Calibri"/>
        </w:rPr>
        <w:t>negatívnym dopadom 0,13 % HDP</w:t>
      </w:r>
      <w:r w:rsidR="00C941D1">
        <w:rPr>
          <w:rFonts w:eastAsia="Calibri"/>
        </w:rPr>
        <w:t>.</w:t>
      </w:r>
    </w:p>
    <w:p w14:paraId="7F20E4D5" w14:textId="4EC8DC7A" w:rsidR="00546CD8" w:rsidRDefault="00C941D1" w:rsidP="00E06664">
      <w:pPr>
        <w:spacing w:before="120" w:after="120"/>
        <w:ind w:firstLine="708"/>
        <w:jc w:val="both"/>
        <w:rPr>
          <w:rFonts w:eastAsia="Calibri"/>
        </w:rPr>
      </w:pPr>
      <w:r>
        <w:rPr>
          <w:rFonts w:eastAsia="Calibri"/>
        </w:rPr>
        <w:t>D</w:t>
      </w:r>
      <w:r w:rsidR="00546CD8" w:rsidRPr="00140491">
        <w:rPr>
          <w:rFonts w:eastAsia="Calibri"/>
        </w:rPr>
        <w:t xml:space="preserve">eficit </w:t>
      </w:r>
      <w:r>
        <w:rPr>
          <w:rFonts w:eastAsia="Calibri"/>
        </w:rPr>
        <w:t xml:space="preserve">SR </w:t>
      </w:r>
      <w:r w:rsidR="00546CD8" w:rsidRPr="00140491">
        <w:rPr>
          <w:rFonts w:eastAsia="Calibri"/>
        </w:rPr>
        <w:t>sa tak dostal na dvojnásobnú úroveň priemerného schodku v eurozóne,</w:t>
      </w:r>
      <w:r w:rsidR="00546CD8">
        <w:rPr>
          <w:rFonts w:eastAsia="Calibri"/>
        </w:rPr>
        <w:t xml:space="preserve"> medzi osem najvyšších deficitov v EÚ.</w:t>
      </w:r>
      <w:r w:rsidR="00546CD8" w:rsidRPr="00140491">
        <w:rPr>
          <w:rFonts w:eastAsia="Calibri"/>
        </w:rPr>
        <w:t xml:space="preserve"> V celej </w:t>
      </w:r>
      <w:r w:rsidR="00546CD8">
        <w:rPr>
          <w:rFonts w:eastAsia="Calibri"/>
        </w:rPr>
        <w:t>EÚ</w:t>
      </w:r>
      <w:r w:rsidR="00546CD8" w:rsidRPr="00140491">
        <w:rPr>
          <w:rFonts w:eastAsia="Calibri"/>
        </w:rPr>
        <w:t xml:space="preserve"> priemerný schodok dosiahol 0,7 </w:t>
      </w:r>
      <w:r>
        <w:rPr>
          <w:rFonts w:eastAsia="Calibri"/>
        </w:rPr>
        <w:t>% HDP. V rámci krajín V4 dosiahla</w:t>
      </w:r>
      <w:r w:rsidR="00546CD8" w:rsidRPr="00140491">
        <w:rPr>
          <w:rFonts w:eastAsia="Calibri"/>
        </w:rPr>
        <w:t xml:space="preserve"> lepší rozpočtový výsledok ČR, ktorá vlani hospodárila s prebytkom verejných financií vo výške 1,1 % HDP a Poľsko s deficitom 0,2 %. Maďarsko vykázalo deficit na úrovni 2,3 % výkonu ekonomiky</w:t>
      </w:r>
      <w:r w:rsidR="00546CD8">
        <w:rPr>
          <w:rFonts w:eastAsia="Calibri"/>
        </w:rPr>
        <w:t>.</w:t>
      </w:r>
    </w:p>
    <w:tbl>
      <w:tblPr>
        <w:tblStyle w:val="Mriekatabuky"/>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546CD8" w:rsidRPr="009E2096" w14:paraId="58588180" w14:textId="77777777" w:rsidTr="00511FAF">
        <w:trPr>
          <w:trHeight w:val="213"/>
        </w:trPr>
        <w:tc>
          <w:tcPr>
            <w:tcW w:w="5000" w:type="pct"/>
            <w:tcBorders>
              <w:top w:val="single" w:sz="4" w:space="0" w:color="auto"/>
              <w:bottom w:val="single" w:sz="4" w:space="0" w:color="auto"/>
            </w:tcBorders>
            <w:shd w:val="clear" w:color="auto" w:fill="0070C0"/>
          </w:tcPr>
          <w:p w14:paraId="2BF7B145" w14:textId="77777777" w:rsidR="00546CD8" w:rsidRPr="009E2096" w:rsidRDefault="00546CD8" w:rsidP="00511FAF">
            <w:pPr>
              <w:pStyle w:val="Bezriadkovania"/>
              <w:contextualSpacing/>
              <w:rPr>
                <w:b/>
              </w:rPr>
            </w:pPr>
            <w:r w:rsidRPr="00AE076A">
              <w:rPr>
                <w:b/>
                <w:color w:val="FFFFFF" w:themeColor="background1"/>
              </w:rPr>
              <w:t xml:space="preserve">Vývoj </w:t>
            </w:r>
            <w:r>
              <w:rPr>
                <w:b/>
                <w:color w:val="FFFFFF" w:themeColor="background1"/>
              </w:rPr>
              <w:t xml:space="preserve">schodku verejnej správy </w:t>
            </w:r>
            <w:r w:rsidRPr="00AE076A">
              <w:rPr>
                <w:b/>
                <w:color w:val="FFFFFF" w:themeColor="background1"/>
              </w:rPr>
              <w:t>v rokoch 20</w:t>
            </w:r>
            <w:r>
              <w:rPr>
                <w:b/>
                <w:color w:val="FFFFFF" w:themeColor="background1"/>
              </w:rPr>
              <w:t>06</w:t>
            </w:r>
            <w:r w:rsidRPr="00AE076A">
              <w:rPr>
                <w:b/>
                <w:color w:val="FFFFFF" w:themeColor="background1"/>
              </w:rPr>
              <w:t xml:space="preserve"> až 20</w:t>
            </w:r>
            <w:r>
              <w:rPr>
                <w:b/>
                <w:color w:val="FFFFFF" w:themeColor="background1"/>
              </w:rPr>
              <w:t>21 (</w:t>
            </w:r>
            <w:r w:rsidR="00C941D1">
              <w:rPr>
                <w:b/>
                <w:color w:val="FFFFFF" w:themeColor="background1"/>
              </w:rPr>
              <w:t xml:space="preserve">v </w:t>
            </w:r>
            <w:r>
              <w:rPr>
                <w:b/>
                <w:color w:val="FFFFFF" w:themeColor="background1"/>
              </w:rPr>
              <w:t>mil. eur)</w:t>
            </w:r>
          </w:p>
        </w:tc>
      </w:tr>
    </w:tbl>
    <w:p w14:paraId="566CF8BF" w14:textId="77777777" w:rsidR="00546CD8" w:rsidRPr="00CB4017" w:rsidRDefault="00546CD8" w:rsidP="00546CD8">
      <w:pPr>
        <w:pBdr>
          <w:bottom w:val="single" w:sz="4" w:space="1" w:color="auto"/>
        </w:pBdr>
        <w:jc w:val="both"/>
        <w:rPr>
          <w:color w:val="FF0000"/>
        </w:rPr>
      </w:pPr>
      <w:r>
        <w:rPr>
          <w:noProof/>
          <w:lang w:eastAsia="sk-SK"/>
        </w:rPr>
        <w:drawing>
          <wp:inline distT="0" distB="0" distL="0" distR="0" wp14:anchorId="19CF8F89" wp14:editId="07521740">
            <wp:extent cx="5753100" cy="1363980"/>
            <wp:effectExtent l="0" t="0" r="0" b="762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8F8AC9" w14:textId="6FC55571" w:rsidR="00546CD8" w:rsidRPr="00236949" w:rsidRDefault="00546CD8" w:rsidP="00546CD8">
      <w:pPr>
        <w:jc w:val="both"/>
        <w:rPr>
          <w:i/>
          <w:sz w:val="18"/>
        </w:rPr>
      </w:pPr>
      <w:r w:rsidRPr="00236949">
        <w:rPr>
          <w:i/>
          <w:sz w:val="18"/>
        </w:rPr>
        <w:t xml:space="preserve">Zdroj: Návrh RVS </w:t>
      </w:r>
      <w:r w:rsidR="009B361B">
        <w:rPr>
          <w:i/>
          <w:sz w:val="18"/>
        </w:rPr>
        <w:t xml:space="preserve">na roky </w:t>
      </w:r>
      <w:r w:rsidR="0020663F">
        <w:rPr>
          <w:i/>
          <w:sz w:val="18"/>
        </w:rPr>
        <w:t>2020 až</w:t>
      </w:r>
      <w:r w:rsidRPr="00236949">
        <w:rPr>
          <w:i/>
          <w:sz w:val="18"/>
        </w:rPr>
        <w:t xml:space="preserve"> 2022, ŠÚ SR – októbrová notifikácia o deficite a dlhu</w:t>
      </w:r>
    </w:p>
    <w:p w14:paraId="06720CA0" w14:textId="67A3EF5E" w:rsidR="00236428" w:rsidRPr="00EF2C95" w:rsidRDefault="00546CD8" w:rsidP="00EF2C95">
      <w:pPr>
        <w:pStyle w:val="Bezriadkovania"/>
        <w:spacing w:before="120" w:after="120"/>
        <w:ind w:firstLine="708"/>
        <w:jc w:val="both"/>
      </w:pPr>
      <w:r w:rsidRPr="00FD44C4">
        <w:rPr>
          <w:bCs/>
        </w:rPr>
        <w:lastRenderedPageBreak/>
        <w:t xml:space="preserve">Fiškálna politika SR podlieha od roku 2014 pravidlám preventívnej časti Paktu stability a rastu, ktorá požaduje postupné znižovanie štrukturálneho salda až do dosiahnutia strednodobého rozpočtového </w:t>
      </w:r>
      <w:r w:rsidRPr="008B760E">
        <w:rPr>
          <w:bCs/>
        </w:rPr>
        <w:t>cieľa (MTO)</w:t>
      </w:r>
      <w:r w:rsidRPr="008B760E">
        <w:t>.</w:t>
      </w:r>
      <w:r w:rsidRPr="00F24EF0">
        <w:t xml:space="preserve"> Štrukturálne saldo verejnej správy vyjadruje výsledok hospodárenia verejnej správy očistený o cyklické a jednorazové vplyvy. Takto vyjadrené saldo presnejšie zobrazuje skutočnú fiškálnu pozíciu krajiny a zároveň je kľúčovým pilierom pri hodnotení súladu s európskymi a národnými fiškálnymi pravidlami.</w:t>
      </w:r>
      <w:r>
        <w:t xml:space="preserve"> V roku 2020 by mal </w:t>
      </w:r>
      <w:r w:rsidRPr="00441685">
        <w:rPr>
          <w:b/>
          <w:bCs/>
        </w:rPr>
        <w:t xml:space="preserve">štrukturálny deficit </w:t>
      </w:r>
      <w:r>
        <w:rPr>
          <w:b/>
          <w:bCs/>
        </w:rPr>
        <w:t xml:space="preserve">VS </w:t>
      </w:r>
      <w:r w:rsidRPr="00441685">
        <w:rPr>
          <w:bCs/>
        </w:rPr>
        <w:t xml:space="preserve">dosiahnuť </w:t>
      </w:r>
      <w:r>
        <w:rPr>
          <w:bCs/>
        </w:rPr>
        <w:t>úroveň 0,5 % HDP, čo je o 0,5 % HDP menej oproti MTO stanovenému v </w:t>
      </w:r>
      <w:r w:rsidRPr="00441685">
        <w:t>Program</w:t>
      </w:r>
      <w:r w:rsidR="0066674A">
        <w:t>e</w:t>
      </w:r>
      <w:r w:rsidRPr="00441685">
        <w:t xml:space="preserve"> stability SR na roky 2019 až 2022</w:t>
      </w:r>
      <w:r>
        <w:t xml:space="preserve">. </w:t>
      </w:r>
      <w:r w:rsidR="00236428" w:rsidRPr="00EF2C95">
        <w:t xml:space="preserve">Slovensko si pre rok 2020 zmenilo MTO na úroveň -1 % HDP z pôvodných -0,5 % HDP – v  súlade s európskymi fiškálnymi pravidlami. </w:t>
      </w:r>
    </w:p>
    <w:p w14:paraId="0A63D2D2" w14:textId="77777777" w:rsidR="00546CD8" w:rsidRPr="00845542" w:rsidRDefault="00546CD8" w:rsidP="003B541D">
      <w:pPr>
        <w:spacing w:before="120" w:after="120"/>
        <w:ind w:firstLine="708"/>
        <w:jc w:val="both"/>
        <w:rPr>
          <w:rFonts w:eastAsia="Calibri"/>
          <w:b/>
          <w:i/>
        </w:rPr>
      </w:pPr>
      <w:r w:rsidRPr="00845542">
        <w:rPr>
          <w:rFonts w:eastAsia="Calibri"/>
          <w:b/>
          <w:bCs/>
        </w:rPr>
        <w:t>Naplnenie cieľa vyrovnaného hospodárenia rozpočtu VS už bolo niekoľkokrát presunuté na neskoršie obdobie. Na základe súčasného vývoja NKÚ SR považuje dosiahnutie vyrovnaného rozpočtu v najbližších rokoch za nereálne.</w:t>
      </w:r>
    </w:p>
    <w:p w14:paraId="329B705F" w14:textId="77777777" w:rsidR="008362CF" w:rsidRDefault="008B401F" w:rsidP="003B541D">
      <w:pPr>
        <w:pStyle w:val="Nadpis2"/>
      </w:pPr>
      <w:bookmarkStart w:id="19" w:name="_Toc480788318"/>
      <w:bookmarkStart w:id="20" w:name="_Toc24098444"/>
      <w:r>
        <w:t>2.</w:t>
      </w:r>
      <w:r w:rsidR="00FF7627">
        <w:t>3</w:t>
      </w:r>
      <w:r>
        <w:tab/>
      </w:r>
      <w:bookmarkEnd w:id="19"/>
      <w:r w:rsidR="0011162C">
        <w:t>Prognóza hrubého dlhu VS</w:t>
      </w:r>
      <w:bookmarkEnd w:id="20"/>
    </w:p>
    <w:p w14:paraId="1032BB31" w14:textId="77777777" w:rsidR="00546CD8" w:rsidRPr="00BE2063" w:rsidRDefault="00546CD8" w:rsidP="003B541D">
      <w:pPr>
        <w:autoSpaceDE w:val="0"/>
        <w:autoSpaceDN w:val="0"/>
        <w:adjustRightInd w:val="0"/>
        <w:spacing w:before="120" w:after="120"/>
        <w:ind w:firstLine="708"/>
        <w:jc w:val="both"/>
      </w:pPr>
      <w:r w:rsidRPr="00BE2063">
        <w:t xml:space="preserve">Podľa </w:t>
      </w:r>
      <w:r w:rsidR="0066674A">
        <w:t>II.</w:t>
      </w:r>
      <w:r>
        <w:t xml:space="preserve"> notifikácie </w:t>
      </w:r>
      <w:proofErr w:type="spellStart"/>
      <w:r>
        <w:t>Eurostatu</w:t>
      </w:r>
      <w:proofErr w:type="spellEnd"/>
      <w:r>
        <w:t xml:space="preserve"> dosiahol dlh VS v roku 2018 výšku 49,4 %, čo je o 0,5 % viac oproti I. notifikácii </w:t>
      </w:r>
      <w:proofErr w:type="spellStart"/>
      <w:r>
        <w:t>Eurostatu</w:t>
      </w:r>
      <w:proofErr w:type="spellEnd"/>
      <w:r>
        <w:t>. D</w:t>
      </w:r>
      <w:r w:rsidRPr="00BE2063">
        <w:t>lh</w:t>
      </w:r>
      <w:r>
        <w:t xml:space="preserve"> VS</w:t>
      </w:r>
      <w:r w:rsidRPr="00BE2063">
        <w:t xml:space="preserve"> sa opätovne </w:t>
      </w:r>
      <w:r>
        <w:t>dostal do 1. sankčného pásma</w:t>
      </w:r>
      <w:r w:rsidRPr="00BE2063">
        <w:t xml:space="preserve"> v zmysle zákona o rozpočtovej zodpovednosti. </w:t>
      </w:r>
    </w:p>
    <w:p w14:paraId="0543EFA4" w14:textId="228663AF" w:rsidR="00546CD8" w:rsidRPr="00497B2D" w:rsidRDefault="00546CD8" w:rsidP="003B541D">
      <w:pPr>
        <w:autoSpaceDE w:val="0"/>
        <w:autoSpaceDN w:val="0"/>
        <w:adjustRightInd w:val="0"/>
        <w:spacing w:before="120" w:after="120"/>
        <w:ind w:firstLine="708"/>
        <w:jc w:val="both"/>
      </w:pPr>
      <w:r w:rsidRPr="00497B2D">
        <w:t xml:space="preserve">Dlh </w:t>
      </w:r>
      <w:r>
        <w:t xml:space="preserve">VS by mal </w:t>
      </w:r>
      <w:r w:rsidRPr="00497B2D">
        <w:t>v roku 2019 podľa odhadu MF SR</w:t>
      </w:r>
      <w:r>
        <w:t xml:space="preserve"> dosiahnuť </w:t>
      </w:r>
      <w:r w:rsidRPr="00497B2D">
        <w:t>úroveň 47,9</w:t>
      </w:r>
      <w:r>
        <w:t xml:space="preserve"> % HDP. </w:t>
      </w:r>
      <w:r w:rsidRPr="00497B2D">
        <w:t xml:space="preserve">Znamená to, že by sa nemal nachádzať v hraniciach </w:t>
      </w:r>
      <w:r w:rsidR="0066674A">
        <w:t>1.</w:t>
      </w:r>
      <w:r w:rsidRPr="00497B2D">
        <w:t xml:space="preserve"> sankčného pásma dlhovej brzdy. Hlavným dôvodom medziročného poklesu hrubého dlhu</w:t>
      </w:r>
      <w:r w:rsidR="008B760E">
        <w:t xml:space="preserve"> je naďalej pokračujúci, aj keď</w:t>
      </w:r>
      <w:r w:rsidRPr="00497B2D">
        <w:t xml:space="preserve"> pomalší rast HDP a pokračujúci primárny prebytok hospodárenia verejnej správy. Plánovaný dlh podľa návrhu rozpočtu na rok 2020 by mal byť na úrovni 4</w:t>
      </w:r>
      <w:r>
        <w:t>6</w:t>
      </w:r>
      <w:r w:rsidRPr="00497B2D">
        <w:t>,</w:t>
      </w:r>
      <w:r>
        <w:t>8</w:t>
      </w:r>
      <w:r w:rsidRPr="00497B2D">
        <w:t xml:space="preserve"> % HDP. Dôjde tak k jeho medziročnému zníženiu o 1,</w:t>
      </w:r>
      <w:r>
        <w:t>1</w:t>
      </w:r>
      <w:r w:rsidRPr="00497B2D">
        <w:t xml:space="preserve"> p. b. Dynamiku dlhu negatívne ovplyvní jednorazový vklad do Európskeho stabilizačného mechanizmu v roku 2020, vo výške 0,1 % HDP. V absolútnych číslach </w:t>
      </w:r>
      <w:r>
        <w:t xml:space="preserve">by mal dlh vzrásť </w:t>
      </w:r>
      <w:r w:rsidRPr="00497B2D">
        <w:t>o</w:t>
      </w:r>
      <w:r>
        <w:t> </w:t>
      </w:r>
      <w:r w:rsidRPr="00497B2D">
        <w:t>800</w:t>
      </w:r>
      <w:r>
        <w:t> mil. </w:t>
      </w:r>
      <w:r w:rsidRPr="00497B2D">
        <w:t xml:space="preserve">eur.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2626"/>
        <w:gridCol w:w="710"/>
        <w:gridCol w:w="899"/>
        <w:gridCol w:w="731"/>
        <w:gridCol w:w="733"/>
        <w:gridCol w:w="875"/>
        <w:gridCol w:w="1021"/>
        <w:gridCol w:w="880"/>
        <w:gridCol w:w="871"/>
      </w:tblGrid>
      <w:tr w:rsidR="00546CD8" w:rsidRPr="00B86C0C" w14:paraId="28C2F816" w14:textId="77777777" w:rsidTr="00511FAF">
        <w:trPr>
          <w:trHeight w:val="243"/>
        </w:trPr>
        <w:tc>
          <w:tcPr>
            <w:tcW w:w="1405" w:type="pct"/>
            <w:tcBorders>
              <w:top w:val="single" w:sz="4" w:space="0" w:color="4472C4"/>
              <w:left w:val="single" w:sz="4" w:space="0" w:color="4472C4"/>
              <w:bottom w:val="single" w:sz="4" w:space="0" w:color="auto"/>
              <w:right w:val="single" w:sz="4" w:space="0" w:color="FFFFFF" w:themeColor="background1"/>
            </w:tcBorders>
            <w:shd w:val="clear" w:color="auto" w:fill="0070C0"/>
            <w:noWrap/>
            <w:vAlign w:val="center"/>
            <w:hideMark/>
          </w:tcPr>
          <w:p w14:paraId="1A4D19D5" w14:textId="77777777" w:rsidR="00546CD8" w:rsidRPr="00593AE7" w:rsidRDefault="00546CD8" w:rsidP="003B541D">
            <w:pPr>
              <w:rPr>
                <w:b/>
                <w:bCs/>
                <w:color w:val="FFFFFF" w:themeColor="background1"/>
                <w:sz w:val="20"/>
                <w:szCs w:val="20"/>
              </w:rPr>
            </w:pPr>
            <w:r w:rsidRPr="00593AE7">
              <w:rPr>
                <w:b/>
                <w:bCs/>
                <w:color w:val="FFFFFF" w:themeColor="background1"/>
                <w:sz w:val="20"/>
                <w:szCs w:val="20"/>
              </w:rPr>
              <w:t>Dlh verejnej správy (ESA 2010)</w:t>
            </w:r>
          </w:p>
        </w:tc>
        <w:tc>
          <w:tcPr>
            <w:tcW w:w="380"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vAlign w:val="center"/>
            <w:hideMark/>
          </w:tcPr>
          <w:p w14:paraId="1AE4BD26" w14:textId="77777777" w:rsidR="00546CD8" w:rsidRPr="00593AE7" w:rsidRDefault="00546CD8" w:rsidP="003B541D">
            <w:pPr>
              <w:jc w:val="center"/>
              <w:rPr>
                <w:b/>
                <w:bCs/>
                <w:color w:val="FFFFFF" w:themeColor="background1"/>
                <w:sz w:val="20"/>
                <w:szCs w:val="20"/>
              </w:rPr>
            </w:pPr>
            <w:proofErr w:type="spellStart"/>
            <w:r w:rsidRPr="00593AE7">
              <w:rPr>
                <w:b/>
                <w:bCs/>
                <w:color w:val="FFFFFF" w:themeColor="background1"/>
                <w:sz w:val="20"/>
                <w:szCs w:val="20"/>
              </w:rPr>
              <w:t>m.j</w:t>
            </w:r>
            <w:proofErr w:type="spellEnd"/>
            <w:r w:rsidRPr="00593AE7">
              <w:rPr>
                <w:b/>
                <w:bCs/>
                <w:color w:val="FFFFFF" w:themeColor="background1"/>
                <w:sz w:val="20"/>
                <w:szCs w:val="20"/>
              </w:rPr>
              <w:t>.</w:t>
            </w:r>
          </w:p>
        </w:tc>
        <w:tc>
          <w:tcPr>
            <w:tcW w:w="481"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14:paraId="54391A31" w14:textId="77777777" w:rsidR="00546CD8" w:rsidRPr="00593AE7" w:rsidRDefault="00546CD8" w:rsidP="003B541D">
            <w:pPr>
              <w:jc w:val="center"/>
              <w:rPr>
                <w:b/>
                <w:bCs/>
                <w:color w:val="FFFFFF" w:themeColor="background1"/>
                <w:sz w:val="20"/>
                <w:szCs w:val="20"/>
              </w:rPr>
            </w:pPr>
            <w:r w:rsidRPr="00593AE7">
              <w:rPr>
                <w:b/>
                <w:bCs/>
                <w:color w:val="FFFFFF" w:themeColor="background1"/>
                <w:sz w:val="20"/>
                <w:szCs w:val="20"/>
              </w:rPr>
              <w:t>2016</w:t>
            </w:r>
          </w:p>
        </w:tc>
        <w:tc>
          <w:tcPr>
            <w:tcW w:w="391"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14:paraId="2DAEBD44" w14:textId="77777777" w:rsidR="00546CD8" w:rsidRPr="00593AE7" w:rsidRDefault="00546CD8" w:rsidP="003B541D">
            <w:pPr>
              <w:jc w:val="center"/>
              <w:rPr>
                <w:b/>
                <w:bCs/>
                <w:color w:val="FFFFFF" w:themeColor="background1"/>
                <w:sz w:val="20"/>
                <w:szCs w:val="20"/>
              </w:rPr>
            </w:pPr>
            <w:r w:rsidRPr="00593AE7">
              <w:rPr>
                <w:b/>
                <w:bCs/>
                <w:color w:val="FFFFFF" w:themeColor="background1"/>
                <w:sz w:val="20"/>
                <w:szCs w:val="20"/>
              </w:rPr>
              <w:t>2017</w:t>
            </w:r>
          </w:p>
        </w:tc>
        <w:tc>
          <w:tcPr>
            <w:tcW w:w="392"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14:paraId="239FB006" w14:textId="77777777" w:rsidR="00546CD8" w:rsidRPr="00593AE7" w:rsidRDefault="00546CD8" w:rsidP="003B541D">
            <w:pPr>
              <w:jc w:val="center"/>
              <w:rPr>
                <w:b/>
                <w:bCs/>
                <w:color w:val="FFFFFF" w:themeColor="background1"/>
                <w:sz w:val="20"/>
                <w:szCs w:val="20"/>
              </w:rPr>
            </w:pPr>
            <w:r w:rsidRPr="00593AE7">
              <w:rPr>
                <w:b/>
                <w:bCs/>
                <w:color w:val="FFFFFF" w:themeColor="background1"/>
                <w:sz w:val="20"/>
                <w:szCs w:val="20"/>
              </w:rPr>
              <w:t xml:space="preserve">2018 </w:t>
            </w:r>
          </w:p>
        </w:tc>
        <w:tc>
          <w:tcPr>
            <w:tcW w:w="46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noWrap/>
            <w:vAlign w:val="center"/>
            <w:hideMark/>
          </w:tcPr>
          <w:p w14:paraId="4030933F" w14:textId="77777777" w:rsidR="00546CD8" w:rsidRPr="00593AE7" w:rsidRDefault="00546CD8" w:rsidP="003B541D">
            <w:pPr>
              <w:jc w:val="center"/>
              <w:rPr>
                <w:b/>
                <w:bCs/>
                <w:color w:val="FFFFFF" w:themeColor="background1"/>
                <w:sz w:val="20"/>
                <w:szCs w:val="20"/>
              </w:rPr>
            </w:pPr>
            <w:r w:rsidRPr="00593AE7">
              <w:rPr>
                <w:b/>
                <w:bCs/>
                <w:color w:val="FFFFFF" w:themeColor="background1"/>
                <w:sz w:val="20"/>
                <w:szCs w:val="20"/>
              </w:rPr>
              <w:t>2019 OS</w:t>
            </w:r>
          </w:p>
        </w:tc>
        <w:tc>
          <w:tcPr>
            <w:tcW w:w="54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noWrap/>
            <w:vAlign w:val="center"/>
            <w:hideMark/>
          </w:tcPr>
          <w:p w14:paraId="228DB327" w14:textId="77777777" w:rsidR="00546CD8" w:rsidRPr="00593AE7" w:rsidRDefault="00546CD8" w:rsidP="003B541D">
            <w:pPr>
              <w:jc w:val="center"/>
              <w:rPr>
                <w:b/>
                <w:bCs/>
                <w:color w:val="FFFFFF" w:themeColor="background1"/>
                <w:sz w:val="18"/>
                <w:szCs w:val="18"/>
              </w:rPr>
            </w:pPr>
            <w:r w:rsidRPr="00593AE7">
              <w:rPr>
                <w:b/>
                <w:bCs/>
                <w:color w:val="FFFFFF" w:themeColor="background1"/>
                <w:sz w:val="18"/>
                <w:szCs w:val="18"/>
              </w:rPr>
              <w:t>2020 RVS</w:t>
            </w:r>
          </w:p>
        </w:tc>
        <w:tc>
          <w:tcPr>
            <w:tcW w:w="471" w:type="pct"/>
            <w:tcBorders>
              <w:top w:val="single" w:sz="4" w:space="0" w:color="4472C4"/>
              <w:left w:val="single" w:sz="4" w:space="0" w:color="FFFFFF" w:themeColor="background1"/>
              <w:bottom w:val="single" w:sz="4" w:space="0" w:color="auto"/>
              <w:right w:val="single" w:sz="4" w:space="0" w:color="auto"/>
            </w:tcBorders>
            <w:shd w:val="clear" w:color="auto" w:fill="0070C0"/>
            <w:noWrap/>
            <w:vAlign w:val="center"/>
            <w:hideMark/>
          </w:tcPr>
          <w:p w14:paraId="311E9BC9" w14:textId="77777777" w:rsidR="00546CD8" w:rsidRPr="00593AE7" w:rsidRDefault="00546CD8" w:rsidP="003B541D">
            <w:pPr>
              <w:jc w:val="center"/>
              <w:rPr>
                <w:b/>
                <w:bCs/>
                <w:color w:val="FFFFFF" w:themeColor="background1"/>
                <w:sz w:val="18"/>
                <w:szCs w:val="18"/>
              </w:rPr>
            </w:pPr>
            <w:r w:rsidRPr="00593AE7">
              <w:rPr>
                <w:b/>
                <w:bCs/>
                <w:color w:val="FFFFFF" w:themeColor="background1"/>
                <w:sz w:val="18"/>
                <w:szCs w:val="18"/>
              </w:rPr>
              <w:t>2021  RVS</w:t>
            </w:r>
          </w:p>
        </w:tc>
        <w:tc>
          <w:tcPr>
            <w:tcW w:w="466" w:type="pct"/>
            <w:tcBorders>
              <w:top w:val="single" w:sz="4" w:space="0" w:color="4472C4"/>
              <w:left w:val="single" w:sz="4" w:space="0" w:color="FFFFFF" w:themeColor="background1"/>
              <w:bottom w:val="single" w:sz="4" w:space="0" w:color="auto"/>
              <w:right w:val="single" w:sz="4" w:space="0" w:color="auto"/>
            </w:tcBorders>
            <w:shd w:val="clear" w:color="auto" w:fill="0070C0"/>
            <w:vAlign w:val="center"/>
          </w:tcPr>
          <w:p w14:paraId="7E4B45D5" w14:textId="77777777" w:rsidR="00546CD8" w:rsidRPr="00593AE7" w:rsidRDefault="00546CD8" w:rsidP="003B541D">
            <w:pPr>
              <w:jc w:val="center"/>
              <w:rPr>
                <w:b/>
                <w:bCs/>
                <w:color w:val="FFFFFF" w:themeColor="background1"/>
                <w:sz w:val="18"/>
                <w:szCs w:val="18"/>
              </w:rPr>
            </w:pPr>
            <w:r w:rsidRPr="00593AE7">
              <w:rPr>
                <w:b/>
                <w:bCs/>
                <w:color w:val="FFFFFF" w:themeColor="background1"/>
                <w:sz w:val="18"/>
                <w:szCs w:val="18"/>
              </w:rPr>
              <w:t>2022 RVS</w:t>
            </w:r>
          </w:p>
        </w:tc>
      </w:tr>
      <w:tr w:rsidR="00546CD8" w:rsidRPr="00B86C0C" w14:paraId="07EFACF3" w14:textId="77777777" w:rsidTr="00511FAF">
        <w:trPr>
          <w:trHeight w:val="243"/>
        </w:trPr>
        <w:tc>
          <w:tcPr>
            <w:tcW w:w="1405" w:type="pct"/>
            <w:tcBorders>
              <w:top w:val="single" w:sz="4" w:space="0" w:color="auto"/>
              <w:left w:val="single" w:sz="4" w:space="0" w:color="4472C4"/>
              <w:bottom w:val="single" w:sz="4" w:space="0" w:color="auto"/>
              <w:right w:val="single" w:sz="4" w:space="0" w:color="auto"/>
            </w:tcBorders>
            <w:shd w:val="clear" w:color="auto" w:fill="FFFFFF" w:themeFill="background1"/>
            <w:noWrap/>
            <w:vAlign w:val="center"/>
            <w:hideMark/>
          </w:tcPr>
          <w:p w14:paraId="5AB439A2" w14:textId="77777777" w:rsidR="00546CD8" w:rsidRPr="00593AE7" w:rsidRDefault="00546CD8" w:rsidP="003B541D">
            <w:pPr>
              <w:rPr>
                <w:sz w:val="20"/>
                <w:szCs w:val="20"/>
              </w:rPr>
            </w:pPr>
            <w:r w:rsidRPr="00593AE7">
              <w:rPr>
                <w:sz w:val="20"/>
                <w:szCs w:val="20"/>
              </w:rPr>
              <w:t xml:space="preserve">Hrubý dlh verejnej správy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13ED4B" w14:textId="77777777" w:rsidR="00546CD8" w:rsidRPr="00593AE7" w:rsidRDefault="00546CD8" w:rsidP="003B541D">
            <w:pPr>
              <w:jc w:val="center"/>
              <w:rPr>
                <w:sz w:val="20"/>
                <w:szCs w:val="20"/>
              </w:rPr>
            </w:pPr>
            <w:r w:rsidRPr="00593AE7">
              <w:rPr>
                <w:sz w:val="20"/>
                <w:szCs w:val="20"/>
              </w:rPr>
              <w:t>mil. eur</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83303C" w14:textId="77777777" w:rsidR="00546CD8" w:rsidRPr="00593AE7" w:rsidRDefault="00546CD8" w:rsidP="003B541D">
            <w:pPr>
              <w:jc w:val="center"/>
              <w:rPr>
                <w:sz w:val="20"/>
                <w:szCs w:val="20"/>
              </w:rPr>
            </w:pPr>
            <w:r w:rsidRPr="00593AE7">
              <w:rPr>
                <w:sz w:val="20"/>
                <w:szCs w:val="20"/>
              </w:rPr>
              <w:t>42 053</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DE4D68" w14:textId="77777777" w:rsidR="00546CD8" w:rsidRPr="00593AE7" w:rsidRDefault="00546CD8" w:rsidP="003B541D">
            <w:pPr>
              <w:jc w:val="center"/>
              <w:rPr>
                <w:sz w:val="20"/>
                <w:szCs w:val="20"/>
              </w:rPr>
            </w:pPr>
            <w:r w:rsidRPr="00593AE7">
              <w:rPr>
                <w:sz w:val="20"/>
                <w:szCs w:val="20"/>
              </w:rPr>
              <w:t>43 370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4C5FED" w14:textId="77777777" w:rsidR="00546CD8" w:rsidRPr="00593AE7" w:rsidRDefault="00546CD8" w:rsidP="003B541D">
            <w:pPr>
              <w:jc w:val="center"/>
              <w:rPr>
                <w:sz w:val="20"/>
                <w:szCs w:val="20"/>
              </w:rPr>
            </w:pPr>
            <w:r w:rsidRPr="00593AE7">
              <w:rPr>
                <w:sz w:val="20"/>
                <w:szCs w:val="20"/>
              </w:rPr>
              <w:t>44 322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08FC6F" w14:textId="77777777" w:rsidR="00546CD8" w:rsidRPr="00593AE7" w:rsidRDefault="00546CD8" w:rsidP="003B541D">
            <w:pPr>
              <w:jc w:val="center"/>
              <w:rPr>
                <w:sz w:val="20"/>
                <w:szCs w:val="20"/>
              </w:rPr>
            </w:pPr>
            <w:r w:rsidRPr="00593AE7">
              <w:rPr>
                <w:sz w:val="20"/>
                <w:szCs w:val="20"/>
              </w:rPr>
              <w:t>45 095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C91965" w14:textId="77777777" w:rsidR="00546CD8" w:rsidRPr="00593AE7" w:rsidRDefault="00546CD8" w:rsidP="003B541D">
            <w:pPr>
              <w:jc w:val="center"/>
              <w:rPr>
                <w:sz w:val="20"/>
                <w:szCs w:val="20"/>
              </w:rPr>
            </w:pPr>
            <w:r w:rsidRPr="00593AE7">
              <w:rPr>
                <w:sz w:val="20"/>
                <w:szCs w:val="20"/>
              </w:rPr>
              <w:t>45 895</w:t>
            </w:r>
          </w:p>
        </w:tc>
        <w:tc>
          <w:tcPr>
            <w:tcW w:w="471" w:type="pct"/>
            <w:tcBorders>
              <w:top w:val="single" w:sz="4" w:space="0" w:color="4472C4"/>
              <w:left w:val="single" w:sz="4" w:space="0" w:color="auto"/>
              <w:bottom w:val="single" w:sz="4" w:space="0" w:color="auto"/>
              <w:right w:val="single" w:sz="4" w:space="0" w:color="auto"/>
            </w:tcBorders>
            <w:shd w:val="clear" w:color="auto" w:fill="FFFFFF" w:themeFill="background1"/>
            <w:noWrap/>
            <w:vAlign w:val="bottom"/>
            <w:hideMark/>
          </w:tcPr>
          <w:p w14:paraId="05E02743" w14:textId="77777777" w:rsidR="00546CD8" w:rsidRPr="00593AE7" w:rsidRDefault="00546CD8" w:rsidP="003B541D">
            <w:pPr>
              <w:jc w:val="center"/>
              <w:rPr>
                <w:sz w:val="20"/>
                <w:szCs w:val="20"/>
              </w:rPr>
            </w:pPr>
            <w:r w:rsidRPr="00593AE7">
              <w:rPr>
                <w:sz w:val="20"/>
                <w:szCs w:val="20"/>
              </w:rPr>
              <w:t>47 252</w:t>
            </w:r>
          </w:p>
        </w:tc>
        <w:tc>
          <w:tcPr>
            <w:tcW w:w="466" w:type="pct"/>
            <w:tcBorders>
              <w:top w:val="single" w:sz="4" w:space="0" w:color="4472C4"/>
              <w:left w:val="single" w:sz="4" w:space="0" w:color="auto"/>
              <w:bottom w:val="single" w:sz="4" w:space="0" w:color="auto"/>
              <w:right w:val="single" w:sz="4" w:space="0" w:color="auto"/>
            </w:tcBorders>
            <w:shd w:val="clear" w:color="auto" w:fill="FFFFFF" w:themeFill="background1"/>
            <w:vAlign w:val="bottom"/>
          </w:tcPr>
          <w:p w14:paraId="034EFA94" w14:textId="77777777" w:rsidR="00546CD8" w:rsidRPr="00593AE7" w:rsidRDefault="004E0CFC" w:rsidP="003B541D">
            <w:pPr>
              <w:jc w:val="center"/>
              <w:rPr>
                <w:sz w:val="20"/>
                <w:szCs w:val="20"/>
              </w:rPr>
            </w:pPr>
            <w:r>
              <w:rPr>
                <w:sz w:val="20"/>
                <w:szCs w:val="20"/>
              </w:rPr>
              <w:t>48 484</w:t>
            </w:r>
          </w:p>
        </w:tc>
      </w:tr>
      <w:tr w:rsidR="00546CD8" w:rsidRPr="00B86C0C" w14:paraId="57420192" w14:textId="77777777" w:rsidTr="00511FAF">
        <w:trPr>
          <w:trHeight w:val="243"/>
        </w:trPr>
        <w:tc>
          <w:tcPr>
            <w:tcW w:w="1405" w:type="pct"/>
            <w:tcBorders>
              <w:top w:val="single" w:sz="4" w:space="0" w:color="auto"/>
              <w:left w:val="single" w:sz="4" w:space="0" w:color="4472C4"/>
              <w:bottom w:val="single" w:sz="4" w:space="0" w:color="auto"/>
              <w:right w:val="single" w:sz="4" w:space="0" w:color="auto"/>
            </w:tcBorders>
            <w:shd w:val="clear" w:color="auto" w:fill="FFFFFF" w:themeFill="background1"/>
            <w:noWrap/>
            <w:vAlign w:val="center"/>
            <w:hideMark/>
          </w:tcPr>
          <w:p w14:paraId="10CAAE10" w14:textId="77777777" w:rsidR="00546CD8" w:rsidRPr="00593AE7" w:rsidRDefault="00546CD8" w:rsidP="003B541D">
            <w:pPr>
              <w:rPr>
                <w:sz w:val="20"/>
                <w:szCs w:val="20"/>
              </w:rPr>
            </w:pPr>
            <w:r w:rsidRPr="00593AE7">
              <w:rPr>
                <w:sz w:val="20"/>
                <w:szCs w:val="20"/>
              </w:rPr>
              <w:t xml:space="preserve">Hrubý dlh verejnej správy </w:t>
            </w:r>
          </w:p>
        </w:tc>
        <w:tc>
          <w:tcPr>
            <w:tcW w:w="3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8466BB" w14:textId="77777777" w:rsidR="00546CD8" w:rsidRPr="00593AE7" w:rsidRDefault="00546CD8" w:rsidP="003B541D">
            <w:pPr>
              <w:jc w:val="center"/>
              <w:rPr>
                <w:sz w:val="20"/>
                <w:szCs w:val="20"/>
              </w:rPr>
            </w:pPr>
            <w:r w:rsidRPr="00593AE7">
              <w:rPr>
                <w:sz w:val="20"/>
                <w:szCs w:val="20"/>
              </w:rPr>
              <w:t>% HDP</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65F71A" w14:textId="77777777" w:rsidR="00546CD8" w:rsidRPr="00593AE7" w:rsidRDefault="00546CD8" w:rsidP="003B541D">
            <w:pPr>
              <w:jc w:val="center"/>
              <w:rPr>
                <w:sz w:val="20"/>
                <w:szCs w:val="20"/>
              </w:rPr>
            </w:pPr>
            <w:r w:rsidRPr="00593AE7">
              <w:rPr>
                <w:sz w:val="20"/>
                <w:szCs w:val="20"/>
              </w:rPr>
              <w:t>51,8</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C57676" w14:textId="77777777" w:rsidR="00546CD8" w:rsidRPr="00593AE7" w:rsidRDefault="00546CD8" w:rsidP="003B541D">
            <w:pPr>
              <w:jc w:val="center"/>
              <w:rPr>
                <w:sz w:val="20"/>
                <w:szCs w:val="20"/>
              </w:rPr>
            </w:pPr>
            <w:r w:rsidRPr="00593AE7">
              <w:rPr>
                <w:sz w:val="20"/>
                <w:szCs w:val="20"/>
              </w:rPr>
              <w:t>51,3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5E7ACA" w14:textId="77777777" w:rsidR="00546CD8" w:rsidRPr="00593AE7" w:rsidRDefault="00546CD8" w:rsidP="003B541D">
            <w:pPr>
              <w:jc w:val="center"/>
              <w:rPr>
                <w:sz w:val="20"/>
                <w:szCs w:val="20"/>
              </w:rPr>
            </w:pPr>
            <w:r w:rsidRPr="00593AE7">
              <w:rPr>
                <w:sz w:val="20"/>
                <w:szCs w:val="20"/>
              </w:rPr>
              <w:t>49,4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995CC5" w14:textId="77777777" w:rsidR="00546CD8" w:rsidRPr="00593AE7" w:rsidRDefault="00546CD8" w:rsidP="003B541D">
            <w:pPr>
              <w:jc w:val="center"/>
              <w:rPr>
                <w:sz w:val="20"/>
                <w:szCs w:val="20"/>
              </w:rPr>
            </w:pPr>
            <w:r w:rsidRPr="00593AE7">
              <w:rPr>
                <w:sz w:val="20"/>
                <w:szCs w:val="20"/>
              </w:rPr>
              <w:t>47,9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88ACB0" w14:textId="77777777" w:rsidR="00546CD8" w:rsidRPr="00593AE7" w:rsidRDefault="00546CD8" w:rsidP="003B541D">
            <w:pPr>
              <w:jc w:val="center"/>
              <w:rPr>
                <w:sz w:val="20"/>
                <w:szCs w:val="20"/>
              </w:rPr>
            </w:pPr>
            <w:r w:rsidRPr="00593AE7">
              <w:rPr>
                <w:sz w:val="20"/>
                <w:szCs w:val="20"/>
              </w:rPr>
              <w:t>46,8</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559B79" w14:textId="77777777" w:rsidR="00546CD8" w:rsidRPr="00593AE7" w:rsidRDefault="004E0CFC" w:rsidP="003B541D">
            <w:pPr>
              <w:jc w:val="center"/>
              <w:rPr>
                <w:sz w:val="20"/>
                <w:szCs w:val="20"/>
              </w:rPr>
            </w:pPr>
            <w:r>
              <w:rPr>
                <w:sz w:val="20"/>
                <w:szCs w:val="20"/>
              </w:rPr>
              <w:t>45,9</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3A725C" w14:textId="77777777" w:rsidR="00546CD8" w:rsidRPr="00593AE7" w:rsidRDefault="00546CD8" w:rsidP="003B541D">
            <w:pPr>
              <w:jc w:val="center"/>
              <w:rPr>
                <w:sz w:val="20"/>
                <w:szCs w:val="20"/>
              </w:rPr>
            </w:pPr>
            <w:r w:rsidRPr="00593AE7">
              <w:rPr>
                <w:sz w:val="20"/>
                <w:szCs w:val="20"/>
              </w:rPr>
              <w:t>44,8</w:t>
            </w:r>
          </w:p>
        </w:tc>
      </w:tr>
    </w:tbl>
    <w:p w14:paraId="1A432930" w14:textId="77777777" w:rsidR="00546CD8" w:rsidRPr="0066674A" w:rsidRDefault="00546CD8" w:rsidP="00E06664">
      <w:pPr>
        <w:pStyle w:val="Bezriadkovania"/>
        <w:spacing w:after="120"/>
        <w:rPr>
          <w:i/>
          <w:sz w:val="18"/>
          <w:szCs w:val="18"/>
        </w:rPr>
      </w:pPr>
      <w:r w:rsidRPr="0066674A">
        <w:rPr>
          <w:i/>
          <w:sz w:val="18"/>
          <w:szCs w:val="18"/>
        </w:rPr>
        <w:t xml:space="preserve">Zdroj: MF SR, ŠÚ SR, </w:t>
      </w:r>
      <w:proofErr w:type="spellStart"/>
      <w:r w:rsidRPr="0066674A">
        <w:rPr>
          <w:i/>
          <w:sz w:val="18"/>
          <w:szCs w:val="18"/>
        </w:rPr>
        <w:t>Eurostat</w:t>
      </w:r>
      <w:proofErr w:type="spellEnd"/>
      <w:r w:rsidRPr="0066674A">
        <w:rPr>
          <w:i/>
          <w:sz w:val="18"/>
          <w:szCs w:val="18"/>
        </w:rPr>
        <w:t xml:space="preserve"> -</w:t>
      </w:r>
      <w:r w:rsidR="0066674A">
        <w:rPr>
          <w:i/>
          <w:sz w:val="18"/>
          <w:szCs w:val="18"/>
        </w:rPr>
        <w:t xml:space="preserve"> S</w:t>
      </w:r>
      <w:r w:rsidRPr="0066674A">
        <w:rPr>
          <w:i/>
          <w:sz w:val="18"/>
          <w:szCs w:val="18"/>
        </w:rPr>
        <w:t>práva o deficite a dlhu k 21.</w:t>
      </w:r>
      <w:r w:rsidR="0066674A">
        <w:rPr>
          <w:i/>
          <w:sz w:val="18"/>
          <w:szCs w:val="18"/>
        </w:rPr>
        <w:t xml:space="preserve"> </w:t>
      </w:r>
      <w:r w:rsidRPr="0066674A">
        <w:rPr>
          <w:i/>
          <w:sz w:val="18"/>
          <w:szCs w:val="18"/>
        </w:rPr>
        <w:t>októbru 2019</w:t>
      </w:r>
    </w:p>
    <w:tbl>
      <w:tblPr>
        <w:tblStyle w:val="Mriekatabuky"/>
        <w:tblW w:w="92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0"/>
      </w:tblGrid>
      <w:tr w:rsidR="004E0CFC" w:rsidRPr="004360A5" w14:paraId="348BF647" w14:textId="77777777" w:rsidTr="003B541D">
        <w:trPr>
          <w:trHeight w:val="278"/>
        </w:trPr>
        <w:tc>
          <w:tcPr>
            <w:tcW w:w="9290" w:type="dxa"/>
            <w:tcBorders>
              <w:top w:val="single" w:sz="4" w:space="0" w:color="auto"/>
              <w:bottom w:val="single" w:sz="4" w:space="0" w:color="auto"/>
            </w:tcBorders>
            <w:shd w:val="clear" w:color="auto" w:fill="0070C0"/>
          </w:tcPr>
          <w:p w14:paraId="1D8FE68A" w14:textId="77777777" w:rsidR="004E0CFC" w:rsidRPr="004360A5" w:rsidRDefault="004E0CFC" w:rsidP="003B541D">
            <w:pPr>
              <w:jc w:val="both"/>
              <w:rPr>
                <w:b/>
                <w:sz w:val="20"/>
                <w:szCs w:val="20"/>
              </w:rPr>
            </w:pPr>
            <w:r w:rsidRPr="00B86C0C">
              <w:rPr>
                <w:b/>
                <w:color w:val="FFFFFF" w:themeColor="background1"/>
              </w:rPr>
              <w:t>Vývoj dl</w:t>
            </w:r>
            <w:r>
              <w:rPr>
                <w:b/>
                <w:color w:val="FFFFFF" w:themeColor="background1"/>
              </w:rPr>
              <w:t>hu verejnej správy v rokoch 2006</w:t>
            </w:r>
            <w:r w:rsidRPr="00B86C0C">
              <w:rPr>
                <w:b/>
                <w:color w:val="FFFFFF" w:themeColor="background1"/>
              </w:rPr>
              <w:t xml:space="preserve"> až 202</w:t>
            </w:r>
            <w:r>
              <w:rPr>
                <w:b/>
                <w:color w:val="FFFFFF" w:themeColor="background1"/>
              </w:rPr>
              <w:t>2</w:t>
            </w:r>
          </w:p>
        </w:tc>
      </w:tr>
      <w:tr w:rsidR="004E0CFC" w:rsidRPr="004360A5" w14:paraId="0F78AAA1" w14:textId="77777777" w:rsidTr="003B541D">
        <w:tblPrEx>
          <w:tblCellMar>
            <w:left w:w="70" w:type="dxa"/>
            <w:right w:w="70" w:type="dxa"/>
          </w:tblCellMar>
        </w:tblPrEx>
        <w:trPr>
          <w:trHeight w:val="2211"/>
        </w:trPr>
        <w:tc>
          <w:tcPr>
            <w:tcW w:w="9290" w:type="dxa"/>
            <w:tcBorders>
              <w:top w:val="single" w:sz="4" w:space="0" w:color="auto"/>
            </w:tcBorders>
          </w:tcPr>
          <w:p w14:paraId="7873D9D5" w14:textId="77777777" w:rsidR="004E0CFC" w:rsidRPr="004360A5" w:rsidRDefault="004E0CFC" w:rsidP="003B541D">
            <w:pPr>
              <w:rPr>
                <w:sz w:val="20"/>
                <w:szCs w:val="20"/>
              </w:rPr>
            </w:pPr>
            <w:r>
              <w:rPr>
                <w:noProof/>
                <w:lang w:eastAsia="sk-SK"/>
              </w:rPr>
              <w:drawing>
                <wp:inline distT="0" distB="0" distL="0" distR="0" wp14:anchorId="167218B1" wp14:editId="3229F573">
                  <wp:extent cx="5802923" cy="1869831"/>
                  <wp:effectExtent l="0" t="0" r="762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2336ABD8" w14:textId="2C293942" w:rsidR="004E0CFC" w:rsidRPr="0066674A" w:rsidRDefault="004E0CFC" w:rsidP="004E0CFC">
      <w:pPr>
        <w:pStyle w:val="Bezriadkovania"/>
        <w:contextualSpacing/>
        <w:rPr>
          <w:i/>
          <w:sz w:val="18"/>
          <w:szCs w:val="20"/>
          <w:shd w:val="clear" w:color="auto" w:fill="FFFFFF"/>
        </w:rPr>
      </w:pPr>
      <w:r w:rsidRPr="0066674A">
        <w:rPr>
          <w:i/>
          <w:sz w:val="18"/>
          <w:szCs w:val="20"/>
          <w:shd w:val="clear" w:color="auto" w:fill="FFFFFF"/>
        </w:rPr>
        <w:t xml:space="preserve">Zdroj: MF SR, </w:t>
      </w:r>
      <w:proofErr w:type="spellStart"/>
      <w:r w:rsidRPr="0066674A">
        <w:rPr>
          <w:i/>
          <w:sz w:val="18"/>
          <w:szCs w:val="20"/>
          <w:shd w:val="clear" w:color="auto" w:fill="FFFFFF"/>
        </w:rPr>
        <w:t>Eurostat</w:t>
      </w:r>
      <w:proofErr w:type="spellEnd"/>
      <w:r w:rsidRPr="0066674A">
        <w:rPr>
          <w:i/>
          <w:sz w:val="18"/>
          <w:szCs w:val="20"/>
          <w:shd w:val="clear" w:color="auto" w:fill="FFFFFF"/>
        </w:rPr>
        <w:t xml:space="preserve">, </w:t>
      </w:r>
      <w:r w:rsidR="0066674A">
        <w:rPr>
          <w:i/>
          <w:sz w:val="18"/>
          <w:szCs w:val="20"/>
          <w:shd w:val="clear" w:color="auto" w:fill="FFFFFF"/>
        </w:rPr>
        <w:t xml:space="preserve">Návrh </w:t>
      </w:r>
      <w:r w:rsidRPr="0066674A">
        <w:rPr>
          <w:i/>
          <w:sz w:val="18"/>
          <w:szCs w:val="20"/>
          <w:shd w:val="clear" w:color="auto" w:fill="FFFFFF"/>
        </w:rPr>
        <w:t xml:space="preserve">RVS </w:t>
      </w:r>
      <w:r w:rsidR="0066674A">
        <w:rPr>
          <w:i/>
          <w:sz w:val="18"/>
          <w:szCs w:val="20"/>
          <w:shd w:val="clear" w:color="auto" w:fill="FFFFFF"/>
        </w:rPr>
        <w:t xml:space="preserve">na roky </w:t>
      </w:r>
      <w:r w:rsidRPr="0066674A">
        <w:rPr>
          <w:i/>
          <w:sz w:val="18"/>
          <w:szCs w:val="20"/>
          <w:shd w:val="clear" w:color="auto" w:fill="FFFFFF"/>
        </w:rPr>
        <w:t>2020</w:t>
      </w:r>
      <w:r w:rsidR="0066674A">
        <w:rPr>
          <w:i/>
          <w:sz w:val="18"/>
          <w:szCs w:val="20"/>
          <w:shd w:val="clear" w:color="auto" w:fill="FFFFFF"/>
        </w:rPr>
        <w:t xml:space="preserve"> </w:t>
      </w:r>
      <w:r w:rsidR="0020663F">
        <w:rPr>
          <w:i/>
          <w:sz w:val="18"/>
          <w:szCs w:val="20"/>
          <w:shd w:val="clear" w:color="auto" w:fill="FFFFFF"/>
        </w:rPr>
        <w:t>až</w:t>
      </w:r>
      <w:r w:rsidR="0066674A">
        <w:rPr>
          <w:i/>
          <w:sz w:val="18"/>
          <w:szCs w:val="20"/>
          <w:shd w:val="clear" w:color="auto" w:fill="FFFFFF"/>
        </w:rPr>
        <w:t xml:space="preserve"> </w:t>
      </w:r>
      <w:r w:rsidRPr="0066674A">
        <w:rPr>
          <w:i/>
          <w:sz w:val="18"/>
          <w:szCs w:val="20"/>
          <w:shd w:val="clear" w:color="auto" w:fill="FFFFFF"/>
        </w:rPr>
        <w:t>2022</w:t>
      </w:r>
    </w:p>
    <w:p w14:paraId="036B50A5" w14:textId="3186181C" w:rsidR="00546CD8" w:rsidRDefault="00546CD8" w:rsidP="003B541D">
      <w:pPr>
        <w:spacing w:before="120" w:after="120"/>
        <w:ind w:firstLine="708"/>
        <w:jc w:val="both"/>
        <w:rPr>
          <w:shd w:val="clear" w:color="auto" w:fill="FFFFFF"/>
        </w:rPr>
      </w:pPr>
      <w:r w:rsidRPr="00E82F39">
        <w:rPr>
          <w:shd w:val="clear" w:color="auto" w:fill="FFFFFF"/>
        </w:rPr>
        <w:t xml:space="preserve">Dlhodobá udržateľnosť verejných financií sa od nástupu globálnej hospodárskej krízy v roku 2008 stala jednou z najdôležitejších priorít národných vlád. Úroveň hrubého dlhu SR sa zvýšila z 30,01 % v roku 2007 na 47,9  % HDP v roku 2019. Od roku 2013 má dlh </w:t>
      </w:r>
      <w:r>
        <w:rPr>
          <w:shd w:val="clear" w:color="auto" w:fill="FFFFFF"/>
        </w:rPr>
        <w:t>v pomere k HDP klesajúci trend, ale v absolútnom</w:t>
      </w:r>
      <w:r w:rsidRPr="00E82F39">
        <w:rPr>
          <w:shd w:val="clear" w:color="auto" w:fill="FFFFFF"/>
        </w:rPr>
        <w:t xml:space="preserve"> </w:t>
      </w:r>
      <w:r>
        <w:rPr>
          <w:shd w:val="clear" w:color="auto" w:fill="FFFFFF"/>
        </w:rPr>
        <w:t xml:space="preserve">vyjadrení </w:t>
      </w:r>
      <w:r w:rsidRPr="00E82F39">
        <w:rPr>
          <w:shd w:val="clear" w:color="auto" w:fill="FFFFFF"/>
        </w:rPr>
        <w:t>sa neustále zvyšuje. Tiež ukazovateľ dlhu na</w:t>
      </w:r>
      <w:r w:rsidR="0020663F">
        <w:rPr>
          <w:shd w:val="clear" w:color="auto" w:fill="FFFFFF"/>
        </w:rPr>
        <w:t xml:space="preserve"> obyvateľa SR sa v rokoch 2014 až</w:t>
      </w:r>
      <w:r w:rsidRPr="00E82F39">
        <w:rPr>
          <w:shd w:val="clear" w:color="auto" w:fill="FFFFFF"/>
        </w:rPr>
        <w:t xml:space="preserve"> 201</w:t>
      </w:r>
      <w:r>
        <w:rPr>
          <w:shd w:val="clear" w:color="auto" w:fill="FFFFFF"/>
        </w:rPr>
        <w:t>9</w:t>
      </w:r>
      <w:r w:rsidRPr="00E82F39">
        <w:rPr>
          <w:shd w:val="clear" w:color="auto" w:fill="FFFFFF"/>
        </w:rPr>
        <w:t xml:space="preserve"> zvýšil zo 7,5 tis. eur na </w:t>
      </w:r>
      <w:r>
        <w:rPr>
          <w:shd w:val="clear" w:color="auto" w:fill="FFFFFF"/>
        </w:rPr>
        <w:t>8</w:t>
      </w:r>
      <w:r w:rsidRPr="00E82F39">
        <w:rPr>
          <w:shd w:val="clear" w:color="auto" w:fill="FFFFFF"/>
        </w:rPr>
        <w:t>,</w:t>
      </w:r>
      <w:r>
        <w:rPr>
          <w:shd w:val="clear" w:color="auto" w:fill="FFFFFF"/>
        </w:rPr>
        <w:t>1</w:t>
      </w:r>
      <w:r w:rsidRPr="00E82F39">
        <w:rPr>
          <w:shd w:val="clear" w:color="auto" w:fill="FFFFFF"/>
        </w:rPr>
        <w:t> tis. eur.</w:t>
      </w:r>
    </w:p>
    <w:p w14:paraId="47016EE2" w14:textId="5FDEE818" w:rsidR="00546CD8" w:rsidRPr="00E82F39" w:rsidRDefault="00546CD8" w:rsidP="003B541D">
      <w:pPr>
        <w:pStyle w:val="Normlnywebov"/>
        <w:shd w:val="clear" w:color="auto" w:fill="FFFFFF"/>
        <w:spacing w:before="120" w:beforeAutospacing="0" w:after="120" w:afterAutospacing="0"/>
        <w:ind w:firstLine="708"/>
        <w:jc w:val="both"/>
        <w:rPr>
          <w:rFonts w:ascii="Arial Narrow" w:hAnsi="Arial Narrow" w:cs="Arial"/>
          <w:sz w:val="22"/>
          <w:szCs w:val="22"/>
        </w:rPr>
      </w:pPr>
      <w:r w:rsidRPr="00E82F39">
        <w:rPr>
          <w:rFonts w:ascii="Arial Narrow" w:hAnsi="Arial Narrow" w:cs="Arial"/>
          <w:sz w:val="22"/>
          <w:szCs w:val="22"/>
        </w:rPr>
        <w:t>Náklady na obsluhu štátneho dlhu v prepočte na jedno eur</w:t>
      </w:r>
      <w:r w:rsidR="0066674A">
        <w:rPr>
          <w:rFonts w:ascii="Arial Narrow" w:hAnsi="Arial Narrow" w:cs="Arial"/>
          <w:sz w:val="22"/>
          <w:szCs w:val="22"/>
        </w:rPr>
        <w:t>o</w:t>
      </w:r>
      <w:r w:rsidRPr="00E82F39">
        <w:rPr>
          <w:rFonts w:ascii="Arial Narrow" w:hAnsi="Arial Narrow" w:cs="Arial"/>
          <w:sz w:val="22"/>
          <w:szCs w:val="22"/>
        </w:rPr>
        <w:t xml:space="preserve"> klesajú. Naopak</w:t>
      </w:r>
      <w:r w:rsidR="0066674A">
        <w:rPr>
          <w:rFonts w:ascii="Arial Narrow" w:hAnsi="Arial Narrow" w:cs="Arial"/>
          <w:sz w:val="22"/>
          <w:szCs w:val="22"/>
        </w:rPr>
        <w:t>,</w:t>
      </w:r>
      <w:r w:rsidRPr="00E82F39">
        <w:rPr>
          <w:rFonts w:ascii="Arial Narrow" w:hAnsi="Arial Narrow" w:cs="Arial"/>
          <w:sz w:val="22"/>
          <w:szCs w:val="22"/>
        </w:rPr>
        <w:t xml:space="preserve"> celkové náklady v absolútnych číslach stúpajú. Kým v roku 200</w:t>
      </w:r>
      <w:r>
        <w:rPr>
          <w:rFonts w:ascii="Arial Narrow" w:hAnsi="Arial Narrow" w:cs="Arial"/>
          <w:sz w:val="22"/>
          <w:szCs w:val="22"/>
        </w:rPr>
        <w:t>8</w:t>
      </w:r>
      <w:r w:rsidRPr="00E82F39">
        <w:rPr>
          <w:rFonts w:ascii="Arial Narrow" w:hAnsi="Arial Narrow" w:cs="Arial"/>
          <w:sz w:val="22"/>
          <w:szCs w:val="22"/>
        </w:rPr>
        <w:t xml:space="preserve"> náklady na jedno euro dlhu predstavovali hodnotu 0,045 eur, v roku 2019 by obsluha štátneho dlhu mala stáť 0,02</w:t>
      </w:r>
      <w:r>
        <w:rPr>
          <w:rFonts w:ascii="Arial Narrow" w:hAnsi="Arial Narrow" w:cs="Arial"/>
          <w:sz w:val="22"/>
          <w:szCs w:val="22"/>
        </w:rPr>
        <w:t>4</w:t>
      </w:r>
      <w:r w:rsidRPr="00E82F39">
        <w:rPr>
          <w:rFonts w:ascii="Arial Narrow" w:hAnsi="Arial Narrow" w:cs="Arial"/>
          <w:sz w:val="22"/>
          <w:szCs w:val="22"/>
        </w:rPr>
        <w:t xml:space="preserve"> eur za jedno požičané euro. Celkovo za štátny dlh </w:t>
      </w:r>
      <w:r w:rsidR="0066674A">
        <w:rPr>
          <w:rFonts w:ascii="Arial Narrow" w:hAnsi="Arial Narrow" w:cs="Arial"/>
          <w:sz w:val="22"/>
          <w:szCs w:val="22"/>
        </w:rPr>
        <w:t xml:space="preserve">v roku </w:t>
      </w:r>
      <w:r w:rsidRPr="00E82F39">
        <w:rPr>
          <w:rFonts w:ascii="Arial Narrow" w:hAnsi="Arial Narrow" w:cs="Arial"/>
          <w:sz w:val="22"/>
          <w:szCs w:val="22"/>
        </w:rPr>
        <w:t>20</w:t>
      </w:r>
      <w:r>
        <w:rPr>
          <w:rFonts w:ascii="Arial Narrow" w:hAnsi="Arial Narrow" w:cs="Arial"/>
          <w:sz w:val="22"/>
          <w:szCs w:val="22"/>
        </w:rPr>
        <w:t>20</w:t>
      </w:r>
      <w:r w:rsidRPr="00E82F39">
        <w:rPr>
          <w:rFonts w:ascii="Arial Narrow" w:hAnsi="Arial Narrow" w:cs="Arial"/>
          <w:sz w:val="22"/>
          <w:szCs w:val="22"/>
        </w:rPr>
        <w:t xml:space="preserve"> by mala vláda zaplatiť 1</w:t>
      </w:r>
      <w:r w:rsidR="00AC387E">
        <w:rPr>
          <w:rFonts w:ascii="Arial Narrow" w:hAnsi="Arial Narrow" w:cs="Arial"/>
          <w:sz w:val="22"/>
          <w:szCs w:val="22"/>
        </w:rPr>
        <w:t> 157 mil. </w:t>
      </w:r>
      <w:r w:rsidR="004E0CFC">
        <w:rPr>
          <w:rFonts w:ascii="Arial Narrow" w:hAnsi="Arial Narrow" w:cs="Arial"/>
          <w:sz w:val="22"/>
          <w:szCs w:val="22"/>
        </w:rPr>
        <w:t>eur, čo je o 53</w:t>
      </w:r>
      <w:r w:rsidRPr="00E82F39">
        <w:rPr>
          <w:rFonts w:ascii="Arial Narrow" w:hAnsi="Arial Narrow" w:cs="Arial"/>
          <w:sz w:val="22"/>
          <w:szCs w:val="22"/>
        </w:rPr>
        <w:t xml:space="preserve"> mil. eur </w:t>
      </w:r>
      <w:r>
        <w:rPr>
          <w:rFonts w:ascii="Arial Narrow" w:hAnsi="Arial Narrow" w:cs="Arial"/>
          <w:sz w:val="22"/>
          <w:szCs w:val="22"/>
        </w:rPr>
        <w:t>menej</w:t>
      </w:r>
      <w:r w:rsidR="00381E82">
        <w:rPr>
          <w:rFonts w:ascii="Arial Narrow" w:hAnsi="Arial Narrow" w:cs="Arial"/>
          <w:sz w:val="22"/>
          <w:szCs w:val="22"/>
        </w:rPr>
        <w:t xml:space="preserve"> než</w:t>
      </w:r>
      <w:r w:rsidRPr="00E82F39">
        <w:rPr>
          <w:rFonts w:ascii="Arial Narrow" w:hAnsi="Arial Narrow" w:cs="Arial"/>
          <w:sz w:val="22"/>
          <w:szCs w:val="22"/>
        </w:rPr>
        <w:t xml:space="preserve"> v predchádzajúcom roku</w:t>
      </w:r>
      <w:r w:rsidR="0066674A">
        <w:rPr>
          <w:rFonts w:ascii="Arial Narrow" w:hAnsi="Arial Narrow" w:cs="Arial"/>
          <w:sz w:val="22"/>
          <w:szCs w:val="22"/>
        </w:rPr>
        <w:t>,</w:t>
      </w:r>
      <w:r w:rsidRPr="00E82F39">
        <w:rPr>
          <w:rFonts w:ascii="Arial Narrow" w:hAnsi="Arial Narrow" w:cs="Arial"/>
          <w:sz w:val="22"/>
          <w:szCs w:val="22"/>
        </w:rPr>
        <w:t xml:space="preserve"> pričom v roku 200</w:t>
      </w:r>
      <w:r>
        <w:rPr>
          <w:rFonts w:ascii="Arial Narrow" w:hAnsi="Arial Narrow" w:cs="Arial"/>
          <w:sz w:val="22"/>
          <w:szCs w:val="22"/>
        </w:rPr>
        <w:t>8</w:t>
      </w:r>
      <w:r w:rsidRPr="00E82F39">
        <w:rPr>
          <w:rFonts w:ascii="Arial Narrow" w:hAnsi="Arial Narrow" w:cs="Arial"/>
          <w:sz w:val="22"/>
          <w:szCs w:val="22"/>
        </w:rPr>
        <w:t xml:space="preserve"> na tieto účely bolo vynaložených len </w:t>
      </w:r>
      <w:r>
        <w:rPr>
          <w:rFonts w:ascii="Arial Narrow" w:hAnsi="Arial Narrow" w:cs="Arial"/>
          <w:sz w:val="22"/>
          <w:szCs w:val="22"/>
        </w:rPr>
        <w:t>885</w:t>
      </w:r>
      <w:r w:rsidRPr="00E82F39">
        <w:rPr>
          <w:rFonts w:ascii="Arial Narrow" w:hAnsi="Arial Narrow" w:cs="Arial"/>
          <w:sz w:val="22"/>
          <w:szCs w:val="22"/>
        </w:rPr>
        <w:t xml:space="preserve"> mil. eur.</w:t>
      </w:r>
    </w:p>
    <w:p w14:paraId="1D079CA2" w14:textId="77777777" w:rsidR="00F416F9" w:rsidRDefault="0011162C" w:rsidP="000A2429">
      <w:pPr>
        <w:pStyle w:val="Nadpis1"/>
        <w:numPr>
          <w:ilvl w:val="0"/>
          <w:numId w:val="1"/>
        </w:numPr>
        <w:spacing w:after="240"/>
        <w:ind w:left="714" w:hanging="357"/>
      </w:pPr>
      <w:bookmarkStart w:id="21" w:name="_Toc480788322"/>
      <w:bookmarkStart w:id="22" w:name="_Toc24098445"/>
      <w:r>
        <w:lastRenderedPageBreak/>
        <w:t>Návrh štátneho rozpočtu na rok 2020</w:t>
      </w:r>
      <w:bookmarkEnd w:id="21"/>
      <w:bookmarkEnd w:id="22"/>
    </w:p>
    <w:p w14:paraId="4810C619" w14:textId="37295435" w:rsidR="00165F0C" w:rsidRPr="00165F0C" w:rsidRDefault="00FF7627" w:rsidP="000F48CC">
      <w:pPr>
        <w:pStyle w:val="Nadpis2"/>
      </w:pPr>
      <w:bookmarkStart w:id="23" w:name="_Toc484097737"/>
      <w:bookmarkStart w:id="24" w:name="_Toc514137468"/>
      <w:bookmarkStart w:id="25" w:name="_Toc24098446"/>
      <w:r>
        <w:t>3</w:t>
      </w:r>
      <w:r w:rsidR="00165F0C" w:rsidRPr="00165F0C">
        <w:t>.1</w:t>
      </w:r>
      <w:r w:rsidR="00165F0C" w:rsidRPr="00165F0C">
        <w:tab/>
      </w:r>
      <w:bookmarkEnd w:id="23"/>
      <w:bookmarkEnd w:id="24"/>
      <w:r w:rsidR="006926C2">
        <w:t>Súhrnné ukazovatele návrhu ŠR</w:t>
      </w:r>
      <w:bookmarkEnd w:id="25"/>
    </w:p>
    <w:p w14:paraId="468C7F5A" w14:textId="77777777" w:rsidR="00CA5523" w:rsidRPr="00C65CAA" w:rsidRDefault="00CA5523" w:rsidP="006C4F5B">
      <w:pPr>
        <w:spacing w:before="100" w:after="100"/>
        <w:ind w:firstLine="708"/>
        <w:jc w:val="both"/>
      </w:pPr>
      <w:bookmarkStart w:id="26" w:name="_Toc484097738"/>
      <w:bookmarkStart w:id="27" w:name="_Toc514137469"/>
      <w:r w:rsidRPr="00C65CAA">
        <w:t>Návrh súhrnných ukazovateľov p</w:t>
      </w:r>
      <w:r w:rsidR="007E3200">
        <w:t>ríjmov a výdavkov ŠR na rok 2020</w:t>
      </w:r>
      <w:r w:rsidRPr="00C65CAA">
        <w:t xml:space="preserve"> predstavuje výsledok rozpočtovej politiky vlády SR, ktorá vychádza z jej programového vyhlásenia, kde medzi hlavné priority patrí ozdravenie verejných financií. Stratégia rozpočtovej politiky je zameraná na ďalšie zlepšovanie rozpočtovej pozície verejnej správy s cieľom dosiahnuť dlhodobú udržateľnosť verejných financií.</w:t>
      </w:r>
    </w:p>
    <w:p w14:paraId="16FE8A79" w14:textId="77777777" w:rsidR="00CA5523" w:rsidRDefault="00CA5523" w:rsidP="0066674A">
      <w:pPr>
        <w:spacing w:before="100" w:after="100"/>
        <w:ind w:firstLine="708"/>
        <w:jc w:val="both"/>
      </w:pPr>
      <w:r w:rsidRPr="00C65CAA">
        <w:t>Porovnanie štruktúry príjmov, výdavkov a schodku ŠR na hotovostnej báze za rok 201</w:t>
      </w:r>
      <w:r>
        <w:t>8</w:t>
      </w:r>
      <w:r w:rsidRPr="00C65CAA">
        <w:t xml:space="preserve">, </w:t>
      </w:r>
      <w:r>
        <w:t>schváleného rozpočtu na rok 2019</w:t>
      </w:r>
      <w:r w:rsidRPr="00C65CAA">
        <w:t xml:space="preserve"> a návrhu ro</w:t>
      </w:r>
      <w:r>
        <w:t>zpočtu na rok 2020</w:t>
      </w:r>
      <w:r w:rsidR="0066674A">
        <w:t xml:space="preserve"> sumarizuje nasledujúca tabuľka.</w:t>
      </w:r>
    </w:p>
    <w:tbl>
      <w:tblPr>
        <w:tblStyle w:val="Mriekatabuky"/>
        <w:tblW w:w="9346" w:type="dxa"/>
        <w:tblLayout w:type="fixed"/>
        <w:tblLook w:val="04A0" w:firstRow="1" w:lastRow="0" w:firstColumn="1" w:lastColumn="0" w:noHBand="0" w:noVBand="1"/>
      </w:tblPr>
      <w:tblGrid>
        <w:gridCol w:w="2489"/>
        <w:gridCol w:w="1447"/>
        <w:gridCol w:w="1323"/>
        <w:gridCol w:w="1608"/>
        <w:gridCol w:w="1314"/>
        <w:gridCol w:w="1165"/>
      </w:tblGrid>
      <w:tr w:rsidR="00CA5523" w:rsidRPr="00C65CAA" w14:paraId="75DE4036" w14:textId="77777777" w:rsidTr="007E3200">
        <w:trPr>
          <w:trHeight w:val="397"/>
          <w:tblHeader/>
        </w:trPr>
        <w:tc>
          <w:tcPr>
            <w:tcW w:w="2489" w:type="dxa"/>
            <w:tcBorders>
              <w:bottom w:val="single" w:sz="4" w:space="0" w:color="FFFFFF" w:themeColor="background1"/>
              <w:right w:val="single" w:sz="4" w:space="0" w:color="FFFFFF" w:themeColor="background1"/>
            </w:tcBorders>
            <w:shd w:val="clear" w:color="auto" w:fill="0070C0"/>
            <w:vAlign w:val="center"/>
          </w:tcPr>
          <w:p w14:paraId="3E12F137" w14:textId="77777777" w:rsidR="00CA5523" w:rsidRPr="00C65CAA" w:rsidRDefault="0066674A" w:rsidP="006C4F5B">
            <w:pPr>
              <w:jc w:val="center"/>
              <w:rPr>
                <w:rFonts w:eastAsia="Calibri"/>
                <w:b/>
                <w:bCs/>
                <w:color w:val="FFFFFF" w:themeColor="background1"/>
                <w:sz w:val="20"/>
                <w:szCs w:val="20"/>
              </w:rPr>
            </w:pPr>
            <w:r>
              <w:rPr>
                <w:rFonts w:eastAsia="Calibri"/>
                <w:b/>
                <w:bCs/>
                <w:color w:val="FFFFFF" w:themeColor="background1"/>
                <w:sz w:val="20"/>
                <w:szCs w:val="20"/>
              </w:rPr>
              <w:t>U</w:t>
            </w:r>
            <w:r w:rsidR="00CA5523" w:rsidRPr="00C65CAA">
              <w:rPr>
                <w:rFonts w:eastAsia="Calibri"/>
                <w:b/>
                <w:bCs/>
                <w:color w:val="FFFFFF" w:themeColor="background1"/>
                <w:sz w:val="20"/>
                <w:szCs w:val="20"/>
              </w:rPr>
              <w:t>kazovateľ</w:t>
            </w:r>
          </w:p>
          <w:p w14:paraId="77BC99BA" w14:textId="77777777" w:rsidR="00CA5523" w:rsidRPr="00C65CAA" w:rsidRDefault="00CA5523" w:rsidP="006C4F5B">
            <w:pPr>
              <w:jc w:val="center"/>
              <w:rPr>
                <w:rFonts w:eastAsia="Calibri"/>
                <w:b/>
                <w:color w:val="FFFFFF" w:themeColor="background1"/>
                <w:sz w:val="20"/>
                <w:szCs w:val="20"/>
              </w:rPr>
            </w:pPr>
            <w:r w:rsidRPr="00C65CAA">
              <w:rPr>
                <w:color w:val="FFFFFF" w:themeColor="background1"/>
                <w:sz w:val="20"/>
                <w:szCs w:val="20"/>
              </w:rPr>
              <w:t>(v tis. eur)</w:t>
            </w:r>
          </w:p>
        </w:tc>
        <w:tc>
          <w:tcPr>
            <w:tcW w:w="1447" w:type="dxa"/>
            <w:tcBorders>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962711B"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Skutočnosť</w:t>
            </w:r>
          </w:p>
          <w:p w14:paraId="7099C816" w14:textId="77777777" w:rsidR="00CA5523" w:rsidRPr="00C65CAA" w:rsidRDefault="00CA5523" w:rsidP="006C4F5B">
            <w:pPr>
              <w:jc w:val="center"/>
              <w:rPr>
                <w:b/>
                <w:color w:val="FFFFFF" w:themeColor="background1"/>
                <w:sz w:val="20"/>
                <w:szCs w:val="20"/>
              </w:rPr>
            </w:pPr>
            <w:r>
              <w:rPr>
                <w:b/>
                <w:color w:val="FFFFFF" w:themeColor="background1"/>
                <w:sz w:val="20"/>
                <w:szCs w:val="20"/>
              </w:rPr>
              <w:t>2018</w:t>
            </w:r>
          </w:p>
        </w:tc>
        <w:tc>
          <w:tcPr>
            <w:tcW w:w="1323" w:type="dxa"/>
            <w:tcBorders>
              <w:left w:val="single" w:sz="4" w:space="0" w:color="FFFFFF" w:themeColor="background1"/>
              <w:right w:val="single" w:sz="4" w:space="0" w:color="FFFFFF" w:themeColor="background1"/>
            </w:tcBorders>
            <w:shd w:val="clear" w:color="auto" w:fill="0070C0"/>
            <w:vAlign w:val="center"/>
          </w:tcPr>
          <w:p w14:paraId="569DE56F"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Rozpočet</w:t>
            </w:r>
          </w:p>
          <w:p w14:paraId="0277AD78" w14:textId="77777777" w:rsidR="00CA5523" w:rsidRPr="00C65CAA" w:rsidRDefault="00CA5523" w:rsidP="006C4F5B">
            <w:pPr>
              <w:jc w:val="center"/>
              <w:rPr>
                <w:b/>
                <w:color w:val="FFFFFF" w:themeColor="background1"/>
                <w:sz w:val="20"/>
                <w:szCs w:val="20"/>
              </w:rPr>
            </w:pPr>
            <w:r>
              <w:rPr>
                <w:b/>
                <w:color w:val="FFFFFF" w:themeColor="background1"/>
                <w:sz w:val="20"/>
                <w:szCs w:val="20"/>
              </w:rPr>
              <w:t>2019</w:t>
            </w:r>
          </w:p>
        </w:tc>
        <w:tc>
          <w:tcPr>
            <w:tcW w:w="1608" w:type="dxa"/>
            <w:tcBorders>
              <w:left w:val="single" w:sz="4" w:space="0" w:color="FFFFFF" w:themeColor="background1"/>
              <w:right w:val="single" w:sz="4" w:space="0" w:color="FFFFFF" w:themeColor="background1"/>
            </w:tcBorders>
            <w:shd w:val="clear" w:color="auto" w:fill="0070C0"/>
            <w:vAlign w:val="center"/>
          </w:tcPr>
          <w:p w14:paraId="4446756A"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Návrh rozpočtu</w:t>
            </w:r>
          </w:p>
          <w:p w14:paraId="5E132C6A" w14:textId="77777777" w:rsidR="00CA5523" w:rsidRPr="00C65CAA" w:rsidRDefault="00CA5523" w:rsidP="006C4F5B">
            <w:pPr>
              <w:jc w:val="center"/>
              <w:rPr>
                <w:b/>
                <w:color w:val="FFFFFF" w:themeColor="background1"/>
                <w:sz w:val="20"/>
                <w:szCs w:val="20"/>
              </w:rPr>
            </w:pPr>
            <w:r>
              <w:rPr>
                <w:b/>
                <w:color w:val="FFFFFF" w:themeColor="background1"/>
                <w:sz w:val="20"/>
                <w:szCs w:val="20"/>
              </w:rPr>
              <w:t>2020</w:t>
            </w:r>
          </w:p>
        </w:tc>
        <w:tc>
          <w:tcPr>
            <w:tcW w:w="1314" w:type="dxa"/>
            <w:tcBorders>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209BC53D"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Rozdiel</w:t>
            </w:r>
          </w:p>
        </w:tc>
        <w:tc>
          <w:tcPr>
            <w:tcW w:w="1165" w:type="dxa"/>
            <w:tcBorders>
              <w:left w:val="single" w:sz="4" w:space="0" w:color="FFFFFF" w:themeColor="background1"/>
            </w:tcBorders>
            <w:shd w:val="clear" w:color="auto" w:fill="0070C0"/>
            <w:vAlign w:val="center"/>
          </w:tcPr>
          <w:p w14:paraId="12EA69C3"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 xml:space="preserve">Podiel </w:t>
            </w:r>
          </w:p>
          <w:p w14:paraId="45E824F2" w14:textId="77777777" w:rsidR="00CA5523" w:rsidRPr="00C65CAA" w:rsidRDefault="0066674A" w:rsidP="006C4F5B">
            <w:pPr>
              <w:jc w:val="center"/>
              <w:rPr>
                <w:b/>
                <w:color w:val="FFFFFF" w:themeColor="background1"/>
                <w:sz w:val="20"/>
                <w:szCs w:val="20"/>
              </w:rPr>
            </w:pPr>
            <w:r>
              <w:rPr>
                <w:b/>
                <w:color w:val="FFFFFF" w:themeColor="background1"/>
                <w:sz w:val="20"/>
                <w:szCs w:val="20"/>
              </w:rPr>
              <w:t>(</w:t>
            </w:r>
            <w:r w:rsidR="00CA5523" w:rsidRPr="00C65CAA">
              <w:rPr>
                <w:b/>
                <w:color w:val="FFFFFF" w:themeColor="background1"/>
                <w:sz w:val="20"/>
                <w:szCs w:val="20"/>
              </w:rPr>
              <w:t>v %</w:t>
            </w:r>
            <w:r>
              <w:rPr>
                <w:b/>
                <w:color w:val="FFFFFF" w:themeColor="background1"/>
                <w:sz w:val="20"/>
                <w:szCs w:val="20"/>
              </w:rPr>
              <w:t>)</w:t>
            </w:r>
          </w:p>
        </w:tc>
      </w:tr>
      <w:tr w:rsidR="00CA5523" w:rsidRPr="00C65CAA" w14:paraId="45D512B5" w14:textId="77777777" w:rsidTr="007E3200">
        <w:trPr>
          <w:tblHeader/>
        </w:trPr>
        <w:tc>
          <w:tcPr>
            <w:tcW w:w="2489" w:type="dxa"/>
            <w:vAlign w:val="center"/>
          </w:tcPr>
          <w:p w14:paraId="6A5251D3" w14:textId="77777777" w:rsidR="00CA5523" w:rsidRPr="00C65CAA" w:rsidRDefault="00CA5523" w:rsidP="006C4F5B">
            <w:pPr>
              <w:jc w:val="center"/>
              <w:rPr>
                <w:bCs/>
                <w:color w:val="000000"/>
                <w:sz w:val="20"/>
                <w:szCs w:val="20"/>
              </w:rPr>
            </w:pPr>
            <w:r w:rsidRPr="00C65CAA">
              <w:rPr>
                <w:bCs/>
                <w:color w:val="000000"/>
                <w:sz w:val="20"/>
                <w:szCs w:val="20"/>
              </w:rPr>
              <w:t>a</w:t>
            </w:r>
          </w:p>
        </w:tc>
        <w:tc>
          <w:tcPr>
            <w:tcW w:w="1447" w:type="dxa"/>
          </w:tcPr>
          <w:p w14:paraId="7319EF61" w14:textId="77777777" w:rsidR="00CA5523" w:rsidRPr="00C65CAA" w:rsidRDefault="00CA5523" w:rsidP="006C4F5B">
            <w:pPr>
              <w:jc w:val="center"/>
              <w:rPr>
                <w:sz w:val="20"/>
                <w:szCs w:val="20"/>
              </w:rPr>
            </w:pPr>
            <w:r w:rsidRPr="00C65CAA">
              <w:rPr>
                <w:sz w:val="20"/>
                <w:szCs w:val="20"/>
              </w:rPr>
              <w:t>1</w:t>
            </w:r>
          </w:p>
        </w:tc>
        <w:tc>
          <w:tcPr>
            <w:tcW w:w="1323" w:type="dxa"/>
          </w:tcPr>
          <w:p w14:paraId="45015360" w14:textId="77777777" w:rsidR="00CA5523" w:rsidRPr="00C65CAA" w:rsidRDefault="00CA5523" w:rsidP="006C4F5B">
            <w:pPr>
              <w:jc w:val="center"/>
              <w:rPr>
                <w:sz w:val="20"/>
                <w:szCs w:val="20"/>
              </w:rPr>
            </w:pPr>
            <w:r w:rsidRPr="00C65CAA">
              <w:rPr>
                <w:sz w:val="20"/>
                <w:szCs w:val="20"/>
              </w:rPr>
              <w:t>2</w:t>
            </w:r>
          </w:p>
        </w:tc>
        <w:tc>
          <w:tcPr>
            <w:tcW w:w="1608" w:type="dxa"/>
          </w:tcPr>
          <w:p w14:paraId="5EE85C85" w14:textId="77777777" w:rsidR="00CA5523" w:rsidRPr="00C65CAA" w:rsidRDefault="00CA5523" w:rsidP="006C4F5B">
            <w:pPr>
              <w:jc w:val="center"/>
              <w:rPr>
                <w:sz w:val="20"/>
                <w:szCs w:val="20"/>
              </w:rPr>
            </w:pPr>
            <w:r w:rsidRPr="00C65CAA">
              <w:rPr>
                <w:sz w:val="20"/>
                <w:szCs w:val="20"/>
              </w:rPr>
              <w:t>3</w:t>
            </w:r>
          </w:p>
        </w:tc>
        <w:tc>
          <w:tcPr>
            <w:tcW w:w="1314" w:type="dxa"/>
          </w:tcPr>
          <w:p w14:paraId="13324192" w14:textId="77777777" w:rsidR="00CA5523" w:rsidRPr="00C65CAA" w:rsidRDefault="00CA5523" w:rsidP="006C4F5B">
            <w:pPr>
              <w:jc w:val="center"/>
              <w:rPr>
                <w:sz w:val="20"/>
                <w:szCs w:val="20"/>
              </w:rPr>
            </w:pPr>
            <w:r w:rsidRPr="00C65CAA">
              <w:rPr>
                <w:sz w:val="20"/>
                <w:szCs w:val="20"/>
              </w:rPr>
              <w:t>3-2</w:t>
            </w:r>
          </w:p>
        </w:tc>
        <w:tc>
          <w:tcPr>
            <w:tcW w:w="1165" w:type="dxa"/>
          </w:tcPr>
          <w:p w14:paraId="0A0A3D0F" w14:textId="77777777" w:rsidR="00CA5523" w:rsidRPr="00C65CAA" w:rsidRDefault="00CA5523" w:rsidP="006C4F5B">
            <w:pPr>
              <w:jc w:val="center"/>
              <w:rPr>
                <w:sz w:val="20"/>
                <w:szCs w:val="20"/>
              </w:rPr>
            </w:pPr>
            <w:r w:rsidRPr="00C65CAA">
              <w:rPr>
                <w:sz w:val="20"/>
                <w:szCs w:val="20"/>
              </w:rPr>
              <w:t>3/2*100</w:t>
            </w:r>
          </w:p>
        </w:tc>
      </w:tr>
      <w:tr w:rsidR="006C4F5B" w:rsidRPr="00C65CAA" w14:paraId="364DD582" w14:textId="77777777" w:rsidTr="007E3200">
        <w:tc>
          <w:tcPr>
            <w:tcW w:w="2489" w:type="dxa"/>
            <w:vAlign w:val="center"/>
          </w:tcPr>
          <w:p w14:paraId="1A3B94AE" w14:textId="77777777" w:rsidR="006C4F5B" w:rsidRPr="00C65CAA" w:rsidRDefault="006C4F5B" w:rsidP="006C4F5B">
            <w:pPr>
              <w:rPr>
                <w:b/>
                <w:bCs/>
                <w:color w:val="000000"/>
                <w:sz w:val="20"/>
                <w:szCs w:val="20"/>
              </w:rPr>
            </w:pPr>
            <w:r w:rsidRPr="00C65CAA">
              <w:rPr>
                <w:b/>
                <w:bCs/>
                <w:color w:val="000000"/>
                <w:sz w:val="20"/>
                <w:szCs w:val="20"/>
              </w:rPr>
              <w:t>Príjmy ŠR</w:t>
            </w:r>
          </w:p>
        </w:tc>
        <w:tc>
          <w:tcPr>
            <w:tcW w:w="1447" w:type="dxa"/>
            <w:vAlign w:val="center"/>
          </w:tcPr>
          <w:p w14:paraId="7AC39267"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15 381 013</w:t>
            </w:r>
          </w:p>
        </w:tc>
        <w:tc>
          <w:tcPr>
            <w:tcW w:w="1323" w:type="dxa"/>
            <w:vAlign w:val="center"/>
          </w:tcPr>
          <w:p w14:paraId="3BD4664A"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15 497 654</w:t>
            </w:r>
          </w:p>
        </w:tc>
        <w:tc>
          <w:tcPr>
            <w:tcW w:w="1608" w:type="dxa"/>
            <w:vAlign w:val="center"/>
          </w:tcPr>
          <w:p w14:paraId="5E64FBDF"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15 889 512</w:t>
            </w:r>
          </w:p>
        </w:tc>
        <w:tc>
          <w:tcPr>
            <w:tcW w:w="1314" w:type="dxa"/>
            <w:vAlign w:val="center"/>
          </w:tcPr>
          <w:p w14:paraId="631F95CB"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391 858</w:t>
            </w:r>
          </w:p>
        </w:tc>
        <w:tc>
          <w:tcPr>
            <w:tcW w:w="1165" w:type="dxa"/>
            <w:vAlign w:val="center"/>
          </w:tcPr>
          <w:p w14:paraId="4DC26948"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102,5</w:t>
            </w:r>
          </w:p>
        </w:tc>
      </w:tr>
      <w:tr w:rsidR="006C4F5B" w:rsidRPr="00C65CAA" w14:paraId="799EFD43" w14:textId="77777777" w:rsidTr="007E3200">
        <w:tc>
          <w:tcPr>
            <w:tcW w:w="2489" w:type="dxa"/>
            <w:vAlign w:val="center"/>
          </w:tcPr>
          <w:p w14:paraId="6304BAB6" w14:textId="77777777" w:rsidR="006C4F5B" w:rsidRPr="00C65CAA" w:rsidRDefault="006C4F5B" w:rsidP="000A2429">
            <w:pPr>
              <w:pStyle w:val="Odsekzoznamu"/>
              <w:numPr>
                <w:ilvl w:val="0"/>
                <w:numId w:val="2"/>
              </w:numPr>
              <w:ind w:left="357" w:hanging="357"/>
              <w:rPr>
                <w:sz w:val="20"/>
                <w:szCs w:val="20"/>
              </w:rPr>
            </w:pPr>
            <w:r w:rsidRPr="00C65CAA">
              <w:rPr>
                <w:sz w:val="20"/>
                <w:szCs w:val="20"/>
              </w:rPr>
              <w:t>daňové príjmy</w:t>
            </w:r>
          </w:p>
        </w:tc>
        <w:tc>
          <w:tcPr>
            <w:tcW w:w="1447" w:type="dxa"/>
            <w:vAlign w:val="center"/>
          </w:tcPr>
          <w:p w14:paraId="477BB3D4"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11 965 782</w:t>
            </w:r>
          </w:p>
        </w:tc>
        <w:tc>
          <w:tcPr>
            <w:tcW w:w="1323" w:type="dxa"/>
            <w:vAlign w:val="center"/>
          </w:tcPr>
          <w:p w14:paraId="6FAEB271"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12 464 557</w:t>
            </w:r>
          </w:p>
        </w:tc>
        <w:tc>
          <w:tcPr>
            <w:tcW w:w="1608" w:type="dxa"/>
            <w:vAlign w:val="center"/>
          </w:tcPr>
          <w:p w14:paraId="1C007E82"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12 909 286</w:t>
            </w:r>
          </w:p>
        </w:tc>
        <w:tc>
          <w:tcPr>
            <w:tcW w:w="1314" w:type="dxa"/>
            <w:vAlign w:val="center"/>
          </w:tcPr>
          <w:p w14:paraId="5A01F29A"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444 729</w:t>
            </w:r>
          </w:p>
        </w:tc>
        <w:tc>
          <w:tcPr>
            <w:tcW w:w="1165" w:type="dxa"/>
            <w:vAlign w:val="center"/>
          </w:tcPr>
          <w:p w14:paraId="17C4F2B0"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103,6</w:t>
            </w:r>
          </w:p>
        </w:tc>
      </w:tr>
      <w:tr w:rsidR="006C4F5B" w:rsidRPr="00C65CAA" w14:paraId="03A7F3AA" w14:textId="77777777" w:rsidTr="007E3200">
        <w:tc>
          <w:tcPr>
            <w:tcW w:w="2489" w:type="dxa"/>
            <w:vAlign w:val="center"/>
          </w:tcPr>
          <w:p w14:paraId="6366DD70" w14:textId="77777777" w:rsidR="006C4F5B" w:rsidRPr="00C65CAA" w:rsidRDefault="006C4F5B" w:rsidP="000A2429">
            <w:pPr>
              <w:pStyle w:val="Odsekzoznamu"/>
              <w:numPr>
                <w:ilvl w:val="0"/>
                <w:numId w:val="2"/>
              </w:numPr>
              <w:ind w:left="357" w:hanging="357"/>
              <w:rPr>
                <w:sz w:val="20"/>
                <w:szCs w:val="20"/>
              </w:rPr>
            </w:pPr>
            <w:r w:rsidRPr="00C65CAA">
              <w:rPr>
                <w:sz w:val="20"/>
                <w:szCs w:val="20"/>
              </w:rPr>
              <w:t>nedaňové príjmy</w:t>
            </w:r>
          </w:p>
        </w:tc>
        <w:tc>
          <w:tcPr>
            <w:tcW w:w="1447" w:type="dxa"/>
            <w:vAlign w:val="center"/>
          </w:tcPr>
          <w:p w14:paraId="7C49F351"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1 211 597</w:t>
            </w:r>
          </w:p>
        </w:tc>
        <w:tc>
          <w:tcPr>
            <w:tcW w:w="1323" w:type="dxa"/>
            <w:vAlign w:val="center"/>
          </w:tcPr>
          <w:p w14:paraId="3C085E44"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1 331 345</w:t>
            </w:r>
          </w:p>
        </w:tc>
        <w:tc>
          <w:tcPr>
            <w:tcW w:w="1608" w:type="dxa"/>
            <w:vAlign w:val="center"/>
          </w:tcPr>
          <w:p w14:paraId="281529A7"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1 263 764</w:t>
            </w:r>
          </w:p>
        </w:tc>
        <w:tc>
          <w:tcPr>
            <w:tcW w:w="1314" w:type="dxa"/>
            <w:vAlign w:val="center"/>
          </w:tcPr>
          <w:p w14:paraId="4EEBA211"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-67 581</w:t>
            </w:r>
          </w:p>
        </w:tc>
        <w:tc>
          <w:tcPr>
            <w:tcW w:w="1165" w:type="dxa"/>
            <w:vAlign w:val="center"/>
          </w:tcPr>
          <w:p w14:paraId="40B53B12"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94,9</w:t>
            </w:r>
          </w:p>
        </w:tc>
      </w:tr>
      <w:tr w:rsidR="006C4F5B" w:rsidRPr="00C65CAA" w14:paraId="037C2870" w14:textId="77777777" w:rsidTr="007E3200">
        <w:tc>
          <w:tcPr>
            <w:tcW w:w="2489" w:type="dxa"/>
            <w:vAlign w:val="center"/>
          </w:tcPr>
          <w:p w14:paraId="5D3B773B" w14:textId="77777777" w:rsidR="006C4F5B" w:rsidRPr="00C65CAA" w:rsidRDefault="006C4F5B" w:rsidP="000A2429">
            <w:pPr>
              <w:pStyle w:val="Odsekzoznamu"/>
              <w:numPr>
                <w:ilvl w:val="0"/>
                <w:numId w:val="2"/>
              </w:numPr>
              <w:ind w:left="357" w:hanging="357"/>
              <w:rPr>
                <w:sz w:val="20"/>
                <w:szCs w:val="20"/>
              </w:rPr>
            </w:pPr>
            <w:r w:rsidRPr="00C65CAA">
              <w:rPr>
                <w:sz w:val="20"/>
                <w:szCs w:val="20"/>
              </w:rPr>
              <w:t>granty a transfery </w:t>
            </w:r>
          </w:p>
        </w:tc>
        <w:tc>
          <w:tcPr>
            <w:tcW w:w="1447" w:type="dxa"/>
            <w:vAlign w:val="center"/>
          </w:tcPr>
          <w:p w14:paraId="4D59EE4C"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2 203 634</w:t>
            </w:r>
          </w:p>
        </w:tc>
        <w:tc>
          <w:tcPr>
            <w:tcW w:w="1323" w:type="dxa"/>
            <w:vAlign w:val="center"/>
          </w:tcPr>
          <w:p w14:paraId="0E17A79D"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1 701 752</w:t>
            </w:r>
          </w:p>
        </w:tc>
        <w:tc>
          <w:tcPr>
            <w:tcW w:w="1608" w:type="dxa"/>
            <w:vAlign w:val="center"/>
          </w:tcPr>
          <w:p w14:paraId="3C85E8E2"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1 716 461</w:t>
            </w:r>
          </w:p>
        </w:tc>
        <w:tc>
          <w:tcPr>
            <w:tcW w:w="1314" w:type="dxa"/>
            <w:vAlign w:val="center"/>
          </w:tcPr>
          <w:p w14:paraId="7843FE70"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14 709</w:t>
            </w:r>
          </w:p>
        </w:tc>
        <w:tc>
          <w:tcPr>
            <w:tcW w:w="1165" w:type="dxa"/>
            <w:vAlign w:val="center"/>
          </w:tcPr>
          <w:p w14:paraId="638514CF" w14:textId="77777777" w:rsidR="006C4F5B" w:rsidRPr="006C4F5B" w:rsidRDefault="006C4F5B" w:rsidP="006C4F5B">
            <w:pPr>
              <w:jc w:val="right"/>
              <w:rPr>
                <w:rFonts w:eastAsia="Times New Roman" w:cs="Times New Roman"/>
                <w:color w:val="000000"/>
                <w:sz w:val="20"/>
                <w:szCs w:val="20"/>
                <w:lang w:eastAsia="sk-SK"/>
              </w:rPr>
            </w:pPr>
            <w:r w:rsidRPr="006C4F5B">
              <w:rPr>
                <w:rFonts w:eastAsia="Times New Roman" w:cs="Times New Roman"/>
                <w:color w:val="000000"/>
                <w:sz w:val="20"/>
                <w:szCs w:val="20"/>
                <w:lang w:eastAsia="sk-SK"/>
              </w:rPr>
              <w:t>100,9</w:t>
            </w:r>
          </w:p>
        </w:tc>
      </w:tr>
      <w:tr w:rsidR="006C4F5B" w:rsidRPr="00C65CAA" w14:paraId="2D57C5C4" w14:textId="77777777" w:rsidTr="007E3200">
        <w:tc>
          <w:tcPr>
            <w:tcW w:w="2489" w:type="dxa"/>
            <w:vAlign w:val="center"/>
          </w:tcPr>
          <w:p w14:paraId="4D27FEFE" w14:textId="77777777" w:rsidR="006C4F5B" w:rsidRPr="00C65CAA" w:rsidRDefault="006C4F5B" w:rsidP="006C4F5B">
            <w:pPr>
              <w:rPr>
                <w:b/>
                <w:bCs/>
                <w:color w:val="000000"/>
                <w:sz w:val="20"/>
                <w:szCs w:val="20"/>
              </w:rPr>
            </w:pPr>
            <w:r w:rsidRPr="00C65CAA">
              <w:rPr>
                <w:b/>
                <w:bCs/>
                <w:color w:val="000000"/>
                <w:sz w:val="20"/>
                <w:szCs w:val="20"/>
              </w:rPr>
              <w:t>Výdavky ŠR</w:t>
            </w:r>
          </w:p>
        </w:tc>
        <w:tc>
          <w:tcPr>
            <w:tcW w:w="1447" w:type="dxa"/>
            <w:vAlign w:val="center"/>
          </w:tcPr>
          <w:p w14:paraId="126E39DB"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16 563 255</w:t>
            </w:r>
          </w:p>
        </w:tc>
        <w:tc>
          <w:tcPr>
            <w:tcW w:w="1323" w:type="dxa"/>
            <w:vAlign w:val="center"/>
          </w:tcPr>
          <w:p w14:paraId="29AE4965"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17 538 901</w:t>
            </w:r>
          </w:p>
        </w:tc>
        <w:tc>
          <w:tcPr>
            <w:tcW w:w="1608" w:type="dxa"/>
            <w:vAlign w:val="center"/>
          </w:tcPr>
          <w:p w14:paraId="1E42826F"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18 571 741</w:t>
            </w:r>
          </w:p>
        </w:tc>
        <w:tc>
          <w:tcPr>
            <w:tcW w:w="1314" w:type="dxa"/>
            <w:vAlign w:val="center"/>
          </w:tcPr>
          <w:p w14:paraId="78928E86"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1 032 840</w:t>
            </w:r>
          </w:p>
        </w:tc>
        <w:tc>
          <w:tcPr>
            <w:tcW w:w="1165" w:type="dxa"/>
            <w:vAlign w:val="center"/>
          </w:tcPr>
          <w:p w14:paraId="29729F58" w14:textId="77777777" w:rsidR="006C4F5B" w:rsidRPr="006C4F5B" w:rsidRDefault="006C4F5B" w:rsidP="006C4F5B">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105,9</w:t>
            </w:r>
          </w:p>
        </w:tc>
      </w:tr>
      <w:tr w:rsidR="007E3200" w:rsidRPr="00C65CAA" w14:paraId="29165C9E" w14:textId="77777777" w:rsidTr="007E3200">
        <w:tc>
          <w:tcPr>
            <w:tcW w:w="2489" w:type="dxa"/>
            <w:vAlign w:val="center"/>
          </w:tcPr>
          <w:p w14:paraId="1B4ABF08" w14:textId="77777777" w:rsidR="007E3200" w:rsidRPr="00C65CAA" w:rsidRDefault="007E3200" w:rsidP="000A2429">
            <w:pPr>
              <w:pStyle w:val="Odsekzoznamu"/>
              <w:numPr>
                <w:ilvl w:val="0"/>
                <w:numId w:val="2"/>
              </w:numPr>
              <w:ind w:left="357" w:hanging="357"/>
              <w:rPr>
                <w:sz w:val="20"/>
                <w:szCs w:val="20"/>
              </w:rPr>
            </w:pPr>
            <w:r w:rsidRPr="00C65CAA">
              <w:rPr>
                <w:sz w:val="20"/>
                <w:szCs w:val="20"/>
              </w:rPr>
              <w:t xml:space="preserve">bežné výdavky </w:t>
            </w:r>
          </w:p>
        </w:tc>
        <w:tc>
          <w:tcPr>
            <w:tcW w:w="1447" w:type="dxa"/>
            <w:vAlign w:val="center"/>
          </w:tcPr>
          <w:p w14:paraId="1D8F4CAE"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14 160 931</w:t>
            </w:r>
          </w:p>
        </w:tc>
        <w:tc>
          <w:tcPr>
            <w:tcW w:w="1323" w:type="dxa"/>
            <w:vAlign w:val="center"/>
          </w:tcPr>
          <w:p w14:paraId="1D7D8096"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15 250 323</w:t>
            </w:r>
          </w:p>
        </w:tc>
        <w:tc>
          <w:tcPr>
            <w:tcW w:w="1608" w:type="dxa"/>
            <w:vAlign w:val="center"/>
          </w:tcPr>
          <w:p w14:paraId="72BAB801"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16 934 692</w:t>
            </w:r>
          </w:p>
        </w:tc>
        <w:tc>
          <w:tcPr>
            <w:tcW w:w="1314" w:type="dxa"/>
            <w:vAlign w:val="center"/>
          </w:tcPr>
          <w:p w14:paraId="00320371"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1 684 369</w:t>
            </w:r>
          </w:p>
        </w:tc>
        <w:tc>
          <w:tcPr>
            <w:tcW w:w="1165" w:type="dxa"/>
            <w:vAlign w:val="center"/>
          </w:tcPr>
          <w:p w14:paraId="19BAA9F2"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111,0</w:t>
            </w:r>
          </w:p>
        </w:tc>
      </w:tr>
      <w:tr w:rsidR="007E3200" w:rsidRPr="00C65CAA" w14:paraId="395C22B9" w14:textId="77777777" w:rsidTr="007E3200">
        <w:tc>
          <w:tcPr>
            <w:tcW w:w="2489" w:type="dxa"/>
            <w:vAlign w:val="center"/>
          </w:tcPr>
          <w:p w14:paraId="59EBE7FA" w14:textId="77777777" w:rsidR="007E3200" w:rsidRPr="00C65CAA" w:rsidRDefault="007E3200" w:rsidP="000A2429">
            <w:pPr>
              <w:pStyle w:val="Odsekzoznamu"/>
              <w:numPr>
                <w:ilvl w:val="0"/>
                <w:numId w:val="2"/>
              </w:numPr>
              <w:ind w:left="357" w:hanging="357"/>
              <w:rPr>
                <w:sz w:val="20"/>
                <w:szCs w:val="20"/>
              </w:rPr>
            </w:pPr>
            <w:r w:rsidRPr="00C65CAA">
              <w:rPr>
                <w:sz w:val="20"/>
                <w:szCs w:val="20"/>
              </w:rPr>
              <w:t xml:space="preserve">kapitálové výdavky </w:t>
            </w:r>
          </w:p>
        </w:tc>
        <w:tc>
          <w:tcPr>
            <w:tcW w:w="1447" w:type="dxa"/>
            <w:vAlign w:val="center"/>
          </w:tcPr>
          <w:p w14:paraId="4A2F5848"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2 402 324</w:t>
            </w:r>
          </w:p>
        </w:tc>
        <w:tc>
          <w:tcPr>
            <w:tcW w:w="1323" w:type="dxa"/>
            <w:vAlign w:val="center"/>
          </w:tcPr>
          <w:p w14:paraId="155AA2AB"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2 288 578</w:t>
            </w:r>
          </w:p>
        </w:tc>
        <w:tc>
          <w:tcPr>
            <w:tcW w:w="1608" w:type="dxa"/>
            <w:vAlign w:val="center"/>
          </w:tcPr>
          <w:p w14:paraId="511F2BCC"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1 637 049</w:t>
            </w:r>
          </w:p>
        </w:tc>
        <w:tc>
          <w:tcPr>
            <w:tcW w:w="1314" w:type="dxa"/>
            <w:vAlign w:val="center"/>
          </w:tcPr>
          <w:p w14:paraId="33E01B5C"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-651 529</w:t>
            </w:r>
          </w:p>
        </w:tc>
        <w:tc>
          <w:tcPr>
            <w:tcW w:w="1165" w:type="dxa"/>
            <w:vAlign w:val="center"/>
          </w:tcPr>
          <w:p w14:paraId="378661A1" w14:textId="77777777" w:rsidR="007E3200" w:rsidRPr="007E3200" w:rsidRDefault="007E3200" w:rsidP="007E3200">
            <w:pPr>
              <w:jc w:val="right"/>
              <w:rPr>
                <w:rFonts w:eastAsia="Times New Roman" w:cs="Times New Roman"/>
                <w:color w:val="000000"/>
                <w:sz w:val="20"/>
                <w:szCs w:val="20"/>
                <w:lang w:eastAsia="sk-SK"/>
              </w:rPr>
            </w:pPr>
            <w:r w:rsidRPr="007E3200">
              <w:rPr>
                <w:rFonts w:eastAsia="Times New Roman" w:cs="Times New Roman"/>
                <w:color w:val="000000"/>
                <w:sz w:val="20"/>
                <w:szCs w:val="20"/>
                <w:lang w:eastAsia="sk-SK"/>
              </w:rPr>
              <w:t>71,5</w:t>
            </w:r>
          </w:p>
        </w:tc>
      </w:tr>
      <w:tr w:rsidR="007E3200" w:rsidRPr="00C65CAA" w14:paraId="7FBCE171" w14:textId="77777777" w:rsidTr="007E3200">
        <w:tc>
          <w:tcPr>
            <w:tcW w:w="2489" w:type="dxa"/>
            <w:vAlign w:val="center"/>
          </w:tcPr>
          <w:p w14:paraId="1EACE6C1" w14:textId="77777777" w:rsidR="007E3200" w:rsidRPr="00C65CAA" w:rsidRDefault="007E3200" w:rsidP="007E3200">
            <w:pPr>
              <w:rPr>
                <w:b/>
                <w:color w:val="000000"/>
                <w:sz w:val="20"/>
                <w:szCs w:val="20"/>
              </w:rPr>
            </w:pPr>
            <w:r w:rsidRPr="00C65CAA">
              <w:rPr>
                <w:b/>
                <w:bCs/>
                <w:color w:val="000000"/>
                <w:sz w:val="20"/>
                <w:szCs w:val="20"/>
              </w:rPr>
              <w:t>Schodok ŠR</w:t>
            </w:r>
          </w:p>
        </w:tc>
        <w:tc>
          <w:tcPr>
            <w:tcW w:w="1447" w:type="dxa"/>
            <w:vAlign w:val="center"/>
          </w:tcPr>
          <w:p w14:paraId="6A1D41E4" w14:textId="77777777" w:rsidR="007E3200" w:rsidRPr="006C4F5B" w:rsidRDefault="007E3200" w:rsidP="007E3200">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-1 182 242</w:t>
            </w:r>
          </w:p>
        </w:tc>
        <w:tc>
          <w:tcPr>
            <w:tcW w:w="1323" w:type="dxa"/>
            <w:vAlign w:val="center"/>
          </w:tcPr>
          <w:p w14:paraId="7F75C87A" w14:textId="77777777" w:rsidR="007E3200" w:rsidRPr="006C4F5B" w:rsidRDefault="007E3200" w:rsidP="007E3200">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-2 041 247</w:t>
            </w:r>
          </w:p>
        </w:tc>
        <w:tc>
          <w:tcPr>
            <w:tcW w:w="1608" w:type="dxa"/>
            <w:vAlign w:val="center"/>
          </w:tcPr>
          <w:p w14:paraId="6498EBCD" w14:textId="77777777" w:rsidR="007E3200" w:rsidRPr="006C4F5B" w:rsidRDefault="007E3200" w:rsidP="007E3200">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-2 682 229</w:t>
            </w:r>
          </w:p>
        </w:tc>
        <w:tc>
          <w:tcPr>
            <w:tcW w:w="1314" w:type="dxa"/>
            <w:vAlign w:val="center"/>
          </w:tcPr>
          <w:p w14:paraId="599AFE7F" w14:textId="77777777" w:rsidR="007E3200" w:rsidRPr="006C4F5B" w:rsidRDefault="007E3200" w:rsidP="007E3200">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-640 982</w:t>
            </w:r>
          </w:p>
        </w:tc>
        <w:tc>
          <w:tcPr>
            <w:tcW w:w="1165" w:type="dxa"/>
            <w:vAlign w:val="center"/>
          </w:tcPr>
          <w:p w14:paraId="2A2244FA" w14:textId="77777777" w:rsidR="007E3200" w:rsidRPr="006C4F5B" w:rsidRDefault="007E3200" w:rsidP="007E3200">
            <w:pPr>
              <w:jc w:val="right"/>
              <w:rPr>
                <w:rFonts w:eastAsia="Times New Roman" w:cs="Times New Roman"/>
                <w:b/>
                <w:bCs/>
                <w:color w:val="000000"/>
                <w:sz w:val="20"/>
                <w:szCs w:val="20"/>
                <w:lang w:eastAsia="sk-SK"/>
              </w:rPr>
            </w:pPr>
            <w:r w:rsidRPr="006C4F5B">
              <w:rPr>
                <w:rFonts w:eastAsia="Times New Roman" w:cs="Times New Roman"/>
                <w:b/>
                <w:bCs/>
                <w:color w:val="000000"/>
                <w:sz w:val="20"/>
                <w:szCs w:val="20"/>
                <w:lang w:eastAsia="sk-SK"/>
              </w:rPr>
              <w:t>131,4</w:t>
            </w:r>
          </w:p>
        </w:tc>
      </w:tr>
    </w:tbl>
    <w:p w14:paraId="0C2195DA" w14:textId="77777777" w:rsidR="00CA5523" w:rsidRPr="0066674A" w:rsidRDefault="00CA5523" w:rsidP="00CA5523">
      <w:pPr>
        <w:pStyle w:val="Zkladntext"/>
        <w:spacing w:after="100"/>
        <w:jc w:val="both"/>
        <w:rPr>
          <w:i/>
          <w:color w:val="000000"/>
          <w:sz w:val="18"/>
        </w:rPr>
      </w:pPr>
      <w:r w:rsidRPr="0066674A">
        <w:rPr>
          <w:i/>
          <w:color w:val="000000"/>
          <w:sz w:val="18"/>
        </w:rPr>
        <w:t>Zdroj: ŠZÚ za rok 2018, RVS na roky 2019 až 2021, Návrh RVS na roky 2020 až 2022</w:t>
      </w:r>
    </w:p>
    <w:p w14:paraId="7F7E91F3" w14:textId="77777777" w:rsidR="00324F9E" w:rsidRDefault="00C95818" w:rsidP="00CA5523">
      <w:pPr>
        <w:spacing w:before="100" w:after="100"/>
        <w:ind w:firstLine="708"/>
        <w:jc w:val="both"/>
      </w:pPr>
      <w:r w:rsidRPr="00C95818">
        <w:t>S</w:t>
      </w:r>
      <w:r w:rsidR="00324F9E" w:rsidRPr="00C95818">
        <w:t>chodok</w:t>
      </w:r>
      <w:r>
        <w:t xml:space="preserve"> ŠR sa navrhuje vo výške 2 682 229 tis. eur, čo je o</w:t>
      </w:r>
      <w:r w:rsidR="0066674A">
        <w:t> </w:t>
      </w:r>
      <w:r>
        <w:t>640</w:t>
      </w:r>
      <w:r w:rsidR="0066674A">
        <w:t xml:space="preserve"> </w:t>
      </w:r>
      <w:r>
        <w:t>982 tis. eur viac oproti schválenému rozpočtu na rok 2019 (</w:t>
      </w:r>
      <w:r w:rsidR="0066674A">
        <w:t xml:space="preserve">o </w:t>
      </w:r>
      <w:r>
        <w:t>31,4 %).</w:t>
      </w:r>
    </w:p>
    <w:p w14:paraId="35B21B9A" w14:textId="77777777" w:rsidR="00CA5523" w:rsidRPr="00902A46" w:rsidRDefault="00CA5523" w:rsidP="00CA5523">
      <w:pPr>
        <w:shd w:val="clear" w:color="auto" w:fill="FFFFFF" w:themeFill="background1"/>
        <w:spacing w:before="100" w:after="100"/>
        <w:jc w:val="both"/>
        <w:rPr>
          <w:rFonts w:eastAsia="Calibri"/>
          <w:b/>
          <w:color w:val="0070C0"/>
        </w:rPr>
      </w:pPr>
      <w:r>
        <w:rPr>
          <w:rFonts w:eastAsia="Calibri"/>
          <w:b/>
          <w:color w:val="0070C0"/>
        </w:rPr>
        <w:t>P</w:t>
      </w:r>
      <w:r w:rsidRPr="00902A46">
        <w:rPr>
          <w:rFonts w:eastAsia="Calibri"/>
          <w:b/>
          <w:color w:val="0070C0"/>
        </w:rPr>
        <w:t xml:space="preserve">ríjmy </w:t>
      </w:r>
      <w:r>
        <w:rPr>
          <w:rFonts w:eastAsia="Calibri"/>
          <w:b/>
          <w:color w:val="0070C0"/>
        </w:rPr>
        <w:t>ŠR</w:t>
      </w:r>
    </w:p>
    <w:p w14:paraId="0CD9B465" w14:textId="170DD456" w:rsidR="00324F9E" w:rsidRPr="00C65CAA" w:rsidRDefault="00324F9E" w:rsidP="00324F9E">
      <w:pPr>
        <w:spacing w:before="100" w:after="100"/>
        <w:ind w:firstLine="708"/>
        <w:jc w:val="both"/>
      </w:pPr>
      <w:r>
        <w:t>Príjmy ŠR na rok 2020</w:t>
      </w:r>
      <w:r w:rsidRPr="00C65CAA">
        <w:t xml:space="preserve"> s</w:t>
      </w:r>
      <w:r w:rsidR="005C7C8F">
        <w:t>ú</w:t>
      </w:r>
      <w:r w:rsidRPr="00C65CAA">
        <w:t xml:space="preserve"> navrh</w:t>
      </w:r>
      <w:r w:rsidR="005C7C8F">
        <w:t>nuté</w:t>
      </w:r>
      <w:r w:rsidRPr="00C65CAA">
        <w:t xml:space="preserve"> vo výške 1</w:t>
      </w:r>
      <w:r>
        <w:t>5 889 512</w:t>
      </w:r>
      <w:r w:rsidRPr="00C65CAA">
        <w:t xml:space="preserve"> tis. eur, čo je o</w:t>
      </w:r>
      <w:r>
        <w:t> 391 858</w:t>
      </w:r>
      <w:r w:rsidRPr="00C65CAA">
        <w:t xml:space="preserve"> tis. eur </w:t>
      </w:r>
      <w:r>
        <w:t>viac oproti rozpočtu na rok 2019</w:t>
      </w:r>
      <w:r w:rsidRPr="00C65CAA">
        <w:t>. Daňové príjmy sa medziročne zvyšujú o</w:t>
      </w:r>
      <w:r>
        <w:t> 444 729 tis. eur na 12 909 286</w:t>
      </w:r>
      <w:r w:rsidRPr="00C65CAA">
        <w:t xml:space="preserve"> tis. eur, nedaňové príjmy sa z</w:t>
      </w:r>
      <w:r>
        <w:t>nižujú</w:t>
      </w:r>
      <w:r w:rsidRPr="00C65CAA">
        <w:t xml:space="preserve"> o</w:t>
      </w:r>
      <w:r>
        <w:t> 67 581 tis. eur na 1 263 764</w:t>
      </w:r>
      <w:r w:rsidRPr="00C65CAA">
        <w:t xml:space="preserve"> tis. eur. G</w:t>
      </w:r>
      <w:r>
        <w:t>ranty a transfery sa v roku 2020</w:t>
      </w:r>
      <w:r w:rsidRPr="00C65CAA">
        <w:t xml:space="preserve"> medz</w:t>
      </w:r>
      <w:r w:rsidR="00B339DA">
        <w:t>iročne navrhujú zvýšiť o 14 709 </w:t>
      </w:r>
      <w:r>
        <w:t>tis. eur na 1 716 461</w:t>
      </w:r>
      <w:r w:rsidRPr="00C65CAA">
        <w:t xml:space="preserve"> tis. eur.</w:t>
      </w:r>
    </w:p>
    <w:p w14:paraId="16EA4B2E" w14:textId="77777777" w:rsidR="00CA5523" w:rsidRPr="00C65CAA" w:rsidRDefault="00CA5523" w:rsidP="005C7C8F">
      <w:pPr>
        <w:spacing w:before="100" w:after="100"/>
        <w:ind w:firstLine="708"/>
        <w:jc w:val="both"/>
      </w:pPr>
      <w:r w:rsidRPr="00C65CAA">
        <w:rPr>
          <w:color w:val="000000"/>
        </w:rPr>
        <w:t xml:space="preserve">Porovnanie štruktúry </w:t>
      </w:r>
      <w:r w:rsidRPr="000B1789">
        <w:rPr>
          <w:b/>
          <w:color w:val="000000"/>
        </w:rPr>
        <w:t>daňových príjmov ŠR na hotovostnej báze</w:t>
      </w:r>
      <w:r w:rsidRPr="00C65CAA">
        <w:rPr>
          <w:color w:val="000000"/>
        </w:rPr>
        <w:t xml:space="preserve"> </w:t>
      </w:r>
      <w:r w:rsidRPr="00C65CAA">
        <w:t>za ro</w:t>
      </w:r>
      <w:r>
        <w:t>k 2018</w:t>
      </w:r>
      <w:r w:rsidRPr="00C65CAA">
        <w:t>, schváleného rozpočtu na rok 201</w:t>
      </w:r>
      <w:r>
        <w:t>9</w:t>
      </w:r>
      <w:r w:rsidRPr="00C65CAA">
        <w:t xml:space="preserve"> a návrhu rozpočtu na rok </w:t>
      </w:r>
      <w:r>
        <w:t>2020</w:t>
      </w:r>
      <w:r w:rsidR="005C7C8F">
        <w:t xml:space="preserve"> je uvedené v nasledujúcej tabuľke.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4"/>
        <w:gridCol w:w="1107"/>
        <w:gridCol w:w="1267"/>
        <w:gridCol w:w="1462"/>
        <w:gridCol w:w="768"/>
        <w:gridCol w:w="738"/>
      </w:tblGrid>
      <w:tr w:rsidR="00CA5523" w:rsidRPr="00C65CAA" w14:paraId="0EBBD68C" w14:textId="77777777" w:rsidTr="00840D58">
        <w:trPr>
          <w:trHeight w:val="170"/>
          <w:tblHeader/>
        </w:trPr>
        <w:tc>
          <w:tcPr>
            <w:tcW w:w="2142" w:type="pct"/>
            <w:tcBorders>
              <w:right w:val="single" w:sz="4" w:space="0" w:color="FFFFFF" w:themeColor="background1"/>
            </w:tcBorders>
            <w:shd w:val="clear" w:color="auto" w:fill="0070C0"/>
            <w:vAlign w:val="center"/>
          </w:tcPr>
          <w:p w14:paraId="3552D7F0" w14:textId="77777777" w:rsidR="00CA5523" w:rsidRPr="00C65CAA" w:rsidRDefault="005C7C8F" w:rsidP="006C4F5B">
            <w:pPr>
              <w:jc w:val="center"/>
              <w:rPr>
                <w:b/>
                <w:bCs/>
                <w:color w:val="FFFFFF" w:themeColor="background1"/>
                <w:sz w:val="20"/>
                <w:szCs w:val="20"/>
              </w:rPr>
            </w:pPr>
            <w:r>
              <w:rPr>
                <w:b/>
                <w:bCs/>
                <w:color w:val="FFFFFF" w:themeColor="background1"/>
                <w:sz w:val="20"/>
                <w:szCs w:val="20"/>
              </w:rPr>
              <w:t>Ukazovateľ</w:t>
            </w:r>
          </w:p>
          <w:p w14:paraId="4632DCD1"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(v tis. eur)</w:t>
            </w:r>
          </w:p>
        </w:tc>
        <w:tc>
          <w:tcPr>
            <w:tcW w:w="592" w:type="pct"/>
            <w:tcBorders>
              <w:left w:val="single" w:sz="4" w:space="0" w:color="FFFFFF" w:themeColor="background1"/>
              <w:right w:val="single" w:sz="4" w:space="0" w:color="FFFFFF" w:themeColor="background1"/>
            </w:tcBorders>
            <w:shd w:val="clear" w:color="auto" w:fill="0070C0"/>
            <w:vAlign w:val="center"/>
          </w:tcPr>
          <w:p w14:paraId="284E1478"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Skutočnosť</w:t>
            </w:r>
          </w:p>
          <w:p w14:paraId="56741190" w14:textId="77777777" w:rsidR="00CA5523" w:rsidRPr="00C65CAA" w:rsidRDefault="00CA5523" w:rsidP="006C4F5B">
            <w:pPr>
              <w:jc w:val="center"/>
              <w:rPr>
                <w:b/>
                <w:bCs/>
                <w:color w:val="FFFFFF" w:themeColor="background1"/>
                <w:sz w:val="20"/>
                <w:szCs w:val="20"/>
              </w:rPr>
            </w:pPr>
            <w:r>
              <w:rPr>
                <w:b/>
                <w:bCs/>
                <w:color w:val="FFFFFF" w:themeColor="background1"/>
                <w:sz w:val="20"/>
                <w:szCs w:val="20"/>
              </w:rPr>
              <w:t>2018</w:t>
            </w:r>
          </w:p>
        </w:tc>
        <w:tc>
          <w:tcPr>
            <w:tcW w:w="678" w:type="pct"/>
            <w:tcBorders>
              <w:left w:val="single" w:sz="4" w:space="0" w:color="FFFFFF" w:themeColor="background1"/>
              <w:right w:val="single" w:sz="4" w:space="0" w:color="FFFFFF" w:themeColor="background1"/>
            </w:tcBorders>
            <w:shd w:val="clear" w:color="auto" w:fill="0070C0"/>
            <w:vAlign w:val="center"/>
          </w:tcPr>
          <w:p w14:paraId="3DD2B693"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Rozpočet</w:t>
            </w:r>
          </w:p>
          <w:p w14:paraId="57B30981" w14:textId="77777777" w:rsidR="00CA5523" w:rsidRPr="00C65CAA" w:rsidRDefault="00CA5523" w:rsidP="006C4F5B">
            <w:pPr>
              <w:jc w:val="center"/>
              <w:rPr>
                <w:b/>
                <w:bCs/>
                <w:color w:val="FFFFFF" w:themeColor="background1"/>
                <w:sz w:val="20"/>
                <w:szCs w:val="20"/>
              </w:rPr>
            </w:pPr>
            <w:r>
              <w:rPr>
                <w:b/>
                <w:bCs/>
                <w:color w:val="FFFFFF" w:themeColor="background1"/>
                <w:sz w:val="20"/>
                <w:szCs w:val="20"/>
              </w:rPr>
              <w:t>2019</w:t>
            </w:r>
          </w:p>
        </w:tc>
        <w:tc>
          <w:tcPr>
            <w:tcW w:w="782" w:type="pct"/>
            <w:tcBorders>
              <w:left w:val="single" w:sz="4" w:space="0" w:color="FFFFFF" w:themeColor="background1"/>
              <w:right w:val="single" w:sz="4" w:space="0" w:color="FFFFFF" w:themeColor="background1"/>
            </w:tcBorders>
            <w:shd w:val="clear" w:color="auto" w:fill="0070C0"/>
            <w:vAlign w:val="center"/>
          </w:tcPr>
          <w:p w14:paraId="0A808D7B"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Návrh rozpočtu</w:t>
            </w:r>
          </w:p>
          <w:p w14:paraId="00C06594" w14:textId="77777777" w:rsidR="00CA5523" w:rsidRPr="00C65CAA" w:rsidRDefault="00CA5523" w:rsidP="006C4F5B">
            <w:pPr>
              <w:jc w:val="center"/>
              <w:rPr>
                <w:b/>
                <w:bCs/>
                <w:color w:val="FFFFFF" w:themeColor="background1"/>
                <w:sz w:val="20"/>
                <w:szCs w:val="20"/>
              </w:rPr>
            </w:pPr>
            <w:r>
              <w:rPr>
                <w:b/>
                <w:bCs/>
                <w:color w:val="FFFFFF" w:themeColor="background1"/>
                <w:sz w:val="20"/>
                <w:szCs w:val="20"/>
              </w:rPr>
              <w:t>2020</w:t>
            </w:r>
          </w:p>
        </w:tc>
        <w:tc>
          <w:tcPr>
            <w:tcW w:w="411" w:type="pct"/>
            <w:tcBorders>
              <w:left w:val="single" w:sz="4" w:space="0" w:color="FFFFFF" w:themeColor="background1"/>
              <w:right w:val="single" w:sz="4" w:space="0" w:color="FFFFFF" w:themeColor="background1"/>
            </w:tcBorders>
            <w:shd w:val="clear" w:color="auto" w:fill="0070C0"/>
            <w:vAlign w:val="center"/>
          </w:tcPr>
          <w:p w14:paraId="70059396"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Rozdiel</w:t>
            </w:r>
          </w:p>
        </w:tc>
        <w:tc>
          <w:tcPr>
            <w:tcW w:w="396" w:type="pct"/>
            <w:tcBorders>
              <w:left w:val="single" w:sz="4" w:space="0" w:color="FFFFFF" w:themeColor="background1"/>
            </w:tcBorders>
            <w:shd w:val="clear" w:color="auto" w:fill="0070C0"/>
            <w:vAlign w:val="center"/>
          </w:tcPr>
          <w:p w14:paraId="20FBE3DF"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 xml:space="preserve">Podiel </w:t>
            </w:r>
          </w:p>
          <w:p w14:paraId="7A61A31F" w14:textId="77777777" w:rsidR="00CA5523" w:rsidRPr="00C65CAA" w:rsidRDefault="005C7C8F" w:rsidP="006C4F5B">
            <w:pPr>
              <w:jc w:val="center"/>
              <w:rPr>
                <w:b/>
                <w:bCs/>
                <w:color w:val="FFFFFF" w:themeColor="background1"/>
                <w:sz w:val="20"/>
                <w:szCs w:val="20"/>
              </w:rPr>
            </w:pPr>
            <w:r>
              <w:rPr>
                <w:b/>
                <w:bCs/>
                <w:color w:val="FFFFFF" w:themeColor="background1"/>
                <w:sz w:val="20"/>
                <w:szCs w:val="20"/>
              </w:rPr>
              <w:t>(</w:t>
            </w:r>
            <w:r w:rsidR="00CA5523" w:rsidRPr="00C65CAA">
              <w:rPr>
                <w:b/>
                <w:bCs/>
                <w:color w:val="FFFFFF" w:themeColor="background1"/>
                <w:sz w:val="20"/>
                <w:szCs w:val="20"/>
              </w:rPr>
              <w:t>v %</w:t>
            </w:r>
            <w:r>
              <w:rPr>
                <w:b/>
                <w:bCs/>
                <w:color w:val="FFFFFF" w:themeColor="background1"/>
                <w:sz w:val="20"/>
                <w:szCs w:val="20"/>
              </w:rPr>
              <w:t>)</w:t>
            </w:r>
          </w:p>
        </w:tc>
      </w:tr>
      <w:tr w:rsidR="00CA5523" w:rsidRPr="00C65CAA" w14:paraId="290B9F3E" w14:textId="77777777" w:rsidTr="00840D58">
        <w:trPr>
          <w:trHeight w:val="170"/>
          <w:tblHeader/>
        </w:trPr>
        <w:tc>
          <w:tcPr>
            <w:tcW w:w="2142" w:type="pct"/>
            <w:shd w:val="clear" w:color="auto" w:fill="auto"/>
            <w:vAlign w:val="center"/>
            <w:hideMark/>
          </w:tcPr>
          <w:p w14:paraId="57227D1E" w14:textId="77777777" w:rsidR="00CA5523" w:rsidRPr="00C65CAA" w:rsidRDefault="00CA5523" w:rsidP="006C4F5B">
            <w:pPr>
              <w:jc w:val="center"/>
              <w:rPr>
                <w:color w:val="000000"/>
                <w:sz w:val="20"/>
                <w:szCs w:val="20"/>
              </w:rPr>
            </w:pPr>
            <w:r w:rsidRPr="00C65CAA">
              <w:rPr>
                <w:color w:val="000000"/>
                <w:sz w:val="20"/>
                <w:szCs w:val="20"/>
              </w:rPr>
              <w:t>a</w:t>
            </w:r>
          </w:p>
        </w:tc>
        <w:tc>
          <w:tcPr>
            <w:tcW w:w="592" w:type="pct"/>
            <w:shd w:val="clear" w:color="auto" w:fill="auto"/>
            <w:vAlign w:val="center"/>
            <w:hideMark/>
          </w:tcPr>
          <w:p w14:paraId="6126D3F1" w14:textId="77777777" w:rsidR="00CA5523" w:rsidRPr="00C65CAA" w:rsidRDefault="00CA5523" w:rsidP="006C4F5B">
            <w:pPr>
              <w:jc w:val="center"/>
              <w:rPr>
                <w:color w:val="000000"/>
                <w:sz w:val="20"/>
                <w:szCs w:val="20"/>
              </w:rPr>
            </w:pPr>
            <w:r w:rsidRPr="00C65CAA">
              <w:rPr>
                <w:color w:val="000000"/>
                <w:sz w:val="20"/>
                <w:szCs w:val="20"/>
              </w:rPr>
              <w:t>1</w:t>
            </w:r>
          </w:p>
        </w:tc>
        <w:tc>
          <w:tcPr>
            <w:tcW w:w="678" w:type="pct"/>
            <w:shd w:val="clear" w:color="auto" w:fill="auto"/>
            <w:vAlign w:val="center"/>
            <w:hideMark/>
          </w:tcPr>
          <w:p w14:paraId="299DC1E8" w14:textId="77777777" w:rsidR="00CA5523" w:rsidRPr="00C65CAA" w:rsidRDefault="00CA5523" w:rsidP="006C4F5B">
            <w:pPr>
              <w:jc w:val="center"/>
              <w:rPr>
                <w:color w:val="000000"/>
                <w:sz w:val="20"/>
                <w:szCs w:val="20"/>
              </w:rPr>
            </w:pPr>
            <w:r w:rsidRPr="00C65CAA">
              <w:rPr>
                <w:color w:val="000000"/>
                <w:sz w:val="20"/>
                <w:szCs w:val="20"/>
              </w:rPr>
              <w:t>2</w:t>
            </w:r>
          </w:p>
        </w:tc>
        <w:tc>
          <w:tcPr>
            <w:tcW w:w="782" w:type="pct"/>
            <w:shd w:val="clear" w:color="auto" w:fill="auto"/>
            <w:vAlign w:val="center"/>
            <w:hideMark/>
          </w:tcPr>
          <w:p w14:paraId="2424B6B4" w14:textId="77777777" w:rsidR="00CA5523" w:rsidRPr="00C65CAA" w:rsidRDefault="00CA5523" w:rsidP="006C4F5B">
            <w:pPr>
              <w:jc w:val="center"/>
              <w:rPr>
                <w:color w:val="000000"/>
                <w:sz w:val="20"/>
                <w:szCs w:val="20"/>
              </w:rPr>
            </w:pPr>
            <w:r w:rsidRPr="00C65CAA">
              <w:rPr>
                <w:color w:val="000000"/>
                <w:sz w:val="20"/>
                <w:szCs w:val="20"/>
              </w:rPr>
              <w:t>3</w:t>
            </w:r>
          </w:p>
        </w:tc>
        <w:tc>
          <w:tcPr>
            <w:tcW w:w="411" w:type="pct"/>
            <w:shd w:val="clear" w:color="auto" w:fill="auto"/>
            <w:vAlign w:val="center"/>
            <w:hideMark/>
          </w:tcPr>
          <w:p w14:paraId="2F81CD91" w14:textId="77777777" w:rsidR="00CA5523" w:rsidRPr="00C65CAA" w:rsidRDefault="00CA5523" w:rsidP="006C4F5B">
            <w:pPr>
              <w:jc w:val="center"/>
              <w:rPr>
                <w:color w:val="000000"/>
                <w:sz w:val="20"/>
                <w:szCs w:val="20"/>
              </w:rPr>
            </w:pPr>
            <w:r w:rsidRPr="00C65CAA">
              <w:rPr>
                <w:color w:val="000000"/>
                <w:sz w:val="20"/>
                <w:szCs w:val="20"/>
              </w:rPr>
              <w:t>3-2</w:t>
            </w:r>
          </w:p>
        </w:tc>
        <w:tc>
          <w:tcPr>
            <w:tcW w:w="396" w:type="pct"/>
            <w:shd w:val="clear" w:color="auto" w:fill="auto"/>
            <w:vAlign w:val="center"/>
            <w:hideMark/>
          </w:tcPr>
          <w:p w14:paraId="21B7F3AB" w14:textId="77777777" w:rsidR="00CA5523" w:rsidRPr="00C65CAA" w:rsidRDefault="00CA5523" w:rsidP="006C4F5B">
            <w:pPr>
              <w:jc w:val="center"/>
              <w:rPr>
                <w:color w:val="000000"/>
                <w:sz w:val="20"/>
                <w:szCs w:val="20"/>
              </w:rPr>
            </w:pPr>
            <w:r w:rsidRPr="00C65CAA">
              <w:rPr>
                <w:color w:val="000000"/>
                <w:sz w:val="20"/>
                <w:szCs w:val="20"/>
              </w:rPr>
              <w:t>3/2*100</w:t>
            </w:r>
          </w:p>
        </w:tc>
      </w:tr>
      <w:tr w:rsidR="00056BE0" w:rsidRPr="00C65CAA" w14:paraId="47E4F430" w14:textId="77777777" w:rsidTr="00840D58">
        <w:trPr>
          <w:trHeight w:val="20"/>
        </w:trPr>
        <w:tc>
          <w:tcPr>
            <w:tcW w:w="2142" w:type="pct"/>
            <w:shd w:val="clear" w:color="000000" w:fill="FFFFFF"/>
            <w:vAlign w:val="center"/>
            <w:hideMark/>
          </w:tcPr>
          <w:p w14:paraId="3DE8E93C" w14:textId="77777777" w:rsidR="00056BE0" w:rsidRPr="00C65CAA" w:rsidRDefault="00056BE0" w:rsidP="00056BE0">
            <w:pPr>
              <w:rPr>
                <w:b/>
                <w:bCs/>
                <w:color w:val="000000"/>
                <w:sz w:val="20"/>
                <w:szCs w:val="20"/>
              </w:rPr>
            </w:pPr>
            <w:r w:rsidRPr="00C65CAA">
              <w:rPr>
                <w:b/>
                <w:bCs/>
                <w:color w:val="000000"/>
                <w:sz w:val="20"/>
                <w:szCs w:val="20"/>
              </w:rPr>
              <w:t>Daňové príjmy ŠR bez sankcií</w:t>
            </w:r>
          </w:p>
        </w:tc>
        <w:tc>
          <w:tcPr>
            <w:tcW w:w="592" w:type="pct"/>
            <w:shd w:val="clear" w:color="000000" w:fill="FFFFFF"/>
            <w:vAlign w:val="center"/>
          </w:tcPr>
          <w:p w14:paraId="2B48893A" w14:textId="77777777" w:rsidR="00056BE0" w:rsidRPr="00056BE0" w:rsidRDefault="00056BE0" w:rsidP="00056BE0">
            <w:pPr>
              <w:jc w:val="right"/>
              <w:rPr>
                <w:rFonts w:cs="Arial"/>
                <w:b/>
                <w:sz w:val="20"/>
                <w:szCs w:val="20"/>
              </w:rPr>
            </w:pPr>
            <w:r w:rsidRPr="00056BE0">
              <w:rPr>
                <w:rFonts w:cs="Arial"/>
                <w:b/>
                <w:sz w:val="20"/>
                <w:szCs w:val="20"/>
              </w:rPr>
              <w:t>11 944 887</w:t>
            </w:r>
          </w:p>
        </w:tc>
        <w:tc>
          <w:tcPr>
            <w:tcW w:w="678" w:type="pct"/>
            <w:shd w:val="clear" w:color="000000" w:fill="FFFFFF"/>
            <w:vAlign w:val="center"/>
          </w:tcPr>
          <w:p w14:paraId="18C5352A" w14:textId="77777777" w:rsidR="00056BE0" w:rsidRPr="00056BE0" w:rsidRDefault="00056BE0" w:rsidP="00056BE0">
            <w:pPr>
              <w:jc w:val="right"/>
              <w:rPr>
                <w:rFonts w:cs="Arial"/>
                <w:b/>
                <w:sz w:val="20"/>
                <w:szCs w:val="20"/>
              </w:rPr>
            </w:pPr>
            <w:r w:rsidRPr="00056BE0">
              <w:rPr>
                <w:rFonts w:cs="Arial"/>
                <w:b/>
                <w:sz w:val="20"/>
                <w:szCs w:val="20"/>
              </w:rPr>
              <w:t>12 451 408</w:t>
            </w:r>
          </w:p>
        </w:tc>
        <w:tc>
          <w:tcPr>
            <w:tcW w:w="782" w:type="pct"/>
            <w:shd w:val="clear" w:color="000000" w:fill="FFFFFF"/>
            <w:vAlign w:val="center"/>
          </w:tcPr>
          <w:p w14:paraId="60953D7C" w14:textId="77777777" w:rsidR="00056BE0" w:rsidRPr="00056BE0" w:rsidRDefault="00056BE0" w:rsidP="00056BE0">
            <w:pPr>
              <w:jc w:val="right"/>
              <w:rPr>
                <w:rFonts w:cs="Arial"/>
                <w:b/>
                <w:sz w:val="20"/>
                <w:szCs w:val="20"/>
              </w:rPr>
            </w:pPr>
            <w:r w:rsidRPr="00056BE0">
              <w:rPr>
                <w:rFonts w:cs="Arial"/>
                <w:b/>
                <w:sz w:val="20"/>
                <w:szCs w:val="20"/>
              </w:rPr>
              <w:t>12 892 097</w:t>
            </w:r>
          </w:p>
        </w:tc>
        <w:tc>
          <w:tcPr>
            <w:tcW w:w="411" w:type="pct"/>
            <w:shd w:val="clear" w:color="000000" w:fill="FFFFFF"/>
            <w:vAlign w:val="center"/>
          </w:tcPr>
          <w:p w14:paraId="5864A4D9" w14:textId="77777777" w:rsidR="00056BE0" w:rsidRPr="00056BE0" w:rsidRDefault="00056BE0" w:rsidP="00056BE0">
            <w:pPr>
              <w:jc w:val="center"/>
              <w:rPr>
                <w:rFonts w:cs="Arial"/>
                <w:b/>
                <w:sz w:val="20"/>
                <w:szCs w:val="20"/>
              </w:rPr>
            </w:pPr>
            <w:r w:rsidRPr="00056BE0">
              <w:rPr>
                <w:rFonts w:cs="Arial"/>
                <w:b/>
                <w:sz w:val="20"/>
                <w:szCs w:val="20"/>
              </w:rPr>
              <w:t>440 689</w:t>
            </w:r>
          </w:p>
        </w:tc>
        <w:tc>
          <w:tcPr>
            <w:tcW w:w="396" w:type="pct"/>
            <w:shd w:val="clear" w:color="000000" w:fill="FFFFFF"/>
            <w:vAlign w:val="center"/>
          </w:tcPr>
          <w:p w14:paraId="2814FAC4" w14:textId="77777777" w:rsidR="00056BE0" w:rsidRPr="00056BE0" w:rsidRDefault="00056BE0" w:rsidP="00056BE0">
            <w:pPr>
              <w:jc w:val="right"/>
              <w:rPr>
                <w:rFonts w:cs="Arial"/>
                <w:b/>
                <w:sz w:val="20"/>
                <w:szCs w:val="20"/>
              </w:rPr>
            </w:pPr>
            <w:r w:rsidRPr="00056BE0">
              <w:rPr>
                <w:rFonts w:cs="Arial"/>
                <w:b/>
                <w:sz w:val="20"/>
                <w:szCs w:val="20"/>
              </w:rPr>
              <w:t>103,5</w:t>
            </w:r>
          </w:p>
        </w:tc>
      </w:tr>
      <w:tr w:rsidR="00056BE0" w:rsidRPr="00C65CAA" w14:paraId="4C41DBF8" w14:textId="77777777" w:rsidTr="00840D58">
        <w:trPr>
          <w:trHeight w:val="20"/>
        </w:trPr>
        <w:tc>
          <w:tcPr>
            <w:tcW w:w="2142" w:type="pct"/>
            <w:shd w:val="clear" w:color="000000" w:fill="FFFFFF"/>
            <w:vAlign w:val="center"/>
            <w:hideMark/>
          </w:tcPr>
          <w:p w14:paraId="3578BE1D" w14:textId="77777777" w:rsidR="00056BE0" w:rsidRPr="00C65CAA" w:rsidRDefault="00056BE0" w:rsidP="00056BE0">
            <w:pPr>
              <w:rPr>
                <w:b/>
                <w:bCs/>
                <w:color w:val="000000"/>
                <w:sz w:val="20"/>
                <w:szCs w:val="20"/>
              </w:rPr>
            </w:pPr>
            <w:r w:rsidRPr="00C65CAA">
              <w:rPr>
                <w:b/>
                <w:bCs/>
                <w:color w:val="000000"/>
                <w:sz w:val="20"/>
                <w:szCs w:val="20"/>
              </w:rPr>
              <w:t>Dane z príjmov a kapitálového majetku</w:t>
            </w:r>
          </w:p>
        </w:tc>
        <w:tc>
          <w:tcPr>
            <w:tcW w:w="592" w:type="pct"/>
            <w:shd w:val="clear" w:color="000000" w:fill="FFFFFF"/>
            <w:vAlign w:val="bottom"/>
          </w:tcPr>
          <w:p w14:paraId="74222EDB" w14:textId="77777777" w:rsidR="00056BE0" w:rsidRPr="00056BE0" w:rsidRDefault="00056BE0" w:rsidP="00056BE0">
            <w:pPr>
              <w:jc w:val="right"/>
              <w:rPr>
                <w:rFonts w:cs="Arial"/>
                <w:b/>
                <w:bCs/>
                <w:sz w:val="20"/>
                <w:szCs w:val="20"/>
              </w:rPr>
            </w:pPr>
            <w:r w:rsidRPr="00056BE0">
              <w:rPr>
                <w:rFonts w:cs="Arial"/>
                <w:b/>
                <w:bCs/>
                <w:sz w:val="20"/>
                <w:szCs w:val="20"/>
              </w:rPr>
              <w:t>3 011 024</w:t>
            </w:r>
          </w:p>
        </w:tc>
        <w:tc>
          <w:tcPr>
            <w:tcW w:w="678" w:type="pct"/>
            <w:shd w:val="clear" w:color="000000" w:fill="FFFFFF"/>
            <w:vAlign w:val="bottom"/>
          </w:tcPr>
          <w:p w14:paraId="5E6C7CF8" w14:textId="77777777" w:rsidR="00056BE0" w:rsidRPr="00056BE0" w:rsidRDefault="00056BE0" w:rsidP="00056BE0">
            <w:pPr>
              <w:jc w:val="right"/>
              <w:rPr>
                <w:rFonts w:cs="Arial"/>
                <w:b/>
                <w:sz w:val="20"/>
                <w:szCs w:val="20"/>
              </w:rPr>
            </w:pPr>
            <w:r w:rsidRPr="00056BE0">
              <w:rPr>
                <w:rFonts w:cs="Arial"/>
                <w:b/>
                <w:sz w:val="20"/>
                <w:szCs w:val="20"/>
              </w:rPr>
              <w:t>2 952 136</w:t>
            </w:r>
          </w:p>
        </w:tc>
        <w:tc>
          <w:tcPr>
            <w:tcW w:w="782" w:type="pct"/>
            <w:shd w:val="clear" w:color="000000" w:fill="FFFFFF"/>
            <w:vAlign w:val="bottom"/>
          </w:tcPr>
          <w:p w14:paraId="03032837" w14:textId="77777777" w:rsidR="00056BE0" w:rsidRPr="00056BE0" w:rsidRDefault="00056BE0" w:rsidP="00056BE0">
            <w:pPr>
              <w:jc w:val="right"/>
              <w:rPr>
                <w:rFonts w:cs="Arial"/>
                <w:b/>
                <w:sz w:val="20"/>
                <w:szCs w:val="20"/>
              </w:rPr>
            </w:pPr>
            <w:r w:rsidRPr="00056BE0">
              <w:rPr>
                <w:rFonts w:cs="Arial"/>
                <w:b/>
                <w:sz w:val="20"/>
                <w:szCs w:val="20"/>
              </w:rPr>
              <w:t>3 091 270</w:t>
            </w:r>
          </w:p>
        </w:tc>
        <w:tc>
          <w:tcPr>
            <w:tcW w:w="411" w:type="pct"/>
            <w:shd w:val="clear" w:color="000000" w:fill="FFFFFF"/>
            <w:vAlign w:val="bottom"/>
          </w:tcPr>
          <w:p w14:paraId="2B2A6B99" w14:textId="77777777" w:rsidR="00056BE0" w:rsidRPr="00056BE0" w:rsidRDefault="00056BE0" w:rsidP="00056BE0">
            <w:pPr>
              <w:jc w:val="right"/>
              <w:rPr>
                <w:rFonts w:cs="Arial"/>
                <w:b/>
                <w:sz w:val="20"/>
                <w:szCs w:val="20"/>
              </w:rPr>
            </w:pPr>
            <w:r w:rsidRPr="00056BE0">
              <w:rPr>
                <w:rFonts w:cs="Arial"/>
                <w:b/>
                <w:sz w:val="20"/>
                <w:szCs w:val="20"/>
              </w:rPr>
              <w:t>139 134</w:t>
            </w:r>
          </w:p>
        </w:tc>
        <w:tc>
          <w:tcPr>
            <w:tcW w:w="396" w:type="pct"/>
            <w:shd w:val="clear" w:color="000000" w:fill="FFFFFF"/>
            <w:vAlign w:val="bottom"/>
          </w:tcPr>
          <w:p w14:paraId="156E871B" w14:textId="77777777" w:rsidR="00056BE0" w:rsidRPr="00056BE0" w:rsidRDefault="00056BE0" w:rsidP="00056BE0">
            <w:pPr>
              <w:jc w:val="right"/>
              <w:rPr>
                <w:rFonts w:cs="Arial"/>
                <w:b/>
                <w:sz w:val="20"/>
                <w:szCs w:val="20"/>
              </w:rPr>
            </w:pPr>
            <w:r w:rsidRPr="00056BE0">
              <w:rPr>
                <w:rFonts w:cs="Arial"/>
                <w:b/>
                <w:sz w:val="20"/>
                <w:szCs w:val="20"/>
              </w:rPr>
              <w:t>104,7</w:t>
            </w:r>
          </w:p>
        </w:tc>
      </w:tr>
      <w:tr w:rsidR="00056BE0" w:rsidRPr="00C65CAA" w14:paraId="70B5B63E" w14:textId="77777777" w:rsidTr="00840D58">
        <w:trPr>
          <w:trHeight w:val="20"/>
        </w:trPr>
        <w:tc>
          <w:tcPr>
            <w:tcW w:w="2142" w:type="pct"/>
            <w:shd w:val="clear" w:color="000000" w:fill="FFFFFF"/>
            <w:vAlign w:val="center"/>
          </w:tcPr>
          <w:p w14:paraId="15A085AC" w14:textId="77777777" w:rsidR="00056BE0" w:rsidRPr="00C65CAA" w:rsidRDefault="00056BE0" w:rsidP="00056BE0">
            <w:pPr>
              <w:rPr>
                <w:color w:val="000000"/>
                <w:sz w:val="20"/>
                <w:szCs w:val="20"/>
              </w:rPr>
            </w:pPr>
            <w:r w:rsidRPr="00C65CAA">
              <w:rPr>
                <w:color w:val="000000"/>
                <w:sz w:val="20"/>
                <w:szCs w:val="20"/>
              </w:rPr>
              <w:t>v tom:</w:t>
            </w:r>
          </w:p>
        </w:tc>
        <w:tc>
          <w:tcPr>
            <w:tcW w:w="592" w:type="pct"/>
            <w:shd w:val="clear" w:color="000000" w:fill="FFFFFF"/>
            <w:vAlign w:val="bottom"/>
          </w:tcPr>
          <w:p w14:paraId="4A34E363" w14:textId="77777777" w:rsidR="00056BE0" w:rsidRPr="00056BE0" w:rsidRDefault="00056BE0" w:rsidP="00056BE0">
            <w:pPr>
              <w:rPr>
                <w:rFonts w:cs="Arial"/>
                <w:b/>
                <w:bCs/>
                <w:sz w:val="20"/>
                <w:szCs w:val="20"/>
              </w:rPr>
            </w:pPr>
            <w:r w:rsidRPr="00056BE0">
              <w:rPr>
                <w:rFonts w:cs="Arial"/>
                <w:b/>
                <w:bCs/>
                <w:sz w:val="20"/>
                <w:szCs w:val="20"/>
              </w:rPr>
              <w:t> </w:t>
            </w:r>
          </w:p>
        </w:tc>
        <w:tc>
          <w:tcPr>
            <w:tcW w:w="678" w:type="pct"/>
            <w:shd w:val="clear" w:color="000000" w:fill="FFFFFF"/>
            <w:vAlign w:val="bottom"/>
          </w:tcPr>
          <w:p w14:paraId="6A0426E0" w14:textId="77777777" w:rsidR="00056BE0" w:rsidRPr="00056BE0" w:rsidRDefault="00056BE0" w:rsidP="00056BE0">
            <w:pPr>
              <w:jc w:val="right"/>
              <w:rPr>
                <w:rFonts w:cs="Arial"/>
                <w:sz w:val="20"/>
                <w:szCs w:val="20"/>
              </w:rPr>
            </w:pPr>
            <w:r w:rsidRPr="00056BE0">
              <w:rPr>
                <w:rFonts w:cs="Arial"/>
                <w:sz w:val="20"/>
                <w:szCs w:val="20"/>
              </w:rPr>
              <w:t> </w:t>
            </w:r>
          </w:p>
        </w:tc>
        <w:tc>
          <w:tcPr>
            <w:tcW w:w="782" w:type="pct"/>
            <w:shd w:val="clear" w:color="000000" w:fill="FFFFFF"/>
            <w:vAlign w:val="bottom"/>
          </w:tcPr>
          <w:p w14:paraId="3C545E61" w14:textId="77777777" w:rsidR="00056BE0" w:rsidRPr="00056BE0" w:rsidRDefault="00056BE0" w:rsidP="00056BE0">
            <w:pPr>
              <w:jc w:val="right"/>
              <w:rPr>
                <w:rFonts w:cs="Arial"/>
                <w:sz w:val="20"/>
                <w:szCs w:val="20"/>
              </w:rPr>
            </w:pPr>
            <w:r w:rsidRPr="00056BE0">
              <w:rPr>
                <w:rFonts w:cs="Arial"/>
                <w:sz w:val="20"/>
                <w:szCs w:val="20"/>
              </w:rPr>
              <w:t> </w:t>
            </w:r>
          </w:p>
        </w:tc>
        <w:tc>
          <w:tcPr>
            <w:tcW w:w="411" w:type="pct"/>
            <w:shd w:val="clear" w:color="000000" w:fill="FFFFFF"/>
            <w:vAlign w:val="bottom"/>
          </w:tcPr>
          <w:p w14:paraId="0BB58483" w14:textId="77777777" w:rsidR="00056BE0" w:rsidRPr="00056BE0" w:rsidRDefault="00056BE0" w:rsidP="00056BE0">
            <w:pPr>
              <w:rPr>
                <w:rFonts w:cs="Arial"/>
                <w:sz w:val="20"/>
                <w:szCs w:val="20"/>
              </w:rPr>
            </w:pPr>
            <w:r w:rsidRPr="00056BE0">
              <w:rPr>
                <w:rFonts w:cs="Arial"/>
                <w:sz w:val="20"/>
                <w:szCs w:val="20"/>
              </w:rPr>
              <w:t> </w:t>
            </w:r>
          </w:p>
        </w:tc>
        <w:tc>
          <w:tcPr>
            <w:tcW w:w="396" w:type="pct"/>
            <w:shd w:val="clear" w:color="000000" w:fill="FFFFFF"/>
            <w:vAlign w:val="bottom"/>
          </w:tcPr>
          <w:p w14:paraId="4DA93DD3" w14:textId="77777777" w:rsidR="00056BE0" w:rsidRPr="00056BE0" w:rsidRDefault="00056BE0" w:rsidP="00056BE0">
            <w:pPr>
              <w:rPr>
                <w:rFonts w:cs="Arial"/>
                <w:sz w:val="20"/>
                <w:szCs w:val="20"/>
              </w:rPr>
            </w:pPr>
            <w:r w:rsidRPr="00056BE0">
              <w:rPr>
                <w:rFonts w:cs="Arial"/>
                <w:sz w:val="20"/>
                <w:szCs w:val="20"/>
              </w:rPr>
              <w:t> </w:t>
            </w:r>
          </w:p>
        </w:tc>
      </w:tr>
      <w:tr w:rsidR="00056BE0" w:rsidRPr="00C65CAA" w14:paraId="1308AD5A" w14:textId="77777777" w:rsidTr="00840D58">
        <w:trPr>
          <w:trHeight w:val="20"/>
        </w:trPr>
        <w:tc>
          <w:tcPr>
            <w:tcW w:w="2142" w:type="pct"/>
            <w:shd w:val="clear" w:color="000000" w:fill="FFFFFF"/>
            <w:vAlign w:val="center"/>
            <w:hideMark/>
          </w:tcPr>
          <w:p w14:paraId="061D6CA0" w14:textId="77777777" w:rsidR="00056BE0" w:rsidRPr="00C65CAA" w:rsidRDefault="00056BE0" w:rsidP="000A2429">
            <w:pPr>
              <w:pStyle w:val="Odsekzoznamu"/>
              <w:numPr>
                <w:ilvl w:val="0"/>
                <w:numId w:val="3"/>
              </w:numPr>
              <w:ind w:left="470" w:hanging="357"/>
              <w:rPr>
                <w:color w:val="000000"/>
                <w:sz w:val="20"/>
                <w:szCs w:val="20"/>
              </w:rPr>
            </w:pPr>
            <w:r w:rsidRPr="00C65CAA">
              <w:rPr>
                <w:color w:val="000000"/>
                <w:sz w:val="20"/>
                <w:szCs w:val="20"/>
              </w:rPr>
              <w:t xml:space="preserve">daň z príjmov fyzických osôb </w:t>
            </w:r>
          </w:p>
        </w:tc>
        <w:tc>
          <w:tcPr>
            <w:tcW w:w="592" w:type="pct"/>
            <w:shd w:val="clear" w:color="000000" w:fill="FFFFFF"/>
            <w:vAlign w:val="bottom"/>
          </w:tcPr>
          <w:p w14:paraId="31DCF298" w14:textId="77777777" w:rsidR="00056BE0" w:rsidRPr="00056BE0" w:rsidRDefault="00056BE0" w:rsidP="00056BE0">
            <w:pPr>
              <w:jc w:val="right"/>
              <w:rPr>
                <w:rFonts w:cs="Arial"/>
                <w:sz w:val="20"/>
                <w:szCs w:val="20"/>
              </w:rPr>
            </w:pPr>
            <w:r w:rsidRPr="00056BE0">
              <w:rPr>
                <w:rFonts w:cs="Arial"/>
                <w:sz w:val="20"/>
                <w:szCs w:val="20"/>
              </w:rPr>
              <w:t>5 919</w:t>
            </w:r>
          </w:p>
        </w:tc>
        <w:tc>
          <w:tcPr>
            <w:tcW w:w="678" w:type="pct"/>
            <w:shd w:val="clear" w:color="000000" w:fill="FFFFFF"/>
            <w:vAlign w:val="bottom"/>
          </w:tcPr>
          <w:p w14:paraId="04537B1A" w14:textId="77777777" w:rsidR="00056BE0" w:rsidRPr="00056BE0" w:rsidRDefault="00056BE0" w:rsidP="00056BE0">
            <w:pPr>
              <w:jc w:val="right"/>
              <w:rPr>
                <w:rFonts w:cs="Arial"/>
                <w:sz w:val="20"/>
                <w:szCs w:val="20"/>
              </w:rPr>
            </w:pPr>
            <w:r w:rsidRPr="00056BE0">
              <w:rPr>
                <w:rFonts w:cs="Arial"/>
                <w:sz w:val="20"/>
                <w:szCs w:val="20"/>
              </w:rPr>
              <w:t>-16 794</w:t>
            </w:r>
          </w:p>
        </w:tc>
        <w:tc>
          <w:tcPr>
            <w:tcW w:w="782" w:type="pct"/>
            <w:shd w:val="clear" w:color="000000" w:fill="FFFFFF"/>
            <w:vAlign w:val="bottom"/>
          </w:tcPr>
          <w:p w14:paraId="11A64BAC" w14:textId="77777777" w:rsidR="00056BE0" w:rsidRPr="00056BE0" w:rsidRDefault="00056BE0" w:rsidP="00056BE0">
            <w:pPr>
              <w:jc w:val="right"/>
              <w:rPr>
                <w:rFonts w:cs="Arial"/>
                <w:sz w:val="20"/>
                <w:szCs w:val="20"/>
              </w:rPr>
            </w:pPr>
            <w:r w:rsidRPr="00056BE0">
              <w:rPr>
                <w:rFonts w:cs="Arial"/>
                <w:sz w:val="20"/>
                <w:szCs w:val="20"/>
              </w:rPr>
              <w:t>-25 657</w:t>
            </w:r>
          </w:p>
        </w:tc>
        <w:tc>
          <w:tcPr>
            <w:tcW w:w="411" w:type="pct"/>
            <w:shd w:val="clear" w:color="000000" w:fill="FFFFFF"/>
            <w:vAlign w:val="bottom"/>
          </w:tcPr>
          <w:p w14:paraId="33B1B3F1" w14:textId="77777777" w:rsidR="00056BE0" w:rsidRPr="00056BE0" w:rsidRDefault="00056BE0" w:rsidP="00056BE0">
            <w:pPr>
              <w:jc w:val="right"/>
              <w:rPr>
                <w:rFonts w:cs="Arial"/>
                <w:sz w:val="20"/>
                <w:szCs w:val="20"/>
              </w:rPr>
            </w:pPr>
            <w:r w:rsidRPr="00056BE0">
              <w:rPr>
                <w:rFonts w:cs="Arial"/>
                <w:sz w:val="20"/>
                <w:szCs w:val="20"/>
              </w:rPr>
              <w:t>-8 863</w:t>
            </w:r>
          </w:p>
        </w:tc>
        <w:tc>
          <w:tcPr>
            <w:tcW w:w="396" w:type="pct"/>
            <w:shd w:val="clear" w:color="000000" w:fill="FFFFFF"/>
            <w:vAlign w:val="bottom"/>
          </w:tcPr>
          <w:p w14:paraId="4350EFB4" w14:textId="77777777" w:rsidR="00056BE0" w:rsidRPr="00056BE0" w:rsidRDefault="00056BE0" w:rsidP="00056BE0">
            <w:pPr>
              <w:jc w:val="right"/>
              <w:rPr>
                <w:rFonts w:cs="Arial"/>
                <w:sz w:val="20"/>
                <w:szCs w:val="20"/>
              </w:rPr>
            </w:pPr>
            <w:r w:rsidRPr="00056BE0">
              <w:rPr>
                <w:rFonts w:cs="Arial"/>
                <w:sz w:val="20"/>
                <w:szCs w:val="20"/>
              </w:rPr>
              <w:t>152,8</w:t>
            </w:r>
          </w:p>
        </w:tc>
      </w:tr>
      <w:tr w:rsidR="00056BE0" w:rsidRPr="00C65CAA" w14:paraId="5CD004B8" w14:textId="77777777" w:rsidTr="00840D58">
        <w:trPr>
          <w:trHeight w:val="20"/>
        </w:trPr>
        <w:tc>
          <w:tcPr>
            <w:tcW w:w="2142" w:type="pct"/>
            <w:shd w:val="clear" w:color="000000" w:fill="FFFFFF"/>
            <w:vAlign w:val="center"/>
            <w:hideMark/>
          </w:tcPr>
          <w:p w14:paraId="4EEF0AD2" w14:textId="77777777" w:rsidR="00056BE0" w:rsidRPr="00C65CAA" w:rsidRDefault="00056BE0" w:rsidP="000A2429">
            <w:pPr>
              <w:pStyle w:val="Odsekzoznamu"/>
              <w:numPr>
                <w:ilvl w:val="0"/>
                <w:numId w:val="3"/>
              </w:numPr>
              <w:ind w:left="470" w:hanging="357"/>
              <w:rPr>
                <w:color w:val="000000"/>
                <w:sz w:val="20"/>
                <w:szCs w:val="20"/>
              </w:rPr>
            </w:pPr>
            <w:r w:rsidRPr="00C65CAA">
              <w:rPr>
                <w:color w:val="000000"/>
                <w:sz w:val="20"/>
                <w:szCs w:val="20"/>
              </w:rPr>
              <w:t xml:space="preserve">daň z príjmov právnických osôb </w:t>
            </w:r>
          </w:p>
        </w:tc>
        <w:tc>
          <w:tcPr>
            <w:tcW w:w="592" w:type="pct"/>
            <w:shd w:val="clear" w:color="000000" w:fill="FFFFFF"/>
            <w:vAlign w:val="bottom"/>
          </w:tcPr>
          <w:p w14:paraId="437EEBD0" w14:textId="77777777" w:rsidR="00056BE0" w:rsidRPr="00056BE0" w:rsidRDefault="00056BE0" w:rsidP="00056BE0">
            <w:pPr>
              <w:jc w:val="right"/>
              <w:rPr>
                <w:rFonts w:cs="Arial"/>
                <w:sz w:val="20"/>
                <w:szCs w:val="20"/>
              </w:rPr>
            </w:pPr>
            <w:r w:rsidRPr="00056BE0">
              <w:rPr>
                <w:rFonts w:cs="Arial"/>
                <w:sz w:val="20"/>
                <w:szCs w:val="20"/>
              </w:rPr>
              <w:t>2 795 935</w:t>
            </w:r>
          </w:p>
        </w:tc>
        <w:tc>
          <w:tcPr>
            <w:tcW w:w="678" w:type="pct"/>
            <w:shd w:val="clear" w:color="000000" w:fill="FFFFFF"/>
            <w:vAlign w:val="bottom"/>
          </w:tcPr>
          <w:p w14:paraId="77295603" w14:textId="77777777" w:rsidR="00056BE0" w:rsidRPr="00056BE0" w:rsidRDefault="00056BE0" w:rsidP="00056BE0">
            <w:pPr>
              <w:jc w:val="right"/>
              <w:rPr>
                <w:rFonts w:cs="Arial"/>
                <w:sz w:val="20"/>
                <w:szCs w:val="20"/>
              </w:rPr>
            </w:pPr>
            <w:r w:rsidRPr="00056BE0">
              <w:rPr>
                <w:rFonts w:cs="Arial"/>
                <w:sz w:val="20"/>
                <w:szCs w:val="20"/>
              </w:rPr>
              <w:t>2 733 291</w:t>
            </w:r>
          </w:p>
        </w:tc>
        <w:tc>
          <w:tcPr>
            <w:tcW w:w="782" w:type="pct"/>
            <w:shd w:val="clear" w:color="000000" w:fill="FFFFFF"/>
            <w:vAlign w:val="bottom"/>
          </w:tcPr>
          <w:p w14:paraId="07D5ADED" w14:textId="77777777" w:rsidR="00056BE0" w:rsidRPr="00056BE0" w:rsidRDefault="00056BE0" w:rsidP="00056BE0">
            <w:pPr>
              <w:jc w:val="right"/>
              <w:rPr>
                <w:rFonts w:cs="Arial"/>
                <w:sz w:val="20"/>
                <w:szCs w:val="20"/>
              </w:rPr>
            </w:pPr>
            <w:r w:rsidRPr="00056BE0">
              <w:rPr>
                <w:rFonts w:cs="Arial"/>
                <w:sz w:val="20"/>
                <w:szCs w:val="20"/>
              </w:rPr>
              <w:t>2 860 647</w:t>
            </w:r>
          </w:p>
        </w:tc>
        <w:tc>
          <w:tcPr>
            <w:tcW w:w="411" w:type="pct"/>
            <w:shd w:val="clear" w:color="000000" w:fill="FFFFFF"/>
            <w:vAlign w:val="bottom"/>
          </w:tcPr>
          <w:p w14:paraId="2B7E01E4" w14:textId="77777777" w:rsidR="00056BE0" w:rsidRPr="00056BE0" w:rsidRDefault="00056BE0" w:rsidP="00056BE0">
            <w:pPr>
              <w:jc w:val="right"/>
              <w:rPr>
                <w:rFonts w:cs="Arial"/>
                <w:sz w:val="20"/>
                <w:szCs w:val="20"/>
              </w:rPr>
            </w:pPr>
            <w:r w:rsidRPr="00056BE0">
              <w:rPr>
                <w:rFonts w:cs="Arial"/>
                <w:sz w:val="20"/>
                <w:szCs w:val="20"/>
              </w:rPr>
              <w:t>127 356</w:t>
            </w:r>
          </w:p>
        </w:tc>
        <w:tc>
          <w:tcPr>
            <w:tcW w:w="396" w:type="pct"/>
            <w:shd w:val="clear" w:color="000000" w:fill="FFFFFF"/>
            <w:vAlign w:val="bottom"/>
          </w:tcPr>
          <w:p w14:paraId="1C1B426D" w14:textId="77777777" w:rsidR="00056BE0" w:rsidRPr="00056BE0" w:rsidRDefault="00056BE0" w:rsidP="00056BE0">
            <w:pPr>
              <w:jc w:val="right"/>
              <w:rPr>
                <w:rFonts w:cs="Arial"/>
                <w:sz w:val="20"/>
                <w:szCs w:val="20"/>
              </w:rPr>
            </w:pPr>
            <w:r w:rsidRPr="00056BE0">
              <w:rPr>
                <w:rFonts w:cs="Arial"/>
                <w:sz w:val="20"/>
                <w:szCs w:val="20"/>
              </w:rPr>
              <w:t>104,7</w:t>
            </w:r>
          </w:p>
        </w:tc>
      </w:tr>
      <w:tr w:rsidR="00056BE0" w:rsidRPr="00C65CAA" w14:paraId="3664C7AE" w14:textId="77777777" w:rsidTr="00840D58">
        <w:trPr>
          <w:trHeight w:val="20"/>
        </w:trPr>
        <w:tc>
          <w:tcPr>
            <w:tcW w:w="2142" w:type="pct"/>
            <w:shd w:val="clear" w:color="000000" w:fill="FFFFFF"/>
            <w:vAlign w:val="center"/>
            <w:hideMark/>
          </w:tcPr>
          <w:p w14:paraId="3351FEBB" w14:textId="77777777" w:rsidR="00056BE0" w:rsidRPr="00C65CAA" w:rsidRDefault="00056BE0" w:rsidP="000A2429">
            <w:pPr>
              <w:pStyle w:val="Odsekzoznamu"/>
              <w:numPr>
                <w:ilvl w:val="0"/>
                <w:numId w:val="3"/>
              </w:numPr>
              <w:ind w:left="470" w:hanging="357"/>
              <w:rPr>
                <w:color w:val="000000"/>
                <w:sz w:val="20"/>
                <w:szCs w:val="20"/>
              </w:rPr>
            </w:pPr>
            <w:r w:rsidRPr="00C65CAA">
              <w:rPr>
                <w:color w:val="000000"/>
                <w:sz w:val="20"/>
                <w:szCs w:val="20"/>
              </w:rPr>
              <w:t>daň z príjmov vyberaná zrážkou</w:t>
            </w:r>
          </w:p>
        </w:tc>
        <w:tc>
          <w:tcPr>
            <w:tcW w:w="592" w:type="pct"/>
            <w:shd w:val="clear" w:color="000000" w:fill="FFFFFF"/>
            <w:vAlign w:val="bottom"/>
          </w:tcPr>
          <w:p w14:paraId="6BA61762" w14:textId="77777777" w:rsidR="00056BE0" w:rsidRPr="00056BE0" w:rsidRDefault="00056BE0" w:rsidP="00056BE0">
            <w:pPr>
              <w:jc w:val="right"/>
              <w:rPr>
                <w:rFonts w:cs="Arial"/>
                <w:sz w:val="20"/>
                <w:szCs w:val="20"/>
              </w:rPr>
            </w:pPr>
            <w:r w:rsidRPr="00056BE0">
              <w:rPr>
                <w:rFonts w:cs="Arial"/>
                <w:sz w:val="20"/>
                <w:szCs w:val="20"/>
              </w:rPr>
              <w:t>209 170</w:t>
            </w:r>
          </w:p>
        </w:tc>
        <w:tc>
          <w:tcPr>
            <w:tcW w:w="678" w:type="pct"/>
            <w:shd w:val="clear" w:color="000000" w:fill="FFFFFF"/>
            <w:vAlign w:val="bottom"/>
          </w:tcPr>
          <w:p w14:paraId="5DDC076E" w14:textId="77777777" w:rsidR="00056BE0" w:rsidRPr="00056BE0" w:rsidRDefault="00056BE0" w:rsidP="00056BE0">
            <w:pPr>
              <w:jc w:val="right"/>
              <w:rPr>
                <w:rFonts w:cs="Arial"/>
                <w:sz w:val="20"/>
                <w:szCs w:val="20"/>
              </w:rPr>
            </w:pPr>
            <w:r w:rsidRPr="00056BE0">
              <w:rPr>
                <w:rFonts w:cs="Arial"/>
                <w:sz w:val="20"/>
                <w:szCs w:val="20"/>
              </w:rPr>
              <w:t>235 639</w:t>
            </w:r>
          </w:p>
        </w:tc>
        <w:tc>
          <w:tcPr>
            <w:tcW w:w="782" w:type="pct"/>
            <w:shd w:val="clear" w:color="000000" w:fill="FFFFFF"/>
            <w:vAlign w:val="bottom"/>
          </w:tcPr>
          <w:p w14:paraId="5D15F87A" w14:textId="77777777" w:rsidR="00056BE0" w:rsidRPr="00056BE0" w:rsidRDefault="00056BE0" w:rsidP="00056BE0">
            <w:pPr>
              <w:jc w:val="right"/>
              <w:rPr>
                <w:rFonts w:cs="Arial"/>
                <w:sz w:val="20"/>
                <w:szCs w:val="20"/>
              </w:rPr>
            </w:pPr>
            <w:r w:rsidRPr="00056BE0">
              <w:rPr>
                <w:rFonts w:cs="Arial"/>
                <w:sz w:val="20"/>
                <w:szCs w:val="20"/>
              </w:rPr>
              <w:t>256 280</w:t>
            </w:r>
          </w:p>
        </w:tc>
        <w:tc>
          <w:tcPr>
            <w:tcW w:w="411" w:type="pct"/>
            <w:shd w:val="clear" w:color="000000" w:fill="FFFFFF"/>
            <w:vAlign w:val="bottom"/>
          </w:tcPr>
          <w:p w14:paraId="2EEA4147" w14:textId="77777777" w:rsidR="00056BE0" w:rsidRPr="00056BE0" w:rsidRDefault="00056BE0" w:rsidP="00056BE0">
            <w:pPr>
              <w:jc w:val="right"/>
              <w:rPr>
                <w:rFonts w:cs="Arial"/>
                <w:sz w:val="20"/>
                <w:szCs w:val="20"/>
              </w:rPr>
            </w:pPr>
            <w:r w:rsidRPr="00056BE0">
              <w:rPr>
                <w:rFonts w:cs="Arial"/>
                <w:sz w:val="20"/>
                <w:szCs w:val="20"/>
              </w:rPr>
              <w:t>20 641</w:t>
            </w:r>
          </w:p>
        </w:tc>
        <w:tc>
          <w:tcPr>
            <w:tcW w:w="396" w:type="pct"/>
            <w:shd w:val="clear" w:color="000000" w:fill="FFFFFF"/>
            <w:vAlign w:val="bottom"/>
          </w:tcPr>
          <w:p w14:paraId="6BD71C47" w14:textId="77777777" w:rsidR="00056BE0" w:rsidRPr="00056BE0" w:rsidRDefault="00056BE0" w:rsidP="00056BE0">
            <w:pPr>
              <w:jc w:val="right"/>
              <w:rPr>
                <w:rFonts w:cs="Arial"/>
                <w:sz w:val="20"/>
                <w:szCs w:val="20"/>
              </w:rPr>
            </w:pPr>
            <w:r w:rsidRPr="00056BE0">
              <w:rPr>
                <w:rFonts w:cs="Arial"/>
                <w:sz w:val="20"/>
                <w:szCs w:val="20"/>
              </w:rPr>
              <w:t>108,8</w:t>
            </w:r>
          </w:p>
        </w:tc>
      </w:tr>
      <w:tr w:rsidR="00056BE0" w:rsidRPr="00C65CAA" w14:paraId="3718F403" w14:textId="77777777" w:rsidTr="00840D58">
        <w:trPr>
          <w:trHeight w:val="20"/>
        </w:trPr>
        <w:tc>
          <w:tcPr>
            <w:tcW w:w="2142" w:type="pct"/>
            <w:shd w:val="clear" w:color="000000" w:fill="FFFFFF"/>
            <w:vAlign w:val="center"/>
          </w:tcPr>
          <w:p w14:paraId="534D29AA" w14:textId="77777777" w:rsidR="00056BE0" w:rsidRPr="00C65CAA" w:rsidRDefault="00056BE0" w:rsidP="00056BE0">
            <w:pPr>
              <w:rPr>
                <w:b/>
                <w:bCs/>
                <w:color w:val="000000"/>
                <w:sz w:val="20"/>
                <w:szCs w:val="20"/>
              </w:rPr>
            </w:pPr>
            <w:r w:rsidRPr="00C65CAA">
              <w:rPr>
                <w:b/>
                <w:bCs/>
                <w:color w:val="000000"/>
                <w:sz w:val="20"/>
                <w:szCs w:val="20"/>
              </w:rPr>
              <w:t>Dane z majetku</w:t>
            </w:r>
          </w:p>
        </w:tc>
        <w:tc>
          <w:tcPr>
            <w:tcW w:w="592" w:type="pct"/>
            <w:shd w:val="clear" w:color="000000" w:fill="FFFFFF"/>
            <w:vAlign w:val="bottom"/>
          </w:tcPr>
          <w:p w14:paraId="52443539" w14:textId="77777777" w:rsidR="00056BE0" w:rsidRPr="00056BE0" w:rsidRDefault="00056BE0" w:rsidP="00056BE0">
            <w:pPr>
              <w:jc w:val="right"/>
              <w:rPr>
                <w:rFonts w:cs="Arial"/>
                <w:b/>
                <w:bCs/>
                <w:sz w:val="20"/>
                <w:szCs w:val="20"/>
              </w:rPr>
            </w:pPr>
            <w:r w:rsidRPr="00056BE0">
              <w:rPr>
                <w:rFonts w:cs="Arial"/>
                <w:b/>
                <w:bCs/>
                <w:sz w:val="20"/>
                <w:szCs w:val="20"/>
              </w:rPr>
              <w:t>14</w:t>
            </w:r>
          </w:p>
        </w:tc>
        <w:tc>
          <w:tcPr>
            <w:tcW w:w="678" w:type="pct"/>
            <w:shd w:val="clear" w:color="000000" w:fill="FFFFFF"/>
            <w:vAlign w:val="bottom"/>
          </w:tcPr>
          <w:p w14:paraId="1DBABD13" w14:textId="77777777" w:rsidR="00056BE0" w:rsidRPr="00056BE0" w:rsidRDefault="00056BE0" w:rsidP="00056BE0">
            <w:pPr>
              <w:jc w:val="right"/>
              <w:rPr>
                <w:rFonts w:cs="Arial"/>
                <w:b/>
                <w:sz w:val="20"/>
                <w:szCs w:val="20"/>
              </w:rPr>
            </w:pPr>
            <w:r w:rsidRPr="00056BE0">
              <w:rPr>
                <w:rFonts w:cs="Arial"/>
                <w:b/>
                <w:sz w:val="20"/>
                <w:szCs w:val="20"/>
              </w:rPr>
              <w:t>0</w:t>
            </w:r>
          </w:p>
        </w:tc>
        <w:tc>
          <w:tcPr>
            <w:tcW w:w="782" w:type="pct"/>
            <w:shd w:val="clear" w:color="000000" w:fill="FFFFFF"/>
            <w:vAlign w:val="bottom"/>
          </w:tcPr>
          <w:p w14:paraId="1FF454ED" w14:textId="77777777" w:rsidR="00056BE0" w:rsidRPr="00056BE0" w:rsidRDefault="00056BE0" w:rsidP="00056BE0">
            <w:pPr>
              <w:jc w:val="right"/>
              <w:rPr>
                <w:rFonts w:cs="Arial"/>
                <w:b/>
                <w:sz w:val="20"/>
                <w:szCs w:val="20"/>
              </w:rPr>
            </w:pPr>
            <w:r w:rsidRPr="00056BE0">
              <w:rPr>
                <w:rFonts w:cs="Arial"/>
                <w:b/>
                <w:sz w:val="20"/>
                <w:szCs w:val="20"/>
              </w:rPr>
              <w:t>0</w:t>
            </w:r>
          </w:p>
        </w:tc>
        <w:tc>
          <w:tcPr>
            <w:tcW w:w="411" w:type="pct"/>
            <w:shd w:val="clear" w:color="000000" w:fill="FFFFFF"/>
            <w:vAlign w:val="bottom"/>
          </w:tcPr>
          <w:p w14:paraId="7B6AC576" w14:textId="77777777" w:rsidR="00056BE0" w:rsidRPr="00056BE0" w:rsidRDefault="00056BE0" w:rsidP="00056BE0">
            <w:pPr>
              <w:jc w:val="right"/>
              <w:rPr>
                <w:rFonts w:cs="Arial"/>
                <w:b/>
                <w:sz w:val="20"/>
                <w:szCs w:val="20"/>
              </w:rPr>
            </w:pPr>
            <w:r w:rsidRPr="00056BE0">
              <w:rPr>
                <w:rFonts w:cs="Arial"/>
                <w:b/>
                <w:sz w:val="20"/>
                <w:szCs w:val="20"/>
              </w:rPr>
              <w:t>0</w:t>
            </w:r>
          </w:p>
        </w:tc>
        <w:tc>
          <w:tcPr>
            <w:tcW w:w="396" w:type="pct"/>
            <w:shd w:val="clear" w:color="000000" w:fill="FFFFFF"/>
            <w:vAlign w:val="bottom"/>
          </w:tcPr>
          <w:p w14:paraId="4A263701" w14:textId="77777777" w:rsidR="00056BE0" w:rsidRPr="00056BE0" w:rsidRDefault="00056BE0" w:rsidP="00056BE0">
            <w:pPr>
              <w:jc w:val="center"/>
              <w:rPr>
                <w:rFonts w:cs="Arial"/>
                <w:b/>
                <w:sz w:val="20"/>
                <w:szCs w:val="20"/>
              </w:rPr>
            </w:pPr>
            <w:r w:rsidRPr="00056BE0">
              <w:rPr>
                <w:rFonts w:cs="Arial"/>
                <w:b/>
                <w:sz w:val="20"/>
                <w:szCs w:val="20"/>
              </w:rPr>
              <w:t>-</w:t>
            </w:r>
          </w:p>
        </w:tc>
      </w:tr>
      <w:tr w:rsidR="00056BE0" w:rsidRPr="00C65CAA" w14:paraId="5CA0FC0E" w14:textId="77777777" w:rsidTr="00840D58">
        <w:trPr>
          <w:trHeight w:val="20"/>
        </w:trPr>
        <w:tc>
          <w:tcPr>
            <w:tcW w:w="2142" w:type="pct"/>
            <w:shd w:val="clear" w:color="000000" w:fill="FFFFFF"/>
            <w:vAlign w:val="center"/>
            <w:hideMark/>
          </w:tcPr>
          <w:p w14:paraId="5355D7FA" w14:textId="77777777" w:rsidR="00056BE0" w:rsidRPr="00C65CAA" w:rsidRDefault="00056BE0" w:rsidP="00056BE0">
            <w:pPr>
              <w:rPr>
                <w:b/>
                <w:bCs/>
                <w:color w:val="000000"/>
                <w:sz w:val="20"/>
                <w:szCs w:val="20"/>
              </w:rPr>
            </w:pPr>
            <w:r w:rsidRPr="00C65CAA">
              <w:rPr>
                <w:b/>
                <w:bCs/>
                <w:color w:val="000000"/>
                <w:sz w:val="20"/>
                <w:szCs w:val="20"/>
              </w:rPr>
              <w:t>Dane za tovary a služby</w:t>
            </w:r>
          </w:p>
        </w:tc>
        <w:tc>
          <w:tcPr>
            <w:tcW w:w="592" w:type="pct"/>
            <w:shd w:val="clear" w:color="000000" w:fill="FFFFFF"/>
            <w:vAlign w:val="bottom"/>
          </w:tcPr>
          <w:p w14:paraId="1F4B7733" w14:textId="77777777" w:rsidR="00056BE0" w:rsidRPr="00056BE0" w:rsidRDefault="00056BE0" w:rsidP="00056BE0">
            <w:pPr>
              <w:jc w:val="right"/>
              <w:rPr>
                <w:rFonts w:cs="Arial"/>
                <w:b/>
                <w:bCs/>
                <w:sz w:val="20"/>
                <w:szCs w:val="20"/>
              </w:rPr>
            </w:pPr>
            <w:r w:rsidRPr="00056BE0">
              <w:rPr>
                <w:rFonts w:cs="Arial"/>
                <w:b/>
                <w:bCs/>
                <w:sz w:val="20"/>
                <w:szCs w:val="20"/>
              </w:rPr>
              <w:t>8 919 316</w:t>
            </w:r>
          </w:p>
        </w:tc>
        <w:tc>
          <w:tcPr>
            <w:tcW w:w="678" w:type="pct"/>
            <w:shd w:val="clear" w:color="000000" w:fill="FFFFFF"/>
            <w:vAlign w:val="bottom"/>
          </w:tcPr>
          <w:p w14:paraId="2D28B027" w14:textId="77777777" w:rsidR="00056BE0" w:rsidRPr="00056BE0" w:rsidRDefault="00056BE0" w:rsidP="00056BE0">
            <w:pPr>
              <w:jc w:val="right"/>
              <w:rPr>
                <w:rFonts w:cs="Arial"/>
                <w:b/>
                <w:sz w:val="20"/>
                <w:szCs w:val="20"/>
              </w:rPr>
            </w:pPr>
            <w:r w:rsidRPr="00056BE0">
              <w:rPr>
                <w:rFonts w:cs="Arial"/>
                <w:b/>
                <w:sz w:val="20"/>
                <w:szCs w:val="20"/>
              </w:rPr>
              <w:t>9 275 251</w:t>
            </w:r>
          </w:p>
        </w:tc>
        <w:tc>
          <w:tcPr>
            <w:tcW w:w="782" w:type="pct"/>
            <w:shd w:val="clear" w:color="000000" w:fill="FFFFFF"/>
            <w:vAlign w:val="bottom"/>
          </w:tcPr>
          <w:p w14:paraId="0CFA8CBB" w14:textId="77777777" w:rsidR="00056BE0" w:rsidRPr="00056BE0" w:rsidRDefault="00056BE0" w:rsidP="00056BE0">
            <w:pPr>
              <w:jc w:val="right"/>
              <w:rPr>
                <w:rFonts w:cs="Arial"/>
                <w:b/>
                <w:sz w:val="20"/>
                <w:szCs w:val="20"/>
              </w:rPr>
            </w:pPr>
            <w:r w:rsidRPr="00056BE0">
              <w:rPr>
                <w:rFonts w:cs="Arial"/>
                <w:b/>
                <w:sz w:val="20"/>
                <w:szCs w:val="20"/>
              </w:rPr>
              <w:t>9 596 538</w:t>
            </w:r>
          </w:p>
        </w:tc>
        <w:tc>
          <w:tcPr>
            <w:tcW w:w="411" w:type="pct"/>
            <w:shd w:val="clear" w:color="000000" w:fill="FFFFFF"/>
            <w:vAlign w:val="bottom"/>
          </w:tcPr>
          <w:p w14:paraId="02F59D22" w14:textId="77777777" w:rsidR="00056BE0" w:rsidRPr="00056BE0" w:rsidRDefault="00056BE0" w:rsidP="00056BE0">
            <w:pPr>
              <w:jc w:val="right"/>
              <w:rPr>
                <w:rFonts w:cs="Arial"/>
                <w:b/>
                <w:sz w:val="20"/>
                <w:szCs w:val="20"/>
              </w:rPr>
            </w:pPr>
            <w:r w:rsidRPr="00056BE0">
              <w:rPr>
                <w:rFonts w:cs="Arial"/>
                <w:b/>
                <w:sz w:val="20"/>
                <w:szCs w:val="20"/>
              </w:rPr>
              <w:t>321 287</w:t>
            </w:r>
          </w:p>
        </w:tc>
        <w:tc>
          <w:tcPr>
            <w:tcW w:w="396" w:type="pct"/>
            <w:shd w:val="clear" w:color="000000" w:fill="FFFFFF"/>
            <w:vAlign w:val="bottom"/>
          </w:tcPr>
          <w:p w14:paraId="2399C17F" w14:textId="77777777" w:rsidR="00056BE0" w:rsidRPr="00056BE0" w:rsidRDefault="00056BE0" w:rsidP="00056BE0">
            <w:pPr>
              <w:jc w:val="right"/>
              <w:rPr>
                <w:rFonts w:cs="Arial"/>
                <w:b/>
                <w:sz w:val="20"/>
                <w:szCs w:val="20"/>
              </w:rPr>
            </w:pPr>
            <w:r w:rsidRPr="00056BE0">
              <w:rPr>
                <w:rFonts w:cs="Arial"/>
                <w:b/>
                <w:sz w:val="20"/>
                <w:szCs w:val="20"/>
              </w:rPr>
              <w:t>103,5</w:t>
            </w:r>
          </w:p>
        </w:tc>
      </w:tr>
      <w:tr w:rsidR="00056BE0" w:rsidRPr="00C65CAA" w14:paraId="53535555" w14:textId="77777777" w:rsidTr="00840D58">
        <w:trPr>
          <w:trHeight w:val="20"/>
        </w:trPr>
        <w:tc>
          <w:tcPr>
            <w:tcW w:w="2142" w:type="pct"/>
            <w:shd w:val="clear" w:color="000000" w:fill="FFFFFF"/>
            <w:vAlign w:val="center"/>
          </w:tcPr>
          <w:p w14:paraId="26F28A8A" w14:textId="77777777" w:rsidR="00056BE0" w:rsidRPr="00C65CAA" w:rsidRDefault="00056BE0" w:rsidP="00056BE0">
            <w:pPr>
              <w:rPr>
                <w:color w:val="000000"/>
                <w:sz w:val="20"/>
                <w:szCs w:val="20"/>
              </w:rPr>
            </w:pPr>
            <w:r w:rsidRPr="00C65CAA">
              <w:rPr>
                <w:color w:val="000000"/>
                <w:sz w:val="20"/>
                <w:szCs w:val="20"/>
              </w:rPr>
              <w:t>z toho:</w:t>
            </w:r>
          </w:p>
        </w:tc>
        <w:tc>
          <w:tcPr>
            <w:tcW w:w="592" w:type="pct"/>
            <w:shd w:val="clear" w:color="000000" w:fill="FFFFFF"/>
            <w:vAlign w:val="bottom"/>
          </w:tcPr>
          <w:p w14:paraId="41B9A7B9" w14:textId="77777777" w:rsidR="00056BE0" w:rsidRPr="00056BE0" w:rsidRDefault="00056BE0" w:rsidP="00056BE0">
            <w:pPr>
              <w:rPr>
                <w:rFonts w:cs="Arial"/>
                <w:b/>
                <w:bCs/>
                <w:sz w:val="20"/>
                <w:szCs w:val="20"/>
              </w:rPr>
            </w:pPr>
            <w:r w:rsidRPr="00056BE0">
              <w:rPr>
                <w:rFonts w:cs="Arial"/>
                <w:b/>
                <w:bCs/>
                <w:sz w:val="20"/>
                <w:szCs w:val="20"/>
              </w:rPr>
              <w:t> </w:t>
            </w:r>
          </w:p>
        </w:tc>
        <w:tc>
          <w:tcPr>
            <w:tcW w:w="678" w:type="pct"/>
            <w:shd w:val="clear" w:color="000000" w:fill="FFFFFF"/>
            <w:vAlign w:val="bottom"/>
          </w:tcPr>
          <w:p w14:paraId="0A644B03" w14:textId="77777777" w:rsidR="00056BE0" w:rsidRPr="00056BE0" w:rsidRDefault="00056BE0" w:rsidP="00056BE0">
            <w:pPr>
              <w:jc w:val="right"/>
              <w:rPr>
                <w:rFonts w:cs="Arial"/>
                <w:sz w:val="20"/>
                <w:szCs w:val="20"/>
              </w:rPr>
            </w:pPr>
            <w:r w:rsidRPr="00056BE0">
              <w:rPr>
                <w:rFonts w:cs="Arial"/>
                <w:sz w:val="20"/>
                <w:szCs w:val="20"/>
              </w:rPr>
              <w:t> </w:t>
            </w:r>
          </w:p>
        </w:tc>
        <w:tc>
          <w:tcPr>
            <w:tcW w:w="782" w:type="pct"/>
            <w:shd w:val="clear" w:color="000000" w:fill="FFFFFF"/>
            <w:vAlign w:val="bottom"/>
          </w:tcPr>
          <w:p w14:paraId="449E6DA8" w14:textId="77777777" w:rsidR="00056BE0" w:rsidRPr="00056BE0" w:rsidRDefault="00056BE0" w:rsidP="00056BE0">
            <w:pPr>
              <w:jc w:val="right"/>
              <w:rPr>
                <w:rFonts w:cs="Arial"/>
                <w:sz w:val="20"/>
                <w:szCs w:val="20"/>
              </w:rPr>
            </w:pPr>
            <w:r w:rsidRPr="00056BE0">
              <w:rPr>
                <w:rFonts w:cs="Arial"/>
                <w:sz w:val="20"/>
                <w:szCs w:val="20"/>
              </w:rPr>
              <w:t> </w:t>
            </w:r>
          </w:p>
        </w:tc>
        <w:tc>
          <w:tcPr>
            <w:tcW w:w="411" w:type="pct"/>
            <w:shd w:val="clear" w:color="000000" w:fill="FFFFFF"/>
            <w:vAlign w:val="bottom"/>
          </w:tcPr>
          <w:p w14:paraId="0CE1AF62" w14:textId="77777777" w:rsidR="00056BE0" w:rsidRPr="00056BE0" w:rsidRDefault="00056BE0" w:rsidP="00056BE0">
            <w:pPr>
              <w:rPr>
                <w:rFonts w:cs="Arial"/>
                <w:sz w:val="20"/>
                <w:szCs w:val="20"/>
              </w:rPr>
            </w:pPr>
            <w:r w:rsidRPr="00056BE0">
              <w:rPr>
                <w:rFonts w:cs="Arial"/>
                <w:sz w:val="20"/>
                <w:szCs w:val="20"/>
              </w:rPr>
              <w:t> </w:t>
            </w:r>
          </w:p>
        </w:tc>
        <w:tc>
          <w:tcPr>
            <w:tcW w:w="396" w:type="pct"/>
            <w:shd w:val="clear" w:color="000000" w:fill="FFFFFF"/>
            <w:vAlign w:val="bottom"/>
          </w:tcPr>
          <w:p w14:paraId="491204EA" w14:textId="77777777" w:rsidR="00056BE0" w:rsidRPr="00056BE0" w:rsidRDefault="00056BE0" w:rsidP="00056BE0">
            <w:pPr>
              <w:rPr>
                <w:rFonts w:cs="Arial"/>
                <w:sz w:val="20"/>
                <w:szCs w:val="20"/>
              </w:rPr>
            </w:pPr>
            <w:r w:rsidRPr="00056BE0">
              <w:rPr>
                <w:rFonts w:cs="Arial"/>
                <w:sz w:val="20"/>
                <w:szCs w:val="20"/>
              </w:rPr>
              <w:t> </w:t>
            </w:r>
          </w:p>
        </w:tc>
      </w:tr>
      <w:tr w:rsidR="00056BE0" w:rsidRPr="00C65CAA" w14:paraId="5AC522F9" w14:textId="77777777" w:rsidTr="00840D58">
        <w:trPr>
          <w:trHeight w:val="20"/>
        </w:trPr>
        <w:tc>
          <w:tcPr>
            <w:tcW w:w="2142" w:type="pct"/>
            <w:shd w:val="clear" w:color="000000" w:fill="FFFFFF"/>
            <w:vAlign w:val="center"/>
            <w:hideMark/>
          </w:tcPr>
          <w:p w14:paraId="3EFD6CEE" w14:textId="77777777" w:rsidR="00056BE0" w:rsidRPr="00C65CAA" w:rsidRDefault="00056BE0" w:rsidP="000A2429">
            <w:pPr>
              <w:pStyle w:val="Odsekzoznamu"/>
              <w:numPr>
                <w:ilvl w:val="0"/>
                <w:numId w:val="4"/>
              </w:numPr>
              <w:ind w:left="470" w:hanging="357"/>
              <w:rPr>
                <w:color w:val="000000"/>
                <w:sz w:val="20"/>
                <w:szCs w:val="20"/>
              </w:rPr>
            </w:pPr>
            <w:r w:rsidRPr="00C65CAA">
              <w:rPr>
                <w:color w:val="000000"/>
                <w:sz w:val="20"/>
                <w:szCs w:val="20"/>
              </w:rPr>
              <w:t>daň z pridanej hodnoty</w:t>
            </w:r>
          </w:p>
        </w:tc>
        <w:tc>
          <w:tcPr>
            <w:tcW w:w="592" w:type="pct"/>
            <w:shd w:val="clear" w:color="000000" w:fill="FFFFFF"/>
            <w:vAlign w:val="bottom"/>
          </w:tcPr>
          <w:p w14:paraId="1B48B224" w14:textId="77777777" w:rsidR="00056BE0" w:rsidRPr="00056BE0" w:rsidRDefault="00056BE0" w:rsidP="00056BE0">
            <w:pPr>
              <w:jc w:val="right"/>
              <w:rPr>
                <w:rFonts w:cs="Arial"/>
                <w:sz w:val="20"/>
                <w:szCs w:val="20"/>
              </w:rPr>
            </w:pPr>
            <w:r w:rsidRPr="00056BE0">
              <w:rPr>
                <w:rFonts w:cs="Arial"/>
                <w:sz w:val="20"/>
                <w:szCs w:val="20"/>
              </w:rPr>
              <w:t>6 412 426</w:t>
            </w:r>
          </w:p>
        </w:tc>
        <w:tc>
          <w:tcPr>
            <w:tcW w:w="678" w:type="pct"/>
            <w:shd w:val="clear" w:color="000000" w:fill="FFFFFF"/>
            <w:vAlign w:val="bottom"/>
          </w:tcPr>
          <w:p w14:paraId="4EE6D416" w14:textId="77777777" w:rsidR="00056BE0" w:rsidRPr="00056BE0" w:rsidRDefault="00056BE0" w:rsidP="00056BE0">
            <w:pPr>
              <w:jc w:val="right"/>
              <w:rPr>
                <w:rFonts w:cs="Arial"/>
                <w:sz w:val="20"/>
                <w:szCs w:val="20"/>
              </w:rPr>
            </w:pPr>
            <w:r w:rsidRPr="00056BE0">
              <w:rPr>
                <w:rFonts w:cs="Arial"/>
                <w:sz w:val="20"/>
                <w:szCs w:val="20"/>
              </w:rPr>
              <w:t>6 629 455</w:t>
            </w:r>
          </w:p>
        </w:tc>
        <w:tc>
          <w:tcPr>
            <w:tcW w:w="782" w:type="pct"/>
            <w:shd w:val="clear" w:color="000000" w:fill="FFFFFF"/>
            <w:vAlign w:val="bottom"/>
          </w:tcPr>
          <w:p w14:paraId="08633500" w14:textId="77777777" w:rsidR="00056BE0" w:rsidRPr="00056BE0" w:rsidRDefault="00056BE0" w:rsidP="00056BE0">
            <w:pPr>
              <w:jc w:val="right"/>
              <w:rPr>
                <w:rFonts w:cs="Arial"/>
                <w:sz w:val="20"/>
                <w:szCs w:val="20"/>
              </w:rPr>
            </w:pPr>
            <w:r w:rsidRPr="00056BE0">
              <w:rPr>
                <w:rFonts w:cs="Arial"/>
                <w:sz w:val="20"/>
                <w:szCs w:val="20"/>
              </w:rPr>
              <w:t>6 891 117</w:t>
            </w:r>
          </w:p>
        </w:tc>
        <w:tc>
          <w:tcPr>
            <w:tcW w:w="411" w:type="pct"/>
            <w:shd w:val="clear" w:color="000000" w:fill="FFFFFF"/>
            <w:vAlign w:val="bottom"/>
          </w:tcPr>
          <w:p w14:paraId="60F4EEC8" w14:textId="77777777" w:rsidR="00056BE0" w:rsidRPr="00056BE0" w:rsidRDefault="00056BE0" w:rsidP="00056BE0">
            <w:pPr>
              <w:jc w:val="right"/>
              <w:rPr>
                <w:rFonts w:cs="Arial"/>
                <w:sz w:val="20"/>
                <w:szCs w:val="20"/>
              </w:rPr>
            </w:pPr>
            <w:r w:rsidRPr="00056BE0">
              <w:rPr>
                <w:rFonts w:cs="Arial"/>
                <w:sz w:val="20"/>
                <w:szCs w:val="20"/>
              </w:rPr>
              <w:t>261 662</w:t>
            </w:r>
          </w:p>
        </w:tc>
        <w:tc>
          <w:tcPr>
            <w:tcW w:w="396" w:type="pct"/>
            <w:shd w:val="clear" w:color="000000" w:fill="FFFFFF"/>
            <w:vAlign w:val="bottom"/>
          </w:tcPr>
          <w:p w14:paraId="2F7947D2" w14:textId="77777777" w:rsidR="00056BE0" w:rsidRPr="00056BE0" w:rsidRDefault="00056BE0" w:rsidP="00056BE0">
            <w:pPr>
              <w:jc w:val="right"/>
              <w:rPr>
                <w:rFonts w:cs="Arial"/>
                <w:sz w:val="20"/>
                <w:szCs w:val="20"/>
              </w:rPr>
            </w:pPr>
            <w:r w:rsidRPr="00056BE0">
              <w:rPr>
                <w:rFonts w:cs="Arial"/>
                <w:sz w:val="20"/>
                <w:szCs w:val="20"/>
              </w:rPr>
              <w:t>103,9</w:t>
            </w:r>
          </w:p>
        </w:tc>
      </w:tr>
      <w:tr w:rsidR="00056BE0" w:rsidRPr="00C65CAA" w14:paraId="585F701D" w14:textId="77777777" w:rsidTr="00840D58">
        <w:trPr>
          <w:trHeight w:val="20"/>
        </w:trPr>
        <w:tc>
          <w:tcPr>
            <w:tcW w:w="2142" w:type="pct"/>
            <w:shd w:val="clear" w:color="000000" w:fill="FFFFFF"/>
            <w:vAlign w:val="center"/>
            <w:hideMark/>
          </w:tcPr>
          <w:p w14:paraId="57DB8292" w14:textId="77777777" w:rsidR="00056BE0" w:rsidRPr="00C65CAA" w:rsidRDefault="00056BE0" w:rsidP="000A2429">
            <w:pPr>
              <w:pStyle w:val="Odsekzoznamu"/>
              <w:numPr>
                <w:ilvl w:val="0"/>
                <w:numId w:val="4"/>
              </w:numPr>
              <w:ind w:left="470" w:hanging="357"/>
              <w:rPr>
                <w:color w:val="000000"/>
                <w:sz w:val="20"/>
                <w:szCs w:val="20"/>
              </w:rPr>
            </w:pPr>
            <w:r w:rsidRPr="00C65CAA">
              <w:rPr>
                <w:color w:val="000000"/>
                <w:sz w:val="20"/>
                <w:szCs w:val="20"/>
              </w:rPr>
              <w:t>spotrebné dane</w:t>
            </w:r>
          </w:p>
        </w:tc>
        <w:tc>
          <w:tcPr>
            <w:tcW w:w="592" w:type="pct"/>
            <w:shd w:val="clear" w:color="000000" w:fill="FFFFFF"/>
            <w:vAlign w:val="bottom"/>
          </w:tcPr>
          <w:p w14:paraId="1B2D0C42" w14:textId="77777777" w:rsidR="00056BE0" w:rsidRPr="00056BE0" w:rsidRDefault="00056BE0" w:rsidP="00056BE0">
            <w:pPr>
              <w:jc w:val="right"/>
              <w:rPr>
                <w:rFonts w:cs="Arial"/>
                <w:sz w:val="20"/>
                <w:szCs w:val="20"/>
              </w:rPr>
            </w:pPr>
            <w:r w:rsidRPr="00056BE0">
              <w:rPr>
                <w:rFonts w:cs="Arial"/>
                <w:sz w:val="20"/>
                <w:szCs w:val="20"/>
              </w:rPr>
              <w:t>2 323 521</w:t>
            </w:r>
          </w:p>
        </w:tc>
        <w:tc>
          <w:tcPr>
            <w:tcW w:w="678" w:type="pct"/>
            <w:shd w:val="clear" w:color="000000" w:fill="FFFFFF"/>
            <w:vAlign w:val="bottom"/>
          </w:tcPr>
          <w:p w14:paraId="2A3C0510" w14:textId="77777777" w:rsidR="00056BE0" w:rsidRPr="00056BE0" w:rsidRDefault="00056BE0" w:rsidP="00056BE0">
            <w:pPr>
              <w:jc w:val="right"/>
              <w:rPr>
                <w:rFonts w:cs="Arial"/>
                <w:sz w:val="20"/>
                <w:szCs w:val="20"/>
              </w:rPr>
            </w:pPr>
            <w:r w:rsidRPr="00056BE0">
              <w:rPr>
                <w:rFonts w:cs="Arial"/>
                <w:sz w:val="20"/>
                <w:szCs w:val="20"/>
              </w:rPr>
              <w:t>2 417 198</w:t>
            </w:r>
          </w:p>
        </w:tc>
        <w:tc>
          <w:tcPr>
            <w:tcW w:w="782" w:type="pct"/>
            <w:shd w:val="clear" w:color="000000" w:fill="FFFFFF"/>
            <w:vAlign w:val="bottom"/>
          </w:tcPr>
          <w:p w14:paraId="5B9AFC6B" w14:textId="77777777" w:rsidR="00056BE0" w:rsidRPr="00056BE0" w:rsidRDefault="00056BE0" w:rsidP="00056BE0">
            <w:pPr>
              <w:jc w:val="right"/>
              <w:rPr>
                <w:rFonts w:cs="Arial"/>
                <w:sz w:val="20"/>
                <w:szCs w:val="20"/>
              </w:rPr>
            </w:pPr>
            <w:r w:rsidRPr="00056BE0">
              <w:rPr>
                <w:rFonts w:cs="Arial"/>
                <w:sz w:val="20"/>
                <w:szCs w:val="20"/>
              </w:rPr>
              <w:t>2 474 043</w:t>
            </w:r>
          </w:p>
        </w:tc>
        <w:tc>
          <w:tcPr>
            <w:tcW w:w="411" w:type="pct"/>
            <w:shd w:val="clear" w:color="000000" w:fill="FFFFFF"/>
            <w:vAlign w:val="bottom"/>
          </w:tcPr>
          <w:p w14:paraId="63D28B42" w14:textId="77777777" w:rsidR="00056BE0" w:rsidRPr="00056BE0" w:rsidRDefault="00056BE0" w:rsidP="00056BE0">
            <w:pPr>
              <w:jc w:val="right"/>
              <w:rPr>
                <w:rFonts w:cs="Arial"/>
                <w:sz w:val="20"/>
                <w:szCs w:val="20"/>
              </w:rPr>
            </w:pPr>
            <w:r w:rsidRPr="00056BE0">
              <w:rPr>
                <w:rFonts w:cs="Arial"/>
                <w:sz w:val="20"/>
                <w:szCs w:val="20"/>
              </w:rPr>
              <w:t>56 845</w:t>
            </w:r>
          </w:p>
        </w:tc>
        <w:tc>
          <w:tcPr>
            <w:tcW w:w="396" w:type="pct"/>
            <w:shd w:val="clear" w:color="000000" w:fill="FFFFFF"/>
            <w:vAlign w:val="bottom"/>
          </w:tcPr>
          <w:p w14:paraId="1F353C85" w14:textId="77777777" w:rsidR="00056BE0" w:rsidRPr="00056BE0" w:rsidRDefault="00056BE0" w:rsidP="00056BE0">
            <w:pPr>
              <w:jc w:val="right"/>
              <w:rPr>
                <w:rFonts w:cs="Arial"/>
                <w:sz w:val="20"/>
                <w:szCs w:val="20"/>
              </w:rPr>
            </w:pPr>
            <w:r w:rsidRPr="00056BE0">
              <w:rPr>
                <w:rFonts w:cs="Arial"/>
                <w:sz w:val="20"/>
                <w:szCs w:val="20"/>
              </w:rPr>
              <w:t>102,4</w:t>
            </w:r>
          </w:p>
        </w:tc>
      </w:tr>
      <w:tr w:rsidR="00056BE0" w:rsidRPr="00C65CAA" w14:paraId="0C0BC4AE" w14:textId="77777777" w:rsidTr="00840D58">
        <w:trPr>
          <w:trHeight w:val="20"/>
        </w:trPr>
        <w:tc>
          <w:tcPr>
            <w:tcW w:w="2142" w:type="pct"/>
            <w:shd w:val="clear" w:color="000000" w:fill="FFFFFF"/>
            <w:vAlign w:val="center"/>
            <w:hideMark/>
          </w:tcPr>
          <w:p w14:paraId="605CF268" w14:textId="77777777" w:rsidR="00056BE0" w:rsidRPr="00C65CAA" w:rsidRDefault="00056BE0" w:rsidP="000A2429">
            <w:pPr>
              <w:pStyle w:val="Odsekzoznamu"/>
              <w:numPr>
                <w:ilvl w:val="0"/>
                <w:numId w:val="4"/>
              </w:numPr>
              <w:ind w:left="470" w:hanging="357"/>
              <w:rPr>
                <w:color w:val="000000"/>
                <w:sz w:val="20"/>
                <w:szCs w:val="20"/>
              </w:rPr>
            </w:pPr>
            <w:r w:rsidRPr="00C65CAA">
              <w:rPr>
                <w:color w:val="000000"/>
                <w:sz w:val="20"/>
                <w:szCs w:val="20"/>
              </w:rPr>
              <w:t>dane z používania tovarov a z povolenia na výkon činnosti</w:t>
            </w:r>
          </w:p>
        </w:tc>
        <w:tc>
          <w:tcPr>
            <w:tcW w:w="592" w:type="pct"/>
            <w:shd w:val="clear" w:color="000000" w:fill="FFFFFF"/>
            <w:vAlign w:val="bottom"/>
          </w:tcPr>
          <w:p w14:paraId="68CC72DE" w14:textId="77777777" w:rsidR="00056BE0" w:rsidRPr="00056BE0" w:rsidRDefault="00056BE0" w:rsidP="00056BE0">
            <w:pPr>
              <w:jc w:val="right"/>
              <w:rPr>
                <w:rFonts w:cs="Arial"/>
                <w:sz w:val="20"/>
                <w:szCs w:val="20"/>
              </w:rPr>
            </w:pPr>
            <w:r w:rsidRPr="00056BE0">
              <w:rPr>
                <w:rFonts w:cs="Arial"/>
                <w:sz w:val="20"/>
                <w:szCs w:val="20"/>
              </w:rPr>
              <w:t>152 839</w:t>
            </w:r>
          </w:p>
        </w:tc>
        <w:tc>
          <w:tcPr>
            <w:tcW w:w="678" w:type="pct"/>
            <w:shd w:val="clear" w:color="000000" w:fill="FFFFFF"/>
            <w:vAlign w:val="bottom"/>
          </w:tcPr>
          <w:p w14:paraId="065FAEDB" w14:textId="77777777" w:rsidR="00056BE0" w:rsidRPr="00056BE0" w:rsidRDefault="00056BE0" w:rsidP="00056BE0">
            <w:pPr>
              <w:jc w:val="right"/>
              <w:rPr>
                <w:rFonts w:cs="Arial"/>
                <w:sz w:val="20"/>
                <w:szCs w:val="20"/>
              </w:rPr>
            </w:pPr>
            <w:r w:rsidRPr="00056BE0">
              <w:rPr>
                <w:rFonts w:cs="Arial"/>
                <w:sz w:val="20"/>
                <w:szCs w:val="20"/>
              </w:rPr>
              <w:t>167 128</w:t>
            </w:r>
          </w:p>
        </w:tc>
        <w:tc>
          <w:tcPr>
            <w:tcW w:w="782" w:type="pct"/>
            <w:shd w:val="clear" w:color="000000" w:fill="FFFFFF"/>
            <w:vAlign w:val="bottom"/>
          </w:tcPr>
          <w:p w14:paraId="1FC3B2DF" w14:textId="77777777" w:rsidR="00056BE0" w:rsidRPr="00056BE0" w:rsidRDefault="00056BE0" w:rsidP="00056BE0">
            <w:pPr>
              <w:jc w:val="right"/>
              <w:rPr>
                <w:rFonts w:cs="Arial"/>
                <w:sz w:val="20"/>
                <w:szCs w:val="20"/>
              </w:rPr>
            </w:pPr>
            <w:r w:rsidRPr="00056BE0">
              <w:rPr>
                <w:rFonts w:cs="Arial"/>
                <w:sz w:val="20"/>
                <w:szCs w:val="20"/>
              </w:rPr>
              <w:t>163 495</w:t>
            </w:r>
          </w:p>
        </w:tc>
        <w:tc>
          <w:tcPr>
            <w:tcW w:w="411" w:type="pct"/>
            <w:shd w:val="clear" w:color="000000" w:fill="FFFFFF"/>
            <w:vAlign w:val="bottom"/>
          </w:tcPr>
          <w:p w14:paraId="31B1C80A" w14:textId="77777777" w:rsidR="00056BE0" w:rsidRPr="00056BE0" w:rsidRDefault="00056BE0" w:rsidP="00056BE0">
            <w:pPr>
              <w:jc w:val="right"/>
              <w:rPr>
                <w:rFonts w:cs="Arial"/>
                <w:sz w:val="20"/>
                <w:szCs w:val="20"/>
              </w:rPr>
            </w:pPr>
            <w:r w:rsidRPr="00056BE0">
              <w:rPr>
                <w:rFonts w:cs="Arial"/>
                <w:sz w:val="20"/>
                <w:szCs w:val="20"/>
              </w:rPr>
              <w:t>-3 633</w:t>
            </w:r>
          </w:p>
        </w:tc>
        <w:tc>
          <w:tcPr>
            <w:tcW w:w="396" w:type="pct"/>
            <w:shd w:val="clear" w:color="000000" w:fill="FFFFFF"/>
            <w:vAlign w:val="bottom"/>
          </w:tcPr>
          <w:p w14:paraId="0C53F5DD" w14:textId="77777777" w:rsidR="00056BE0" w:rsidRPr="00056BE0" w:rsidRDefault="00056BE0" w:rsidP="00056BE0">
            <w:pPr>
              <w:jc w:val="right"/>
              <w:rPr>
                <w:rFonts w:cs="Arial"/>
                <w:sz w:val="20"/>
                <w:szCs w:val="20"/>
              </w:rPr>
            </w:pPr>
            <w:r w:rsidRPr="00056BE0">
              <w:rPr>
                <w:rFonts w:cs="Arial"/>
                <w:sz w:val="20"/>
                <w:szCs w:val="20"/>
              </w:rPr>
              <w:t>97,8</w:t>
            </w:r>
          </w:p>
        </w:tc>
      </w:tr>
      <w:tr w:rsidR="00056BE0" w:rsidRPr="00C65CAA" w14:paraId="79EFA6DB" w14:textId="77777777" w:rsidTr="00840D58">
        <w:trPr>
          <w:trHeight w:val="20"/>
        </w:trPr>
        <w:tc>
          <w:tcPr>
            <w:tcW w:w="2142" w:type="pct"/>
            <w:shd w:val="clear" w:color="000000" w:fill="FFFFFF"/>
            <w:vAlign w:val="center"/>
            <w:hideMark/>
          </w:tcPr>
          <w:p w14:paraId="3A84ECD3" w14:textId="77777777" w:rsidR="00056BE0" w:rsidRPr="00C65CAA" w:rsidRDefault="00056BE0" w:rsidP="00056BE0">
            <w:pPr>
              <w:rPr>
                <w:b/>
                <w:bCs/>
                <w:color w:val="000000"/>
                <w:sz w:val="20"/>
                <w:szCs w:val="20"/>
              </w:rPr>
            </w:pPr>
            <w:r w:rsidRPr="00C65CAA">
              <w:rPr>
                <w:b/>
                <w:bCs/>
                <w:color w:val="000000"/>
                <w:sz w:val="20"/>
                <w:szCs w:val="20"/>
              </w:rPr>
              <w:t>Dane z medzinárodného obchodu a transakcií</w:t>
            </w:r>
          </w:p>
        </w:tc>
        <w:tc>
          <w:tcPr>
            <w:tcW w:w="592" w:type="pct"/>
            <w:shd w:val="clear" w:color="000000" w:fill="FFFFFF"/>
            <w:vAlign w:val="bottom"/>
          </w:tcPr>
          <w:p w14:paraId="187E3B8A" w14:textId="77777777" w:rsidR="00056BE0" w:rsidRPr="00056BE0" w:rsidRDefault="00056BE0" w:rsidP="00056BE0">
            <w:pPr>
              <w:jc w:val="right"/>
              <w:rPr>
                <w:rFonts w:cs="Arial"/>
                <w:b/>
                <w:bCs/>
                <w:sz w:val="20"/>
                <w:szCs w:val="20"/>
              </w:rPr>
            </w:pPr>
            <w:r w:rsidRPr="00056BE0">
              <w:rPr>
                <w:rFonts w:cs="Arial"/>
                <w:b/>
                <w:bCs/>
                <w:sz w:val="20"/>
                <w:szCs w:val="20"/>
              </w:rPr>
              <w:t>23 365</w:t>
            </w:r>
          </w:p>
        </w:tc>
        <w:tc>
          <w:tcPr>
            <w:tcW w:w="678" w:type="pct"/>
            <w:shd w:val="clear" w:color="000000" w:fill="FFFFFF"/>
            <w:vAlign w:val="bottom"/>
          </w:tcPr>
          <w:p w14:paraId="3DBECB4A" w14:textId="77777777" w:rsidR="00056BE0" w:rsidRPr="00056BE0" w:rsidRDefault="00056BE0" w:rsidP="00056BE0">
            <w:pPr>
              <w:jc w:val="right"/>
              <w:rPr>
                <w:rFonts w:cs="Arial"/>
                <w:b/>
                <w:sz w:val="20"/>
                <w:szCs w:val="20"/>
              </w:rPr>
            </w:pPr>
            <w:r w:rsidRPr="00056BE0">
              <w:rPr>
                <w:rFonts w:cs="Arial"/>
                <w:b/>
                <w:sz w:val="20"/>
                <w:szCs w:val="20"/>
              </w:rPr>
              <w:t>21 517</w:t>
            </w:r>
          </w:p>
        </w:tc>
        <w:tc>
          <w:tcPr>
            <w:tcW w:w="782" w:type="pct"/>
            <w:shd w:val="clear" w:color="000000" w:fill="FFFFFF"/>
            <w:vAlign w:val="bottom"/>
          </w:tcPr>
          <w:p w14:paraId="5B89AB86" w14:textId="77777777" w:rsidR="00056BE0" w:rsidRPr="00056BE0" w:rsidRDefault="00056BE0" w:rsidP="00056BE0">
            <w:pPr>
              <w:jc w:val="right"/>
              <w:rPr>
                <w:rFonts w:cs="Arial"/>
                <w:b/>
                <w:sz w:val="20"/>
                <w:szCs w:val="20"/>
              </w:rPr>
            </w:pPr>
            <w:r w:rsidRPr="00056BE0">
              <w:rPr>
                <w:rFonts w:cs="Arial"/>
                <w:b/>
                <w:sz w:val="20"/>
                <w:szCs w:val="20"/>
              </w:rPr>
              <w:t>24 289</w:t>
            </w:r>
          </w:p>
        </w:tc>
        <w:tc>
          <w:tcPr>
            <w:tcW w:w="411" w:type="pct"/>
            <w:shd w:val="clear" w:color="000000" w:fill="FFFFFF"/>
            <w:vAlign w:val="bottom"/>
          </w:tcPr>
          <w:p w14:paraId="4B86251F" w14:textId="77777777" w:rsidR="00056BE0" w:rsidRPr="00056BE0" w:rsidRDefault="00056BE0" w:rsidP="00056BE0">
            <w:pPr>
              <w:jc w:val="right"/>
              <w:rPr>
                <w:rFonts w:cs="Arial"/>
                <w:b/>
                <w:sz w:val="20"/>
                <w:szCs w:val="20"/>
              </w:rPr>
            </w:pPr>
            <w:r w:rsidRPr="00056BE0">
              <w:rPr>
                <w:rFonts w:cs="Arial"/>
                <w:b/>
                <w:sz w:val="20"/>
                <w:szCs w:val="20"/>
              </w:rPr>
              <w:t>2 772</w:t>
            </w:r>
          </w:p>
        </w:tc>
        <w:tc>
          <w:tcPr>
            <w:tcW w:w="396" w:type="pct"/>
            <w:shd w:val="clear" w:color="000000" w:fill="FFFFFF"/>
            <w:vAlign w:val="bottom"/>
          </w:tcPr>
          <w:p w14:paraId="744AF03F" w14:textId="77777777" w:rsidR="00056BE0" w:rsidRPr="00056BE0" w:rsidRDefault="00056BE0" w:rsidP="00056BE0">
            <w:pPr>
              <w:jc w:val="right"/>
              <w:rPr>
                <w:rFonts w:cs="Arial"/>
                <w:b/>
                <w:sz w:val="20"/>
                <w:szCs w:val="20"/>
              </w:rPr>
            </w:pPr>
            <w:r w:rsidRPr="00056BE0">
              <w:rPr>
                <w:rFonts w:cs="Arial"/>
                <w:b/>
                <w:sz w:val="20"/>
                <w:szCs w:val="20"/>
              </w:rPr>
              <w:t>112,9</w:t>
            </w:r>
          </w:p>
        </w:tc>
      </w:tr>
      <w:tr w:rsidR="00056BE0" w:rsidRPr="00C65CAA" w14:paraId="6A8C9AA5" w14:textId="77777777" w:rsidTr="00840D58">
        <w:trPr>
          <w:trHeight w:val="20"/>
        </w:trPr>
        <w:tc>
          <w:tcPr>
            <w:tcW w:w="2142" w:type="pct"/>
            <w:shd w:val="clear" w:color="auto" w:fill="auto"/>
            <w:vAlign w:val="bottom"/>
            <w:hideMark/>
          </w:tcPr>
          <w:p w14:paraId="79E11711" w14:textId="77777777" w:rsidR="00056BE0" w:rsidRPr="00C65CAA" w:rsidRDefault="00056BE0" w:rsidP="00056BE0">
            <w:pPr>
              <w:rPr>
                <w:b/>
                <w:bCs/>
                <w:color w:val="000000"/>
                <w:sz w:val="20"/>
                <w:szCs w:val="20"/>
              </w:rPr>
            </w:pPr>
            <w:r w:rsidRPr="00C65CAA">
              <w:rPr>
                <w:b/>
                <w:bCs/>
                <w:color w:val="000000"/>
                <w:sz w:val="20"/>
                <w:szCs w:val="20"/>
              </w:rPr>
              <w:t xml:space="preserve">Sankcie </w:t>
            </w:r>
          </w:p>
        </w:tc>
        <w:tc>
          <w:tcPr>
            <w:tcW w:w="592" w:type="pct"/>
            <w:shd w:val="clear" w:color="auto" w:fill="auto"/>
            <w:noWrap/>
            <w:vAlign w:val="bottom"/>
          </w:tcPr>
          <w:p w14:paraId="4B3EDC97" w14:textId="77777777" w:rsidR="00056BE0" w:rsidRPr="00056BE0" w:rsidRDefault="00056BE0" w:rsidP="00056BE0">
            <w:pPr>
              <w:jc w:val="right"/>
              <w:rPr>
                <w:rFonts w:cs="Arial"/>
                <w:b/>
                <w:bCs/>
                <w:sz w:val="20"/>
                <w:szCs w:val="20"/>
              </w:rPr>
            </w:pPr>
            <w:r w:rsidRPr="00056BE0">
              <w:rPr>
                <w:rFonts w:cs="Arial"/>
                <w:b/>
                <w:bCs/>
                <w:sz w:val="20"/>
                <w:szCs w:val="20"/>
              </w:rPr>
              <w:t>20 895</w:t>
            </w:r>
          </w:p>
        </w:tc>
        <w:tc>
          <w:tcPr>
            <w:tcW w:w="678" w:type="pct"/>
            <w:shd w:val="clear" w:color="auto" w:fill="auto"/>
            <w:noWrap/>
            <w:vAlign w:val="bottom"/>
          </w:tcPr>
          <w:p w14:paraId="45A1589C" w14:textId="77777777" w:rsidR="00056BE0" w:rsidRPr="00056BE0" w:rsidRDefault="00056BE0" w:rsidP="00056BE0">
            <w:pPr>
              <w:jc w:val="right"/>
              <w:rPr>
                <w:rFonts w:cs="Arial"/>
                <w:b/>
                <w:sz w:val="20"/>
                <w:szCs w:val="20"/>
              </w:rPr>
            </w:pPr>
            <w:r w:rsidRPr="00056BE0">
              <w:rPr>
                <w:rFonts w:cs="Arial"/>
                <w:b/>
                <w:sz w:val="20"/>
                <w:szCs w:val="20"/>
              </w:rPr>
              <w:t>13 149</w:t>
            </w:r>
          </w:p>
        </w:tc>
        <w:tc>
          <w:tcPr>
            <w:tcW w:w="782" w:type="pct"/>
            <w:shd w:val="clear" w:color="auto" w:fill="auto"/>
            <w:noWrap/>
            <w:vAlign w:val="bottom"/>
          </w:tcPr>
          <w:p w14:paraId="59D124A6" w14:textId="77777777" w:rsidR="00056BE0" w:rsidRPr="00056BE0" w:rsidRDefault="00056BE0" w:rsidP="00056BE0">
            <w:pPr>
              <w:jc w:val="right"/>
              <w:rPr>
                <w:rFonts w:cs="Arial"/>
                <w:b/>
                <w:sz w:val="20"/>
                <w:szCs w:val="20"/>
              </w:rPr>
            </w:pPr>
            <w:r w:rsidRPr="00056BE0">
              <w:rPr>
                <w:rFonts w:cs="Arial"/>
                <w:b/>
                <w:sz w:val="20"/>
                <w:szCs w:val="20"/>
              </w:rPr>
              <w:t>17 189</w:t>
            </w:r>
          </w:p>
        </w:tc>
        <w:tc>
          <w:tcPr>
            <w:tcW w:w="411" w:type="pct"/>
            <w:shd w:val="clear" w:color="auto" w:fill="auto"/>
            <w:noWrap/>
            <w:vAlign w:val="bottom"/>
          </w:tcPr>
          <w:p w14:paraId="4777D530" w14:textId="77777777" w:rsidR="00056BE0" w:rsidRPr="00056BE0" w:rsidRDefault="00056BE0" w:rsidP="00056BE0">
            <w:pPr>
              <w:jc w:val="right"/>
              <w:rPr>
                <w:rFonts w:cs="Arial"/>
                <w:b/>
                <w:sz w:val="20"/>
                <w:szCs w:val="20"/>
              </w:rPr>
            </w:pPr>
            <w:r w:rsidRPr="00056BE0">
              <w:rPr>
                <w:rFonts w:cs="Arial"/>
                <w:b/>
                <w:sz w:val="20"/>
                <w:szCs w:val="20"/>
              </w:rPr>
              <w:t>4 040</w:t>
            </w:r>
          </w:p>
        </w:tc>
        <w:tc>
          <w:tcPr>
            <w:tcW w:w="396" w:type="pct"/>
            <w:shd w:val="clear" w:color="000000" w:fill="FFFFFF"/>
            <w:vAlign w:val="bottom"/>
          </w:tcPr>
          <w:p w14:paraId="5B3A66F5" w14:textId="77777777" w:rsidR="00056BE0" w:rsidRPr="00056BE0" w:rsidRDefault="00056BE0" w:rsidP="00056BE0">
            <w:pPr>
              <w:jc w:val="right"/>
              <w:rPr>
                <w:rFonts w:cs="Arial"/>
                <w:b/>
                <w:sz w:val="20"/>
                <w:szCs w:val="20"/>
              </w:rPr>
            </w:pPr>
            <w:r w:rsidRPr="00056BE0">
              <w:rPr>
                <w:rFonts w:cs="Arial"/>
                <w:b/>
                <w:sz w:val="20"/>
                <w:szCs w:val="20"/>
              </w:rPr>
              <w:t>130,7</w:t>
            </w:r>
          </w:p>
        </w:tc>
      </w:tr>
      <w:tr w:rsidR="00056BE0" w:rsidRPr="00C65CAA" w14:paraId="1510096F" w14:textId="77777777" w:rsidTr="00840D58">
        <w:trPr>
          <w:trHeight w:val="20"/>
        </w:trPr>
        <w:tc>
          <w:tcPr>
            <w:tcW w:w="2142" w:type="pct"/>
            <w:shd w:val="clear" w:color="auto" w:fill="auto"/>
            <w:noWrap/>
            <w:vAlign w:val="bottom"/>
          </w:tcPr>
          <w:p w14:paraId="2F159D62" w14:textId="77777777" w:rsidR="00056BE0" w:rsidRPr="00C65CAA" w:rsidRDefault="00056BE0" w:rsidP="00056BE0">
            <w:pPr>
              <w:rPr>
                <w:b/>
                <w:bCs/>
                <w:color w:val="000000"/>
                <w:sz w:val="20"/>
                <w:szCs w:val="20"/>
              </w:rPr>
            </w:pPr>
            <w:r w:rsidRPr="00C65CAA">
              <w:rPr>
                <w:b/>
                <w:bCs/>
                <w:color w:val="000000"/>
                <w:sz w:val="20"/>
                <w:szCs w:val="20"/>
              </w:rPr>
              <w:t>Iné dane</w:t>
            </w:r>
          </w:p>
        </w:tc>
        <w:tc>
          <w:tcPr>
            <w:tcW w:w="592" w:type="pct"/>
            <w:shd w:val="clear" w:color="auto" w:fill="auto"/>
            <w:noWrap/>
            <w:vAlign w:val="bottom"/>
          </w:tcPr>
          <w:p w14:paraId="6B439297" w14:textId="77777777" w:rsidR="00056BE0" w:rsidRPr="00056BE0" w:rsidRDefault="00056BE0" w:rsidP="00056BE0">
            <w:pPr>
              <w:jc w:val="right"/>
              <w:rPr>
                <w:rFonts w:cs="Arial"/>
                <w:b/>
                <w:bCs/>
                <w:sz w:val="20"/>
                <w:szCs w:val="20"/>
              </w:rPr>
            </w:pPr>
            <w:r w:rsidRPr="00056BE0">
              <w:rPr>
                <w:rFonts w:cs="Arial"/>
                <w:b/>
                <w:bCs/>
                <w:sz w:val="20"/>
                <w:szCs w:val="20"/>
              </w:rPr>
              <w:t>-8 832</w:t>
            </w:r>
          </w:p>
        </w:tc>
        <w:tc>
          <w:tcPr>
            <w:tcW w:w="678" w:type="pct"/>
            <w:shd w:val="clear" w:color="auto" w:fill="auto"/>
            <w:noWrap/>
            <w:vAlign w:val="bottom"/>
          </w:tcPr>
          <w:p w14:paraId="1A5B8A77" w14:textId="77777777" w:rsidR="00056BE0" w:rsidRPr="00056BE0" w:rsidRDefault="00056BE0" w:rsidP="00056BE0">
            <w:pPr>
              <w:jc w:val="right"/>
              <w:rPr>
                <w:rFonts w:cs="Arial"/>
                <w:b/>
                <w:sz w:val="20"/>
                <w:szCs w:val="20"/>
              </w:rPr>
            </w:pPr>
            <w:r w:rsidRPr="00056BE0">
              <w:rPr>
                <w:rFonts w:cs="Arial"/>
                <w:b/>
                <w:sz w:val="20"/>
                <w:szCs w:val="20"/>
              </w:rPr>
              <w:t>202 504</w:t>
            </w:r>
          </w:p>
        </w:tc>
        <w:tc>
          <w:tcPr>
            <w:tcW w:w="782" w:type="pct"/>
            <w:shd w:val="clear" w:color="auto" w:fill="auto"/>
            <w:noWrap/>
            <w:vAlign w:val="bottom"/>
          </w:tcPr>
          <w:p w14:paraId="44DBC861" w14:textId="77777777" w:rsidR="00056BE0" w:rsidRPr="00056BE0" w:rsidRDefault="00056BE0" w:rsidP="00056BE0">
            <w:pPr>
              <w:jc w:val="right"/>
              <w:rPr>
                <w:rFonts w:cs="Arial"/>
                <w:b/>
                <w:sz w:val="20"/>
                <w:szCs w:val="20"/>
              </w:rPr>
            </w:pPr>
            <w:r w:rsidRPr="00056BE0">
              <w:rPr>
                <w:rFonts w:cs="Arial"/>
                <w:b/>
                <w:sz w:val="20"/>
                <w:szCs w:val="20"/>
              </w:rPr>
              <w:t>180 000</w:t>
            </w:r>
          </w:p>
        </w:tc>
        <w:tc>
          <w:tcPr>
            <w:tcW w:w="411" w:type="pct"/>
            <w:shd w:val="clear" w:color="auto" w:fill="auto"/>
            <w:noWrap/>
            <w:vAlign w:val="bottom"/>
          </w:tcPr>
          <w:p w14:paraId="3EA30037" w14:textId="77777777" w:rsidR="00056BE0" w:rsidRPr="00056BE0" w:rsidRDefault="00056BE0" w:rsidP="00056BE0">
            <w:pPr>
              <w:jc w:val="right"/>
              <w:rPr>
                <w:rFonts w:cs="Arial"/>
                <w:b/>
                <w:sz w:val="20"/>
                <w:szCs w:val="20"/>
              </w:rPr>
            </w:pPr>
            <w:r w:rsidRPr="00056BE0">
              <w:rPr>
                <w:rFonts w:cs="Arial"/>
                <w:b/>
                <w:sz w:val="20"/>
                <w:szCs w:val="20"/>
              </w:rPr>
              <w:t>-22 504</w:t>
            </w:r>
          </w:p>
        </w:tc>
        <w:tc>
          <w:tcPr>
            <w:tcW w:w="396" w:type="pct"/>
            <w:shd w:val="clear" w:color="auto" w:fill="auto"/>
            <w:vAlign w:val="bottom"/>
          </w:tcPr>
          <w:p w14:paraId="0E4C02B1" w14:textId="77777777" w:rsidR="00056BE0" w:rsidRPr="00056BE0" w:rsidRDefault="00056BE0" w:rsidP="00056BE0">
            <w:pPr>
              <w:jc w:val="right"/>
              <w:rPr>
                <w:rFonts w:cs="Arial"/>
                <w:b/>
                <w:sz w:val="20"/>
                <w:szCs w:val="20"/>
              </w:rPr>
            </w:pPr>
            <w:r w:rsidRPr="00056BE0">
              <w:rPr>
                <w:rFonts w:cs="Arial"/>
                <w:b/>
                <w:sz w:val="20"/>
                <w:szCs w:val="20"/>
              </w:rPr>
              <w:t>88,9</w:t>
            </w:r>
          </w:p>
        </w:tc>
      </w:tr>
      <w:tr w:rsidR="00056BE0" w:rsidRPr="00C65CAA" w14:paraId="7FABCC81" w14:textId="77777777" w:rsidTr="00840D58">
        <w:trPr>
          <w:trHeight w:val="20"/>
        </w:trPr>
        <w:tc>
          <w:tcPr>
            <w:tcW w:w="2142" w:type="pct"/>
            <w:shd w:val="clear" w:color="auto" w:fill="D9D9D9" w:themeFill="background1" w:themeFillShade="D9"/>
            <w:noWrap/>
            <w:vAlign w:val="bottom"/>
            <w:hideMark/>
          </w:tcPr>
          <w:p w14:paraId="2346A597" w14:textId="77777777" w:rsidR="00056BE0" w:rsidRPr="00C65CAA" w:rsidRDefault="00056BE0" w:rsidP="00056BE0">
            <w:pPr>
              <w:rPr>
                <w:b/>
                <w:bCs/>
                <w:color w:val="000000"/>
                <w:sz w:val="20"/>
                <w:szCs w:val="20"/>
              </w:rPr>
            </w:pPr>
            <w:r w:rsidRPr="00C65CAA">
              <w:rPr>
                <w:b/>
                <w:bCs/>
                <w:color w:val="000000"/>
                <w:sz w:val="20"/>
                <w:szCs w:val="20"/>
              </w:rPr>
              <w:t>Daňové príjmy ŠR spolu</w:t>
            </w:r>
          </w:p>
        </w:tc>
        <w:tc>
          <w:tcPr>
            <w:tcW w:w="592" w:type="pct"/>
            <w:shd w:val="clear" w:color="auto" w:fill="D9D9D9" w:themeFill="background1" w:themeFillShade="D9"/>
            <w:noWrap/>
            <w:vAlign w:val="bottom"/>
          </w:tcPr>
          <w:p w14:paraId="684B6985" w14:textId="77777777" w:rsidR="00056BE0" w:rsidRPr="00056BE0" w:rsidRDefault="00056BE0" w:rsidP="00056BE0">
            <w:pPr>
              <w:jc w:val="right"/>
              <w:rPr>
                <w:rFonts w:cs="Arial"/>
                <w:b/>
                <w:bCs/>
                <w:sz w:val="20"/>
                <w:szCs w:val="20"/>
              </w:rPr>
            </w:pPr>
            <w:r w:rsidRPr="00056BE0">
              <w:rPr>
                <w:rFonts w:cs="Arial"/>
                <w:b/>
                <w:bCs/>
                <w:sz w:val="20"/>
                <w:szCs w:val="20"/>
              </w:rPr>
              <w:t>11 965 782</w:t>
            </w:r>
          </w:p>
        </w:tc>
        <w:tc>
          <w:tcPr>
            <w:tcW w:w="678" w:type="pct"/>
            <w:shd w:val="clear" w:color="auto" w:fill="D9D9D9" w:themeFill="background1" w:themeFillShade="D9"/>
            <w:noWrap/>
            <w:vAlign w:val="bottom"/>
          </w:tcPr>
          <w:p w14:paraId="301C0116" w14:textId="77777777" w:rsidR="00056BE0" w:rsidRPr="00056BE0" w:rsidRDefault="00056BE0" w:rsidP="00056BE0">
            <w:pPr>
              <w:jc w:val="right"/>
              <w:rPr>
                <w:rFonts w:cs="Arial"/>
                <w:b/>
                <w:sz w:val="20"/>
                <w:szCs w:val="20"/>
              </w:rPr>
            </w:pPr>
            <w:r w:rsidRPr="00056BE0">
              <w:rPr>
                <w:rFonts w:cs="Arial"/>
                <w:b/>
                <w:sz w:val="20"/>
                <w:szCs w:val="20"/>
              </w:rPr>
              <w:t>12 464 557</w:t>
            </w:r>
          </w:p>
        </w:tc>
        <w:tc>
          <w:tcPr>
            <w:tcW w:w="782" w:type="pct"/>
            <w:shd w:val="clear" w:color="auto" w:fill="D9D9D9" w:themeFill="background1" w:themeFillShade="D9"/>
            <w:noWrap/>
            <w:vAlign w:val="bottom"/>
          </w:tcPr>
          <w:p w14:paraId="3D6286CE" w14:textId="77777777" w:rsidR="00056BE0" w:rsidRPr="00056BE0" w:rsidRDefault="00056BE0" w:rsidP="00056BE0">
            <w:pPr>
              <w:jc w:val="right"/>
              <w:rPr>
                <w:rFonts w:cs="Arial"/>
                <w:b/>
                <w:sz w:val="20"/>
                <w:szCs w:val="20"/>
              </w:rPr>
            </w:pPr>
            <w:r w:rsidRPr="00056BE0">
              <w:rPr>
                <w:rFonts w:cs="Arial"/>
                <w:b/>
                <w:sz w:val="20"/>
                <w:szCs w:val="20"/>
              </w:rPr>
              <w:t>12 909 286</w:t>
            </w:r>
          </w:p>
        </w:tc>
        <w:tc>
          <w:tcPr>
            <w:tcW w:w="411" w:type="pct"/>
            <w:shd w:val="clear" w:color="auto" w:fill="D9D9D9" w:themeFill="background1" w:themeFillShade="D9"/>
            <w:noWrap/>
            <w:vAlign w:val="bottom"/>
          </w:tcPr>
          <w:p w14:paraId="07DA5033" w14:textId="77777777" w:rsidR="00056BE0" w:rsidRPr="00056BE0" w:rsidRDefault="00056BE0" w:rsidP="00056BE0">
            <w:pPr>
              <w:jc w:val="right"/>
              <w:rPr>
                <w:rFonts w:cs="Arial"/>
                <w:b/>
                <w:bCs/>
                <w:sz w:val="20"/>
                <w:szCs w:val="20"/>
              </w:rPr>
            </w:pPr>
            <w:r w:rsidRPr="00056BE0">
              <w:rPr>
                <w:rFonts w:cs="Arial"/>
                <w:b/>
                <w:bCs/>
                <w:sz w:val="20"/>
                <w:szCs w:val="20"/>
              </w:rPr>
              <w:t>444 729</w:t>
            </w:r>
          </w:p>
        </w:tc>
        <w:tc>
          <w:tcPr>
            <w:tcW w:w="396" w:type="pct"/>
            <w:shd w:val="clear" w:color="auto" w:fill="D9D9D9" w:themeFill="background1" w:themeFillShade="D9"/>
            <w:vAlign w:val="bottom"/>
          </w:tcPr>
          <w:p w14:paraId="5D437351" w14:textId="77777777" w:rsidR="00056BE0" w:rsidRPr="00056BE0" w:rsidRDefault="00056BE0" w:rsidP="00056BE0">
            <w:pPr>
              <w:jc w:val="right"/>
              <w:rPr>
                <w:rFonts w:cs="Arial"/>
                <w:b/>
                <w:bCs/>
                <w:sz w:val="20"/>
                <w:szCs w:val="20"/>
              </w:rPr>
            </w:pPr>
            <w:r w:rsidRPr="00056BE0">
              <w:rPr>
                <w:rFonts w:cs="Arial"/>
                <w:b/>
                <w:bCs/>
                <w:sz w:val="20"/>
                <w:szCs w:val="20"/>
              </w:rPr>
              <w:t>103,6</w:t>
            </w:r>
          </w:p>
        </w:tc>
      </w:tr>
    </w:tbl>
    <w:p w14:paraId="7CD16825" w14:textId="77777777" w:rsidR="00CA5523" w:rsidRPr="005C7C8F" w:rsidRDefault="00CA5523" w:rsidP="00CA5523">
      <w:pPr>
        <w:pStyle w:val="Zkladntext"/>
        <w:spacing w:after="100"/>
        <w:jc w:val="both"/>
        <w:rPr>
          <w:i/>
          <w:color w:val="000000"/>
          <w:sz w:val="18"/>
        </w:rPr>
      </w:pPr>
      <w:r w:rsidRPr="005C7C8F">
        <w:rPr>
          <w:i/>
          <w:color w:val="000000"/>
          <w:sz w:val="18"/>
        </w:rPr>
        <w:t>Zdroj: ŠZÚ za rok 2018, RVS na roky 2019 až 2021, Návrh RVS na roky 2020 až 2022</w:t>
      </w:r>
    </w:p>
    <w:p w14:paraId="08955A3E" w14:textId="77777777" w:rsidR="00CA5523" w:rsidRPr="00C65CAA" w:rsidRDefault="00CA5523" w:rsidP="00CA5523">
      <w:pPr>
        <w:spacing w:before="100" w:after="100"/>
        <w:ind w:firstLine="708"/>
        <w:jc w:val="both"/>
      </w:pPr>
      <w:r w:rsidRPr="00C65CAA">
        <w:t>Podrobnejšie hodnotenie daňových príjmov ŠR je obsahom stanoviska k rozpočtovani</w:t>
      </w:r>
      <w:r w:rsidR="00995A77">
        <w:t>u príjmov návrhu RVS na rok 2020</w:t>
      </w:r>
      <w:r w:rsidRPr="00C65CAA">
        <w:t xml:space="preserve"> v časti 2.1.</w:t>
      </w:r>
    </w:p>
    <w:p w14:paraId="64B3A74E" w14:textId="77777777" w:rsidR="00CA5523" w:rsidRPr="00C65CAA" w:rsidRDefault="00CA5523" w:rsidP="005C7C8F">
      <w:pPr>
        <w:spacing w:before="100" w:after="100"/>
        <w:ind w:firstLine="708"/>
        <w:jc w:val="both"/>
      </w:pPr>
      <w:r w:rsidRPr="00C65CAA">
        <w:lastRenderedPageBreak/>
        <w:t xml:space="preserve">Porovnanie </w:t>
      </w:r>
      <w:r w:rsidRPr="000B1789">
        <w:rPr>
          <w:b/>
        </w:rPr>
        <w:t xml:space="preserve">nedaňových príjmov </w:t>
      </w:r>
      <w:r w:rsidRPr="000B1789">
        <w:rPr>
          <w:b/>
          <w:color w:val="000000"/>
        </w:rPr>
        <w:t>ŠR na hotovostnej báze</w:t>
      </w:r>
      <w:r w:rsidRPr="00C65CAA">
        <w:rPr>
          <w:color w:val="000000"/>
        </w:rPr>
        <w:t xml:space="preserve"> </w:t>
      </w:r>
      <w:r>
        <w:t>za rok 2018</w:t>
      </w:r>
      <w:r w:rsidRPr="00C65CAA">
        <w:t xml:space="preserve">, </w:t>
      </w:r>
      <w:r>
        <w:t>schváleného rozpočtu na rok 2019 a návrhu rozpočtu na rok 2020</w:t>
      </w:r>
      <w:r w:rsidR="005C7C8F">
        <w:t xml:space="preserve"> sumarizuje nasledujúca tabuľka.</w:t>
      </w:r>
    </w:p>
    <w:tbl>
      <w:tblPr>
        <w:tblW w:w="933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4A0" w:firstRow="1" w:lastRow="0" w:firstColumn="1" w:lastColumn="0" w:noHBand="0" w:noVBand="1"/>
      </w:tblPr>
      <w:tblGrid>
        <w:gridCol w:w="4106"/>
        <w:gridCol w:w="1134"/>
        <w:gridCol w:w="992"/>
        <w:gridCol w:w="1418"/>
        <w:gridCol w:w="855"/>
        <w:gridCol w:w="830"/>
      </w:tblGrid>
      <w:tr w:rsidR="00CA5523" w:rsidRPr="00C65CAA" w14:paraId="278D5D4B" w14:textId="77777777" w:rsidTr="006C4F5B">
        <w:trPr>
          <w:trHeight w:val="20"/>
          <w:tblHeader/>
          <w:jc w:val="center"/>
        </w:trPr>
        <w:tc>
          <w:tcPr>
            <w:tcW w:w="4106" w:type="dxa"/>
            <w:tcBorders>
              <w:top w:val="single" w:sz="4" w:space="0" w:color="auto"/>
              <w:left w:val="single" w:sz="4" w:space="0" w:color="auto"/>
              <w:bottom w:val="single" w:sz="4" w:space="0" w:color="auto"/>
              <w:right w:val="single" w:sz="4" w:space="0" w:color="FFFFFF"/>
            </w:tcBorders>
            <w:shd w:val="clear" w:color="auto" w:fill="0070C0"/>
            <w:noWrap/>
            <w:vAlign w:val="center"/>
          </w:tcPr>
          <w:p w14:paraId="5B2650AC"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Názov ukazovateľa</w:t>
            </w:r>
          </w:p>
          <w:p w14:paraId="67F1C18E"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(v tis. eur)</w:t>
            </w:r>
          </w:p>
        </w:tc>
        <w:tc>
          <w:tcPr>
            <w:tcW w:w="1134" w:type="dxa"/>
            <w:tcBorders>
              <w:top w:val="single" w:sz="4" w:space="0" w:color="auto"/>
              <w:left w:val="single" w:sz="4" w:space="0" w:color="FFFFFF"/>
              <w:bottom w:val="single" w:sz="4" w:space="0" w:color="auto"/>
              <w:right w:val="single" w:sz="4" w:space="0" w:color="FFFFFF"/>
            </w:tcBorders>
            <w:shd w:val="clear" w:color="auto" w:fill="0070C0"/>
            <w:vAlign w:val="center"/>
          </w:tcPr>
          <w:p w14:paraId="409B5414"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Skutočnosť</w:t>
            </w:r>
          </w:p>
          <w:p w14:paraId="21F567E5" w14:textId="77777777" w:rsidR="00CA5523" w:rsidRPr="00C65CAA" w:rsidRDefault="00CA5523" w:rsidP="006C4F5B">
            <w:pPr>
              <w:jc w:val="center"/>
              <w:rPr>
                <w:b/>
                <w:bCs/>
                <w:color w:val="FFFFFF" w:themeColor="background1"/>
                <w:sz w:val="20"/>
                <w:szCs w:val="20"/>
              </w:rPr>
            </w:pPr>
            <w:r>
              <w:rPr>
                <w:b/>
                <w:bCs/>
                <w:color w:val="FFFFFF" w:themeColor="background1"/>
                <w:sz w:val="20"/>
                <w:szCs w:val="20"/>
              </w:rPr>
              <w:t>2018</w:t>
            </w:r>
          </w:p>
        </w:tc>
        <w:tc>
          <w:tcPr>
            <w:tcW w:w="992" w:type="dxa"/>
            <w:tcBorders>
              <w:top w:val="single" w:sz="4" w:space="0" w:color="auto"/>
              <w:left w:val="single" w:sz="4" w:space="0" w:color="FFFFFF"/>
              <w:bottom w:val="single" w:sz="4" w:space="0" w:color="auto"/>
              <w:right w:val="single" w:sz="4" w:space="0" w:color="FFFFFF"/>
            </w:tcBorders>
            <w:shd w:val="clear" w:color="auto" w:fill="0070C0"/>
            <w:vAlign w:val="center"/>
          </w:tcPr>
          <w:p w14:paraId="5E9F93DB"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Rozpočet</w:t>
            </w:r>
          </w:p>
          <w:p w14:paraId="2AF82655" w14:textId="77777777" w:rsidR="00CA5523" w:rsidRPr="00C65CAA" w:rsidRDefault="00CA5523" w:rsidP="006C4F5B">
            <w:pPr>
              <w:jc w:val="center"/>
              <w:rPr>
                <w:b/>
                <w:bCs/>
                <w:color w:val="FFFFFF" w:themeColor="background1"/>
                <w:sz w:val="20"/>
                <w:szCs w:val="20"/>
              </w:rPr>
            </w:pPr>
            <w:r>
              <w:rPr>
                <w:b/>
                <w:bCs/>
                <w:color w:val="FFFFFF" w:themeColor="background1"/>
                <w:sz w:val="20"/>
                <w:szCs w:val="20"/>
              </w:rPr>
              <w:t>2019</w:t>
            </w:r>
          </w:p>
        </w:tc>
        <w:tc>
          <w:tcPr>
            <w:tcW w:w="1418" w:type="dxa"/>
            <w:tcBorders>
              <w:top w:val="single" w:sz="4" w:space="0" w:color="auto"/>
              <w:left w:val="single" w:sz="4" w:space="0" w:color="FFFFFF"/>
              <w:bottom w:val="single" w:sz="4" w:space="0" w:color="auto"/>
              <w:right w:val="single" w:sz="4" w:space="0" w:color="FFFFFF"/>
            </w:tcBorders>
            <w:shd w:val="clear" w:color="auto" w:fill="0070C0"/>
            <w:vAlign w:val="center"/>
          </w:tcPr>
          <w:p w14:paraId="0CE34254"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Návrh rozpočtu</w:t>
            </w:r>
          </w:p>
          <w:p w14:paraId="057453E1" w14:textId="77777777" w:rsidR="00CA5523" w:rsidRPr="00C65CAA" w:rsidRDefault="00CA5523" w:rsidP="006C4F5B">
            <w:pPr>
              <w:jc w:val="center"/>
              <w:rPr>
                <w:b/>
                <w:bCs/>
                <w:color w:val="FFFFFF" w:themeColor="background1"/>
                <w:sz w:val="20"/>
                <w:szCs w:val="20"/>
              </w:rPr>
            </w:pPr>
            <w:r>
              <w:rPr>
                <w:b/>
                <w:bCs/>
                <w:color w:val="FFFFFF" w:themeColor="background1"/>
                <w:sz w:val="20"/>
                <w:szCs w:val="20"/>
              </w:rPr>
              <w:t>2020</w:t>
            </w:r>
          </w:p>
        </w:tc>
        <w:tc>
          <w:tcPr>
            <w:tcW w:w="855" w:type="dxa"/>
            <w:tcBorders>
              <w:top w:val="single" w:sz="4" w:space="0" w:color="auto"/>
              <w:left w:val="single" w:sz="4" w:space="0" w:color="FFFFFF"/>
              <w:bottom w:val="single" w:sz="4" w:space="0" w:color="auto"/>
              <w:right w:val="single" w:sz="4" w:space="0" w:color="FFFFFF"/>
            </w:tcBorders>
            <w:shd w:val="clear" w:color="auto" w:fill="0070C0"/>
            <w:vAlign w:val="center"/>
          </w:tcPr>
          <w:p w14:paraId="5AC29D87"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Rozdiel</w:t>
            </w:r>
          </w:p>
        </w:tc>
        <w:tc>
          <w:tcPr>
            <w:tcW w:w="830" w:type="dxa"/>
            <w:tcBorders>
              <w:top w:val="single" w:sz="4" w:space="0" w:color="auto"/>
              <w:left w:val="single" w:sz="4" w:space="0" w:color="FFFFFF"/>
              <w:bottom w:val="single" w:sz="4" w:space="0" w:color="auto"/>
              <w:right w:val="single" w:sz="4" w:space="0" w:color="auto"/>
            </w:tcBorders>
            <w:shd w:val="clear" w:color="auto" w:fill="0070C0"/>
            <w:noWrap/>
            <w:vAlign w:val="center"/>
          </w:tcPr>
          <w:p w14:paraId="7722261F"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 xml:space="preserve">Podiel </w:t>
            </w:r>
          </w:p>
          <w:p w14:paraId="741D6A8B" w14:textId="77777777" w:rsidR="00CA5523" w:rsidRPr="00C65CAA" w:rsidRDefault="00CA5523" w:rsidP="006C4F5B">
            <w:pPr>
              <w:jc w:val="center"/>
              <w:rPr>
                <w:b/>
                <w:bCs/>
                <w:color w:val="FFFFFF" w:themeColor="background1"/>
                <w:sz w:val="20"/>
                <w:szCs w:val="20"/>
              </w:rPr>
            </w:pPr>
            <w:r w:rsidRPr="00C65CAA">
              <w:rPr>
                <w:b/>
                <w:bCs/>
                <w:color w:val="FFFFFF" w:themeColor="background1"/>
                <w:sz w:val="20"/>
                <w:szCs w:val="20"/>
              </w:rPr>
              <w:t>v %</w:t>
            </w:r>
          </w:p>
        </w:tc>
      </w:tr>
      <w:tr w:rsidR="00CA5523" w:rsidRPr="00C65CAA" w14:paraId="6D103B25" w14:textId="77777777" w:rsidTr="006C4F5B">
        <w:trPr>
          <w:trHeight w:val="20"/>
          <w:tblHeader/>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D764" w14:textId="77777777" w:rsidR="00CA5523" w:rsidRPr="00C65CAA" w:rsidRDefault="00CA5523" w:rsidP="006C4F5B">
            <w:pPr>
              <w:jc w:val="center"/>
              <w:rPr>
                <w:rFonts w:eastAsia="Calibri" w:cs="Arial"/>
                <w:sz w:val="18"/>
                <w:szCs w:val="18"/>
              </w:rPr>
            </w:pPr>
            <w:r w:rsidRPr="00C65CAA">
              <w:rPr>
                <w:rFonts w:eastAsia="Calibri" w:cs="Arial"/>
                <w:sz w:val="18"/>
                <w:szCs w:val="18"/>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40CAA" w14:textId="77777777" w:rsidR="00CA5523" w:rsidRPr="00C65CAA" w:rsidRDefault="00CA5523" w:rsidP="006C4F5B">
            <w:pPr>
              <w:jc w:val="center"/>
              <w:rPr>
                <w:rFonts w:eastAsia="Calibri" w:cs="Arial"/>
                <w:sz w:val="18"/>
                <w:szCs w:val="18"/>
              </w:rPr>
            </w:pPr>
            <w:r w:rsidRPr="00C65CAA">
              <w:rPr>
                <w:rFonts w:eastAsia="Calibri" w:cs="Arial"/>
                <w:sz w:val="18"/>
                <w:szCs w:val="18"/>
              </w:rPr>
              <w:t>1</w:t>
            </w:r>
          </w:p>
        </w:tc>
        <w:tc>
          <w:tcPr>
            <w:tcW w:w="992" w:type="dxa"/>
            <w:tcBorders>
              <w:top w:val="single" w:sz="4" w:space="0" w:color="auto"/>
              <w:left w:val="single" w:sz="4" w:space="0" w:color="auto"/>
              <w:bottom w:val="single" w:sz="4" w:space="0" w:color="auto"/>
              <w:right w:val="single" w:sz="4" w:space="0" w:color="auto"/>
            </w:tcBorders>
          </w:tcPr>
          <w:p w14:paraId="71B6C0FA" w14:textId="77777777" w:rsidR="00CA5523" w:rsidRPr="00C65CAA" w:rsidRDefault="00CA5523" w:rsidP="006C4F5B">
            <w:pPr>
              <w:jc w:val="center"/>
              <w:rPr>
                <w:rFonts w:eastAsia="Calibri" w:cs="Arial"/>
                <w:sz w:val="18"/>
                <w:szCs w:val="18"/>
              </w:rPr>
            </w:pPr>
            <w:r w:rsidRPr="00C65CAA">
              <w:rPr>
                <w:rFonts w:eastAsia="Calibri" w:cs="Arial"/>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63441" w14:textId="77777777" w:rsidR="00CA5523" w:rsidRPr="00C65CAA" w:rsidRDefault="00CA5523" w:rsidP="006C4F5B">
            <w:pPr>
              <w:jc w:val="center"/>
              <w:rPr>
                <w:rFonts w:eastAsia="Calibri" w:cs="Arial"/>
                <w:sz w:val="18"/>
                <w:szCs w:val="18"/>
              </w:rPr>
            </w:pPr>
            <w:r w:rsidRPr="00C65CAA">
              <w:rPr>
                <w:rFonts w:eastAsia="Calibri" w:cs="Arial"/>
                <w:sz w:val="18"/>
                <w:szCs w:val="18"/>
              </w:rPr>
              <w:t>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57C9" w14:textId="77777777" w:rsidR="00CA5523" w:rsidRPr="00C65CAA" w:rsidRDefault="00CA5523" w:rsidP="006C4F5B">
            <w:pPr>
              <w:jc w:val="center"/>
              <w:rPr>
                <w:rFonts w:eastAsia="Calibri" w:cs="Arial"/>
                <w:sz w:val="18"/>
                <w:szCs w:val="18"/>
              </w:rPr>
            </w:pPr>
            <w:r w:rsidRPr="00C65CAA">
              <w:rPr>
                <w:rFonts w:eastAsia="Calibri" w:cs="Arial"/>
                <w:sz w:val="18"/>
                <w:szCs w:val="18"/>
              </w:rPr>
              <w:t>4=3-2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A060" w14:textId="77777777" w:rsidR="00CA5523" w:rsidRPr="00C65CAA" w:rsidRDefault="00CA5523" w:rsidP="006C4F5B">
            <w:pPr>
              <w:jc w:val="center"/>
              <w:rPr>
                <w:rFonts w:eastAsia="Calibri" w:cs="Arial"/>
                <w:sz w:val="18"/>
                <w:szCs w:val="18"/>
              </w:rPr>
            </w:pPr>
            <w:r w:rsidRPr="00C65CAA">
              <w:rPr>
                <w:rFonts w:eastAsia="Calibri" w:cs="Arial"/>
                <w:sz w:val="18"/>
                <w:szCs w:val="18"/>
              </w:rPr>
              <w:t>5=3/2*100</w:t>
            </w:r>
          </w:p>
        </w:tc>
      </w:tr>
      <w:tr w:rsidR="007E3200" w:rsidRPr="00C65CAA" w14:paraId="27089393" w14:textId="77777777" w:rsidTr="007E3200">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2B9E418" w14:textId="77777777" w:rsidR="007E3200" w:rsidRPr="00056BE0" w:rsidRDefault="007E3200" w:rsidP="007E3200">
            <w:pPr>
              <w:rPr>
                <w:rFonts w:eastAsia="Calibri" w:cs="Arial CE"/>
                <w:b/>
                <w:bCs/>
                <w:sz w:val="20"/>
                <w:szCs w:val="20"/>
              </w:rPr>
            </w:pPr>
            <w:r w:rsidRPr="00056BE0">
              <w:rPr>
                <w:rFonts w:eastAsia="Calibri" w:cs="Arial CE"/>
                <w:b/>
                <w:bCs/>
                <w:sz w:val="20"/>
                <w:szCs w:val="20"/>
              </w:rPr>
              <w:t>Nedaňové príjmy spolu</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07024B1" w14:textId="77777777" w:rsidR="007E3200" w:rsidRPr="00056BE0" w:rsidRDefault="007E3200" w:rsidP="007E3200">
            <w:pPr>
              <w:jc w:val="right"/>
              <w:rPr>
                <w:rFonts w:cs="Arial"/>
                <w:b/>
                <w:bCs/>
                <w:sz w:val="20"/>
                <w:szCs w:val="20"/>
              </w:rPr>
            </w:pPr>
            <w:r w:rsidRPr="00056BE0">
              <w:rPr>
                <w:rFonts w:cs="Arial"/>
                <w:b/>
                <w:bCs/>
                <w:sz w:val="20"/>
                <w:szCs w:val="20"/>
              </w:rPr>
              <w:t>1 211 597</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bottom"/>
          </w:tcPr>
          <w:p w14:paraId="793C6813" w14:textId="77777777" w:rsidR="007E3200" w:rsidRPr="00056BE0" w:rsidRDefault="007E3200" w:rsidP="007E3200">
            <w:pPr>
              <w:jc w:val="right"/>
              <w:rPr>
                <w:rFonts w:cs="Arial"/>
                <w:b/>
                <w:bCs/>
                <w:sz w:val="20"/>
                <w:szCs w:val="20"/>
              </w:rPr>
            </w:pPr>
            <w:r w:rsidRPr="00056BE0">
              <w:rPr>
                <w:rFonts w:cs="Arial"/>
                <w:b/>
                <w:bCs/>
                <w:sz w:val="20"/>
                <w:szCs w:val="20"/>
              </w:rPr>
              <w:t>1 331 345</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D718F93" w14:textId="77777777" w:rsidR="007E3200" w:rsidRPr="00056BE0" w:rsidRDefault="007E3200" w:rsidP="007E3200">
            <w:pPr>
              <w:jc w:val="right"/>
              <w:rPr>
                <w:rFonts w:cs="Arial"/>
                <w:b/>
                <w:bCs/>
                <w:sz w:val="20"/>
                <w:szCs w:val="20"/>
              </w:rPr>
            </w:pPr>
            <w:r w:rsidRPr="00056BE0">
              <w:rPr>
                <w:rFonts w:cs="Arial"/>
                <w:b/>
                <w:bCs/>
                <w:sz w:val="20"/>
                <w:szCs w:val="20"/>
              </w:rPr>
              <w:t>1 263 764</w:t>
            </w:r>
          </w:p>
        </w:tc>
        <w:tc>
          <w:tcPr>
            <w:tcW w:w="85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89DB8D2" w14:textId="77777777" w:rsidR="007E3200" w:rsidRPr="007E3200" w:rsidRDefault="007E3200" w:rsidP="007E3200">
            <w:pPr>
              <w:jc w:val="right"/>
              <w:rPr>
                <w:rFonts w:eastAsia="Times New Roman" w:cs="Arial"/>
                <w:b/>
                <w:bCs/>
                <w:sz w:val="20"/>
                <w:szCs w:val="20"/>
                <w:lang w:eastAsia="sk-SK"/>
              </w:rPr>
            </w:pPr>
            <w:r w:rsidRPr="007E3200">
              <w:rPr>
                <w:rFonts w:eastAsia="Times New Roman" w:cs="Arial"/>
                <w:b/>
                <w:bCs/>
                <w:sz w:val="20"/>
                <w:szCs w:val="20"/>
                <w:lang w:eastAsia="sk-SK"/>
              </w:rPr>
              <w:t>-67 581</w:t>
            </w:r>
          </w:p>
        </w:tc>
        <w:tc>
          <w:tcPr>
            <w:tcW w:w="83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5C80F87" w14:textId="77777777" w:rsidR="007E3200" w:rsidRPr="00056BE0" w:rsidRDefault="007E3200" w:rsidP="007E3200">
            <w:pPr>
              <w:jc w:val="right"/>
              <w:rPr>
                <w:rFonts w:cs="Arial"/>
                <w:b/>
                <w:bCs/>
                <w:sz w:val="20"/>
                <w:szCs w:val="20"/>
              </w:rPr>
            </w:pPr>
            <w:r w:rsidRPr="00056BE0">
              <w:rPr>
                <w:rFonts w:cs="Arial"/>
                <w:b/>
                <w:bCs/>
                <w:sz w:val="20"/>
                <w:szCs w:val="20"/>
              </w:rPr>
              <w:t>94,9</w:t>
            </w:r>
          </w:p>
        </w:tc>
      </w:tr>
      <w:tr w:rsidR="007E3200" w:rsidRPr="00C65CAA" w14:paraId="101F70F4" w14:textId="77777777" w:rsidTr="007E3200">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2269A" w14:textId="77777777" w:rsidR="007E3200" w:rsidRPr="00C65CAA" w:rsidRDefault="007E3200" w:rsidP="007E3200">
            <w:pPr>
              <w:rPr>
                <w:rFonts w:eastAsia="Calibri" w:cs="Arial CE"/>
                <w:sz w:val="20"/>
                <w:szCs w:val="20"/>
              </w:rPr>
            </w:pPr>
            <w:r w:rsidRPr="00C65CAA">
              <w:rPr>
                <w:rFonts w:eastAsia="Calibri" w:cs="Arial CE"/>
                <w:sz w:val="20"/>
                <w:szCs w:val="20"/>
              </w:rPr>
              <w:t>Príjmy z podnikania a z vlastníctva majetku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F9E43" w14:textId="77777777" w:rsidR="007E3200" w:rsidRPr="00056BE0" w:rsidRDefault="007E3200" w:rsidP="007E3200">
            <w:pPr>
              <w:jc w:val="right"/>
              <w:rPr>
                <w:rFonts w:cs="Arial"/>
                <w:bCs/>
                <w:sz w:val="20"/>
                <w:szCs w:val="20"/>
              </w:rPr>
            </w:pPr>
            <w:r w:rsidRPr="00056BE0">
              <w:rPr>
                <w:rFonts w:cs="Arial"/>
                <w:bCs/>
                <w:sz w:val="20"/>
                <w:szCs w:val="20"/>
              </w:rPr>
              <w:t>451 114</w:t>
            </w:r>
          </w:p>
        </w:tc>
        <w:tc>
          <w:tcPr>
            <w:tcW w:w="992" w:type="dxa"/>
            <w:tcBorders>
              <w:top w:val="single" w:sz="4" w:space="0" w:color="auto"/>
              <w:left w:val="single" w:sz="4" w:space="0" w:color="auto"/>
              <w:bottom w:val="single" w:sz="4" w:space="0" w:color="auto"/>
              <w:right w:val="single" w:sz="4" w:space="0" w:color="auto"/>
            </w:tcBorders>
            <w:vAlign w:val="bottom"/>
          </w:tcPr>
          <w:p w14:paraId="5D4752A5" w14:textId="77777777" w:rsidR="007E3200" w:rsidRPr="00056BE0" w:rsidRDefault="007E3200" w:rsidP="007E3200">
            <w:pPr>
              <w:jc w:val="right"/>
              <w:rPr>
                <w:rFonts w:cs="Arial"/>
                <w:bCs/>
                <w:sz w:val="20"/>
                <w:szCs w:val="20"/>
              </w:rPr>
            </w:pPr>
            <w:r w:rsidRPr="00056BE0">
              <w:rPr>
                <w:rFonts w:cs="Arial"/>
                <w:bCs/>
                <w:sz w:val="20"/>
                <w:szCs w:val="20"/>
              </w:rPr>
              <w:t>443 659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A69C6" w14:textId="77777777" w:rsidR="007E3200" w:rsidRPr="00056BE0" w:rsidRDefault="007E3200" w:rsidP="007E3200">
            <w:pPr>
              <w:jc w:val="right"/>
              <w:rPr>
                <w:rFonts w:cs="Arial"/>
                <w:bCs/>
                <w:sz w:val="20"/>
                <w:szCs w:val="20"/>
              </w:rPr>
            </w:pPr>
            <w:r w:rsidRPr="00056BE0">
              <w:rPr>
                <w:rFonts w:cs="Arial"/>
                <w:bCs/>
                <w:sz w:val="20"/>
                <w:szCs w:val="20"/>
              </w:rPr>
              <w:t>449 239</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87EA3" w14:textId="77777777" w:rsidR="007E3200" w:rsidRPr="007E3200" w:rsidRDefault="007E3200" w:rsidP="007E3200">
            <w:pPr>
              <w:jc w:val="right"/>
              <w:rPr>
                <w:rFonts w:eastAsia="Times New Roman" w:cs="Arial"/>
                <w:sz w:val="20"/>
                <w:szCs w:val="20"/>
                <w:lang w:eastAsia="sk-SK"/>
              </w:rPr>
            </w:pPr>
            <w:r w:rsidRPr="007E3200">
              <w:rPr>
                <w:rFonts w:eastAsia="Times New Roman" w:cs="Arial"/>
                <w:sz w:val="20"/>
                <w:szCs w:val="20"/>
                <w:lang w:eastAsia="sk-SK"/>
              </w:rPr>
              <w:t>5 580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F056A" w14:textId="77777777" w:rsidR="007E3200" w:rsidRPr="00056BE0" w:rsidRDefault="007E3200" w:rsidP="007E3200">
            <w:pPr>
              <w:jc w:val="right"/>
              <w:rPr>
                <w:rFonts w:cs="Arial"/>
                <w:bCs/>
                <w:sz w:val="20"/>
                <w:szCs w:val="20"/>
              </w:rPr>
            </w:pPr>
            <w:r w:rsidRPr="00056BE0">
              <w:rPr>
                <w:rFonts w:cs="Arial"/>
                <w:bCs/>
                <w:sz w:val="20"/>
                <w:szCs w:val="20"/>
              </w:rPr>
              <w:t>101,3</w:t>
            </w:r>
          </w:p>
        </w:tc>
      </w:tr>
      <w:tr w:rsidR="007E3200" w:rsidRPr="00C65CAA" w14:paraId="36703B00" w14:textId="77777777" w:rsidTr="007E3200">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CF205" w14:textId="77777777" w:rsidR="007E3200" w:rsidRPr="00C65CAA" w:rsidRDefault="007E3200" w:rsidP="007E3200">
            <w:pPr>
              <w:rPr>
                <w:rFonts w:eastAsia="Calibri" w:cs="Arial CE"/>
                <w:sz w:val="20"/>
                <w:szCs w:val="20"/>
              </w:rPr>
            </w:pPr>
            <w:r w:rsidRPr="00C65CAA">
              <w:rPr>
                <w:rFonts w:eastAsia="Calibri" w:cs="Arial CE"/>
                <w:sz w:val="20"/>
                <w:szCs w:val="20"/>
              </w:rPr>
              <w:t>Administratívne poplatky a iné poplatky a platby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7831" w14:textId="77777777" w:rsidR="007E3200" w:rsidRPr="00056BE0" w:rsidRDefault="007E3200" w:rsidP="007E3200">
            <w:pPr>
              <w:jc w:val="right"/>
              <w:rPr>
                <w:rFonts w:cs="Arial"/>
                <w:bCs/>
                <w:sz w:val="20"/>
                <w:szCs w:val="20"/>
              </w:rPr>
            </w:pPr>
            <w:r w:rsidRPr="00056BE0">
              <w:rPr>
                <w:rFonts w:cs="Arial"/>
                <w:bCs/>
                <w:sz w:val="20"/>
                <w:szCs w:val="20"/>
              </w:rPr>
              <w:t>345 637</w:t>
            </w:r>
          </w:p>
        </w:tc>
        <w:tc>
          <w:tcPr>
            <w:tcW w:w="992" w:type="dxa"/>
            <w:tcBorders>
              <w:top w:val="single" w:sz="4" w:space="0" w:color="auto"/>
              <w:left w:val="single" w:sz="4" w:space="0" w:color="auto"/>
              <w:bottom w:val="single" w:sz="4" w:space="0" w:color="auto"/>
              <w:right w:val="single" w:sz="4" w:space="0" w:color="auto"/>
            </w:tcBorders>
            <w:vAlign w:val="bottom"/>
          </w:tcPr>
          <w:p w14:paraId="1798C97E" w14:textId="77777777" w:rsidR="007E3200" w:rsidRPr="00056BE0" w:rsidRDefault="007E3200" w:rsidP="007E3200">
            <w:pPr>
              <w:jc w:val="right"/>
              <w:rPr>
                <w:rFonts w:cs="Arial"/>
                <w:bCs/>
                <w:sz w:val="20"/>
                <w:szCs w:val="20"/>
              </w:rPr>
            </w:pPr>
            <w:r w:rsidRPr="00056BE0">
              <w:rPr>
                <w:rFonts w:cs="Arial"/>
                <w:bCs/>
                <w:sz w:val="20"/>
                <w:szCs w:val="20"/>
              </w:rPr>
              <w:t>416 716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6AA82" w14:textId="77777777" w:rsidR="007E3200" w:rsidRPr="00056BE0" w:rsidRDefault="007E3200" w:rsidP="007E3200">
            <w:pPr>
              <w:jc w:val="right"/>
              <w:rPr>
                <w:rFonts w:cs="Arial"/>
                <w:bCs/>
                <w:sz w:val="20"/>
                <w:szCs w:val="20"/>
              </w:rPr>
            </w:pPr>
            <w:r w:rsidRPr="00056BE0">
              <w:rPr>
                <w:rFonts w:cs="Arial"/>
                <w:bCs/>
                <w:sz w:val="20"/>
                <w:szCs w:val="20"/>
              </w:rPr>
              <w:t>378 784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1EDB" w14:textId="77777777" w:rsidR="007E3200" w:rsidRPr="007E3200" w:rsidRDefault="007E3200" w:rsidP="007E3200">
            <w:pPr>
              <w:jc w:val="right"/>
              <w:rPr>
                <w:rFonts w:eastAsia="Times New Roman" w:cs="Arial"/>
                <w:sz w:val="20"/>
                <w:szCs w:val="20"/>
                <w:lang w:eastAsia="sk-SK"/>
              </w:rPr>
            </w:pPr>
            <w:r w:rsidRPr="007E3200">
              <w:rPr>
                <w:rFonts w:eastAsia="Times New Roman" w:cs="Arial"/>
                <w:sz w:val="20"/>
                <w:szCs w:val="20"/>
                <w:lang w:eastAsia="sk-SK"/>
              </w:rPr>
              <w:t>-37 932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4AB67" w14:textId="77777777" w:rsidR="007E3200" w:rsidRPr="00056BE0" w:rsidRDefault="007E3200" w:rsidP="007E3200">
            <w:pPr>
              <w:jc w:val="right"/>
              <w:rPr>
                <w:rFonts w:cs="Arial"/>
                <w:bCs/>
                <w:sz w:val="20"/>
                <w:szCs w:val="20"/>
              </w:rPr>
            </w:pPr>
            <w:r w:rsidRPr="00056BE0">
              <w:rPr>
                <w:rFonts w:cs="Arial"/>
                <w:bCs/>
                <w:sz w:val="20"/>
                <w:szCs w:val="20"/>
              </w:rPr>
              <w:t>90,9</w:t>
            </w:r>
          </w:p>
        </w:tc>
      </w:tr>
      <w:tr w:rsidR="007E3200" w:rsidRPr="00C65CAA" w14:paraId="099F9C2A" w14:textId="77777777" w:rsidTr="007E3200">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44BC4" w14:textId="77777777" w:rsidR="007E3200" w:rsidRPr="00C65CAA" w:rsidRDefault="007E3200" w:rsidP="007E3200">
            <w:pPr>
              <w:rPr>
                <w:rFonts w:eastAsia="Calibri" w:cs="Arial CE"/>
                <w:sz w:val="20"/>
                <w:szCs w:val="20"/>
              </w:rPr>
            </w:pPr>
            <w:r w:rsidRPr="00C65CAA">
              <w:rPr>
                <w:rFonts w:eastAsia="Calibri" w:cs="Arial CE"/>
                <w:sz w:val="20"/>
                <w:szCs w:val="20"/>
              </w:rPr>
              <w:t>Kapitálové príjmy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B4CBB" w14:textId="77777777" w:rsidR="007E3200" w:rsidRPr="00056BE0" w:rsidRDefault="007E3200" w:rsidP="007E3200">
            <w:pPr>
              <w:jc w:val="right"/>
              <w:rPr>
                <w:rFonts w:cs="Arial"/>
                <w:bCs/>
                <w:sz w:val="20"/>
                <w:szCs w:val="20"/>
              </w:rPr>
            </w:pPr>
            <w:r w:rsidRPr="00056BE0">
              <w:rPr>
                <w:rFonts w:cs="Arial"/>
                <w:bCs/>
                <w:sz w:val="20"/>
                <w:szCs w:val="20"/>
              </w:rPr>
              <w:t>10 629</w:t>
            </w:r>
          </w:p>
        </w:tc>
        <w:tc>
          <w:tcPr>
            <w:tcW w:w="992" w:type="dxa"/>
            <w:tcBorders>
              <w:top w:val="single" w:sz="4" w:space="0" w:color="auto"/>
              <w:left w:val="single" w:sz="4" w:space="0" w:color="auto"/>
              <w:bottom w:val="single" w:sz="4" w:space="0" w:color="auto"/>
              <w:right w:val="single" w:sz="4" w:space="0" w:color="auto"/>
            </w:tcBorders>
            <w:vAlign w:val="bottom"/>
          </w:tcPr>
          <w:p w14:paraId="762B9A6A" w14:textId="77777777" w:rsidR="007E3200" w:rsidRPr="00056BE0" w:rsidRDefault="007E3200" w:rsidP="007E3200">
            <w:pPr>
              <w:jc w:val="right"/>
              <w:rPr>
                <w:rFonts w:cs="Arial"/>
                <w:bCs/>
                <w:sz w:val="20"/>
                <w:szCs w:val="20"/>
              </w:rPr>
            </w:pPr>
            <w:r w:rsidRPr="00056BE0">
              <w:rPr>
                <w:rFonts w:cs="Arial"/>
                <w:bCs/>
                <w:sz w:val="20"/>
                <w:szCs w:val="20"/>
              </w:rPr>
              <w:t>52 691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FD7B6" w14:textId="77777777" w:rsidR="007E3200" w:rsidRPr="00056BE0" w:rsidRDefault="007E3200" w:rsidP="007E3200">
            <w:pPr>
              <w:jc w:val="right"/>
              <w:rPr>
                <w:rFonts w:cs="Arial"/>
                <w:bCs/>
                <w:sz w:val="20"/>
                <w:szCs w:val="20"/>
              </w:rPr>
            </w:pPr>
            <w:r w:rsidRPr="00056BE0">
              <w:rPr>
                <w:rFonts w:cs="Arial"/>
                <w:bCs/>
                <w:sz w:val="20"/>
                <w:szCs w:val="20"/>
              </w:rPr>
              <w:t>50 794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16B1" w14:textId="77777777" w:rsidR="007E3200" w:rsidRPr="007E3200" w:rsidRDefault="007E3200" w:rsidP="007E3200">
            <w:pPr>
              <w:jc w:val="right"/>
              <w:rPr>
                <w:rFonts w:eastAsia="Times New Roman" w:cs="Arial"/>
                <w:sz w:val="20"/>
                <w:szCs w:val="20"/>
                <w:lang w:eastAsia="sk-SK"/>
              </w:rPr>
            </w:pPr>
            <w:r w:rsidRPr="007E3200">
              <w:rPr>
                <w:rFonts w:eastAsia="Times New Roman" w:cs="Arial"/>
                <w:sz w:val="20"/>
                <w:szCs w:val="20"/>
                <w:lang w:eastAsia="sk-SK"/>
              </w:rPr>
              <w:t>-1 897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A5946" w14:textId="77777777" w:rsidR="007E3200" w:rsidRPr="00056BE0" w:rsidRDefault="007E3200" w:rsidP="007E3200">
            <w:pPr>
              <w:jc w:val="right"/>
              <w:rPr>
                <w:rFonts w:cs="Arial"/>
                <w:bCs/>
                <w:sz w:val="20"/>
                <w:szCs w:val="20"/>
              </w:rPr>
            </w:pPr>
            <w:r w:rsidRPr="00056BE0">
              <w:rPr>
                <w:rFonts w:cs="Arial"/>
                <w:bCs/>
                <w:sz w:val="20"/>
                <w:szCs w:val="20"/>
              </w:rPr>
              <w:t>96,4</w:t>
            </w:r>
          </w:p>
        </w:tc>
      </w:tr>
      <w:tr w:rsidR="007E3200" w:rsidRPr="00C65CAA" w14:paraId="0F885F9A" w14:textId="77777777" w:rsidTr="007E3200">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6A08B" w14:textId="77777777" w:rsidR="007E3200" w:rsidRPr="00C65CAA" w:rsidRDefault="007E3200" w:rsidP="007E3200">
            <w:pPr>
              <w:rPr>
                <w:rFonts w:eastAsia="Calibri" w:cs="Arial CE"/>
                <w:sz w:val="20"/>
                <w:szCs w:val="20"/>
              </w:rPr>
            </w:pPr>
            <w:r w:rsidRPr="00C65CAA">
              <w:rPr>
                <w:rFonts w:eastAsia="Calibri" w:cs="Arial CE"/>
                <w:sz w:val="20"/>
                <w:szCs w:val="20"/>
              </w:rPr>
              <w:t>Úroky z tuzemských a zahraničných úverov, pôžičiek, návratných finančných výpomocí, vkladov a ážio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9D190" w14:textId="77777777" w:rsidR="007E3200" w:rsidRPr="00056BE0" w:rsidRDefault="007E3200" w:rsidP="007E3200">
            <w:pPr>
              <w:jc w:val="right"/>
              <w:rPr>
                <w:rFonts w:cs="Arial"/>
                <w:bCs/>
                <w:sz w:val="20"/>
                <w:szCs w:val="20"/>
              </w:rPr>
            </w:pPr>
            <w:r w:rsidRPr="00056BE0">
              <w:rPr>
                <w:rFonts w:cs="Arial"/>
                <w:bCs/>
                <w:sz w:val="20"/>
                <w:szCs w:val="20"/>
              </w:rPr>
              <w:t>8 049</w:t>
            </w:r>
          </w:p>
        </w:tc>
        <w:tc>
          <w:tcPr>
            <w:tcW w:w="992" w:type="dxa"/>
            <w:tcBorders>
              <w:top w:val="single" w:sz="4" w:space="0" w:color="auto"/>
              <w:left w:val="single" w:sz="4" w:space="0" w:color="auto"/>
              <w:bottom w:val="single" w:sz="4" w:space="0" w:color="auto"/>
              <w:right w:val="single" w:sz="4" w:space="0" w:color="auto"/>
            </w:tcBorders>
            <w:vAlign w:val="bottom"/>
          </w:tcPr>
          <w:p w14:paraId="38A9255B" w14:textId="77777777" w:rsidR="007E3200" w:rsidRPr="00056BE0" w:rsidRDefault="007E3200" w:rsidP="007E3200">
            <w:pPr>
              <w:jc w:val="right"/>
              <w:rPr>
                <w:rFonts w:cs="Arial"/>
                <w:bCs/>
                <w:sz w:val="20"/>
                <w:szCs w:val="20"/>
              </w:rPr>
            </w:pPr>
            <w:r w:rsidRPr="00056BE0">
              <w:rPr>
                <w:rFonts w:cs="Arial"/>
                <w:bCs/>
                <w:sz w:val="20"/>
                <w:szCs w:val="20"/>
              </w:rPr>
              <w:t>6 754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AD5B2" w14:textId="77777777" w:rsidR="007E3200" w:rsidRPr="00056BE0" w:rsidRDefault="007E3200" w:rsidP="007E3200">
            <w:pPr>
              <w:jc w:val="right"/>
              <w:rPr>
                <w:rFonts w:cs="Arial"/>
                <w:bCs/>
                <w:sz w:val="20"/>
                <w:szCs w:val="20"/>
              </w:rPr>
            </w:pPr>
            <w:r w:rsidRPr="00056BE0">
              <w:rPr>
                <w:rFonts w:cs="Arial"/>
                <w:bCs/>
                <w:sz w:val="20"/>
                <w:szCs w:val="20"/>
              </w:rPr>
              <w:t>6 472</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4EBFF" w14:textId="77777777" w:rsidR="007E3200" w:rsidRPr="007E3200" w:rsidRDefault="007E3200" w:rsidP="007E3200">
            <w:pPr>
              <w:jc w:val="right"/>
              <w:rPr>
                <w:rFonts w:cs="Arial"/>
                <w:bCs/>
                <w:sz w:val="20"/>
                <w:szCs w:val="20"/>
              </w:rPr>
            </w:pPr>
            <w:r w:rsidRPr="007E3200">
              <w:rPr>
                <w:rFonts w:cs="Arial"/>
                <w:bCs/>
                <w:sz w:val="20"/>
                <w:szCs w:val="20"/>
              </w:rPr>
              <w:t>-282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E89C6" w14:textId="77777777" w:rsidR="007E3200" w:rsidRPr="007E3200" w:rsidRDefault="007E3200" w:rsidP="007E3200">
            <w:pPr>
              <w:jc w:val="right"/>
              <w:rPr>
                <w:rFonts w:cs="Arial"/>
                <w:bCs/>
                <w:sz w:val="20"/>
                <w:szCs w:val="20"/>
              </w:rPr>
            </w:pPr>
            <w:r w:rsidRPr="007E3200">
              <w:rPr>
                <w:rFonts w:cs="Arial"/>
                <w:bCs/>
                <w:sz w:val="20"/>
                <w:szCs w:val="20"/>
              </w:rPr>
              <w:t>95,8</w:t>
            </w:r>
          </w:p>
        </w:tc>
      </w:tr>
      <w:tr w:rsidR="007E3200" w:rsidRPr="00C65CAA" w14:paraId="7958771F" w14:textId="77777777" w:rsidTr="007E3200">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8555B" w14:textId="77777777" w:rsidR="007E3200" w:rsidRPr="00C65CAA" w:rsidRDefault="007E3200" w:rsidP="007E3200">
            <w:pPr>
              <w:rPr>
                <w:rFonts w:eastAsia="Calibri" w:cs="Arial CE"/>
                <w:sz w:val="20"/>
                <w:szCs w:val="20"/>
              </w:rPr>
            </w:pPr>
            <w:r w:rsidRPr="00C65CAA">
              <w:rPr>
                <w:rFonts w:eastAsia="Calibri" w:cs="Arial CE"/>
                <w:sz w:val="20"/>
                <w:szCs w:val="20"/>
              </w:rPr>
              <w:t>Iné nedaňové príjmy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F9007" w14:textId="77777777" w:rsidR="007E3200" w:rsidRPr="00056BE0" w:rsidRDefault="007E3200" w:rsidP="007E3200">
            <w:pPr>
              <w:jc w:val="right"/>
              <w:rPr>
                <w:rFonts w:cs="Arial"/>
                <w:bCs/>
                <w:sz w:val="20"/>
                <w:szCs w:val="20"/>
              </w:rPr>
            </w:pPr>
            <w:r w:rsidRPr="00056BE0">
              <w:rPr>
                <w:rFonts w:cs="Arial"/>
                <w:bCs/>
                <w:sz w:val="20"/>
                <w:szCs w:val="20"/>
              </w:rPr>
              <w:t>396 168</w:t>
            </w:r>
          </w:p>
        </w:tc>
        <w:tc>
          <w:tcPr>
            <w:tcW w:w="992" w:type="dxa"/>
            <w:tcBorders>
              <w:top w:val="single" w:sz="4" w:space="0" w:color="auto"/>
              <w:left w:val="single" w:sz="4" w:space="0" w:color="auto"/>
              <w:bottom w:val="single" w:sz="4" w:space="0" w:color="auto"/>
              <w:right w:val="single" w:sz="4" w:space="0" w:color="auto"/>
            </w:tcBorders>
            <w:vAlign w:val="bottom"/>
          </w:tcPr>
          <w:p w14:paraId="7DC51BB4" w14:textId="77777777" w:rsidR="007E3200" w:rsidRPr="00056BE0" w:rsidRDefault="007E3200" w:rsidP="007E3200">
            <w:pPr>
              <w:jc w:val="right"/>
              <w:rPr>
                <w:rFonts w:cs="Arial"/>
                <w:bCs/>
                <w:sz w:val="20"/>
                <w:szCs w:val="20"/>
              </w:rPr>
            </w:pPr>
            <w:r w:rsidRPr="00056BE0">
              <w:rPr>
                <w:rFonts w:cs="Arial"/>
                <w:bCs/>
                <w:sz w:val="20"/>
                <w:szCs w:val="20"/>
              </w:rPr>
              <w:t>411 524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4CD51" w14:textId="77777777" w:rsidR="007E3200" w:rsidRPr="00056BE0" w:rsidRDefault="007E3200" w:rsidP="007E3200">
            <w:pPr>
              <w:jc w:val="right"/>
              <w:rPr>
                <w:rFonts w:cs="Arial"/>
                <w:bCs/>
                <w:sz w:val="20"/>
                <w:szCs w:val="20"/>
              </w:rPr>
            </w:pPr>
            <w:r w:rsidRPr="00056BE0">
              <w:rPr>
                <w:rFonts w:cs="Arial"/>
                <w:bCs/>
                <w:sz w:val="20"/>
                <w:szCs w:val="20"/>
              </w:rPr>
              <w:t>378 475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558E4" w14:textId="77777777" w:rsidR="007E3200" w:rsidRPr="007E3200" w:rsidRDefault="007E3200" w:rsidP="007E3200">
            <w:pPr>
              <w:jc w:val="right"/>
              <w:rPr>
                <w:rFonts w:eastAsia="Times New Roman" w:cs="Arial"/>
                <w:sz w:val="20"/>
                <w:szCs w:val="20"/>
                <w:lang w:eastAsia="sk-SK"/>
              </w:rPr>
            </w:pPr>
            <w:r w:rsidRPr="007E3200">
              <w:rPr>
                <w:rFonts w:eastAsia="Times New Roman" w:cs="Arial"/>
                <w:sz w:val="20"/>
                <w:szCs w:val="20"/>
                <w:lang w:eastAsia="sk-SK"/>
              </w:rPr>
              <w:t>-33 049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01312" w14:textId="77777777" w:rsidR="007E3200" w:rsidRPr="00056BE0" w:rsidRDefault="007E3200" w:rsidP="007E3200">
            <w:pPr>
              <w:jc w:val="right"/>
              <w:rPr>
                <w:rFonts w:cs="Arial"/>
                <w:bCs/>
                <w:sz w:val="20"/>
                <w:szCs w:val="20"/>
              </w:rPr>
            </w:pPr>
            <w:r w:rsidRPr="00056BE0">
              <w:rPr>
                <w:rFonts w:cs="Arial"/>
                <w:bCs/>
                <w:sz w:val="20"/>
                <w:szCs w:val="20"/>
              </w:rPr>
              <w:t>92,0</w:t>
            </w:r>
          </w:p>
        </w:tc>
      </w:tr>
    </w:tbl>
    <w:p w14:paraId="51DEDB71" w14:textId="77777777" w:rsidR="007E3200" w:rsidRPr="005C7C8F" w:rsidRDefault="00CA5523" w:rsidP="00DB67DD">
      <w:pPr>
        <w:pStyle w:val="Zkladntext"/>
        <w:spacing w:after="100"/>
        <w:jc w:val="both"/>
        <w:rPr>
          <w:i/>
          <w:color w:val="000000"/>
          <w:sz w:val="18"/>
        </w:rPr>
      </w:pPr>
      <w:r w:rsidRPr="005C7C8F">
        <w:rPr>
          <w:i/>
          <w:color w:val="000000"/>
          <w:sz w:val="18"/>
        </w:rPr>
        <w:t>Zdroj: ŠZÚ za rok 2018, RVS na roky 2019 až 2021, Návrh RVS na roky 2020 až 2022</w:t>
      </w:r>
    </w:p>
    <w:p w14:paraId="6D956F91" w14:textId="21D80C40" w:rsidR="00833608" w:rsidRDefault="00CA5523" w:rsidP="00833608">
      <w:pPr>
        <w:spacing w:before="100" w:after="100"/>
        <w:ind w:firstLine="708"/>
        <w:jc w:val="both"/>
      </w:pPr>
      <w:r w:rsidRPr="00C65CAA">
        <w:t>Príjmy z podnikania a vlastníctva majetku medziročne vzras</w:t>
      </w:r>
      <w:r w:rsidR="004F4E85">
        <w:t>tú o 5 580 tis. eur na 449 239</w:t>
      </w:r>
      <w:r w:rsidRPr="00C65CAA">
        <w:t xml:space="preserve"> tis. eur. Najvýznamnejšiu položku týchto príjmov tvoria dividendy od akciových spoločností s majetkovou účasťou štátu, ktorý je zastúpený rezort</w:t>
      </w:r>
      <w:r w:rsidR="004F4E85">
        <w:t>nými ministerstvami. Na rok 2020</w:t>
      </w:r>
      <w:r w:rsidRPr="00C65CAA">
        <w:t xml:space="preserve"> sú rozpočtované vo výške </w:t>
      </w:r>
      <w:r w:rsidR="002A798B">
        <w:rPr>
          <w:bCs/>
          <w:color w:val="000000"/>
        </w:rPr>
        <w:t>438 16</w:t>
      </w:r>
      <w:r w:rsidR="004F4E85">
        <w:rPr>
          <w:bCs/>
          <w:color w:val="000000"/>
        </w:rPr>
        <w:t>8</w:t>
      </w:r>
      <w:r w:rsidRPr="00C65CAA">
        <w:t xml:space="preserve"> tis. eur, čo je o</w:t>
      </w:r>
      <w:r w:rsidR="002A798B">
        <w:t> 5 488</w:t>
      </w:r>
      <w:r w:rsidRPr="00C65CAA">
        <w:t> tis. eur viac v p</w:t>
      </w:r>
      <w:r w:rsidR="00833608">
        <w:t>orovnaní s rozpočtom na rok 2019</w:t>
      </w:r>
      <w:r w:rsidRPr="00C65CAA">
        <w:t xml:space="preserve">. </w:t>
      </w:r>
      <w:r w:rsidR="00833608">
        <w:t xml:space="preserve">Tento rast je spôsobený </w:t>
      </w:r>
      <w:r w:rsidR="00833608" w:rsidRPr="00833608">
        <w:t>hlavne rastom dividend od spoločností Západoslovenská energetika, a. s., Stredoslovenská energetika, a. s. a Slovenská konsolidačná, a. s. Naopak</w:t>
      </w:r>
      <w:r w:rsidR="005C7C8F">
        <w:t>,</w:t>
      </w:r>
      <w:r w:rsidR="00833608" w:rsidRPr="00833608">
        <w:t xml:space="preserve"> nižšie príjmy z dividend pri medziročnom porovnaní sa očakávajú najmä od spoločnosti Východoslovenská energetika, a. s.</w:t>
      </w:r>
    </w:p>
    <w:p w14:paraId="18E5EEA3" w14:textId="087A419F" w:rsidR="003254E0" w:rsidRPr="005C7C8F" w:rsidRDefault="00CA5523" w:rsidP="003254E0">
      <w:pPr>
        <w:spacing w:before="100" w:after="100"/>
        <w:ind w:firstLine="708"/>
        <w:jc w:val="both"/>
      </w:pPr>
      <w:r w:rsidRPr="005C7C8F">
        <w:t xml:space="preserve">V tejto skupine príjmov sú zahrnuté aj iné príjmy z podnikania, </w:t>
      </w:r>
      <w:r w:rsidR="003254E0" w:rsidRPr="005C7C8F">
        <w:t xml:space="preserve">najmä </w:t>
      </w:r>
      <w:r w:rsidRPr="005C7C8F">
        <w:t xml:space="preserve">odvod zo zisku po zdanení, ktorý majú odviesť Lesy SR, </w:t>
      </w:r>
      <w:r w:rsidR="0005431A">
        <w:t xml:space="preserve">š. </w:t>
      </w:r>
      <w:r w:rsidR="003254E0" w:rsidRPr="005C7C8F">
        <w:t>p.</w:t>
      </w:r>
      <w:r w:rsidR="0005431A">
        <w:t>,</w:t>
      </w:r>
      <w:r w:rsidR="003254E0" w:rsidRPr="005C7C8F">
        <w:t xml:space="preserve"> vo výške 5 000 tis. eur, </w:t>
      </w:r>
      <w:r w:rsidRPr="005C7C8F">
        <w:t>Vodohospodárska výstavb</w:t>
      </w:r>
      <w:r w:rsidR="003254E0" w:rsidRPr="005C7C8F">
        <w:t>a, š. p. vo výš</w:t>
      </w:r>
      <w:r w:rsidR="0005431A">
        <w:t>ke 200 tis. eur a Eximbanka SR.</w:t>
      </w:r>
    </w:p>
    <w:p w14:paraId="4800987D" w14:textId="77777777" w:rsidR="00CA5523" w:rsidRPr="00C65CAA" w:rsidRDefault="00CA5523" w:rsidP="00CA5523">
      <w:pPr>
        <w:spacing w:before="100" w:after="100"/>
        <w:ind w:firstLine="708"/>
        <w:jc w:val="both"/>
      </w:pPr>
      <w:r w:rsidRPr="005C7C8F">
        <w:t>NKÚ SR upozorňuje na riziká vyplývajúce z neplnenia príjmovej časti rozpočtu v oblasti dividend a osobitných odvodov, ktoré závisia od</w:t>
      </w:r>
      <w:r w:rsidRPr="00C65CAA">
        <w:t xml:space="preserve"> výsledkov hospodárenia daných spoločností. </w:t>
      </w:r>
    </w:p>
    <w:p w14:paraId="59E6D2DE" w14:textId="77777777" w:rsidR="00CA5523" w:rsidRPr="00C65CAA" w:rsidRDefault="00CA5523" w:rsidP="005C7C8F">
      <w:pPr>
        <w:spacing w:before="100" w:after="100"/>
        <w:ind w:firstLine="708"/>
        <w:jc w:val="both"/>
      </w:pPr>
      <w:r w:rsidRPr="00C65CAA">
        <w:t xml:space="preserve">Porovnanie </w:t>
      </w:r>
      <w:r w:rsidRPr="009A4608">
        <w:rPr>
          <w:b/>
        </w:rPr>
        <w:t xml:space="preserve">grantov a transferov </w:t>
      </w:r>
      <w:r w:rsidRPr="009A4608">
        <w:rPr>
          <w:b/>
          <w:color w:val="000000"/>
        </w:rPr>
        <w:t>ŠR</w:t>
      </w:r>
      <w:r>
        <w:rPr>
          <w:b/>
          <w:color w:val="000000"/>
        </w:rPr>
        <w:t xml:space="preserve"> na hotovostnej báze</w:t>
      </w:r>
      <w:r w:rsidRPr="00C65CAA">
        <w:rPr>
          <w:color w:val="000000"/>
        </w:rPr>
        <w:t xml:space="preserve"> </w:t>
      </w:r>
      <w:r>
        <w:t>za rok 2018</w:t>
      </w:r>
      <w:r w:rsidRPr="00C65CAA">
        <w:t xml:space="preserve">, </w:t>
      </w:r>
      <w:r>
        <w:t>schváleného rozpočtu na rok 2019 a návrhu rozpočtu na rok 2020</w:t>
      </w:r>
      <w:r w:rsidR="005C7C8F">
        <w:t xml:space="preserve"> obsahuje nasledujúca tabuľka.</w:t>
      </w:r>
    </w:p>
    <w:tbl>
      <w:tblPr>
        <w:tblW w:w="500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18"/>
        <w:gridCol w:w="1287"/>
        <w:gridCol w:w="1287"/>
        <w:gridCol w:w="1520"/>
        <w:gridCol w:w="1171"/>
        <w:gridCol w:w="1167"/>
      </w:tblGrid>
      <w:tr w:rsidR="00CA5523" w:rsidRPr="00C65CAA" w14:paraId="034B29F9" w14:textId="77777777" w:rsidTr="00FF59B6">
        <w:trPr>
          <w:trHeight w:val="469"/>
        </w:trPr>
        <w:tc>
          <w:tcPr>
            <w:tcW w:w="1560" w:type="pct"/>
            <w:shd w:val="clear" w:color="auto" w:fill="0070C0"/>
            <w:vAlign w:val="center"/>
          </w:tcPr>
          <w:p w14:paraId="0734783A" w14:textId="77777777" w:rsidR="00CA5523" w:rsidRPr="00C65CAA" w:rsidRDefault="00CA5523" w:rsidP="00FF59B6">
            <w:pPr>
              <w:rPr>
                <w:rFonts w:eastAsia="Calibri"/>
                <w:b/>
                <w:color w:val="FFFFFF"/>
                <w:sz w:val="20"/>
                <w:szCs w:val="20"/>
              </w:rPr>
            </w:pPr>
            <w:r w:rsidRPr="00C65CAA">
              <w:rPr>
                <w:rFonts w:eastAsia="Calibri"/>
                <w:b/>
                <w:bCs/>
                <w:color w:val="FFFFFF"/>
                <w:sz w:val="20"/>
                <w:szCs w:val="20"/>
              </w:rPr>
              <w:t>Ukazovateľ</w:t>
            </w:r>
            <w:r w:rsidR="00FF59B6">
              <w:rPr>
                <w:rFonts w:eastAsia="Calibri"/>
                <w:b/>
                <w:bCs/>
                <w:color w:val="FFFFFF"/>
                <w:sz w:val="20"/>
                <w:szCs w:val="20"/>
              </w:rPr>
              <w:t xml:space="preserve"> </w:t>
            </w:r>
            <w:r w:rsidRPr="00C65CAA">
              <w:rPr>
                <w:rFonts w:eastAsia="Calibri"/>
                <w:b/>
                <w:bCs/>
                <w:color w:val="FFFFFF"/>
                <w:sz w:val="20"/>
                <w:szCs w:val="20"/>
              </w:rPr>
              <w:t>(v tis. eur)</w:t>
            </w:r>
          </w:p>
        </w:tc>
        <w:tc>
          <w:tcPr>
            <w:tcW w:w="688" w:type="pct"/>
            <w:shd w:val="clear" w:color="auto" w:fill="0070C0"/>
            <w:vAlign w:val="center"/>
          </w:tcPr>
          <w:p w14:paraId="02F4F9ED" w14:textId="77777777" w:rsidR="00CA5523" w:rsidRPr="00C65CAA" w:rsidRDefault="00CA5523" w:rsidP="006C4F5B">
            <w:pPr>
              <w:jc w:val="center"/>
              <w:rPr>
                <w:rFonts w:eastAsia="Calibri"/>
                <w:b/>
                <w:color w:val="FFFFFF"/>
                <w:sz w:val="20"/>
                <w:szCs w:val="20"/>
              </w:rPr>
            </w:pPr>
            <w:r w:rsidRPr="00C65CAA">
              <w:rPr>
                <w:rFonts w:eastAsia="Calibri"/>
                <w:b/>
                <w:color w:val="FFFFFF"/>
                <w:sz w:val="20"/>
                <w:szCs w:val="20"/>
              </w:rPr>
              <w:t>Skutočnosť</w:t>
            </w:r>
          </w:p>
          <w:p w14:paraId="0B24BD10" w14:textId="77777777" w:rsidR="00CA5523" w:rsidRPr="00C65CAA" w:rsidRDefault="00CA5523" w:rsidP="006C4F5B">
            <w:pPr>
              <w:jc w:val="center"/>
              <w:rPr>
                <w:rFonts w:eastAsia="Calibri"/>
                <w:b/>
                <w:color w:val="FFFFFF"/>
                <w:sz w:val="20"/>
                <w:szCs w:val="20"/>
              </w:rPr>
            </w:pPr>
            <w:r>
              <w:rPr>
                <w:rFonts w:eastAsia="Calibri"/>
                <w:b/>
                <w:color w:val="FFFFFF"/>
                <w:sz w:val="20"/>
                <w:szCs w:val="20"/>
              </w:rPr>
              <w:t>2018</w:t>
            </w:r>
          </w:p>
        </w:tc>
        <w:tc>
          <w:tcPr>
            <w:tcW w:w="688" w:type="pct"/>
            <w:shd w:val="clear" w:color="auto" w:fill="0070C0"/>
          </w:tcPr>
          <w:p w14:paraId="1B75B8A1" w14:textId="77777777" w:rsidR="00CA5523" w:rsidRPr="00C65CAA" w:rsidRDefault="00CA5523" w:rsidP="006C4F5B">
            <w:pPr>
              <w:jc w:val="center"/>
              <w:rPr>
                <w:rFonts w:eastAsia="Calibri"/>
                <w:b/>
                <w:color w:val="FFFFFF"/>
                <w:sz w:val="20"/>
                <w:szCs w:val="20"/>
              </w:rPr>
            </w:pPr>
            <w:r>
              <w:rPr>
                <w:rFonts w:eastAsia="Calibri"/>
                <w:b/>
                <w:color w:val="FFFFFF"/>
                <w:sz w:val="20"/>
                <w:szCs w:val="20"/>
              </w:rPr>
              <w:t>Rozpočet 2019</w:t>
            </w:r>
          </w:p>
        </w:tc>
        <w:tc>
          <w:tcPr>
            <w:tcW w:w="813" w:type="pct"/>
            <w:shd w:val="clear" w:color="auto" w:fill="0070C0"/>
          </w:tcPr>
          <w:p w14:paraId="0E38AA3C" w14:textId="77777777" w:rsidR="00CA5523" w:rsidRPr="00C65CAA" w:rsidRDefault="00CA5523" w:rsidP="006C4F5B">
            <w:pPr>
              <w:jc w:val="center"/>
              <w:rPr>
                <w:rFonts w:eastAsia="Calibri"/>
                <w:b/>
                <w:color w:val="FFFFFF"/>
                <w:sz w:val="20"/>
                <w:szCs w:val="20"/>
              </w:rPr>
            </w:pPr>
            <w:r>
              <w:rPr>
                <w:rFonts w:eastAsia="Calibri"/>
                <w:b/>
                <w:color w:val="FFFFFF"/>
                <w:sz w:val="20"/>
                <w:szCs w:val="20"/>
              </w:rPr>
              <w:t>Návrh rozpočtu 2020</w:t>
            </w:r>
          </w:p>
        </w:tc>
        <w:tc>
          <w:tcPr>
            <w:tcW w:w="626" w:type="pct"/>
            <w:shd w:val="clear" w:color="auto" w:fill="0070C0"/>
            <w:vAlign w:val="center"/>
          </w:tcPr>
          <w:p w14:paraId="2EE77B67" w14:textId="77777777" w:rsidR="00CA5523" w:rsidRPr="00C65CAA" w:rsidRDefault="00CA5523" w:rsidP="006C4F5B">
            <w:pPr>
              <w:jc w:val="center"/>
              <w:rPr>
                <w:rFonts w:eastAsia="Calibri"/>
                <w:b/>
                <w:color w:val="FFFFFF"/>
                <w:sz w:val="20"/>
                <w:szCs w:val="20"/>
              </w:rPr>
            </w:pPr>
            <w:r w:rsidRPr="00C65CAA">
              <w:rPr>
                <w:rFonts w:eastAsia="Calibri"/>
                <w:b/>
                <w:color w:val="FFFFFF"/>
                <w:sz w:val="20"/>
                <w:szCs w:val="20"/>
              </w:rPr>
              <w:t>Rozdiel</w:t>
            </w:r>
          </w:p>
        </w:tc>
        <w:tc>
          <w:tcPr>
            <w:tcW w:w="624" w:type="pct"/>
            <w:shd w:val="clear" w:color="auto" w:fill="0070C0"/>
            <w:vAlign w:val="center"/>
          </w:tcPr>
          <w:p w14:paraId="0175F813" w14:textId="77777777" w:rsidR="00CA5523" w:rsidRPr="00C65CAA" w:rsidRDefault="00CA5523" w:rsidP="006C4F5B">
            <w:pPr>
              <w:jc w:val="center"/>
              <w:rPr>
                <w:rFonts w:eastAsia="Calibri"/>
                <w:b/>
                <w:color w:val="FFFFFF"/>
                <w:sz w:val="20"/>
                <w:szCs w:val="20"/>
              </w:rPr>
            </w:pPr>
            <w:r w:rsidRPr="00C65CAA">
              <w:rPr>
                <w:rFonts w:eastAsia="Calibri"/>
                <w:b/>
                <w:color w:val="FFFFFF"/>
                <w:sz w:val="20"/>
                <w:szCs w:val="20"/>
              </w:rPr>
              <w:t>Podiel</w:t>
            </w:r>
          </w:p>
          <w:p w14:paraId="25BA9DF9" w14:textId="77777777" w:rsidR="00CA5523" w:rsidRPr="00C65CAA" w:rsidRDefault="00CA5523" w:rsidP="006C4F5B">
            <w:pPr>
              <w:jc w:val="center"/>
              <w:rPr>
                <w:rFonts w:eastAsia="Calibri"/>
                <w:b/>
                <w:color w:val="FFFFFF"/>
                <w:sz w:val="20"/>
                <w:szCs w:val="20"/>
              </w:rPr>
            </w:pPr>
            <w:r w:rsidRPr="00C65CAA">
              <w:rPr>
                <w:rFonts w:eastAsia="Calibri"/>
                <w:b/>
                <w:color w:val="FFFFFF"/>
                <w:sz w:val="20"/>
                <w:szCs w:val="20"/>
              </w:rPr>
              <w:t>(v %)</w:t>
            </w:r>
          </w:p>
        </w:tc>
      </w:tr>
      <w:tr w:rsidR="00CA5523" w:rsidRPr="00C65CAA" w14:paraId="2B449313" w14:textId="77777777" w:rsidTr="00FF59B6">
        <w:trPr>
          <w:trHeight w:val="170"/>
        </w:trPr>
        <w:tc>
          <w:tcPr>
            <w:tcW w:w="1560" w:type="pct"/>
            <w:tcBorders>
              <w:top w:val="single" w:sz="4" w:space="0" w:color="auto"/>
              <w:left w:val="single" w:sz="4" w:space="0" w:color="auto"/>
              <w:bottom w:val="single" w:sz="4" w:space="0" w:color="auto"/>
              <w:right w:val="single" w:sz="4" w:space="0" w:color="auto"/>
            </w:tcBorders>
            <w:shd w:val="clear" w:color="auto" w:fill="auto"/>
            <w:vAlign w:val="center"/>
          </w:tcPr>
          <w:p w14:paraId="7595E7E1" w14:textId="77777777" w:rsidR="00CA5523" w:rsidRPr="00C65CAA" w:rsidRDefault="00CA5523" w:rsidP="006C4F5B">
            <w:pPr>
              <w:jc w:val="center"/>
              <w:rPr>
                <w:rFonts w:eastAsia="Calibri"/>
                <w:bCs/>
                <w:color w:val="000000"/>
                <w:sz w:val="18"/>
                <w:szCs w:val="18"/>
              </w:rPr>
            </w:pPr>
            <w:r w:rsidRPr="00C65CAA">
              <w:rPr>
                <w:rFonts w:eastAsia="Calibri"/>
                <w:bCs/>
                <w:color w:val="000000"/>
                <w:sz w:val="18"/>
                <w:szCs w:val="18"/>
              </w:rPr>
              <w:t>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2EDAC50" w14:textId="77777777" w:rsidR="00CA5523" w:rsidRPr="00C65CAA" w:rsidRDefault="00CA5523" w:rsidP="006C4F5B">
            <w:pPr>
              <w:jc w:val="center"/>
              <w:rPr>
                <w:rFonts w:eastAsia="Calibri"/>
                <w:sz w:val="18"/>
                <w:szCs w:val="18"/>
              </w:rPr>
            </w:pPr>
            <w:r w:rsidRPr="00C65CAA">
              <w:rPr>
                <w:rFonts w:eastAsia="Calibri"/>
                <w:sz w:val="18"/>
                <w:szCs w:val="18"/>
              </w:rPr>
              <w:t>1</w:t>
            </w:r>
          </w:p>
        </w:tc>
        <w:tc>
          <w:tcPr>
            <w:tcW w:w="688" w:type="pct"/>
            <w:tcBorders>
              <w:top w:val="single" w:sz="4" w:space="0" w:color="auto"/>
              <w:left w:val="single" w:sz="4" w:space="0" w:color="auto"/>
              <w:bottom w:val="single" w:sz="4" w:space="0" w:color="auto"/>
              <w:right w:val="single" w:sz="4" w:space="0" w:color="auto"/>
            </w:tcBorders>
          </w:tcPr>
          <w:p w14:paraId="42F83023" w14:textId="77777777" w:rsidR="00CA5523" w:rsidRPr="00C65CAA" w:rsidRDefault="00CA5523" w:rsidP="006C4F5B">
            <w:pPr>
              <w:jc w:val="center"/>
              <w:rPr>
                <w:rFonts w:eastAsia="Calibri"/>
                <w:sz w:val="18"/>
                <w:szCs w:val="18"/>
              </w:rPr>
            </w:pPr>
            <w:r w:rsidRPr="00C65CAA">
              <w:rPr>
                <w:rFonts w:eastAsia="Calibri"/>
                <w:sz w:val="18"/>
                <w:szCs w:val="18"/>
              </w:rPr>
              <w:t>2</w:t>
            </w:r>
          </w:p>
        </w:tc>
        <w:tc>
          <w:tcPr>
            <w:tcW w:w="813" w:type="pct"/>
            <w:tcBorders>
              <w:top w:val="single" w:sz="4" w:space="0" w:color="auto"/>
              <w:left w:val="single" w:sz="4" w:space="0" w:color="auto"/>
              <w:bottom w:val="single" w:sz="4" w:space="0" w:color="auto"/>
              <w:right w:val="single" w:sz="4" w:space="0" w:color="auto"/>
            </w:tcBorders>
          </w:tcPr>
          <w:p w14:paraId="465B7599" w14:textId="77777777" w:rsidR="00CA5523" w:rsidRPr="00C65CAA" w:rsidRDefault="00CA5523" w:rsidP="006C4F5B">
            <w:pPr>
              <w:jc w:val="center"/>
              <w:rPr>
                <w:rFonts w:eastAsia="Calibri"/>
                <w:sz w:val="18"/>
                <w:szCs w:val="18"/>
              </w:rPr>
            </w:pPr>
            <w:r w:rsidRPr="00C65CAA">
              <w:rPr>
                <w:rFonts w:eastAsia="Calibri"/>
                <w:sz w:val="18"/>
                <w:szCs w:val="18"/>
              </w:rPr>
              <w:t>3</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DBB41FA" w14:textId="77777777" w:rsidR="00CA5523" w:rsidRPr="00C65CAA" w:rsidRDefault="00CA5523" w:rsidP="006C4F5B">
            <w:pPr>
              <w:jc w:val="center"/>
              <w:rPr>
                <w:rFonts w:eastAsia="Calibri"/>
                <w:sz w:val="18"/>
                <w:szCs w:val="18"/>
              </w:rPr>
            </w:pPr>
            <w:r w:rsidRPr="00C65CAA">
              <w:rPr>
                <w:rFonts w:eastAsia="Calibri"/>
                <w:sz w:val="18"/>
                <w:szCs w:val="18"/>
              </w:rPr>
              <w:t>4=3-2</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53DEF407" w14:textId="77777777" w:rsidR="00CA5523" w:rsidRPr="00C65CAA" w:rsidRDefault="00CA5523" w:rsidP="006C4F5B">
            <w:pPr>
              <w:jc w:val="center"/>
              <w:rPr>
                <w:rFonts w:eastAsia="Calibri"/>
                <w:sz w:val="18"/>
                <w:szCs w:val="18"/>
              </w:rPr>
            </w:pPr>
            <w:r w:rsidRPr="00C65CAA">
              <w:rPr>
                <w:rFonts w:eastAsia="Calibri"/>
                <w:sz w:val="18"/>
                <w:szCs w:val="18"/>
              </w:rPr>
              <w:t>5=3/2*100</w:t>
            </w:r>
          </w:p>
        </w:tc>
      </w:tr>
      <w:tr w:rsidR="00FF59B6" w:rsidRPr="00C65CAA" w14:paraId="64C36C98" w14:textId="77777777" w:rsidTr="00D70DB3">
        <w:trPr>
          <w:trHeight w:val="170"/>
        </w:trPr>
        <w:tc>
          <w:tcPr>
            <w:tcW w:w="1560" w:type="pct"/>
            <w:tcBorders>
              <w:top w:val="single" w:sz="4" w:space="0" w:color="auto"/>
              <w:left w:val="single" w:sz="4" w:space="0" w:color="auto"/>
              <w:bottom w:val="single" w:sz="4" w:space="0" w:color="auto"/>
              <w:right w:val="single" w:sz="4" w:space="0" w:color="auto"/>
            </w:tcBorders>
            <w:shd w:val="clear" w:color="auto" w:fill="D9D9D9"/>
            <w:vAlign w:val="center"/>
          </w:tcPr>
          <w:p w14:paraId="00CB1447" w14:textId="77777777" w:rsidR="00FF59B6" w:rsidRPr="00C65CAA" w:rsidRDefault="00FF59B6" w:rsidP="00FF59B6">
            <w:pPr>
              <w:rPr>
                <w:rFonts w:eastAsia="Calibri"/>
                <w:sz w:val="20"/>
                <w:szCs w:val="20"/>
              </w:rPr>
            </w:pPr>
            <w:r w:rsidRPr="00C65CAA">
              <w:rPr>
                <w:rFonts w:eastAsia="Calibri"/>
                <w:b/>
                <w:bCs/>
                <w:sz w:val="20"/>
                <w:szCs w:val="20"/>
              </w:rPr>
              <w:t>Granty a transfery spolu</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bottom"/>
          </w:tcPr>
          <w:p w14:paraId="09D58924" w14:textId="77777777" w:rsidR="00FF59B6" w:rsidRPr="00FF59B6" w:rsidRDefault="00FF59B6" w:rsidP="00FF59B6">
            <w:pPr>
              <w:jc w:val="right"/>
              <w:rPr>
                <w:rFonts w:eastAsia="Times New Roman" w:cs="Arial CE"/>
                <w:b/>
                <w:bCs/>
                <w:sz w:val="20"/>
                <w:szCs w:val="20"/>
                <w:lang w:eastAsia="sk-SK"/>
              </w:rPr>
            </w:pPr>
            <w:r w:rsidRPr="00FF59B6">
              <w:rPr>
                <w:rFonts w:eastAsia="Times New Roman" w:cs="Arial CE"/>
                <w:b/>
                <w:bCs/>
                <w:sz w:val="20"/>
                <w:szCs w:val="20"/>
                <w:lang w:eastAsia="sk-SK"/>
              </w:rPr>
              <w:t>2 203 634</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bottom"/>
          </w:tcPr>
          <w:p w14:paraId="5FFAD709" w14:textId="77777777" w:rsidR="00FF59B6" w:rsidRPr="00FF59B6" w:rsidRDefault="00FF59B6" w:rsidP="00FF59B6">
            <w:pPr>
              <w:jc w:val="right"/>
              <w:rPr>
                <w:rFonts w:eastAsia="Times New Roman" w:cs="Arial"/>
                <w:b/>
                <w:bCs/>
                <w:sz w:val="20"/>
                <w:szCs w:val="20"/>
                <w:lang w:eastAsia="sk-SK"/>
              </w:rPr>
            </w:pPr>
            <w:r w:rsidRPr="00FF59B6">
              <w:rPr>
                <w:rFonts w:eastAsia="Times New Roman" w:cs="Arial"/>
                <w:b/>
                <w:bCs/>
                <w:sz w:val="20"/>
                <w:szCs w:val="20"/>
                <w:lang w:eastAsia="sk-SK"/>
              </w:rPr>
              <w:t>1 701 752</w:t>
            </w:r>
          </w:p>
        </w:tc>
        <w:tc>
          <w:tcPr>
            <w:tcW w:w="813" w:type="pct"/>
            <w:tcBorders>
              <w:top w:val="single" w:sz="4" w:space="0" w:color="auto"/>
              <w:left w:val="single" w:sz="4" w:space="0" w:color="auto"/>
              <w:bottom w:val="single" w:sz="4" w:space="0" w:color="auto"/>
              <w:right w:val="single" w:sz="4" w:space="0" w:color="auto"/>
            </w:tcBorders>
            <w:shd w:val="clear" w:color="auto" w:fill="D9D9D9"/>
            <w:vAlign w:val="bottom"/>
          </w:tcPr>
          <w:p w14:paraId="35185903" w14:textId="77777777" w:rsidR="00FF59B6" w:rsidRPr="00FF59B6" w:rsidRDefault="00FF59B6" w:rsidP="00FF59B6">
            <w:pPr>
              <w:jc w:val="right"/>
              <w:rPr>
                <w:rFonts w:eastAsia="Times New Roman" w:cs="Arial"/>
                <w:b/>
                <w:bCs/>
                <w:sz w:val="20"/>
                <w:szCs w:val="20"/>
                <w:lang w:eastAsia="sk-SK"/>
              </w:rPr>
            </w:pPr>
            <w:r w:rsidRPr="00FF59B6">
              <w:rPr>
                <w:rFonts w:eastAsia="Times New Roman" w:cs="Arial"/>
                <w:b/>
                <w:bCs/>
                <w:sz w:val="20"/>
                <w:szCs w:val="20"/>
                <w:lang w:eastAsia="sk-SK"/>
              </w:rPr>
              <w:t>1 716 461</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bottom"/>
          </w:tcPr>
          <w:p w14:paraId="021B9712" w14:textId="77777777" w:rsidR="00FF59B6" w:rsidRPr="00FF59B6" w:rsidRDefault="00FF59B6" w:rsidP="00FF59B6">
            <w:pPr>
              <w:jc w:val="right"/>
              <w:rPr>
                <w:rFonts w:eastAsia="Times New Roman" w:cs="Arial"/>
                <w:b/>
                <w:bCs/>
                <w:sz w:val="20"/>
                <w:szCs w:val="20"/>
                <w:lang w:eastAsia="sk-SK"/>
              </w:rPr>
            </w:pPr>
            <w:r w:rsidRPr="00FF59B6">
              <w:rPr>
                <w:rFonts w:eastAsia="Times New Roman" w:cs="Arial"/>
                <w:b/>
                <w:bCs/>
                <w:sz w:val="20"/>
                <w:szCs w:val="20"/>
                <w:lang w:eastAsia="sk-SK"/>
              </w:rPr>
              <w:t>14 709</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bottom"/>
          </w:tcPr>
          <w:p w14:paraId="777F2BE2" w14:textId="77777777" w:rsidR="00FF59B6" w:rsidRPr="00FF59B6" w:rsidRDefault="00FF59B6" w:rsidP="00FF59B6">
            <w:pPr>
              <w:jc w:val="right"/>
              <w:rPr>
                <w:rFonts w:eastAsia="Times New Roman" w:cs="Arial"/>
                <w:b/>
                <w:bCs/>
                <w:sz w:val="20"/>
                <w:szCs w:val="20"/>
                <w:lang w:eastAsia="sk-SK"/>
              </w:rPr>
            </w:pPr>
            <w:r w:rsidRPr="00FF59B6">
              <w:rPr>
                <w:rFonts w:eastAsia="Times New Roman" w:cs="Arial"/>
                <w:b/>
                <w:bCs/>
                <w:sz w:val="20"/>
                <w:szCs w:val="20"/>
                <w:lang w:eastAsia="sk-SK"/>
              </w:rPr>
              <w:t>100,9</w:t>
            </w:r>
          </w:p>
        </w:tc>
      </w:tr>
      <w:tr w:rsidR="00FF59B6" w:rsidRPr="00C65CAA" w14:paraId="48F41486" w14:textId="77777777" w:rsidTr="00D70DB3">
        <w:trPr>
          <w:trHeight w:val="170"/>
        </w:trPr>
        <w:tc>
          <w:tcPr>
            <w:tcW w:w="1560" w:type="pct"/>
            <w:tcBorders>
              <w:top w:val="single" w:sz="4" w:space="0" w:color="auto"/>
              <w:left w:val="single" w:sz="4" w:space="0" w:color="auto"/>
              <w:bottom w:val="single" w:sz="4" w:space="0" w:color="auto"/>
              <w:right w:val="single" w:sz="4" w:space="0" w:color="auto"/>
            </w:tcBorders>
            <w:vAlign w:val="center"/>
          </w:tcPr>
          <w:p w14:paraId="3829FEED" w14:textId="77777777" w:rsidR="00FF59B6" w:rsidRPr="00C65CAA" w:rsidRDefault="00FF59B6" w:rsidP="000A2429">
            <w:pPr>
              <w:pStyle w:val="Odsekzoznamu"/>
              <w:numPr>
                <w:ilvl w:val="0"/>
                <w:numId w:val="5"/>
              </w:numPr>
              <w:rPr>
                <w:rFonts w:eastAsia="Calibri"/>
                <w:bCs/>
                <w:sz w:val="20"/>
                <w:szCs w:val="20"/>
              </w:rPr>
            </w:pPr>
            <w:r w:rsidRPr="00C65CAA">
              <w:rPr>
                <w:rFonts w:eastAsia="Calibri"/>
                <w:bCs/>
                <w:sz w:val="20"/>
                <w:szCs w:val="20"/>
              </w:rPr>
              <w:t>Tuzemské granty a transfery</w:t>
            </w:r>
          </w:p>
        </w:tc>
        <w:tc>
          <w:tcPr>
            <w:tcW w:w="688" w:type="pct"/>
            <w:tcBorders>
              <w:top w:val="single" w:sz="4" w:space="0" w:color="auto"/>
              <w:left w:val="single" w:sz="4" w:space="0" w:color="auto"/>
              <w:bottom w:val="single" w:sz="4" w:space="0" w:color="auto"/>
              <w:right w:val="single" w:sz="4" w:space="0" w:color="auto"/>
            </w:tcBorders>
            <w:vAlign w:val="bottom"/>
          </w:tcPr>
          <w:p w14:paraId="3E259FAB" w14:textId="7E502048" w:rsidR="00FF59B6" w:rsidRPr="00FF59B6" w:rsidRDefault="00A146BE" w:rsidP="00FF59B6">
            <w:pPr>
              <w:jc w:val="right"/>
              <w:rPr>
                <w:rFonts w:eastAsia="Times New Roman" w:cs="Arial CE"/>
                <w:sz w:val="20"/>
                <w:szCs w:val="20"/>
                <w:lang w:eastAsia="sk-SK"/>
              </w:rPr>
            </w:pPr>
            <w:r>
              <w:rPr>
                <w:rFonts w:eastAsia="Times New Roman" w:cs="Arial CE"/>
                <w:sz w:val="20"/>
                <w:szCs w:val="20"/>
                <w:lang w:eastAsia="sk-SK"/>
              </w:rPr>
              <w:t>33 861</w:t>
            </w:r>
          </w:p>
        </w:tc>
        <w:tc>
          <w:tcPr>
            <w:tcW w:w="688" w:type="pct"/>
            <w:tcBorders>
              <w:top w:val="single" w:sz="4" w:space="0" w:color="auto"/>
              <w:left w:val="single" w:sz="4" w:space="0" w:color="auto"/>
              <w:bottom w:val="single" w:sz="4" w:space="0" w:color="auto"/>
              <w:right w:val="single" w:sz="4" w:space="0" w:color="auto"/>
            </w:tcBorders>
            <w:vAlign w:val="bottom"/>
          </w:tcPr>
          <w:p w14:paraId="446B273B"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36 711</w:t>
            </w:r>
          </w:p>
        </w:tc>
        <w:tc>
          <w:tcPr>
            <w:tcW w:w="813" w:type="pct"/>
            <w:tcBorders>
              <w:top w:val="single" w:sz="4" w:space="0" w:color="auto"/>
              <w:left w:val="single" w:sz="4" w:space="0" w:color="auto"/>
              <w:bottom w:val="single" w:sz="4" w:space="0" w:color="auto"/>
              <w:right w:val="single" w:sz="4" w:space="0" w:color="auto"/>
            </w:tcBorders>
            <w:vAlign w:val="bottom"/>
          </w:tcPr>
          <w:p w14:paraId="5DCCE08B"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38 772</w:t>
            </w:r>
          </w:p>
        </w:tc>
        <w:tc>
          <w:tcPr>
            <w:tcW w:w="626" w:type="pct"/>
            <w:tcBorders>
              <w:top w:val="single" w:sz="4" w:space="0" w:color="auto"/>
              <w:left w:val="single" w:sz="4" w:space="0" w:color="auto"/>
              <w:bottom w:val="single" w:sz="4" w:space="0" w:color="auto"/>
              <w:right w:val="single" w:sz="4" w:space="0" w:color="auto"/>
            </w:tcBorders>
            <w:vAlign w:val="bottom"/>
          </w:tcPr>
          <w:p w14:paraId="17CF13BC"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2 061</w:t>
            </w:r>
          </w:p>
        </w:tc>
        <w:tc>
          <w:tcPr>
            <w:tcW w:w="624" w:type="pct"/>
            <w:tcBorders>
              <w:top w:val="single" w:sz="4" w:space="0" w:color="auto"/>
              <w:left w:val="single" w:sz="4" w:space="0" w:color="auto"/>
              <w:bottom w:val="single" w:sz="4" w:space="0" w:color="auto"/>
              <w:right w:val="single" w:sz="4" w:space="0" w:color="auto"/>
            </w:tcBorders>
            <w:vAlign w:val="bottom"/>
          </w:tcPr>
          <w:p w14:paraId="7E34C199"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105,6</w:t>
            </w:r>
          </w:p>
        </w:tc>
      </w:tr>
      <w:tr w:rsidR="00FF59B6" w:rsidRPr="00C65CAA" w14:paraId="53D3A70D" w14:textId="77777777" w:rsidTr="00D70DB3">
        <w:trPr>
          <w:trHeight w:val="170"/>
        </w:trPr>
        <w:tc>
          <w:tcPr>
            <w:tcW w:w="1560" w:type="pct"/>
            <w:tcBorders>
              <w:top w:val="single" w:sz="4" w:space="0" w:color="auto"/>
              <w:left w:val="single" w:sz="4" w:space="0" w:color="auto"/>
              <w:bottom w:val="single" w:sz="4" w:space="0" w:color="auto"/>
              <w:right w:val="single" w:sz="4" w:space="0" w:color="auto"/>
            </w:tcBorders>
            <w:vAlign w:val="center"/>
          </w:tcPr>
          <w:p w14:paraId="56C441F4" w14:textId="77777777" w:rsidR="00FF59B6" w:rsidRPr="00C65CAA" w:rsidRDefault="00FF59B6" w:rsidP="000A2429">
            <w:pPr>
              <w:pStyle w:val="Odsekzoznamu"/>
              <w:numPr>
                <w:ilvl w:val="0"/>
                <w:numId w:val="5"/>
              </w:numPr>
              <w:rPr>
                <w:rFonts w:eastAsia="Calibri"/>
                <w:bCs/>
                <w:sz w:val="20"/>
                <w:szCs w:val="20"/>
              </w:rPr>
            </w:pPr>
            <w:r w:rsidRPr="00C65CAA">
              <w:rPr>
                <w:rFonts w:eastAsia="Calibri"/>
                <w:bCs/>
                <w:sz w:val="20"/>
                <w:szCs w:val="20"/>
              </w:rPr>
              <w:t>Zahraničné granty a transfery</w:t>
            </w:r>
          </w:p>
        </w:tc>
        <w:tc>
          <w:tcPr>
            <w:tcW w:w="688" w:type="pct"/>
            <w:tcBorders>
              <w:top w:val="single" w:sz="4" w:space="0" w:color="auto"/>
              <w:left w:val="single" w:sz="4" w:space="0" w:color="auto"/>
              <w:bottom w:val="single" w:sz="4" w:space="0" w:color="auto"/>
              <w:right w:val="single" w:sz="4" w:space="0" w:color="auto"/>
            </w:tcBorders>
            <w:vAlign w:val="bottom"/>
          </w:tcPr>
          <w:p w14:paraId="42230F59" w14:textId="767C668A" w:rsidR="00FF59B6" w:rsidRPr="00FF59B6" w:rsidRDefault="00A146BE" w:rsidP="00FF59B6">
            <w:pPr>
              <w:jc w:val="right"/>
              <w:rPr>
                <w:rFonts w:eastAsia="Times New Roman" w:cs="Arial CE"/>
                <w:sz w:val="20"/>
                <w:szCs w:val="20"/>
                <w:lang w:eastAsia="sk-SK"/>
              </w:rPr>
            </w:pPr>
            <w:r>
              <w:rPr>
                <w:rFonts w:eastAsia="Times New Roman" w:cs="Arial CE"/>
                <w:sz w:val="20"/>
                <w:szCs w:val="20"/>
                <w:lang w:eastAsia="sk-SK"/>
              </w:rPr>
              <w:t>2 169 773</w:t>
            </w:r>
          </w:p>
        </w:tc>
        <w:tc>
          <w:tcPr>
            <w:tcW w:w="688" w:type="pct"/>
            <w:tcBorders>
              <w:top w:val="single" w:sz="4" w:space="0" w:color="auto"/>
              <w:left w:val="single" w:sz="4" w:space="0" w:color="auto"/>
              <w:bottom w:val="single" w:sz="4" w:space="0" w:color="auto"/>
              <w:right w:val="single" w:sz="4" w:space="0" w:color="auto"/>
            </w:tcBorders>
            <w:vAlign w:val="bottom"/>
          </w:tcPr>
          <w:p w14:paraId="56109DC6"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1 665 041</w:t>
            </w:r>
          </w:p>
        </w:tc>
        <w:tc>
          <w:tcPr>
            <w:tcW w:w="813" w:type="pct"/>
            <w:tcBorders>
              <w:top w:val="single" w:sz="4" w:space="0" w:color="auto"/>
              <w:left w:val="single" w:sz="4" w:space="0" w:color="auto"/>
              <w:bottom w:val="single" w:sz="4" w:space="0" w:color="auto"/>
              <w:right w:val="single" w:sz="4" w:space="0" w:color="auto"/>
            </w:tcBorders>
            <w:vAlign w:val="bottom"/>
          </w:tcPr>
          <w:p w14:paraId="5681A9F7"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1 677 689</w:t>
            </w:r>
          </w:p>
        </w:tc>
        <w:tc>
          <w:tcPr>
            <w:tcW w:w="626" w:type="pct"/>
            <w:tcBorders>
              <w:top w:val="single" w:sz="4" w:space="0" w:color="auto"/>
              <w:left w:val="single" w:sz="4" w:space="0" w:color="auto"/>
              <w:bottom w:val="single" w:sz="4" w:space="0" w:color="auto"/>
              <w:right w:val="single" w:sz="4" w:space="0" w:color="auto"/>
            </w:tcBorders>
            <w:vAlign w:val="bottom"/>
          </w:tcPr>
          <w:p w14:paraId="47625E4B"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12 648</w:t>
            </w:r>
          </w:p>
        </w:tc>
        <w:tc>
          <w:tcPr>
            <w:tcW w:w="624" w:type="pct"/>
            <w:tcBorders>
              <w:top w:val="single" w:sz="4" w:space="0" w:color="auto"/>
              <w:left w:val="single" w:sz="4" w:space="0" w:color="auto"/>
              <w:bottom w:val="single" w:sz="4" w:space="0" w:color="auto"/>
              <w:right w:val="single" w:sz="4" w:space="0" w:color="auto"/>
            </w:tcBorders>
            <w:vAlign w:val="bottom"/>
          </w:tcPr>
          <w:p w14:paraId="23C83CDD"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100,8</w:t>
            </w:r>
          </w:p>
        </w:tc>
      </w:tr>
      <w:tr w:rsidR="00FF59B6" w:rsidRPr="00C65CAA" w14:paraId="06B3E53D" w14:textId="77777777" w:rsidTr="00D70DB3">
        <w:trPr>
          <w:trHeight w:val="170"/>
        </w:trPr>
        <w:tc>
          <w:tcPr>
            <w:tcW w:w="1560" w:type="pct"/>
            <w:tcBorders>
              <w:top w:val="single" w:sz="4" w:space="0" w:color="auto"/>
              <w:left w:val="single" w:sz="4" w:space="0" w:color="auto"/>
              <w:bottom w:val="single" w:sz="4" w:space="0" w:color="auto"/>
              <w:right w:val="single" w:sz="4" w:space="0" w:color="auto"/>
            </w:tcBorders>
            <w:vAlign w:val="center"/>
          </w:tcPr>
          <w:p w14:paraId="79BC8379" w14:textId="77777777" w:rsidR="00FF59B6" w:rsidRPr="00C65CAA" w:rsidRDefault="00FF59B6" w:rsidP="00FF59B6">
            <w:pPr>
              <w:rPr>
                <w:rFonts w:eastAsia="Calibri"/>
                <w:sz w:val="20"/>
                <w:szCs w:val="20"/>
              </w:rPr>
            </w:pPr>
            <w:r w:rsidRPr="00C65CAA">
              <w:rPr>
                <w:rFonts w:eastAsia="Calibri"/>
                <w:sz w:val="20"/>
                <w:szCs w:val="20"/>
              </w:rPr>
              <w:t>Z toho: prostriedky z rozpočtu EÚ</w:t>
            </w:r>
          </w:p>
        </w:tc>
        <w:tc>
          <w:tcPr>
            <w:tcW w:w="688" w:type="pct"/>
            <w:tcBorders>
              <w:top w:val="single" w:sz="4" w:space="0" w:color="auto"/>
              <w:left w:val="single" w:sz="4" w:space="0" w:color="auto"/>
              <w:bottom w:val="single" w:sz="4" w:space="0" w:color="auto"/>
              <w:right w:val="single" w:sz="4" w:space="0" w:color="auto"/>
            </w:tcBorders>
            <w:vAlign w:val="bottom"/>
          </w:tcPr>
          <w:p w14:paraId="500CAC6C" w14:textId="50FCBAD5" w:rsidR="00FF59B6" w:rsidRPr="00FF59B6" w:rsidRDefault="00A146BE" w:rsidP="00FF59B6">
            <w:pPr>
              <w:jc w:val="right"/>
              <w:rPr>
                <w:rFonts w:eastAsia="Times New Roman" w:cs="Arial CE"/>
                <w:sz w:val="20"/>
                <w:szCs w:val="20"/>
                <w:lang w:eastAsia="sk-SK"/>
              </w:rPr>
            </w:pPr>
            <w:r>
              <w:rPr>
                <w:rFonts w:eastAsia="Times New Roman" w:cs="Arial CE"/>
                <w:sz w:val="20"/>
                <w:szCs w:val="20"/>
                <w:lang w:eastAsia="sk-SK"/>
              </w:rPr>
              <w:t>2 169 725</w:t>
            </w:r>
          </w:p>
        </w:tc>
        <w:tc>
          <w:tcPr>
            <w:tcW w:w="688" w:type="pct"/>
            <w:tcBorders>
              <w:top w:val="single" w:sz="4" w:space="0" w:color="auto"/>
              <w:left w:val="single" w:sz="4" w:space="0" w:color="auto"/>
              <w:bottom w:val="single" w:sz="4" w:space="0" w:color="auto"/>
              <w:right w:val="single" w:sz="4" w:space="0" w:color="auto"/>
            </w:tcBorders>
            <w:vAlign w:val="bottom"/>
          </w:tcPr>
          <w:p w14:paraId="113F81A1"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1 665 041</w:t>
            </w:r>
          </w:p>
        </w:tc>
        <w:tc>
          <w:tcPr>
            <w:tcW w:w="813" w:type="pct"/>
            <w:tcBorders>
              <w:top w:val="single" w:sz="4" w:space="0" w:color="auto"/>
              <w:left w:val="single" w:sz="4" w:space="0" w:color="auto"/>
              <w:bottom w:val="single" w:sz="4" w:space="0" w:color="auto"/>
              <w:right w:val="single" w:sz="4" w:space="0" w:color="auto"/>
            </w:tcBorders>
            <w:vAlign w:val="bottom"/>
          </w:tcPr>
          <w:p w14:paraId="4C5CC186"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1 677 689</w:t>
            </w:r>
          </w:p>
        </w:tc>
        <w:tc>
          <w:tcPr>
            <w:tcW w:w="626" w:type="pct"/>
            <w:tcBorders>
              <w:top w:val="single" w:sz="4" w:space="0" w:color="auto"/>
              <w:left w:val="single" w:sz="4" w:space="0" w:color="auto"/>
              <w:bottom w:val="single" w:sz="4" w:space="0" w:color="auto"/>
              <w:right w:val="single" w:sz="4" w:space="0" w:color="auto"/>
            </w:tcBorders>
            <w:vAlign w:val="bottom"/>
          </w:tcPr>
          <w:p w14:paraId="1D7908D3"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12 648</w:t>
            </w:r>
          </w:p>
        </w:tc>
        <w:tc>
          <w:tcPr>
            <w:tcW w:w="624" w:type="pct"/>
            <w:tcBorders>
              <w:top w:val="single" w:sz="4" w:space="0" w:color="auto"/>
              <w:left w:val="single" w:sz="4" w:space="0" w:color="auto"/>
              <w:bottom w:val="single" w:sz="4" w:space="0" w:color="auto"/>
              <w:right w:val="single" w:sz="4" w:space="0" w:color="auto"/>
            </w:tcBorders>
            <w:vAlign w:val="bottom"/>
          </w:tcPr>
          <w:p w14:paraId="475443A5" w14:textId="77777777" w:rsidR="00FF59B6" w:rsidRPr="00FF59B6" w:rsidRDefault="00FF59B6" w:rsidP="00FF59B6">
            <w:pPr>
              <w:jc w:val="right"/>
              <w:rPr>
                <w:rFonts w:eastAsia="Times New Roman" w:cs="Arial"/>
                <w:sz w:val="20"/>
                <w:szCs w:val="20"/>
                <w:lang w:eastAsia="sk-SK"/>
              </w:rPr>
            </w:pPr>
            <w:r w:rsidRPr="00FF59B6">
              <w:rPr>
                <w:rFonts w:eastAsia="Times New Roman" w:cs="Arial"/>
                <w:sz w:val="20"/>
                <w:szCs w:val="20"/>
                <w:lang w:eastAsia="sk-SK"/>
              </w:rPr>
              <w:t>100,8</w:t>
            </w:r>
          </w:p>
        </w:tc>
      </w:tr>
    </w:tbl>
    <w:p w14:paraId="3E6E15E6" w14:textId="77777777" w:rsidR="00CA5523" w:rsidRPr="005C7C8F" w:rsidRDefault="00CA5523" w:rsidP="00CA5523">
      <w:pPr>
        <w:pStyle w:val="Zkladntext"/>
        <w:spacing w:after="100"/>
        <w:jc w:val="both"/>
        <w:rPr>
          <w:i/>
          <w:color w:val="000000"/>
          <w:sz w:val="18"/>
        </w:rPr>
      </w:pPr>
      <w:r w:rsidRPr="005C7C8F">
        <w:rPr>
          <w:i/>
          <w:color w:val="000000"/>
          <w:sz w:val="18"/>
        </w:rPr>
        <w:t>Zdroj: ŠZÚ za rok 2018, RVS na roky 2019 až 2021, Návrh RVS na roky 2020 až 2022</w:t>
      </w:r>
    </w:p>
    <w:p w14:paraId="204AF000" w14:textId="227D635B" w:rsidR="00CA5523" w:rsidRPr="00C65CAA" w:rsidRDefault="00CA5523" w:rsidP="00CA5523">
      <w:pPr>
        <w:spacing w:before="100" w:after="100"/>
        <w:ind w:firstLine="708"/>
        <w:jc w:val="both"/>
      </w:pPr>
      <w:r w:rsidRPr="00C65CAA">
        <w:t>T</w:t>
      </w:r>
      <w:r w:rsidR="003254E0">
        <w:t>uzemské transfery sú na rok 2020</w:t>
      </w:r>
      <w:r w:rsidR="002A798B">
        <w:t xml:space="preserve"> rozpočtované vo výške 38 77</w:t>
      </w:r>
      <w:r w:rsidR="00F71B26">
        <w:t>2</w:t>
      </w:r>
      <w:r w:rsidRPr="00C65CAA">
        <w:t xml:space="preserve"> tis. eur a zahŕňajú najmä príspevky zdravotných poisťovní na činnosť operačných stredísk záchrannej zdravotnej služby a na činnosť Národného centra zdravotníckych informácií</w:t>
      </w:r>
      <w:r w:rsidR="0005431A">
        <w:t>,</w:t>
      </w:r>
      <w:r w:rsidRPr="00C65CAA">
        <w:t xml:space="preserve"> a</w:t>
      </w:r>
      <w:r w:rsidR="0005431A">
        <w:t>ko aj</w:t>
      </w:r>
      <w:r w:rsidRPr="00C65CAA">
        <w:t xml:space="preserve"> poplatky </w:t>
      </w:r>
      <w:r w:rsidR="00F71B26">
        <w:t xml:space="preserve">od </w:t>
      </w:r>
      <w:r w:rsidRPr="00C65CAA">
        <w:t>ostatných subjektov verejnej správy</w:t>
      </w:r>
      <w:r w:rsidR="0005431A">
        <w:t>,</w:t>
      </w:r>
      <w:r w:rsidRPr="00C65CAA">
        <w:t xml:space="preserve"> súvisiace s </w:t>
      </w:r>
      <w:proofErr w:type="spellStart"/>
      <w:r w:rsidRPr="00C65CAA">
        <w:t>multilicenčnou</w:t>
      </w:r>
      <w:proofErr w:type="spellEnd"/>
      <w:r w:rsidRPr="00C65CAA">
        <w:t xml:space="preserve"> zmluvou s</w:t>
      </w:r>
      <w:r w:rsidR="005C7C8F">
        <w:t xml:space="preserve"> firmou </w:t>
      </w:r>
      <w:r w:rsidRPr="00C65CAA">
        <w:t>Microsoft.</w:t>
      </w:r>
    </w:p>
    <w:p w14:paraId="75E5E280" w14:textId="77777777" w:rsidR="00CA5523" w:rsidRPr="00C65CAA" w:rsidRDefault="00CA5523" w:rsidP="00CA5523">
      <w:pPr>
        <w:spacing w:before="100" w:after="100"/>
        <w:ind w:firstLine="708"/>
        <w:jc w:val="both"/>
      </w:pPr>
      <w:r w:rsidRPr="00C65CAA">
        <w:t>Zahraničné transfery predstavujú prostriedky zo všeobecného rozpoč</w:t>
      </w:r>
      <w:r w:rsidR="00F71B26">
        <w:t>tu EÚ. V rokoch 2020</w:t>
      </w:r>
      <w:r w:rsidRPr="00C65CAA">
        <w:t xml:space="preserve"> až 202</w:t>
      </w:r>
      <w:r w:rsidR="00F71B26">
        <w:t>2</w:t>
      </w:r>
      <w:r w:rsidRPr="00C65CAA">
        <w:t xml:space="preserve"> sa rozpočtujú prostriedky EÚ pre programy Partnerskej dohody a pre poľnohospodárske fondy v rámci 3. programového obdobia. Podrobnejšie hodnotenie zahraničných transferov je obsahom stanoviska k finančným vzťahom, ktoré súvisia s roz</w:t>
      </w:r>
      <w:r w:rsidR="00F71B26">
        <w:t>počtom EÚ na rok 2020, v časti 5</w:t>
      </w:r>
      <w:r w:rsidRPr="00C65CAA">
        <w:t>.</w:t>
      </w:r>
    </w:p>
    <w:p w14:paraId="0F2F32AD" w14:textId="77777777" w:rsidR="00CA5523" w:rsidRPr="009A4608" w:rsidRDefault="00CA5523" w:rsidP="00CA5523">
      <w:pPr>
        <w:shd w:val="clear" w:color="auto" w:fill="FFFFFF" w:themeFill="background1"/>
        <w:spacing w:before="100" w:after="100"/>
        <w:jc w:val="both"/>
        <w:rPr>
          <w:rFonts w:eastAsia="Calibri"/>
          <w:b/>
          <w:color w:val="0070C0"/>
        </w:rPr>
      </w:pPr>
      <w:r w:rsidRPr="009A4608">
        <w:rPr>
          <w:rFonts w:eastAsia="Calibri"/>
          <w:b/>
          <w:color w:val="0070C0"/>
        </w:rPr>
        <w:t>Výdavky ŠR</w:t>
      </w:r>
    </w:p>
    <w:p w14:paraId="4812CA38" w14:textId="6CFD87EA" w:rsidR="009E41D2" w:rsidRPr="009E41D2" w:rsidRDefault="00CA5523" w:rsidP="000C7160">
      <w:pPr>
        <w:spacing w:before="120" w:after="120"/>
        <w:ind w:firstLine="708"/>
        <w:jc w:val="both"/>
      </w:pPr>
      <w:r w:rsidRPr="009E41D2">
        <w:rPr>
          <w:b/>
        </w:rPr>
        <w:t>Rozpočet výdavkov ŠR</w:t>
      </w:r>
      <w:r w:rsidR="00555C86" w:rsidRPr="009E41D2">
        <w:t xml:space="preserve"> na rok 2020</w:t>
      </w:r>
      <w:r w:rsidRPr="009E41D2">
        <w:t xml:space="preserve"> sa medziročne zvyšuje o 1</w:t>
      </w:r>
      <w:r w:rsidR="00555C86" w:rsidRPr="009E41D2">
        <w:t> 032 840 tis. eur na úroveň 18 571 741 tis. eur, t. j. o 5,9</w:t>
      </w:r>
      <w:r w:rsidRPr="009E41D2">
        <w:t xml:space="preserve"> %.</w:t>
      </w:r>
      <w:r w:rsidR="000C7160">
        <w:t xml:space="preserve"> </w:t>
      </w:r>
      <w:r w:rsidR="00C95818" w:rsidRPr="009E41D2">
        <w:t>Rozpočet na rok 2020</w:t>
      </w:r>
      <w:r w:rsidRPr="009E41D2">
        <w:t xml:space="preserve"> odráža predpokladaný stav implementácie jednotlivých OP financovaných z prostriedkov EÚ a spolufinancovania zo ŠR, ako aj iných programov zo zahraničia. </w:t>
      </w:r>
      <w:r w:rsidR="009E41D2" w:rsidRPr="009E41D2">
        <w:t xml:space="preserve">Vo výdavkoch kapitol ŠR je zapracovaná dohoda dosiahnutá v rámci kolektívneho vyjednávania v roku 2018 na roky 2019 a 2020. </w:t>
      </w:r>
    </w:p>
    <w:p w14:paraId="13E49565" w14:textId="3A54C861" w:rsidR="00C95818" w:rsidRPr="009E41D2" w:rsidRDefault="00C95818" w:rsidP="009E41D2">
      <w:pPr>
        <w:pStyle w:val="Bezriadkovania"/>
        <w:spacing w:before="120" w:after="120"/>
        <w:ind w:firstLine="708"/>
        <w:jc w:val="both"/>
        <w:rPr>
          <w:szCs w:val="22"/>
        </w:rPr>
      </w:pPr>
      <w:r w:rsidRPr="009E41D2">
        <w:rPr>
          <w:szCs w:val="22"/>
        </w:rPr>
        <w:t>V súlade s uzatvorenými kolektívnymi zmluvami vyššieho stupňa a nadväzujúc</w:t>
      </w:r>
      <w:r w:rsidR="0005431A">
        <w:rPr>
          <w:szCs w:val="22"/>
        </w:rPr>
        <w:t>o</w:t>
      </w:r>
      <w:r w:rsidRPr="009E41D2">
        <w:rPr>
          <w:szCs w:val="22"/>
        </w:rPr>
        <w:t>u legislatív</w:t>
      </w:r>
      <w:r w:rsidR="0005431A">
        <w:rPr>
          <w:szCs w:val="22"/>
        </w:rPr>
        <w:t>o</w:t>
      </w:r>
      <w:r w:rsidRPr="009E41D2">
        <w:rPr>
          <w:szCs w:val="22"/>
        </w:rPr>
        <w:t xml:space="preserve">u je na rok 2020 do rozpočtu príslušných kapitol rozpočtovaná valorizácia </w:t>
      </w:r>
      <w:r w:rsidR="004C3F01">
        <w:rPr>
          <w:szCs w:val="22"/>
        </w:rPr>
        <w:t xml:space="preserve">miezd </w:t>
      </w:r>
      <w:r w:rsidRPr="009E41D2">
        <w:rPr>
          <w:szCs w:val="22"/>
        </w:rPr>
        <w:t xml:space="preserve">na úrovni 10 % s účinnosťou od 1. januára 2020 pre všetkých štátnych zamestnancov a zamestnancov pri výkone práce vo verejnom záujme v sume 488,6 mil. eur. Súčasne je zabezpečený vplyv nového zákona o pedagogických zamestnancoch a odborných zamestnancoch v sume 6,8 mil. eur a finančné prostriedky na zlepšenie odmeňovania učiteľov (vrátane výskumných a vývojových zamestnancov) na začiatku kariéry v sume 33,1 mil. eur, ktoré nadobudli účinnosť od 1. septembra 2019. </w:t>
      </w:r>
    </w:p>
    <w:p w14:paraId="431321FD" w14:textId="15D3DD69" w:rsidR="00CA5523" w:rsidRPr="00C65CAA" w:rsidRDefault="00CA5523" w:rsidP="003E1262">
      <w:pPr>
        <w:spacing w:before="120" w:after="120"/>
        <w:ind w:firstLine="708"/>
        <w:jc w:val="both"/>
      </w:pPr>
      <w:r w:rsidRPr="009E41D2">
        <w:lastRenderedPageBreak/>
        <w:t xml:space="preserve">Na krytie nepredvídaných výdavkov nevyhnutných na zabezpečenie rozpočtového hospodárenia alebo na krytie zníženia rozpočtovaných príjmov sa vytvárajú v ŠR </w:t>
      </w:r>
      <w:r w:rsidRPr="009E41D2">
        <w:rPr>
          <w:b/>
        </w:rPr>
        <w:t>zákonné rozpočtové rezervy</w:t>
      </w:r>
      <w:r w:rsidRPr="009E41D2">
        <w:t>, ktoré tvorí najmä rozpočtová rezerva vlády, rozpočtová rezerva predsedu vlády a rezerva na prostriedky EÚ a odvody EÚ. V návrhu zákona o ŠR sú roz</w:t>
      </w:r>
      <w:r w:rsidR="009E41D2" w:rsidRPr="009E41D2">
        <w:t>počtované rezervy ŠR na rok 2020</w:t>
      </w:r>
      <w:r w:rsidRPr="00C65CAA">
        <w:t xml:space="preserve"> v celkovej sume </w:t>
      </w:r>
      <w:r w:rsidR="00C87DE9">
        <w:t>140 774</w:t>
      </w:r>
      <w:r w:rsidRPr="00C65CAA">
        <w:t> tis. eur; ich rozde</w:t>
      </w:r>
      <w:r w:rsidR="00AC387E">
        <w:t xml:space="preserve">lenie je uvedené v prílohe č. 6 </w:t>
      </w:r>
      <w:r w:rsidRPr="00C65CAA">
        <w:t>nasledovne:</w:t>
      </w:r>
      <w:r w:rsidR="003E1262">
        <w:t xml:space="preserve"> </w:t>
      </w:r>
      <w:r w:rsidRPr="00C65CAA">
        <w:t>Rezerva vlády SR</w:t>
      </w:r>
      <w:r w:rsidR="003E1262">
        <w:t xml:space="preserve"> (</w:t>
      </w:r>
      <w:r w:rsidRPr="00C65CAA">
        <w:t>5 000 tis. eur</w:t>
      </w:r>
      <w:r w:rsidR="003E1262">
        <w:t xml:space="preserve">), </w:t>
      </w:r>
      <w:r w:rsidRPr="00C65CAA">
        <w:t>Rezerva predsedu vlády SR</w:t>
      </w:r>
      <w:r w:rsidR="003E1262">
        <w:t xml:space="preserve"> (</w:t>
      </w:r>
      <w:r w:rsidRPr="00C65CAA">
        <w:t>1 500 tis. eur</w:t>
      </w:r>
      <w:r w:rsidR="003E1262">
        <w:t xml:space="preserve">), </w:t>
      </w:r>
      <w:r w:rsidRPr="00C65CAA">
        <w:t>Rezerva na prostriedky</w:t>
      </w:r>
      <w:r w:rsidR="009E41D2">
        <w:t xml:space="preserve"> EÚ a odvody EÚ</w:t>
      </w:r>
      <w:r w:rsidR="003E1262">
        <w:t xml:space="preserve"> (</w:t>
      </w:r>
      <w:r w:rsidR="009E41D2">
        <w:t xml:space="preserve">134 </w:t>
      </w:r>
      <w:r w:rsidR="00C87DE9">
        <w:t>274</w:t>
      </w:r>
      <w:r w:rsidRPr="00C65CAA">
        <w:t xml:space="preserve"> tis. eur</w:t>
      </w:r>
      <w:r w:rsidR="003E1262">
        <w:t>).</w:t>
      </w:r>
      <w:r w:rsidRPr="00C65CAA">
        <w:tab/>
        <w:t>Rezerva vlády SR a Rezerva na prostriedky EÚ a odvody EÚ sú rozpočtované v kapitole VPS a Rezerva predsedu vlády SR je rozpočtovaná v kapitole ÚV SR.</w:t>
      </w:r>
    </w:p>
    <w:p w14:paraId="500BC698" w14:textId="77777777" w:rsidR="00CA5523" w:rsidRDefault="00CA5523" w:rsidP="00D37540">
      <w:pPr>
        <w:pStyle w:val="Bezriadkovania"/>
        <w:spacing w:before="100" w:after="100"/>
        <w:ind w:firstLine="709"/>
      </w:pPr>
      <w:r w:rsidRPr="00C65CAA">
        <w:t>Reze</w:t>
      </w:r>
      <w:r w:rsidR="00D37540">
        <w:t>rvy rozpočtované v kapitole VPS sú nasledovné.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3"/>
        <w:gridCol w:w="1168"/>
        <w:gridCol w:w="1168"/>
        <w:gridCol w:w="1320"/>
        <w:gridCol w:w="1172"/>
        <w:gridCol w:w="865"/>
      </w:tblGrid>
      <w:tr w:rsidR="00CA5523" w:rsidRPr="00C65CAA" w14:paraId="6D56984E" w14:textId="77777777" w:rsidTr="00C87DE9">
        <w:trPr>
          <w:trHeight w:val="479"/>
          <w:tblHeader/>
        </w:trPr>
        <w:tc>
          <w:tcPr>
            <w:tcW w:w="1954" w:type="pct"/>
            <w:tcBorders>
              <w:right w:val="single" w:sz="4" w:space="0" w:color="FFFFFF" w:themeColor="background1"/>
            </w:tcBorders>
            <w:shd w:val="clear" w:color="auto" w:fill="0070C0"/>
            <w:noWrap/>
            <w:vAlign w:val="center"/>
          </w:tcPr>
          <w:p w14:paraId="6ECE8D55" w14:textId="0E79E458" w:rsidR="00CA5523" w:rsidRPr="00C65CAA" w:rsidRDefault="00CA5523" w:rsidP="00A146BE">
            <w:pPr>
              <w:rPr>
                <w:b/>
                <w:color w:val="FFFFFF" w:themeColor="background1"/>
                <w:sz w:val="20"/>
                <w:szCs w:val="20"/>
              </w:rPr>
            </w:pPr>
            <w:r w:rsidRPr="00C65CAA">
              <w:rPr>
                <w:b/>
                <w:color w:val="FFFFFF" w:themeColor="background1"/>
                <w:sz w:val="20"/>
                <w:szCs w:val="20"/>
              </w:rPr>
              <w:t>Rezervy (v </w:t>
            </w:r>
            <w:r w:rsidR="00A146BE">
              <w:rPr>
                <w:b/>
                <w:color w:val="FFFFFF" w:themeColor="background1"/>
                <w:sz w:val="20"/>
                <w:szCs w:val="20"/>
              </w:rPr>
              <w:t xml:space="preserve">tis. </w:t>
            </w:r>
            <w:r w:rsidRPr="00C65CAA">
              <w:rPr>
                <w:b/>
                <w:color w:val="FFFFFF" w:themeColor="background1"/>
                <w:sz w:val="20"/>
                <w:szCs w:val="20"/>
              </w:rPr>
              <w:t>eur)</w:t>
            </w:r>
          </w:p>
        </w:tc>
        <w:tc>
          <w:tcPr>
            <w:tcW w:w="625" w:type="pct"/>
            <w:tcBorders>
              <w:left w:val="single" w:sz="4" w:space="0" w:color="FFFFFF" w:themeColor="background1"/>
              <w:right w:val="single" w:sz="4" w:space="0" w:color="FFFFFF" w:themeColor="background1"/>
            </w:tcBorders>
            <w:shd w:val="clear" w:color="auto" w:fill="0070C0"/>
            <w:vAlign w:val="center"/>
          </w:tcPr>
          <w:p w14:paraId="0510E719" w14:textId="77777777" w:rsidR="00CA5523" w:rsidRPr="00C65CAA" w:rsidRDefault="00CA5523" w:rsidP="006C4F5B">
            <w:pPr>
              <w:jc w:val="center"/>
              <w:rPr>
                <w:b/>
                <w:color w:val="FFFFFF" w:themeColor="background1"/>
                <w:sz w:val="20"/>
                <w:szCs w:val="20"/>
              </w:rPr>
            </w:pPr>
            <w:r>
              <w:rPr>
                <w:b/>
                <w:color w:val="FFFFFF" w:themeColor="background1"/>
                <w:sz w:val="20"/>
                <w:szCs w:val="20"/>
              </w:rPr>
              <w:t>Skutočnosť 2018</w:t>
            </w:r>
          </w:p>
        </w:tc>
        <w:tc>
          <w:tcPr>
            <w:tcW w:w="625" w:type="pct"/>
            <w:tcBorders>
              <w:left w:val="single" w:sz="4" w:space="0" w:color="FFFFFF" w:themeColor="background1"/>
              <w:right w:val="single" w:sz="4" w:space="0" w:color="FFFFFF" w:themeColor="background1"/>
            </w:tcBorders>
            <w:shd w:val="clear" w:color="auto" w:fill="0070C0"/>
            <w:vAlign w:val="center"/>
          </w:tcPr>
          <w:p w14:paraId="747E6F3D"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Rozpočet 201</w:t>
            </w:r>
            <w:r>
              <w:rPr>
                <w:b/>
                <w:color w:val="FFFFFF" w:themeColor="background1"/>
                <w:sz w:val="20"/>
                <w:szCs w:val="20"/>
              </w:rPr>
              <w:t>9</w:t>
            </w:r>
          </w:p>
        </w:tc>
        <w:tc>
          <w:tcPr>
            <w:tcW w:w="706" w:type="pct"/>
            <w:tcBorders>
              <w:left w:val="single" w:sz="4" w:space="0" w:color="FFFFFF" w:themeColor="background1"/>
              <w:right w:val="single" w:sz="4" w:space="0" w:color="FFFFFF" w:themeColor="background1"/>
            </w:tcBorders>
            <w:shd w:val="clear" w:color="auto" w:fill="0070C0"/>
            <w:noWrap/>
            <w:vAlign w:val="center"/>
          </w:tcPr>
          <w:p w14:paraId="317E6A1A" w14:textId="77777777" w:rsidR="00CA5523" w:rsidRPr="00C65CAA" w:rsidRDefault="00CA5523" w:rsidP="006C4F5B">
            <w:pPr>
              <w:jc w:val="center"/>
              <w:rPr>
                <w:b/>
                <w:color w:val="FFFFFF" w:themeColor="background1"/>
                <w:sz w:val="20"/>
                <w:szCs w:val="20"/>
              </w:rPr>
            </w:pPr>
            <w:r>
              <w:rPr>
                <w:b/>
                <w:color w:val="FFFFFF" w:themeColor="background1"/>
                <w:sz w:val="20"/>
                <w:szCs w:val="20"/>
              </w:rPr>
              <w:t>Návrh rozpočtu 2020</w:t>
            </w:r>
          </w:p>
        </w:tc>
        <w:tc>
          <w:tcPr>
            <w:tcW w:w="627" w:type="pct"/>
            <w:tcBorders>
              <w:left w:val="single" w:sz="4" w:space="0" w:color="FFFFFF" w:themeColor="background1"/>
              <w:right w:val="single" w:sz="4" w:space="0" w:color="FFFFFF" w:themeColor="background1"/>
            </w:tcBorders>
            <w:shd w:val="clear" w:color="auto" w:fill="0070C0"/>
            <w:vAlign w:val="center"/>
          </w:tcPr>
          <w:p w14:paraId="59B9337F"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Rozdiel</w:t>
            </w:r>
          </w:p>
        </w:tc>
        <w:tc>
          <w:tcPr>
            <w:tcW w:w="463" w:type="pct"/>
            <w:tcBorders>
              <w:left w:val="single" w:sz="4" w:space="0" w:color="FFFFFF" w:themeColor="background1"/>
            </w:tcBorders>
            <w:shd w:val="clear" w:color="auto" w:fill="0070C0"/>
            <w:vAlign w:val="center"/>
          </w:tcPr>
          <w:p w14:paraId="30F976FD"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Podiel</w:t>
            </w:r>
          </w:p>
        </w:tc>
      </w:tr>
      <w:tr w:rsidR="00CA5523" w:rsidRPr="00C65CAA" w14:paraId="3C3E95D8" w14:textId="77777777" w:rsidTr="006C4F5B">
        <w:trPr>
          <w:trHeight w:val="20"/>
        </w:trPr>
        <w:tc>
          <w:tcPr>
            <w:tcW w:w="1954" w:type="pct"/>
            <w:shd w:val="clear" w:color="auto" w:fill="auto"/>
            <w:vAlign w:val="center"/>
          </w:tcPr>
          <w:p w14:paraId="2E1DE4B8" w14:textId="77777777" w:rsidR="00CA5523" w:rsidRPr="00C65CAA" w:rsidRDefault="00CA5523" w:rsidP="006C4F5B">
            <w:pPr>
              <w:jc w:val="center"/>
              <w:rPr>
                <w:color w:val="000000"/>
                <w:sz w:val="20"/>
                <w:szCs w:val="20"/>
              </w:rPr>
            </w:pPr>
            <w:r w:rsidRPr="00C65CAA">
              <w:rPr>
                <w:rFonts w:eastAsia="Calibri"/>
                <w:bCs/>
                <w:color w:val="000000"/>
                <w:sz w:val="18"/>
                <w:szCs w:val="18"/>
              </w:rPr>
              <w:t>a</w:t>
            </w:r>
          </w:p>
        </w:tc>
        <w:tc>
          <w:tcPr>
            <w:tcW w:w="625" w:type="pct"/>
            <w:shd w:val="clear" w:color="auto" w:fill="auto"/>
          </w:tcPr>
          <w:p w14:paraId="4BDC2E66" w14:textId="77777777" w:rsidR="00CA5523" w:rsidRPr="00C65CAA" w:rsidRDefault="00CA5523" w:rsidP="006C4F5B">
            <w:pPr>
              <w:jc w:val="center"/>
              <w:rPr>
                <w:color w:val="000000"/>
                <w:sz w:val="20"/>
                <w:szCs w:val="20"/>
              </w:rPr>
            </w:pPr>
            <w:r w:rsidRPr="00C65CAA">
              <w:rPr>
                <w:rFonts w:eastAsia="Calibri"/>
                <w:sz w:val="18"/>
                <w:szCs w:val="18"/>
              </w:rPr>
              <w:t>1</w:t>
            </w:r>
          </w:p>
        </w:tc>
        <w:tc>
          <w:tcPr>
            <w:tcW w:w="625" w:type="pct"/>
            <w:shd w:val="clear" w:color="auto" w:fill="auto"/>
          </w:tcPr>
          <w:p w14:paraId="58ECEACD" w14:textId="77777777" w:rsidR="00CA5523" w:rsidRPr="00C65CAA" w:rsidRDefault="00CA5523" w:rsidP="006C4F5B">
            <w:pPr>
              <w:jc w:val="center"/>
              <w:rPr>
                <w:color w:val="000000"/>
                <w:sz w:val="20"/>
                <w:szCs w:val="20"/>
              </w:rPr>
            </w:pPr>
            <w:r w:rsidRPr="00C65CAA">
              <w:rPr>
                <w:rFonts w:eastAsia="Calibri"/>
                <w:sz w:val="18"/>
                <w:szCs w:val="18"/>
              </w:rPr>
              <w:t>2</w:t>
            </w:r>
          </w:p>
        </w:tc>
        <w:tc>
          <w:tcPr>
            <w:tcW w:w="706" w:type="pct"/>
            <w:shd w:val="clear" w:color="auto" w:fill="auto"/>
            <w:noWrap/>
          </w:tcPr>
          <w:p w14:paraId="13F89BF5" w14:textId="77777777" w:rsidR="00CA5523" w:rsidRPr="00C65CAA" w:rsidRDefault="00CA5523" w:rsidP="006C4F5B">
            <w:pPr>
              <w:jc w:val="center"/>
              <w:rPr>
                <w:color w:val="000000"/>
                <w:sz w:val="20"/>
                <w:szCs w:val="20"/>
              </w:rPr>
            </w:pPr>
            <w:r w:rsidRPr="00C65CAA">
              <w:rPr>
                <w:rFonts w:eastAsia="Calibri"/>
                <w:sz w:val="18"/>
                <w:szCs w:val="18"/>
              </w:rPr>
              <w:t>3</w:t>
            </w:r>
          </w:p>
        </w:tc>
        <w:tc>
          <w:tcPr>
            <w:tcW w:w="627" w:type="pct"/>
            <w:shd w:val="clear" w:color="auto" w:fill="auto"/>
          </w:tcPr>
          <w:p w14:paraId="4383C58B" w14:textId="77777777" w:rsidR="00CA5523" w:rsidRPr="00C65CAA" w:rsidRDefault="00CA5523" w:rsidP="006C4F5B">
            <w:pPr>
              <w:jc w:val="center"/>
              <w:rPr>
                <w:color w:val="000000"/>
                <w:sz w:val="20"/>
                <w:szCs w:val="20"/>
              </w:rPr>
            </w:pPr>
            <w:r w:rsidRPr="00C65CAA">
              <w:rPr>
                <w:rFonts w:eastAsia="Calibri"/>
                <w:sz w:val="18"/>
                <w:szCs w:val="18"/>
              </w:rPr>
              <w:t>4=3-2</w:t>
            </w:r>
          </w:p>
        </w:tc>
        <w:tc>
          <w:tcPr>
            <w:tcW w:w="463" w:type="pct"/>
            <w:shd w:val="clear" w:color="auto" w:fill="auto"/>
          </w:tcPr>
          <w:p w14:paraId="313E4089" w14:textId="77777777" w:rsidR="00CA5523" w:rsidRPr="00C65CAA" w:rsidRDefault="00CA5523" w:rsidP="006C4F5B">
            <w:pPr>
              <w:jc w:val="center"/>
              <w:rPr>
                <w:color w:val="000000"/>
                <w:sz w:val="20"/>
                <w:szCs w:val="20"/>
              </w:rPr>
            </w:pPr>
            <w:r w:rsidRPr="00C65CAA">
              <w:rPr>
                <w:rFonts w:eastAsia="Calibri"/>
                <w:sz w:val="18"/>
                <w:szCs w:val="18"/>
              </w:rPr>
              <w:t>5=3/2*100</w:t>
            </w:r>
          </w:p>
        </w:tc>
      </w:tr>
      <w:tr w:rsidR="00C87DE9" w:rsidRPr="00C65CAA" w14:paraId="3CE25A0F" w14:textId="77777777" w:rsidTr="00215117">
        <w:trPr>
          <w:trHeight w:val="20"/>
        </w:trPr>
        <w:tc>
          <w:tcPr>
            <w:tcW w:w="1954" w:type="pct"/>
            <w:shd w:val="clear" w:color="auto" w:fill="auto"/>
          </w:tcPr>
          <w:p w14:paraId="480763A6" w14:textId="77777777" w:rsidR="00C87DE9" w:rsidRPr="005574B1" w:rsidRDefault="00C87DE9" w:rsidP="00C87DE9">
            <w:pPr>
              <w:pStyle w:val="Default"/>
              <w:rPr>
                <w:sz w:val="20"/>
                <w:szCs w:val="20"/>
              </w:rPr>
            </w:pPr>
            <w:r w:rsidRPr="005574B1">
              <w:rPr>
                <w:sz w:val="20"/>
                <w:szCs w:val="20"/>
              </w:rPr>
              <w:t xml:space="preserve">Rezerva vlády </w:t>
            </w:r>
          </w:p>
        </w:tc>
        <w:tc>
          <w:tcPr>
            <w:tcW w:w="625" w:type="pct"/>
            <w:shd w:val="clear" w:color="auto" w:fill="auto"/>
            <w:vAlign w:val="center"/>
          </w:tcPr>
          <w:p w14:paraId="5E86AB86"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3 477</w:t>
            </w:r>
          </w:p>
        </w:tc>
        <w:tc>
          <w:tcPr>
            <w:tcW w:w="625" w:type="pct"/>
            <w:shd w:val="clear" w:color="auto" w:fill="auto"/>
            <w:vAlign w:val="center"/>
          </w:tcPr>
          <w:p w14:paraId="6F6F13CF"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5 000</w:t>
            </w:r>
          </w:p>
        </w:tc>
        <w:tc>
          <w:tcPr>
            <w:tcW w:w="706" w:type="pct"/>
            <w:shd w:val="clear" w:color="auto" w:fill="auto"/>
            <w:noWrap/>
            <w:vAlign w:val="center"/>
          </w:tcPr>
          <w:p w14:paraId="1357EE21"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5 000</w:t>
            </w:r>
          </w:p>
        </w:tc>
        <w:tc>
          <w:tcPr>
            <w:tcW w:w="627" w:type="pct"/>
            <w:shd w:val="clear" w:color="auto" w:fill="auto"/>
            <w:vAlign w:val="center"/>
          </w:tcPr>
          <w:p w14:paraId="2F571A44"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463" w:type="pct"/>
            <w:shd w:val="clear" w:color="auto" w:fill="auto"/>
            <w:vAlign w:val="center"/>
          </w:tcPr>
          <w:p w14:paraId="3B9777F9"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100,0</w:t>
            </w:r>
          </w:p>
        </w:tc>
      </w:tr>
      <w:tr w:rsidR="00C87DE9" w:rsidRPr="00C65CAA" w14:paraId="0C959E2E" w14:textId="77777777" w:rsidTr="00215117">
        <w:trPr>
          <w:trHeight w:val="20"/>
        </w:trPr>
        <w:tc>
          <w:tcPr>
            <w:tcW w:w="1954" w:type="pct"/>
            <w:shd w:val="clear" w:color="auto" w:fill="auto"/>
          </w:tcPr>
          <w:p w14:paraId="52A5B9AE" w14:textId="77777777" w:rsidR="00C87DE9" w:rsidRPr="005574B1" w:rsidRDefault="00C87DE9" w:rsidP="00C87DE9">
            <w:pPr>
              <w:pStyle w:val="Default"/>
              <w:rPr>
                <w:sz w:val="20"/>
                <w:szCs w:val="20"/>
              </w:rPr>
            </w:pPr>
            <w:r w:rsidRPr="005574B1">
              <w:rPr>
                <w:sz w:val="20"/>
                <w:szCs w:val="20"/>
              </w:rPr>
              <w:t xml:space="preserve">Rezerva na realizáciu súdnych a exekučných rozhodnutí a na výdavky súvisiace s vrátenými príjmami z minulých rokov </w:t>
            </w:r>
          </w:p>
        </w:tc>
        <w:tc>
          <w:tcPr>
            <w:tcW w:w="625" w:type="pct"/>
            <w:shd w:val="clear" w:color="auto" w:fill="auto"/>
            <w:vAlign w:val="center"/>
          </w:tcPr>
          <w:p w14:paraId="3AD125F2"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625" w:type="pct"/>
            <w:shd w:val="clear" w:color="auto" w:fill="auto"/>
            <w:vAlign w:val="center"/>
          </w:tcPr>
          <w:p w14:paraId="04A997AC"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10 000</w:t>
            </w:r>
          </w:p>
        </w:tc>
        <w:tc>
          <w:tcPr>
            <w:tcW w:w="706" w:type="pct"/>
            <w:shd w:val="clear" w:color="auto" w:fill="auto"/>
            <w:noWrap/>
            <w:vAlign w:val="center"/>
          </w:tcPr>
          <w:p w14:paraId="792C6464"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10 000</w:t>
            </w:r>
          </w:p>
        </w:tc>
        <w:tc>
          <w:tcPr>
            <w:tcW w:w="627" w:type="pct"/>
            <w:shd w:val="clear" w:color="auto" w:fill="auto"/>
            <w:vAlign w:val="center"/>
          </w:tcPr>
          <w:p w14:paraId="37145866"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463" w:type="pct"/>
            <w:shd w:val="clear" w:color="auto" w:fill="auto"/>
            <w:vAlign w:val="center"/>
          </w:tcPr>
          <w:p w14:paraId="22901580"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100,0</w:t>
            </w:r>
          </w:p>
        </w:tc>
      </w:tr>
      <w:tr w:rsidR="00C87DE9" w:rsidRPr="00C65CAA" w14:paraId="7BD944FF" w14:textId="77777777" w:rsidTr="00215117">
        <w:trPr>
          <w:trHeight w:val="20"/>
        </w:trPr>
        <w:tc>
          <w:tcPr>
            <w:tcW w:w="1954" w:type="pct"/>
            <w:shd w:val="clear" w:color="auto" w:fill="auto"/>
          </w:tcPr>
          <w:p w14:paraId="62E1F38C" w14:textId="77777777" w:rsidR="00C87DE9" w:rsidRPr="005574B1" w:rsidRDefault="00C87DE9" w:rsidP="00C87DE9">
            <w:pPr>
              <w:pStyle w:val="Default"/>
              <w:rPr>
                <w:sz w:val="20"/>
                <w:szCs w:val="20"/>
              </w:rPr>
            </w:pPr>
            <w:r w:rsidRPr="005574B1">
              <w:rPr>
                <w:sz w:val="20"/>
                <w:szCs w:val="20"/>
              </w:rPr>
              <w:t xml:space="preserve">Rezerva na riešenie vplyvov nových zákonných úprav a iných vplyvov </w:t>
            </w:r>
          </w:p>
        </w:tc>
        <w:tc>
          <w:tcPr>
            <w:tcW w:w="625" w:type="pct"/>
            <w:shd w:val="clear" w:color="auto" w:fill="auto"/>
            <w:vAlign w:val="center"/>
          </w:tcPr>
          <w:p w14:paraId="11491B7A"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625" w:type="pct"/>
            <w:shd w:val="clear" w:color="auto" w:fill="auto"/>
            <w:vAlign w:val="center"/>
          </w:tcPr>
          <w:p w14:paraId="3CAFD416"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400 000</w:t>
            </w:r>
          </w:p>
        </w:tc>
        <w:tc>
          <w:tcPr>
            <w:tcW w:w="706" w:type="pct"/>
            <w:shd w:val="clear" w:color="auto" w:fill="auto"/>
            <w:noWrap/>
            <w:vAlign w:val="center"/>
          </w:tcPr>
          <w:p w14:paraId="406835BF"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250 171</w:t>
            </w:r>
          </w:p>
        </w:tc>
        <w:tc>
          <w:tcPr>
            <w:tcW w:w="627" w:type="pct"/>
            <w:shd w:val="clear" w:color="auto" w:fill="auto"/>
            <w:vAlign w:val="center"/>
          </w:tcPr>
          <w:p w14:paraId="78E2AD7C"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-149 829</w:t>
            </w:r>
          </w:p>
        </w:tc>
        <w:tc>
          <w:tcPr>
            <w:tcW w:w="463" w:type="pct"/>
            <w:shd w:val="clear" w:color="auto" w:fill="auto"/>
            <w:vAlign w:val="center"/>
          </w:tcPr>
          <w:p w14:paraId="2B266ABB"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62,5</w:t>
            </w:r>
          </w:p>
        </w:tc>
      </w:tr>
      <w:tr w:rsidR="00C87DE9" w:rsidRPr="00C65CAA" w14:paraId="328ADC9C" w14:textId="77777777" w:rsidTr="00215117">
        <w:trPr>
          <w:trHeight w:val="20"/>
        </w:trPr>
        <w:tc>
          <w:tcPr>
            <w:tcW w:w="1954" w:type="pct"/>
            <w:shd w:val="clear" w:color="auto" w:fill="auto"/>
          </w:tcPr>
          <w:p w14:paraId="5938EC43" w14:textId="77777777" w:rsidR="00C87DE9" w:rsidRPr="005574B1" w:rsidRDefault="00C87DE9" w:rsidP="00C87DE9">
            <w:pPr>
              <w:pStyle w:val="Default"/>
              <w:rPr>
                <w:sz w:val="20"/>
                <w:szCs w:val="20"/>
              </w:rPr>
            </w:pPr>
            <w:r w:rsidRPr="005574B1">
              <w:rPr>
                <w:sz w:val="20"/>
                <w:szCs w:val="20"/>
              </w:rPr>
              <w:t xml:space="preserve">Rezerva na riešenie krízových situácií </w:t>
            </w:r>
          </w:p>
        </w:tc>
        <w:tc>
          <w:tcPr>
            <w:tcW w:w="625" w:type="pct"/>
            <w:shd w:val="clear" w:color="auto" w:fill="auto"/>
            <w:vAlign w:val="center"/>
          </w:tcPr>
          <w:p w14:paraId="77CCA978"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15</w:t>
            </w:r>
          </w:p>
        </w:tc>
        <w:tc>
          <w:tcPr>
            <w:tcW w:w="625" w:type="pct"/>
            <w:shd w:val="clear" w:color="auto" w:fill="auto"/>
            <w:vAlign w:val="center"/>
          </w:tcPr>
          <w:p w14:paraId="018E465A"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11 000</w:t>
            </w:r>
          </w:p>
        </w:tc>
        <w:tc>
          <w:tcPr>
            <w:tcW w:w="706" w:type="pct"/>
            <w:shd w:val="clear" w:color="auto" w:fill="auto"/>
            <w:noWrap/>
            <w:vAlign w:val="center"/>
          </w:tcPr>
          <w:p w14:paraId="4A2D9195"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11 000</w:t>
            </w:r>
          </w:p>
        </w:tc>
        <w:tc>
          <w:tcPr>
            <w:tcW w:w="627" w:type="pct"/>
            <w:shd w:val="clear" w:color="auto" w:fill="auto"/>
            <w:vAlign w:val="center"/>
          </w:tcPr>
          <w:p w14:paraId="5136E562"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463" w:type="pct"/>
            <w:shd w:val="clear" w:color="auto" w:fill="auto"/>
            <w:vAlign w:val="center"/>
          </w:tcPr>
          <w:p w14:paraId="420AC741"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100,0</w:t>
            </w:r>
          </w:p>
        </w:tc>
      </w:tr>
      <w:tr w:rsidR="00C87DE9" w:rsidRPr="00C65CAA" w14:paraId="4A6FDCFE" w14:textId="77777777" w:rsidTr="00215117">
        <w:trPr>
          <w:trHeight w:val="20"/>
        </w:trPr>
        <w:tc>
          <w:tcPr>
            <w:tcW w:w="1954" w:type="pct"/>
            <w:shd w:val="clear" w:color="auto" w:fill="auto"/>
          </w:tcPr>
          <w:p w14:paraId="143E17E7" w14:textId="77777777" w:rsidR="00C87DE9" w:rsidRPr="005574B1" w:rsidRDefault="00C87DE9" w:rsidP="00C87DE9">
            <w:pPr>
              <w:pStyle w:val="Default"/>
              <w:rPr>
                <w:sz w:val="20"/>
                <w:szCs w:val="20"/>
              </w:rPr>
            </w:pPr>
            <w:r w:rsidRPr="005574B1">
              <w:rPr>
                <w:sz w:val="20"/>
                <w:szCs w:val="20"/>
              </w:rPr>
              <w:t xml:space="preserve">Rezerva na mzdy a poistné </w:t>
            </w:r>
          </w:p>
        </w:tc>
        <w:tc>
          <w:tcPr>
            <w:tcW w:w="625" w:type="pct"/>
            <w:shd w:val="clear" w:color="auto" w:fill="auto"/>
            <w:vAlign w:val="center"/>
          </w:tcPr>
          <w:p w14:paraId="2D27BA7B"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625" w:type="pct"/>
            <w:shd w:val="clear" w:color="auto" w:fill="auto"/>
            <w:vAlign w:val="center"/>
          </w:tcPr>
          <w:p w14:paraId="6829D80C"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592 228</w:t>
            </w:r>
          </w:p>
        </w:tc>
        <w:tc>
          <w:tcPr>
            <w:tcW w:w="706" w:type="pct"/>
            <w:shd w:val="clear" w:color="auto" w:fill="auto"/>
            <w:noWrap/>
            <w:vAlign w:val="center"/>
          </w:tcPr>
          <w:p w14:paraId="28523C9F"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152 809</w:t>
            </w:r>
          </w:p>
        </w:tc>
        <w:tc>
          <w:tcPr>
            <w:tcW w:w="627" w:type="pct"/>
            <w:shd w:val="clear" w:color="auto" w:fill="auto"/>
            <w:vAlign w:val="center"/>
          </w:tcPr>
          <w:p w14:paraId="75EC67B1"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-439 419</w:t>
            </w:r>
          </w:p>
        </w:tc>
        <w:tc>
          <w:tcPr>
            <w:tcW w:w="463" w:type="pct"/>
            <w:shd w:val="clear" w:color="auto" w:fill="auto"/>
            <w:vAlign w:val="center"/>
          </w:tcPr>
          <w:p w14:paraId="0952D988"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25,8</w:t>
            </w:r>
          </w:p>
        </w:tc>
      </w:tr>
      <w:tr w:rsidR="00C87DE9" w:rsidRPr="00C65CAA" w14:paraId="32C2EC2C" w14:textId="77777777" w:rsidTr="00215117">
        <w:trPr>
          <w:trHeight w:val="20"/>
        </w:trPr>
        <w:tc>
          <w:tcPr>
            <w:tcW w:w="1954" w:type="pct"/>
            <w:shd w:val="clear" w:color="auto" w:fill="auto"/>
          </w:tcPr>
          <w:p w14:paraId="407DEB05" w14:textId="77777777" w:rsidR="00C87DE9" w:rsidRPr="005574B1" w:rsidRDefault="00C87DE9" w:rsidP="00C87DE9">
            <w:pPr>
              <w:pStyle w:val="Default"/>
              <w:rPr>
                <w:sz w:val="20"/>
                <w:szCs w:val="20"/>
              </w:rPr>
            </w:pPr>
            <w:r w:rsidRPr="005574B1">
              <w:rPr>
                <w:sz w:val="20"/>
                <w:szCs w:val="20"/>
              </w:rPr>
              <w:t xml:space="preserve">Rezerva na rok 2019 </w:t>
            </w:r>
          </w:p>
        </w:tc>
        <w:tc>
          <w:tcPr>
            <w:tcW w:w="625" w:type="pct"/>
            <w:shd w:val="clear" w:color="auto" w:fill="auto"/>
            <w:vAlign w:val="center"/>
          </w:tcPr>
          <w:p w14:paraId="39ADE420"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625" w:type="pct"/>
            <w:shd w:val="clear" w:color="auto" w:fill="auto"/>
            <w:vAlign w:val="center"/>
          </w:tcPr>
          <w:p w14:paraId="5F157A23"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53 110</w:t>
            </w:r>
          </w:p>
        </w:tc>
        <w:tc>
          <w:tcPr>
            <w:tcW w:w="706" w:type="pct"/>
            <w:shd w:val="clear" w:color="auto" w:fill="auto"/>
            <w:noWrap/>
            <w:vAlign w:val="center"/>
          </w:tcPr>
          <w:p w14:paraId="55FB7ABD"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627" w:type="pct"/>
            <w:shd w:val="clear" w:color="auto" w:fill="auto"/>
            <w:vAlign w:val="center"/>
          </w:tcPr>
          <w:p w14:paraId="2BA07F53"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-53 110</w:t>
            </w:r>
          </w:p>
        </w:tc>
        <w:tc>
          <w:tcPr>
            <w:tcW w:w="463" w:type="pct"/>
            <w:shd w:val="clear" w:color="auto" w:fill="auto"/>
            <w:vAlign w:val="center"/>
          </w:tcPr>
          <w:p w14:paraId="474164C0"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0,0</w:t>
            </w:r>
          </w:p>
        </w:tc>
      </w:tr>
      <w:tr w:rsidR="00C87DE9" w:rsidRPr="00C65CAA" w14:paraId="2DCB9125" w14:textId="77777777" w:rsidTr="00215117">
        <w:trPr>
          <w:trHeight w:val="20"/>
        </w:trPr>
        <w:tc>
          <w:tcPr>
            <w:tcW w:w="1954" w:type="pct"/>
            <w:shd w:val="clear" w:color="auto" w:fill="auto"/>
          </w:tcPr>
          <w:p w14:paraId="7AEB2654" w14:textId="77777777" w:rsidR="00C87DE9" w:rsidRPr="005574B1" w:rsidRDefault="00C87DE9" w:rsidP="00C87DE9">
            <w:pPr>
              <w:pStyle w:val="Default"/>
              <w:rPr>
                <w:sz w:val="20"/>
                <w:szCs w:val="20"/>
              </w:rPr>
            </w:pPr>
            <w:r w:rsidRPr="005574B1">
              <w:rPr>
                <w:sz w:val="20"/>
                <w:szCs w:val="20"/>
              </w:rPr>
              <w:t xml:space="preserve">Rezerva na vysporiadanie korekcií </w:t>
            </w:r>
          </w:p>
        </w:tc>
        <w:tc>
          <w:tcPr>
            <w:tcW w:w="625" w:type="pct"/>
            <w:shd w:val="clear" w:color="auto" w:fill="auto"/>
            <w:vAlign w:val="center"/>
          </w:tcPr>
          <w:p w14:paraId="2A2A5642"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625" w:type="pct"/>
            <w:shd w:val="clear" w:color="auto" w:fill="auto"/>
            <w:vAlign w:val="center"/>
          </w:tcPr>
          <w:p w14:paraId="353BF1A0"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706" w:type="pct"/>
            <w:shd w:val="clear" w:color="auto" w:fill="auto"/>
            <w:noWrap/>
            <w:vAlign w:val="center"/>
          </w:tcPr>
          <w:p w14:paraId="57B1642F"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300 000</w:t>
            </w:r>
          </w:p>
        </w:tc>
        <w:tc>
          <w:tcPr>
            <w:tcW w:w="627" w:type="pct"/>
            <w:shd w:val="clear" w:color="auto" w:fill="auto"/>
            <w:vAlign w:val="center"/>
          </w:tcPr>
          <w:p w14:paraId="4B5D4FD7" w14:textId="77777777" w:rsidR="00C87DE9" w:rsidRPr="00864E86" w:rsidRDefault="00C87DE9" w:rsidP="00C87DE9">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300 000</w:t>
            </w:r>
          </w:p>
        </w:tc>
        <w:tc>
          <w:tcPr>
            <w:tcW w:w="463" w:type="pct"/>
            <w:shd w:val="clear" w:color="auto" w:fill="auto"/>
            <w:vAlign w:val="center"/>
          </w:tcPr>
          <w:p w14:paraId="55CCD31B" w14:textId="77777777" w:rsidR="00C87DE9" w:rsidRPr="00864E86" w:rsidRDefault="00C87DE9" w:rsidP="00C87DE9">
            <w:pPr>
              <w:jc w:val="center"/>
              <w:rPr>
                <w:rFonts w:eastAsia="Times New Roman" w:cs="Times New Roman"/>
                <w:color w:val="000000"/>
                <w:sz w:val="20"/>
                <w:szCs w:val="20"/>
                <w:lang w:eastAsia="sk-SK"/>
              </w:rPr>
            </w:pPr>
            <w:r w:rsidRPr="00864E86">
              <w:rPr>
                <w:rFonts w:eastAsia="Times New Roman" w:cs="Times New Roman"/>
                <w:color w:val="000000"/>
                <w:sz w:val="20"/>
                <w:szCs w:val="20"/>
                <w:lang w:eastAsia="sk-SK"/>
              </w:rPr>
              <w:t>-</w:t>
            </w:r>
          </w:p>
        </w:tc>
      </w:tr>
      <w:tr w:rsidR="00C87DE9" w:rsidRPr="00C87DE9" w14:paraId="735A2FA5" w14:textId="77777777" w:rsidTr="00215117">
        <w:trPr>
          <w:trHeight w:val="20"/>
        </w:trPr>
        <w:tc>
          <w:tcPr>
            <w:tcW w:w="1954" w:type="pct"/>
            <w:shd w:val="clear" w:color="auto" w:fill="BFBFBF" w:themeFill="background1" w:themeFillShade="BF"/>
            <w:noWrap/>
          </w:tcPr>
          <w:p w14:paraId="758C0637" w14:textId="77777777" w:rsidR="00C87DE9" w:rsidRPr="00C87DE9" w:rsidRDefault="00C87DE9" w:rsidP="00C87DE9">
            <w:pPr>
              <w:pStyle w:val="Default"/>
              <w:rPr>
                <w:b/>
                <w:sz w:val="20"/>
                <w:szCs w:val="20"/>
              </w:rPr>
            </w:pPr>
            <w:r w:rsidRPr="00C87DE9">
              <w:rPr>
                <w:b/>
                <w:bCs/>
                <w:sz w:val="20"/>
                <w:szCs w:val="20"/>
              </w:rPr>
              <w:t xml:space="preserve">Rezervy </w:t>
            </w:r>
          </w:p>
        </w:tc>
        <w:tc>
          <w:tcPr>
            <w:tcW w:w="625" w:type="pct"/>
            <w:shd w:val="clear" w:color="auto" w:fill="BFBFBF" w:themeFill="background1" w:themeFillShade="BF"/>
            <w:vAlign w:val="center"/>
          </w:tcPr>
          <w:p w14:paraId="17D75AA7" w14:textId="77777777" w:rsidR="00C87DE9" w:rsidRPr="00C87DE9" w:rsidRDefault="00C87DE9" w:rsidP="00C87DE9">
            <w:pPr>
              <w:jc w:val="right"/>
              <w:rPr>
                <w:rFonts w:eastAsia="Times New Roman" w:cs="Times New Roman"/>
                <w:b/>
                <w:bCs/>
                <w:color w:val="000000"/>
                <w:sz w:val="20"/>
                <w:szCs w:val="20"/>
                <w:lang w:eastAsia="sk-SK"/>
              </w:rPr>
            </w:pPr>
            <w:r w:rsidRPr="00C87DE9">
              <w:rPr>
                <w:rFonts w:eastAsia="Times New Roman" w:cs="Times New Roman"/>
                <w:b/>
                <w:bCs/>
                <w:color w:val="000000"/>
                <w:sz w:val="20"/>
                <w:szCs w:val="20"/>
                <w:lang w:eastAsia="sk-SK"/>
              </w:rPr>
              <w:t>3 493</w:t>
            </w:r>
          </w:p>
        </w:tc>
        <w:tc>
          <w:tcPr>
            <w:tcW w:w="625" w:type="pct"/>
            <w:shd w:val="clear" w:color="auto" w:fill="BFBFBF" w:themeFill="background1" w:themeFillShade="BF"/>
            <w:vAlign w:val="center"/>
          </w:tcPr>
          <w:p w14:paraId="3BBD7715" w14:textId="77777777" w:rsidR="00C87DE9" w:rsidRPr="00C87DE9" w:rsidRDefault="00C87DE9" w:rsidP="00C87DE9">
            <w:pPr>
              <w:jc w:val="right"/>
              <w:rPr>
                <w:rFonts w:eastAsia="Times New Roman" w:cs="Times New Roman"/>
                <w:b/>
                <w:bCs/>
                <w:color w:val="000000"/>
                <w:sz w:val="20"/>
                <w:szCs w:val="20"/>
                <w:lang w:eastAsia="sk-SK"/>
              </w:rPr>
            </w:pPr>
            <w:r w:rsidRPr="00C87DE9">
              <w:rPr>
                <w:rFonts w:eastAsia="Times New Roman" w:cs="Times New Roman"/>
                <w:b/>
                <w:bCs/>
                <w:color w:val="000000"/>
                <w:sz w:val="20"/>
                <w:szCs w:val="20"/>
                <w:lang w:eastAsia="sk-SK"/>
              </w:rPr>
              <w:t>1 071 338</w:t>
            </w:r>
          </w:p>
        </w:tc>
        <w:tc>
          <w:tcPr>
            <w:tcW w:w="706" w:type="pct"/>
            <w:shd w:val="clear" w:color="auto" w:fill="BFBFBF" w:themeFill="background1" w:themeFillShade="BF"/>
            <w:noWrap/>
            <w:vAlign w:val="center"/>
          </w:tcPr>
          <w:p w14:paraId="6E8E463B" w14:textId="77777777" w:rsidR="00C87DE9" w:rsidRPr="00C87DE9" w:rsidRDefault="00C87DE9" w:rsidP="00C87DE9">
            <w:pPr>
              <w:jc w:val="right"/>
              <w:rPr>
                <w:rFonts w:eastAsia="Times New Roman" w:cs="Times New Roman"/>
                <w:b/>
                <w:bCs/>
                <w:color w:val="000000"/>
                <w:sz w:val="20"/>
                <w:szCs w:val="20"/>
                <w:lang w:eastAsia="sk-SK"/>
              </w:rPr>
            </w:pPr>
            <w:r w:rsidRPr="00C87DE9">
              <w:rPr>
                <w:rFonts w:eastAsia="Times New Roman" w:cs="Times New Roman"/>
                <w:b/>
                <w:bCs/>
                <w:color w:val="000000"/>
                <w:sz w:val="20"/>
                <w:szCs w:val="20"/>
                <w:lang w:eastAsia="sk-SK"/>
              </w:rPr>
              <w:t>728 980</w:t>
            </w:r>
          </w:p>
        </w:tc>
        <w:tc>
          <w:tcPr>
            <w:tcW w:w="627" w:type="pct"/>
            <w:shd w:val="clear" w:color="auto" w:fill="BFBFBF" w:themeFill="background1" w:themeFillShade="BF"/>
            <w:vAlign w:val="center"/>
          </w:tcPr>
          <w:p w14:paraId="63292AF6" w14:textId="77777777" w:rsidR="00C87DE9" w:rsidRPr="00C87DE9" w:rsidRDefault="00C87DE9" w:rsidP="00C87DE9">
            <w:pPr>
              <w:jc w:val="right"/>
              <w:rPr>
                <w:rFonts w:eastAsia="Times New Roman" w:cs="Times New Roman"/>
                <w:b/>
                <w:color w:val="000000"/>
                <w:sz w:val="20"/>
                <w:szCs w:val="20"/>
                <w:lang w:eastAsia="sk-SK"/>
              </w:rPr>
            </w:pPr>
            <w:r w:rsidRPr="00C87DE9">
              <w:rPr>
                <w:rFonts w:eastAsia="Times New Roman" w:cs="Times New Roman"/>
                <w:b/>
                <w:color w:val="000000"/>
                <w:sz w:val="20"/>
                <w:szCs w:val="20"/>
                <w:lang w:eastAsia="sk-SK"/>
              </w:rPr>
              <w:t>-342 358</w:t>
            </w:r>
          </w:p>
        </w:tc>
        <w:tc>
          <w:tcPr>
            <w:tcW w:w="463" w:type="pct"/>
            <w:shd w:val="clear" w:color="auto" w:fill="BFBFBF" w:themeFill="background1" w:themeFillShade="BF"/>
            <w:vAlign w:val="center"/>
          </w:tcPr>
          <w:p w14:paraId="3D61FE01" w14:textId="77777777" w:rsidR="00C87DE9" w:rsidRPr="00C87DE9" w:rsidRDefault="00C87DE9" w:rsidP="00C87DE9">
            <w:pPr>
              <w:jc w:val="right"/>
              <w:rPr>
                <w:rFonts w:eastAsia="Times New Roman" w:cs="Times New Roman"/>
                <w:b/>
                <w:color w:val="000000"/>
                <w:sz w:val="20"/>
                <w:szCs w:val="20"/>
                <w:lang w:eastAsia="sk-SK"/>
              </w:rPr>
            </w:pPr>
            <w:r w:rsidRPr="00C87DE9">
              <w:rPr>
                <w:rFonts w:eastAsia="Times New Roman" w:cs="Times New Roman"/>
                <w:b/>
                <w:color w:val="000000"/>
                <w:sz w:val="20"/>
                <w:szCs w:val="20"/>
                <w:lang w:eastAsia="sk-SK"/>
              </w:rPr>
              <w:t>68,0</w:t>
            </w:r>
          </w:p>
        </w:tc>
      </w:tr>
    </w:tbl>
    <w:p w14:paraId="65E2D17D" w14:textId="77777777" w:rsidR="00CA5523" w:rsidRPr="00D37540" w:rsidRDefault="00CA5523" w:rsidP="00CA5523">
      <w:pPr>
        <w:pStyle w:val="Bezriadkovania"/>
        <w:spacing w:after="100"/>
        <w:rPr>
          <w:i/>
          <w:sz w:val="18"/>
          <w:szCs w:val="20"/>
        </w:rPr>
      </w:pPr>
      <w:r w:rsidRPr="00D37540">
        <w:rPr>
          <w:i/>
          <w:sz w:val="18"/>
          <w:szCs w:val="20"/>
        </w:rPr>
        <w:t>Zdroj: Návrh RVS na roky 2020 až 2022</w:t>
      </w:r>
    </w:p>
    <w:p w14:paraId="498B8EB0" w14:textId="46B7271A" w:rsidR="00C87DE9" w:rsidRPr="00C87DE9" w:rsidRDefault="00CA5523" w:rsidP="00C87DE9">
      <w:pPr>
        <w:pStyle w:val="Bezriadkovania"/>
        <w:spacing w:before="100" w:after="100"/>
        <w:ind w:firstLine="708"/>
        <w:jc w:val="both"/>
        <w:rPr>
          <w:b/>
          <w:szCs w:val="22"/>
        </w:rPr>
      </w:pPr>
      <w:r w:rsidRPr="00C65CAA">
        <w:t xml:space="preserve">Vzhľadom na skutočnosť, že v čase prípravy rozpočtu </w:t>
      </w:r>
      <w:r w:rsidR="00D37540">
        <w:t>VS</w:t>
      </w:r>
      <w:r w:rsidRPr="00C65CAA">
        <w:t xml:space="preserve"> nebola známa definitívna legislatívna podoba viacerých opatrení, rozpočtuje sa v kapitole VPS </w:t>
      </w:r>
      <w:r w:rsidRPr="00C65CAA">
        <w:rPr>
          <w:b/>
        </w:rPr>
        <w:t xml:space="preserve">Rezerva na riešenie vplyvov nových zákonných úprav </w:t>
      </w:r>
      <w:r w:rsidRPr="00C65CAA">
        <w:t xml:space="preserve">v objeme </w:t>
      </w:r>
      <w:r w:rsidR="00C87DE9">
        <w:t>250 171 tis</w:t>
      </w:r>
      <w:r w:rsidRPr="00C65CAA">
        <w:t xml:space="preserve">. eur. Účelom tejto rezervy je kryť </w:t>
      </w:r>
      <w:r w:rsidR="00C87DE9" w:rsidRPr="00C87DE9">
        <w:rPr>
          <w:szCs w:val="22"/>
        </w:rPr>
        <w:t>hlavne výdavky súvisiace s pripravov</w:t>
      </w:r>
      <w:r w:rsidR="00140EC7">
        <w:rPr>
          <w:szCs w:val="22"/>
        </w:rPr>
        <w:t>anými legislatívnymi zmenami. V </w:t>
      </w:r>
      <w:r w:rsidR="00C87DE9" w:rsidRPr="00C87DE9">
        <w:rPr>
          <w:szCs w:val="22"/>
        </w:rPr>
        <w:t xml:space="preserve">rámci uvedeného výdavkového titulu sa uvažuje s výdavkami na podporu výchovy k stravovacím návykom detí, na zavedenie povinného </w:t>
      </w:r>
      <w:proofErr w:type="spellStart"/>
      <w:r w:rsidR="00C87DE9" w:rsidRPr="00C87DE9">
        <w:rPr>
          <w:szCs w:val="22"/>
        </w:rPr>
        <w:t>predprimárneho</w:t>
      </w:r>
      <w:proofErr w:type="spellEnd"/>
      <w:r w:rsidR="00C87DE9" w:rsidRPr="00C87DE9">
        <w:rPr>
          <w:szCs w:val="22"/>
        </w:rPr>
        <w:t xml:space="preserve"> vzdelávania v materskej škole, na príspevky za zásluhy v športovej oblasti a na zriadenie Fondu na podporu športu. Ďalšími výdavkami sú výdavky </w:t>
      </w:r>
      <w:r w:rsidR="008012FF">
        <w:rPr>
          <w:szCs w:val="22"/>
        </w:rPr>
        <w:t>týkajúce sa pozemkových úprav a </w:t>
      </w:r>
      <w:r w:rsidR="00C87DE9" w:rsidRPr="00C87DE9">
        <w:rPr>
          <w:szCs w:val="22"/>
        </w:rPr>
        <w:t>dotačných nástrojov na podporu v poľnohospodárstve a výdavky súvisiace s novelou zákona o e-</w:t>
      </w:r>
      <w:proofErr w:type="spellStart"/>
      <w:r w:rsidR="00C87DE9" w:rsidRPr="00C87DE9">
        <w:rPr>
          <w:szCs w:val="22"/>
        </w:rPr>
        <w:t>Governmente</w:t>
      </w:r>
      <w:proofErr w:type="spellEnd"/>
      <w:r w:rsidR="00C87DE9" w:rsidRPr="00C87DE9">
        <w:rPr>
          <w:szCs w:val="22"/>
        </w:rPr>
        <w:t>.</w:t>
      </w:r>
    </w:p>
    <w:p w14:paraId="09EDCD75" w14:textId="2DD56B67" w:rsidR="00C87DE9" w:rsidRDefault="008012FF" w:rsidP="008012FF">
      <w:pPr>
        <w:spacing w:before="100" w:after="100"/>
        <w:ind w:firstLine="709"/>
        <w:jc w:val="both"/>
      </w:pPr>
      <w:r w:rsidRPr="008012FF">
        <w:t>V súvislosti s ukončením programového obdobia 2007</w:t>
      </w:r>
      <w:r w:rsidR="00D37540">
        <w:t xml:space="preserve"> </w:t>
      </w:r>
      <w:r w:rsidR="0005431A">
        <w:t>až</w:t>
      </w:r>
      <w:r w:rsidR="00D37540">
        <w:t xml:space="preserve"> </w:t>
      </w:r>
      <w:r w:rsidRPr="008012FF">
        <w:t xml:space="preserve">2013 vzniká potreba finančného vysporiadania korekcií zaznamenaných v minulých rokoch. Takto zaznamenané korekcie ovplyvnili negatívne deficit rozpočtu verejnej správy v metodike ESA 2010 v rokoch, v ktorých boli zaznamenané. Z tohto dôvodu sa </w:t>
      </w:r>
      <w:r w:rsidRPr="008012FF">
        <w:rPr>
          <w:b/>
        </w:rPr>
        <w:t>rozpočtuje Rezerva na vysporiadanie korekcií</w:t>
      </w:r>
      <w:r w:rsidRPr="008012FF">
        <w:t xml:space="preserve"> v objeme 300 mil. eur v roku 2020. </w:t>
      </w:r>
    </w:p>
    <w:p w14:paraId="02EFBAFA" w14:textId="77777777" w:rsidR="008012FF" w:rsidRPr="00192607" w:rsidRDefault="008012FF" w:rsidP="008012FF">
      <w:pPr>
        <w:pStyle w:val="Default"/>
        <w:ind w:firstLine="708"/>
        <w:jc w:val="both"/>
        <w:rPr>
          <w:b/>
          <w:szCs w:val="22"/>
        </w:rPr>
      </w:pPr>
      <w:r w:rsidRPr="008012FF">
        <w:rPr>
          <w:b/>
          <w:szCs w:val="22"/>
        </w:rPr>
        <w:t>Rezerva na prostriedky E</w:t>
      </w:r>
      <w:r>
        <w:rPr>
          <w:b/>
          <w:szCs w:val="22"/>
        </w:rPr>
        <w:t xml:space="preserve">Ú </w:t>
      </w:r>
      <w:r w:rsidRPr="008012FF">
        <w:rPr>
          <w:b/>
          <w:szCs w:val="22"/>
        </w:rPr>
        <w:t>a odvody E</w:t>
      </w:r>
      <w:r>
        <w:rPr>
          <w:b/>
          <w:szCs w:val="22"/>
        </w:rPr>
        <w:t xml:space="preserve">Ú </w:t>
      </w:r>
      <w:r w:rsidRPr="00CC04D8">
        <w:rPr>
          <w:szCs w:val="22"/>
        </w:rPr>
        <w:t xml:space="preserve">sa rozpočtuje na administrovanie štrukturálnych fondov, Kohézneho fondu, príjmov z poľnohospodárskych fondov, na prípadné korekcie za poskytnuté prostriedky EÚ, na rýchlejšiu realizáciu a väčší počet projektov, na výdavky na zefektívnenie systému </w:t>
      </w:r>
      <w:r w:rsidR="00AC387E">
        <w:rPr>
          <w:szCs w:val="22"/>
        </w:rPr>
        <w:t>finančného riadenia EÚ fondov a </w:t>
      </w:r>
      <w:r w:rsidRPr="00CC04D8">
        <w:rPr>
          <w:szCs w:val="22"/>
        </w:rPr>
        <w:t xml:space="preserve">iných finančných nástrojov. </w:t>
      </w:r>
      <w:r w:rsidRPr="00192607">
        <w:rPr>
          <w:b/>
          <w:szCs w:val="22"/>
        </w:rPr>
        <w:t>Slúži na krytie nevyhnutých a nepredvídaných výdavkov, ktoré vzniknú v tejto oblasti v priebehu roka.</w:t>
      </w:r>
    </w:p>
    <w:p w14:paraId="41E4C882" w14:textId="2223E61F" w:rsidR="004A5950" w:rsidRDefault="00CA5523" w:rsidP="00D37540">
      <w:pPr>
        <w:spacing w:before="100" w:after="100"/>
        <w:ind w:firstLine="708"/>
        <w:jc w:val="both"/>
      </w:pPr>
      <w:r w:rsidRPr="00C65CAA">
        <w:rPr>
          <w:lang w:eastAsia="cs-CZ"/>
        </w:rPr>
        <w:t>Štruktúr</w:t>
      </w:r>
      <w:r w:rsidR="00223117">
        <w:rPr>
          <w:lang w:eastAsia="cs-CZ"/>
        </w:rPr>
        <w:t>u finančných vzťahov súvisiacich s rozpočtom EÚ</w:t>
      </w:r>
      <w:r w:rsidR="00D37540">
        <w:t xml:space="preserve"> sumarizuje nasledujúca tabuľka.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3"/>
        <w:gridCol w:w="1168"/>
        <w:gridCol w:w="1168"/>
        <w:gridCol w:w="1320"/>
        <w:gridCol w:w="1172"/>
        <w:gridCol w:w="865"/>
      </w:tblGrid>
      <w:tr w:rsidR="00CA5523" w:rsidRPr="00C65CAA" w14:paraId="01AD1194" w14:textId="77777777" w:rsidTr="00236949">
        <w:trPr>
          <w:trHeight w:val="479"/>
          <w:tblHeader/>
        </w:trPr>
        <w:tc>
          <w:tcPr>
            <w:tcW w:w="1954" w:type="pct"/>
            <w:tcBorders>
              <w:right w:val="single" w:sz="4" w:space="0" w:color="FFFFFF" w:themeColor="background1"/>
            </w:tcBorders>
            <w:shd w:val="clear" w:color="auto" w:fill="0070C0"/>
            <w:noWrap/>
            <w:vAlign w:val="center"/>
          </w:tcPr>
          <w:p w14:paraId="00ED0C35" w14:textId="22F957BD" w:rsidR="00CA5523" w:rsidRPr="00C65CAA" w:rsidRDefault="00223117" w:rsidP="00223117">
            <w:pPr>
              <w:jc w:val="center"/>
              <w:rPr>
                <w:b/>
                <w:color w:val="FFFFFF" w:themeColor="background1"/>
                <w:sz w:val="20"/>
                <w:szCs w:val="20"/>
              </w:rPr>
            </w:pPr>
            <w:r>
              <w:rPr>
                <w:b/>
                <w:color w:val="FFFFFF" w:themeColor="background1"/>
                <w:sz w:val="20"/>
                <w:szCs w:val="20"/>
              </w:rPr>
              <w:t>Ukazovateľ</w:t>
            </w:r>
            <w:r w:rsidR="00CA5523" w:rsidRPr="00C65CAA">
              <w:rPr>
                <w:b/>
                <w:color w:val="FFFFFF" w:themeColor="background1"/>
                <w:sz w:val="20"/>
                <w:szCs w:val="20"/>
              </w:rPr>
              <w:t xml:space="preserve"> (v </w:t>
            </w:r>
            <w:r w:rsidR="00A146BE">
              <w:rPr>
                <w:b/>
                <w:color w:val="FFFFFF" w:themeColor="background1"/>
                <w:sz w:val="20"/>
                <w:szCs w:val="20"/>
              </w:rPr>
              <w:t xml:space="preserve">tis </w:t>
            </w:r>
            <w:r w:rsidR="00CA5523" w:rsidRPr="00C65CAA">
              <w:rPr>
                <w:b/>
                <w:color w:val="FFFFFF" w:themeColor="background1"/>
                <w:sz w:val="20"/>
                <w:szCs w:val="20"/>
              </w:rPr>
              <w:t>eur)</w:t>
            </w:r>
          </w:p>
        </w:tc>
        <w:tc>
          <w:tcPr>
            <w:tcW w:w="625" w:type="pct"/>
            <w:tcBorders>
              <w:left w:val="single" w:sz="4" w:space="0" w:color="FFFFFF" w:themeColor="background1"/>
              <w:right w:val="single" w:sz="4" w:space="0" w:color="FFFFFF" w:themeColor="background1"/>
            </w:tcBorders>
            <w:shd w:val="clear" w:color="auto" w:fill="0070C0"/>
            <w:vAlign w:val="center"/>
          </w:tcPr>
          <w:p w14:paraId="20FA03BB" w14:textId="2D05218D" w:rsidR="00CA5523" w:rsidRPr="00C65CAA" w:rsidRDefault="008B760E" w:rsidP="006C4F5B">
            <w:pPr>
              <w:jc w:val="center"/>
              <w:rPr>
                <w:b/>
                <w:color w:val="FFFFFF" w:themeColor="background1"/>
                <w:sz w:val="20"/>
                <w:szCs w:val="20"/>
              </w:rPr>
            </w:pPr>
            <w:r>
              <w:rPr>
                <w:b/>
                <w:color w:val="FFFFFF" w:themeColor="background1"/>
                <w:sz w:val="20"/>
                <w:szCs w:val="20"/>
              </w:rPr>
              <w:t>Skutočnosť 2018</w:t>
            </w:r>
          </w:p>
        </w:tc>
        <w:tc>
          <w:tcPr>
            <w:tcW w:w="625" w:type="pct"/>
            <w:tcBorders>
              <w:left w:val="single" w:sz="4" w:space="0" w:color="FFFFFF" w:themeColor="background1"/>
              <w:right w:val="single" w:sz="4" w:space="0" w:color="FFFFFF" w:themeColor="background1"/>
            </w:tcBorders>
            <w:shd w:val="clear" w:color="auto" w:fill="0070C0"/>
            <w:vAlign w:val="center"/>
          </w:tcPr>
          <w:p w14:paraId="326DD26F" w14:textId="573ED5BB" w:rsidR="00CA5523" w:rsidRPr="00C65CAA" w:rsidRDefault="008B760E" w:rsidP="006C4F5B">
            <w:pPr>
              <w:jc w:val="center"/>
              <w:rPr>
                <w:b/>
                <w:color w:val="FFFFFF" w:themeColor="background1"/>
                <w:sz w:val="20"/>
                <w:szCs w:val="20"/>
              </w:rPr>
            </w:pPr>
            <w:r>
              <w:rPr>
                <w:b/>
                <w:color w:val="FFFFFF" w:themeColor="background1"/>
                <w:sz w:val="20"/>
                <w:szCs w:val="20"/>
              </w:rPr>
              <w:t>Rozpočet 2019</w:t>
            </w:r>
          </w:p>
        </w:tc>
        <w:tc>
          <w:tcPr>
            <w:tcW w:w="706" w:type="pct"/>
            <w:tcBorders>
              <w:left w:val="single" w:sz="4" w:space="0" w:color="FFFFFF" w:themeColor="background1"/>
              <w:right w:val="single" w:sz="4" w:space="0" w:color="FFFFFF" w:themeColor="background1"/>
            </w:tcBorders>
            <w:shd w:val="clear" w:color="auto" w:fill="0070C0"/>
            <w:noWrap/>
            <w:vAlign w:val="center"/>
          </w:tcPr>
          <w:p w14:paraId="3A2EC5D4" w14:textId="29D192F6" w:rsidR="00CA5523" w:rsidRPr="00C65CAA" w:rsidRDefault="008B760E" w:rsidP="006C4F5B">
            <w:pPr>
              <w:jc w:val="center"/>
              <w:rPr>
                <w:b/>
                <w:color w:val="FFFFFF" w:themeColor="background1"/>
                <w:sz w:val="20"/>
                <w:szCs w:val="20"/>
              </w:rPr>
            </w:pPr>
            <w:r>
              <w:rPr>
                <w:b/>
                <w:color w:val="FFFFFF" w:themeColor="background1"/>
                <w:sz w:val="20"/>
                <w:szCs w:val="20"/>
              </w:rPr>
              <w:t>Návrh rozpočtu 2020</w:t>
            </w:r>
          </w:p>
        </w:tc>
        <w:tc>
          <w:tcPr>
            <w:tcW w:w="627" w:type="pct"/>
            <w:tcBorders>
              <w:left w:val="single" w:sz="4" w:space="0" w:color="FFFFFF" w:themeColor="background1"/>
              <w:right w:val="single" w:sz="4" w:space="0" w:color="FFFFFF" w:themeColor="background1"/>
            </w:tcBorders>
            <w:shd w:val="clear" w:color="auto" w:fill="0070C0"/>
            <w:vAlign w:val="center"/>
          </w:tcPr>
          <w:p w14:paraId="2F681B83"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Rozdiel</w:t>
            </w:r>
          </w:p>
        </w:tc>
        <w:tc>
          <w:tcPr>
            <w:tcW w:w="463" w:type="pct"/>
            <w:tcBorders>
              <w:left w:val="single" w:sz="4" w:space="0" w:color="FFFFFF" w:themeColor="background1"/>
            </w:tcBorders>
            <w:shd w:val="clear" w:color="auto" w:fill="0070C0"/>
            <w:vAlign w:val="center"/>
          </w:tcPr>
          <w:p w14:paraId="47F4494E" w14:textId="77777777" w:rsidR="00CA5523" w:rsidRPr="00C65CAA" w:rsidRDefault="00CA5523" w:rsidP="006C4F5B">
            <w:pPr>
              <w:jc w:val="center"/>
              <w:rPr>
                <w:b/>
                <w:color w:val="FFFFFF" w:themeColor="background1"/>
                <w:sz w:val="20"/>
                <w:szCs w:val="20"/>
              </w:rPr>
            </w:pPr>
            <w:r w:rsidRPr="00C65CAA">
              <w:rPr>
                <w:b/>
                <w:color w:val="FFFFFF" w:themeColor="background1"/>
                <w:sz w:val="20"/>
                <w:szCs w:val="20"/>
              </w:rPr>
              <w:t>Podiel</w:t>
            </w:r>
          </w:p>
        </w:tc>
      </w:tr>
      <w:tr w:rsidR="00CA5523" w:rsidRPr="00C65CAA" w14:paraId="052932EC" w14:textId="77777777" w:rsidTr="006C4F5B">
        <w:trPr>
          <w:trHeight w:val="20"/>
        </w:trPr>
        <w:tc>
          <w:tcPr>
            <w:tcW w:w="1954" w:type="pct"/>
            <w:shd w:val="clear" w:color="auto" w:fill="auto"/>
            <w:vAlign w:val="center"/>
          </w:tcPr>
          <w:p w14:paraId="6787FEE1" w14:textId="77777777" w:rsidR="00CA5523" w:rsidRPr="00C65CAA" w:rsidRDefault="00CA5523" w:rsidP="006C4F5B">
            <w:pPr>
              <w:jc w:val="center"/>
              <w:rPr>
                <w:sz w:val="20"/>
                <w:szCs w:val="20"/>
              </w:rPr>
            </w:pPr>
            <w:r w:rsidRPr="00C65CAA">
              <w:rPr>
                <w:rFonts w:eastAsia="Calibri"/>
                <w:bCs/>
                <w:color w:val="000000"/>
                <w:sz w:val="18"/>
                <w:szCs w:val="18"/>
              </w:rPr>
              <w:t>a</w:t>
            </w:r>
          </w:p>
        </w:tc>
        <w:tc>
          <w:tcPr>
            <w:tcW w:w="625" w:type="pct"/>
            <w:shd w:val="clear" w:color="auto" w:fill="auto"/>
          </w:tcPr>
          <w:p w14:paraId="6749ECB5" w14:textId="77777777" w:rsidR="00CA5523" w:rsidRPr="00C65CAA" w:rsidRDefault="00CA5523" w:rsidP="006C4F5B">
            <w:pPr>
              <w:jc w:val="center"/>
              <w:rPr>
                <w:sz w:val="20"/>
                <w:szCs w:val="20"/>
              </w:rPr>
            </w:pPr>
            <w:r w:rsidRPr="00C65CAA">
              <w:rPr>
                <w:rFonts w:eastAsia="Calibri"/>
                <w:sz w:val="18"/>
                <w:szCs w:val="18"/>
              </w:rPr>
              <w:t>1</w:t>
            </w:r>
          </w:p>
        </w:tc>
        <w:tc>
          <w:tcPr>
            <w:tcW w:w="625" w:type="pct"/>
            <w:shd w:val="clear" w:color="auto" w:fill="auto"/>
          </w:tcPr>
          <w:p w14:paraId="1A0ACCF9" w14:textId="77777777" w:rsidR="00CA5523" w:rsidRPr="00C65CAA" w:rsidRDefault="00CA5523" w:rsidP="006C4F5B">
            <w:pPr>
              <w:jc w:val="center"/>
              <w:rPr>
                <w:sz w:val="20"/>
                <w:szCs w:val="20"/>
              </w:rPr>
            </w:pPr>
            <w:r w:rsidRPr="00C65CAA">
              <w:rPr>
                <w:rFonts w:eastAsia="Calibri"/>
                <w:sz w:val="18"/>
                <w:szCs w:val="18"/>
              </w:rPr>
              <w:t>2</w:t>
            </w:r>
          </w:p>
        </w:tc>
        <w:tc>
          <w:tcPr>
            <w:tcW w:w="706" w:type="pct"/>
            <w:shd w:val="clear" w:color="auto" w:fill="auto"/>
            <w:noWrap/>
          </w:tcPr>
          <w:p w14:paraId="2B66318B" w14:textId="77777777" w:rsidR="00CA5523" w:rsidRPr="00C65CAA" w:rsidRDefault="00CA5523" w:rsidP="006C4F5B">
            <w:pPr>
              <w:jc w:val="center"/>
              <w:rPr>
                <w:sz w:val="20"/>
                <w:szCs w:val="20"/>
              </w:rPr>
            </w:pPr>
            <w:r w:rsidRPr="00C65CAA">
              <w:rPr>
                <w:rFonts w:eastAsia="Calibri"/>
                <w:sz w:val="18"/>
                <w:szCs w:val="18"/>
              </w:rPr>
              <w:t>3</w:t>
            </w:r>
          </w:p>
        </w:tc>
        <w:tc>
          <w:tcPr>
            <w:tcW w:w="627" w:type="pct"/>
            <w:shd w:val="clear" w:color="auto" w:fill="auto"/>
          </w:tcPr>
          <w:p w14:paraId="0A87671C" w14:textId="77777777" w:rsidR="00CA5523" w:rsidRPr="00C65CAA" w:rsidRDefault="00CA5523" w:rsidP="006C4F5B">
            <w:pPr>
              <w:jc w:val="center"/>
              <w:rPr>
                <w:color w:val="000000"/>
                <w:sz w:val="20"/>
                <w:szCs w:val="20"/>
              </w:rPr>
            </w:pPr>
            <w:r w:rsidRPr="00C65CAA">
              <w:rPr>
                <w:rFonts w:eastAsia="Calibri"/>
                <w:sz w:val="18"/>
                <w:szCs w:val="18"/>
              </w:rPr>
              <w:t>4=3-2</w:t>
            </w:r>
          </w:p>
        </w:tc>
        <w:tc>
          <w:tcPr>
            <w:tcW w:w="463" w:type="pct"/>
            <w:shd w:val="clear" w:color="auto" w:fill="auto"/>
          </w:tcPr>
          <w:p w14:paraId="078B46D6" w14:textId="77777777" w:rsidR="00CA5523" w:rsidRPr="00C65CAA" w:rsidRDefault="00CA5523" w:rsidP="006C4F5B">
            <w:pPr>
              <w:jc w:val="center"/>
              <w:rPr>
                <w:color w:val="000000"/>
                <w:sz w:val="20"/>
                <w:szCs w:val="20"/>
              </w:rPr>
            </w:pPr>
            <w:r w:rsidRPr="00C65CAA">
              <w:rPr>
                <w:rFonts w:eastAsia="Calibri"/>
                <w:sz w:val="18"/>
                <w:szCs w:val="18"/>
              </w:rPr>
              <w:t>5=3/2*100</w:t>
            </w:r>
          </w:p>
        </w:tc>
      </w:tr>
      <w:tr w:rsidR="004A5950" w:rsidRPr="004A5950" w14:paraId="64E0F54E" w14:textId="77777777" w:rsidTr="006C4F5B">
        <w:trPr>
          <w:trHeight w:val="20"/>
        </w:trPr>
        <w:tc>
          <w:tcPr>
            <w:tcW w:w="1954" w:type="pct"/>
            <w:shd w:val="clear" w:color="auto" w:fill="auto"/>
            <w:vAlign w:val="center"/>
          </w:tcPr>
          <w:p w14:paraId="18933D89" w14:textId="7A011898" w:rsidR="004A5950" w:rsidRPr="004A5950" w:rsidRDefault="00DD5C45" w:rsidP="004A5950">
            <w:pPr>
              <w:rPr>
                <w:b/>
                <w:sz w:val="20"/>
                <w:szCs w:val="20"/>
              </w:rPr>
            </w:pPr>
            <w:r>
              <w:rPr>
                <w:b/>
                <w:sz w:val="20"/>
                <w:szCs w:val="20"/>
              </w:rPr>
              <w:t>Finančné vzťahy súvisiace s rozpočtom EÚ</w:t>
            </w:r>
            <w:r w:rsidR="004A5950" w:rsidRPr="004A5950">
              <w:rPr>
                <w:b/>
                <w:sz w:val="20"/>
                <w:szCs w:val="20"/>
              </w:rPr>
              <w:t>, v tom:</w:t>
            </w:r>
          </w:p>
        </w:tc>
        <w:tc>
          <w:tcPr>
            <w:tcW w:w="625" w:type="pct"/>
            <w:shd w:val="clear" w:color="auto" w:fill="auto"/>
            <w:vAlign w:val="center"/>
          </w:tcPr>
          <w:p w14:paraId="63AC7447" w14:textId="77777777" w:rsidR="004A5950" w:rsidRPr="004A5950" w:rsidRDefault="004A5950" w:rsidP="004A5950">
            <w:pPr>
              <w:jc w:val="right"/>
              <w:rPr>
                <w:rFonts w:eastAsia="Times New Roman" w:cs="Times New Roman"/>
                <w:b/>
                <w:bCs/>
                <w:color w:val="000000"/>
                <w:sz w:val="20"/>
                <w:szCs w:val="20"/>
                <w:lang w:eastAsia="sk-SK"/>
              </w:rPr>
            </w:pPr>
            <w:r w:rsidRPr="004A5950">
              <w:rPr>
                <w:rFonts w:eastAsia="Times New Roman" w:cs="Times New Roman"/>
                <w:b/>
                <w:bCs/>
                <w:color w:val="000000"/>
                <w:sz w:val="20"/>
                <w:szCs w:val="20"/>
                <w:lang w:eastAsia="sk-SK"/>
              </w:rPr>
              <w:t>788 797</w:t>
            </w:r>
          </w:p>
        </w:tc>
        <w:tc>
          <w:tcPr>
            <w:tcW w:w="625" w:type="pct"/>
            <w:shd w:val="clear" w:color="auto" w:fill="auto"/>
            <w:vAlign w:val="center"/>
          </w:tcPr>
          <w:p w14:paraId="69F5BAE1" w14:textId="77777777" w:rsidR="004A5950" w:rsidRPr="004A5950" w:rsidRDefault="004A5950" w:rsidP="004A5950">
            <w:pPr>
              <w:jc w:val="right"/>
              <w:rPr>
                <w:rFonts w:eastAsia="Times New Roman" w:cs="Times New Roman"/>
                <w:b/>
                <w:bCs/>
                <w:color w:val="000000"/>
                <w:sz w:val="20"/>
                <w:szCs w:val="20"/>
                <w:lang w:eastAsia="sk-SK"/>
              </w:rPr>
            </w:pPr>
            <w:r w:rsidRPr="004A5950">
              <w:rPr>
                <w:rFonts w:eastAsia="Times New Roman" w:cs="Times New Roman"/>
                <w:b/>
                <w:bCs/>
                <w:color w:val="000000"/>
                <w:sz w:val="20"/>
                <w:szCs w:val="20"/>
                <w:lang w:eastAsia="sk-SK"/>
              </w:rPr>
              <w:t>1 078 618</w:t>
            </w:r>
          </w:p>
        </w:tc>
        <w:tc>
          <w:tcPr>
            <w:tcW w:w="706" w:type="pct"/>
            <w:shd w:val="clear" w:color="auto" w:fill="auto"/>
            <w:noWrap/>
            <w:vAlign w:val="center"/>
          </w:tcPr>
          <w:p w14:paraId="130F49F2" w14:textId="77777777" w:rsidR="004A5950" w:rsidRPr="004A5950" w:rsidRDefault="004A5950" w:rsidP="004A5950">
            <w:pPr>
              <w:jc w:val="right"/>
              <w:rPr>
                <w:rFonts w:eastAsia="Times New Roman" w:cs="Times New Roman"/>
                <w:b/>
                <w:bCs/>
                <w:color w:val="000000"/>
                <w:sz w:val="20"/>
                <w:szCs w:val="20"/>
                <w:lang w:eastAsia="sk-SK"/>
              </w:rPr>
            </w:pPr>
            <w:r w:rsidRPr="004A5950">
              <w:rPr>
                <w:rFonts w:eastAsia="Times New Roman" w:cs="Times New Roman"/>
                <w:b/>
                <w:bCs/>
                <w:color w:val="000000"/>
                <w:sz w:val="20"/>
                <w:szCs w:val="20"/>
                <w:lang w:eastAsia="sk-SK"/>
              </w:rPr>
              <w:t>1 070 365</w:t>
            </w:r>
          </w:p>
        </w:tc>
        <w:tc>
          <w:tcPr>
            <w:tcW w:w="627" w:type="pct"/>
            <w:shd w:val="clear" w:color="auto" w:fill="auto"/>
            <w:vAlign w:val="center"/>
          </w:tcPr>
          <w:p w14:paraId="4C947439" w14:textId="77777777" w:rsidR="004A5950" w:rsidRPr="004A5950" w:rsidRDefault="004A5950" w:rsidP="004A5950">
            <w:pPr>
              <w:jc w:val="right"/>
              <w:rPr>
                <w:rFonts w:eastAsia="Times New Roman" w:cs="Times New Roman"/>
                <w:b/>
                <w:color w:val="000000"/>
                <w:sz w:val="20"/>
                <w:szCs w:val="20"/>
                <w:lang w:eastAsia="sk-SK"/>
              </w:rPr>
            </w:pPr>
            <w:r w:rsidRPr="004A5950">
              <w:rPr>
                <w:rFonts w:eastAsia="Times New Roman" w:cs="Times New Roman"/>
                <w:b/>
                <w:color w:val="000000"/>
                <w:sz w:val="20"/>
                <w:szCs w:val="20"/>
                <w:lang w:eastAsia="sk-SK"/>
              </w:rPr>
              <w:t>-8 253</w:t>
            </w:r>
          </w:p>
        </w:tc>
        <w:tc>
          <w:tcPr>
            <w:tcW w:w="463" w:type="pct"/>
            <w:shd w:val="clear" w:color="auto" w:fill="auto"/>
            <w:vAlign w:val="center"/>
          </w:tcPr>
          <w:p w14:paraId="763B8818" w14:textId="77777777" w:rsidR="004A5950" w:rsidRPr="004A5950" w:rsidRDefault="004A5950" w:rsidP="004A5950">
            <w:pPr>
              <w:jc w:val="right"/>
              <w:rPr>
                <w:rFonts w:eastAsia="Times New Roman" w:cs="Times New Roman"/>
                <w:b/>
                <w:color w:val="000000"/>
                <w:sz w:val="20"/>
                <w:szCs w:val="20"/>
                <w:lang w:eastAsia="sk-SK"/>
              </w:rPr>
            </w:pPr>
            <w:r w:rsidRPr="004A5950">
              <w:rPr>
                <w:rFonts w:eastAsia="Times New Roman" w:cs="Times New Roman"/>
                <w:b/>
                <w:color w:val="000000"/>
                <w:sz w:val="20"/>
                <w:szCs w:val="20"/>
                <w:lang w:eastAsia="sk-SK"/>
              </w:rPr>
              <w:t>99,2</w:t>
            </w:r>
          </w:p>
        </w:tc>
      </w:tr>
      <w:tr w:rsidR="004A5950" w:rsidRPr="00C65CAA" w14:paraId="5F3061AF" w14:textId="77777777" w:rsidTr="00215117">
        <w:trPr>
          <w:trHeight w:val="20"/>
        </w:trPr>
        <w:tc>
          <w:tcPr>
            <w:tcW w:w="1954" w:type="pct"/>
            <w:shd w:val="clear" w:color="auto" w:fill="auto"/>
          </w:tcPr>
          <w:p w14:paraId="252FA374" w14:textId="77777777" w:rsidR="004A5950" w:rsidRPr="004A5950" w:rsidRDefault="004A5950" w:rsidP="000A2429">
            <w:pPr>
              <w:pStyle w:val="Odsekzoznamu"/>
              <w:numPr>
                <w:ilvl w:val="0"/>
                <w:numId w:val="5"/>
              </w:numPr>
              <w:autoSpaceDE w:val="0"/>
              <w:autoSpaceDN w:val="0"/>
              <w:adjustRightInd w:val="0"/>
              <w:rPr>
                <w:rFonts w:cs="Times New Roman"/>
                <w:color w:val="000000"/>
                <w:sz w:val="20"/>
                <w:szCs w:val="20"/>
              </w:rPr>
            </w:pPr>
            <w:r w:rsidRPr="004A5950">
              <w:rPr>
                <w:rFonts w:cs="Times New Roman"/>
                <w:color w:val="000000"/>
                <w:sz w:val="20"/>
                <w:szCs w:val="20"/>
              </w:rPr>
              <w:t xml:space="preserve">Výdavky na financovanie finančných mechanizmov </w:t>
            </w:r>
          </w:p>
        </w:tc>
        <w:tc>
          <w:tcPr>
            <w:tcW w:w="625" w:type="pct"/>
            <w:shd w:val="clear" w:color="auto" w:fill="auto"/>
            <w:vAlign w:val="center"/>
          </w:tcPr>
          <w:p w14:paraId="2F9E651F"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2 317</w:t>
            </w:r>
          </w:p>
        </w:tc>
        <w:tc>
          <w:tcPr>
            <w:tcW w:w="625" w:type="pct"/>
            <w:shd w:val="clear" w:color="auto" w:fill="auto"/>
            <w:vAlign w:val="center"/>
          </w:tcPr>
          <w:p w14:paraId="6A9A10C7"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2 250</w:t>
            </w:r>
          </w:p>
        </w:tc>
        <w:tc>
          <w:tcPr>
            <w:tcW w:w="706" w:type="pct"/>
            <w:shd w:val="clear" w:color="auto" w:fill="auto"/>
            <w:noWrap/>
            <w:vAlign w:val="center"/>
          </w:tcPr>
          <w:p w14:paraId="33829D2D"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4 518</w:t>
            </w:r>
          </w:p>
        </w:tc>
        <w:tc>
          <w:tcPr>
            <w:tcW w:w="627" w:type="pct"/>
            <w:shd w:val="clear" w:color="auto" w:fill="auto"/>
            <w:vAlign w:val="center"/>
          </w:tcPr>
          <w:p w14:paraId="34D49CFE"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2 267</w:t>
            </w:r>
          </w:p>
        </w:tc>
        <w:tc>
          <w:tcPr>
            <w:tcW w:w="463" w:type="pct"/>
            <w:shd w:val="clear" w:color="auto" w:fill="auto"/>
            <w:vAlign w:val="center"/>
          </w:tcPr>
          <w:p w14:paraId="5B97875A"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200,8</w:t>
            </w:r>
          </w:p>
        </w:tc>
      </w:tr>
      <w:tr w:rsidR="004A5950" w:rsidRPr="00C65CAA" w14:paraId="62A0CE7D" w14:textId="77777777" w:rsidTr="00215117">
        <w:trPr>
          <w:trHeight w:val="20"/>
        </w:trPr>
        <w:tc>
          <w:tcPr>
            <w:tcW w:w="1954" w:type="pct"/>
            <w:shd w:val="clear" w:color="auto" w:fill="auto"/>
          </w:tcPr>
          <w:p w14:paraId="5E20562E" w14:textId="77777777" w:rsidR="004A5950" w:rsidRPr="004A5950" w:rsidRDefault="004A5950" w:rsidP="000A2429">
            <w:pPr>
              <w:pStyle w:val="Odsekzoznamu"/>
              <w:numPr>
                <w:ilvl w:val="0"/>
                <w:numId w:val="5"/>
              </w:numPr>
              <w:autoSpaceDE w:val="0"/>
              <w:autoSpaceDN w:val="0"/>
              <w:adjustRightInd w:val="0"/>
              <w:rPr>
                <w:rFonts w:cs="Times New Roman"/>
                <w:color w:val="000000"/>
                <w:sz w:val="20"/>
                <w:szCs w:val="20"/>
              </w:rPr>
            </w:pPr>
            <w:r w:rsidRPr="004A5950">
              <w:rPr>
                <w:rFonts w:cs="Times New Roman"/>
                <w:color w:val="000000"/>
                <w:sz w:val="20"/>
                <w:szCs w:val="20"/>
              </w:rPr>
              <w:t xml:space="preserve">Odvody do všeobecného rozpočtu EÚ </w:t>
            </w:r>
          </w:p>
        </w:tc>
        <w:tc>
          <w:tcPr>
            <w:tcW w:w="625" w:type="pct"/>
            <w:shd w:val="clear" w:color="auto" w:fill="auto"/>
            <w:vAlign w:val="center"/>
          </w:tcPr>
          <w:p w14:paraId="19971A39"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731 424</w:t>
            </w:r>
          </w:p>
        </w:tc>
        <w:tc>
          <w:tcPr>
            <w:tcW w:w="625" w:type="pct"/>
            <w:shd w:val="clear" w:color="auto" w:fill="auto"/>
            <w:vAlign w:val="center"/>
          </w:tcPr>
          <w:p w14:paraId="54D5CBAE"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839 668</w:t>
            </w:r>
          </w:p>
        </w:tc>
        <w:tc>
          <w:tcPr>
            <w:tcW w:w="706" w:type="pct"/>
            <w:shd w:val="clear" w:color="auto" w:fill="auto"/>
            <w:noWrap/>
            <w:vAlign w:val="center"/>
          </w:tcPr>
          <w:p w14:paraId="28F3BD49"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913 641</w:t>
            </w:r>
          </w:p>
        </w:tc>
        <w:tc>
          <w:tcPr>
            <w:tcW w:w="627" w:type="pct"/>
            <w:shd w:val="clear" w:color="auto" w:fill="auto"/>
            <w:vAlign w:val="center"/>
          </w:tcPr>
          <w:p w14:paraId="29B162A7"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73 973</w:t>
            </w:r>
          </w:p>
        </w:tc>
        <w:tc>
          <w:tcPr>
            <w:tcW w:w="463" w:type="pct"/>
            <w:shd w:val="clear" w:color="auto" w:fill="auto"/>
            <w:vAlign w:val="center"/>
          </w:tcPr>
          <w:p w14:paraId="15225EF0"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108,8</w:t>
            </w:r>
          </w:p>
        </w:tc>
      </w:tr>
      <w:tr w:rsidR="004A5950" w:rsidRPr="00C65CAA" w14:paraId="4C7970C7" w14:textId="77777777" w:rsidTr="00215117">
        <w:trPr>
          <w:trHeight w:val="20"/>
        </w:trPr>
        <w:tc>
          <w:tcPr>
            <w:tcW w:w="1954" w:type="pct"/>
            <w:shd w:val="clear" w:color="auto" w:fill="auto"/>
          </w:tcPr>
          <w:p w14:paraId="4E1E7F2E" w14:textId="77777777" w:rsidR="004A5950" w:rsidRPr="004A5950" w:rsidRDefault="004A5950" w:rsidP="000A2429">
            <w:pPr>
              <w:pStyle w:val="Odsekzoznamu"/>
              <w:numPr>
                <w:ilvl w:val="0"/>
                <w:numId w:val="5"/>
              </w:numPr>
              <w:autoSpaceDE w:val="0"/>
              <w:autoSpaceDN w:val="0"/>
              <w:adjustRightInd w:val="0"/>
              <w:rPr>
                <w:rFonts w:cs="Times New Roman"/>
                <w:color w:val="000000"/>
                <w:sz w:val="20"/>
                <w:szCs w:val="20"/>
              </w:rPr>
            </w:pPr>
            <w:r w:rsidRPr="004A5950">
              <w:rPr>
                <w:rFonts w:cs="Times New Roman"/>
                <w:color w:val="000000"/>
                <w:sz w:val="20"/>
                <w:szCs w:val="20"/>
              </w:rPr>
              <w:t xml:space="preserve">Príspevky SR do Európskeho rozvojového fondu </w:t>
            </w:r>
          </w:p>
        </w:tc>
        <w:tc>
          <w:tcPr>
            <w:tcW w:w="625" w:type="pct"/>
            <w:shd w:val="clear" w:color="auto" w:fill="auto"/>
            <w:vAlign w:val="center"/>
          </w:tcPr>
          <w:p w14:paraId="0301E586"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16 512</w:t>
            </w:r>
          </w:p>
        </w:tc>
        <w:tc>
          <w:tcPr>
            <w:tcW w:w="625" w:type="pct"/>
            <w:shd w:val="clear" w:color="auto" w:fill="auto"/>
            <w:vAlign w:val="center"/>
          </w:tcPr>
          <w:p w14:paraId="7ACF0909"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17 934</w:t>
            </w:r>
          </w:p>
        </w:tc>
        <w:tc>
          <w:tcPr>
            <w:tcW w:w="706" w:type="pct"/>
            <w:shd w:val="clear" w:color="auto" w:fill="auto"/>
            <w:noWrap/>
            <w:vAlign w:val="center"/>
          </w:tcPr>
          <w:p w14:paraId="739AA9C9"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17 933</w:t>
            </w:r>
          </w:p>
        </w:tc>
        <w:tc>
          <w:tcPr>
            <w:tcW w:w="627" w:type="pct"/>
            <w:shd w:val="clear" w:color="auto" w:fill="auto"/>
            <w:vAlign w:val="center"/>
          </w:tcPr>
          <w:p w14:paraId="0F707D2F"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w:t>
            </w:r>
          </w:p>
        </w:tc>
        <w:tc>
          <w:tcPr>
            <w:tcW w:w="463" w:type="pct"/>
            <w:shd w:val="clear" w:color="auto" w:fill="auto"/>
            <w:vAlign w:val="center"/>
          </w:tcPr>
          <w:p w14:paraId="697F1C9C"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100,0</w:t>
            </w:r>
          </w:p>
        </w:tc>
      </w:tr>
      <w:tr w:rsidR="004A5950" w:rsidRPr="00C65CAA" w14:paraId="7E6B8DC3" w14:textId="77777777" w:rsidTr="00215117">
        <w:trPr>
          <w:trHeight w:val="20"/>
        </w:trPr>
        <w:tc>
          <w:tcPr>
            <w:tcW w:w="1954" w:type="pct"/>
            <w:shd w:val="clear" w:color="auto" w:fill="auto"/>
          </w:tcPr>
          <w:p w14:paraId="69E84F8B" w14:textId="77777777" w:rsidR="004A5950" w:rsidRPr="004A5950" w:rsidRDefault="004A5950" w:rsidP="000A2429">
            <w:pPr>
              <w:pStyle w:val="Odsekzoznamu"/>
              <w:numPr>
                <w:ilvl w:val="0"/>
                <w:numId w:val="5"/>
              </w:numPr>
              <w:autoSpaceDE w:val="0"/>
              <w:autoSpaceDN w:val="0"/>
              <w:adjustRightInd w:val="0"/>
              <w:rPr>
                <w:rFonts w:cs="Times New Roman"/>
                <w:color w:val="000000"/>
                <w:sz w:val="20"/>
                <w:szCs w:val="20"/>
              </w:rPr>
            </w:pPr>
            <w:r w:rsidRPr="004A5950">
              <w:rPr>
                <w:rFonts w:cs="Times New Roman"/>
                <w:color w:val="000000"/>
                <w:sz w:val="20"/>
                <w:szCs w:val="20"/>
              </w:rPr>
              <w:t xml:space="preserve">Rezerva na prostriedky EÚ a odvody EÚ </w:t>
            </w:r>
          </w:p>
        </w:tc>
        <w:tc>
          <w:tcPr>
            <w:tcW w:w="625" w:type="pct"/>
            <w:shd w:val="clear" w:color="auto" w:fill="auto"/>
            <w:vAlign w:val="center"/>
          </w:tcPr>
          <w:p w14:paraId="10406BC1"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0</w:t>
            </w:r>
          </w:p>
        </w:tc>
        <w:tc>
          <w:tcPr>
            <w:tcW w:w="625" w:type="pct"/>
            <w:shd w:val="clear" w:color="auto" w:fill="auto"/>
            <w:vAlign w:val="center"/>
          </w:tcPr>
          <w:p w14:paraId="12727FF1"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218 766</w:t>
            </w:r>
          </w:p>
        </w:tc>
        <w:tc>
          <w:tcPr>
            <w:tcW w:w="706" w:type="pct"/>
            <w:shd w:val="clear" w:color="auto" w:fill="auto"/>
            <w:noWrap/>
            <w:vAlign w:val="center"/>
          </w:tcPr>
          <w:p w14:paraId="4DA2F633"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134 274</w:t>
            </w:r>
          </w:p>
        </w:tc>
        <w:tc>
          <w:tcPr>
            <w:tcW w:w="627" w:type="pct"/>
            <w:shd w:val="clear" w:color="auto" w:fill="auto"/>
            <w:vAlign w:val="center"/>
          </w:tcPr>
          <w:p w14:paraId="7FCBDE76"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-84 492</w:t>
            </w:r>
          </w:p>
        </w:tc>
        <w:tc>
          <w:tcPr>
            <w:tcW w:w="463" w:type="pct"/>
            <w:shd w:val="clear" w:color="auto" w:fill="auto"/>
            <w:vAlign w:val="center"/>
          </w:tcPr>
          <w:p w14:paraId="4B225033"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61,4</w:t>
            </w:r>
          </w:p>
        </w:tc>
      </w:tr>
      <w:tr w:rsidR="004A5950" w:rsidRPr="00C65CAA" w14:paraId="422EA6B2" w14:textId="77777777" w:rsidTr="00215117">
        <w:trPr>
          <w:trHeight w:val="20"/>
        </w:trPr>
        <w:tc>
          <w:tcPr>
            <w:tcW w:w="1954" w:type="pct"/>
            <w:shd w:val="clear" w:color="auto" w:fill="auto"/>
          </w:tcPr>
          <w:p w14:paraId="7F2A7EDA" w14:textId="77777777" w:rsidR="004A5950" w:rsidRPr="004A5950" w:rsidRDefault="004A5950" w:rsidP="000A2429">
            <w:pPr>
              <w:pStyle w:val="Odsekzoznamu"/>
              <w:numPr>
                <w:ilvl w:val="0"/>
                <w:numId w:val="5"/>
              </w:numPr>
              <w:autoSpaceDE w:val="0"/>
              <w:autoSpaceDN w:val="0"/>
              <w:adjustRightInd w:val="0"/>
              <w:rPr>
                <w:rFonts w:cs="Times New Roman"/>
                <w:color w:val="000000"/>
                <w:sz w:val="20"/>
                <w:szCs w:val="20"/>
              </w:rPr>
            </w:pPr>
            <w:r w:rsidRPr="004A5950">
              <w:rPr>
                <w:rFonts w:cs="Times New Roman"/>
                <w:color w:val="000000"/>
                <w:sz w:val="20"/>
                <w:szCs w:val="20"/>
              </w:rPr>
              <w:t xml:space="preserve">Výdavky na finančné opravy a zrušenia záväzkov EK </w:t>
            </w:r>
          </w:p>
        </w:tc>
        <w:tc>
          <w:tcPr>
            <w:tcW w:w="625" w:type="pct"/>
            <w:shd w:val="clear" w:color="auto" w:fill="auto"/>
            <w:vAlign w:val="center"/>
          </w:tcPr>
          <w:p w14:paraId="1C516BB5"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38 544</w:t>
            </w:r>
          </w:p>
        </w:tc>
        <w:tc>
          <w:tcPr>
            <w:tcW w:w="625" w:type="pct"/>
            <w:shd w:val="clear" w:color="auto" w:fill="auto"/>
            <w:vAlign w:val="center"/>
          </w:tcPr>
          <w:p w14:paraId="7A9DB1A1"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0</w:t>
            </w:r>
          </w:p>
        </w:tc>
        <w:tc>
          <w:tcPr>
            <w:tcW w:w="706" w:type="pct"/>
            <w:shd w:val="clear" w:color="auto" w:fill="auto"/>
            <w:noWrap/>
            <w:vAlign w:val="center"/>
          </w:tcPr>
          <w:p w14:paraId="0EB45425" w14:textId="77777777" w:rsidR="004A5950" w:rsidRPr="00864E86" w:rsidRDefault="004A5950" w:rsidP="004A5950">
            <w:pPr>
              <w:jc w:val="right"/>
              <w:rPr>
                <w:rFonts w:eastAsia="Times New Roman" w:cs="Times New Roman"/>
                <w:bCs/>
                <w:color w:val="000000"/>
                <w:sz w:val="20"/>
                <w:szCs w:val="20"/>
                <w:lang w:eastAsia="sk-SK"/>
              </w:rPr>
            </w:pPr>
            <w:r w:rsidRPr="00864E86">
              <w:rPr>
                <w:rFonts w:eastAsia="Times New Roman" w:cs="Times New Roman"/>
                <w:bCs/>
                <w:color w:val="000000"/>
                <w:sz w:val="20"/>
                <w:szCs w:val="20"/>
                <w:lang w:eastAsia="sk-SK"/>
              </w:rPr>
              <w:t>0</w:t>
            </w:r>
          </w:p>
        </w:tc>
        <w:tc>
          <w:tcPr>
            <w:tcW w:w="627" w:type="pct"/>
            <w:shd w:val="clear" w:color="auto" w:fill="auto"/>
            <w:vAlign w:val="center"/>
          </w:tcPr>
          <w:p w14:paraId="370CBD39" w14:textId="77777777" w:rsidR="004A5950" w:rsidRPr="00864E86" w:rsidRDefault="004A5950" w:rsidP="004A5950">
            <w:pPr>
              <w:jc w:val="right"/>
              <w:rPr>
                <w:rFonts w:eastAsia="Times New Roman" w:cs="Times New Roman"/>
                <w:color w:val="000000"/>
                <w:sz w:val="20"/>
                <w:szCs w:val="20"/>
                <w:lang w:eastAsia="sk-SK"/>
              </w:rPr>
            </w:pPr>
            <w:r w:rsidRPr="00864E86">
              <w:rPr>
                <w:rFonts w:eastAsia="Times New Roman" w:cs="Times New Roman"/>
                <w:color w:val="000000"/>
                <w:sz w:val="20"/>
                <w:szCs w:val="20"/>
                <w:lang w:eastAsia="sk-SK"/>
              </w:rPr>
              <w:t>0</w:t>
            </w:r>
          </w:p>
        </w:tc>
        <w:tc>
          <w:tcPr>
            <w:tcW w:w="463" w:type="pct"/>
            <w:shd w:val="clear" w:color="auto" w:fill="auto"/>
            <w:vAlign w:val="center"/>
          </w:tcPr>
          <w:p w14:paraId="7EC40CDE" w14:textId="77777777" w:rsidR="004A5950" w:rsidRPr="00864E86" w:rsidRDefault="004A5950" w:rsidP="004A5950">
            <w:pPr>
              <w:jc w:val="center"/>
              <w:rPr>
                <w:rFonts w:eastAsia="Times New Roman" w:cs="Times New Roman"/>
                <w:color w:val="000000"/>
                <w:sz w:val="20"/>
                <w:szCs w:val="20"/>
                <w:lang w:eastAsia="sk-SK"/>
              </w:rPr>
            </w:pPr>
            <w:r w:rsidRPr="00864E86">
              <w:rPr>
                <w:rFonts w:eastAsia="Times New Roman" w:cs="Times New Roman"/>
                <w:color w:val="000000"/>
                <w:sz w:val="20"/>
                <w:szCs w:val="20"/>
                <w:lang w:eastAsia="sk-SK"/>
              </w:rPr>
              <w:t>-</w:t>
            </w:r>
          </w:p>
        </w:tc>
      </w:tr>
    </w:tbl>
    <w:p w14:paraId="12BDD2DC" w14:textId="00A6290C" w:rsidR="00CA5523" w:rsidRPr="00D37540" w:rsidRDefault="00CA5523" w:rsidP="00CA5523">
      <w:pPr>
        <w:pStyle w:val="Bezriadkovania"/>
        <w:spacing w:after="100"/>
        <w:rPr>
          <w:i/>
          <w:sz w:val="18"/>
          <w:szCs w:val="20"/>
        </w:rPr>
      </w:pPr>
      <w:r w:rsidRPr="00D37540">
        <w:rPr>
          <w:i/>
          <w:sz w:val="18"/>
          <w:szCs w:val="20"/>
        </w:rPr>
        <w:t>Zdroj: Návrh RVS na roky</w:t>
      </w:r>
      <w:r w:rsidR="008B760E">
        <w:rPr>
          <w:i/>
          <w:sz w:val="18"/>
          <w:szCs w:val="20"/>
        </w:rPr>
        <w:t xml:space="preserve"> 2020</w:t>
      </w:r>
      <w:r w:rsidRPr="00D37540">
        <w:rPr>
          <w:i/>
          <w:sz w:val="18"/>
          <w:szCs w:val="20"/>
        </w:rPr>
        <w:t xml:space="preserve"> až 202</w:t>
      </w:r>
      <w:r w:rsidR="008B760E">
        <w:rPr>
          <w:i/>
          <w:sz w:val="18"/>
          <w:szCs w:val="20"/>
        </w:rPr>
        <w:t>2</w:t>
      </w:r>
    </w:p>
    <w:p w14:paraId="174EED62" w14:textId="14AD12CA" w:rsidR="008012FF" w:rsidRDefault="008012FF" w:rsidP="008012FF">
      <w:pPr>
        <w:spacing w:before="120" w:after="120"/>
        <w:ind w:firstLine="708"/>
        <w:jc w:val="both"/>
      </w:pPr>
      <w:r>
        <w:rPr>
          <w:rFonts w:cs="Times New Roman"/>
        </w:rPr>
        <w:lastRenderedPageBreak/>
        <w:t xml:space="preserve">NKÚ SR v rámci </w:t>
      </w:r>
      <w:r w:rsidR="00CF715F">
        <w:rPr>
          <w:rFonts w:cs="Times New Roman"/>
        </w:rPr>
        <w:t>kontrol</w:t>
      </w:r>
      <w:r w:rsidR="006426A5">
        <w:rPr>
          <w:rFonts w:cs="Times New Roman"/>
        </w:rPr>
        <w:t>y v roku 2018</w:t>
      </w:r>
      <w:r>
        <w:rPr>
          <w:rFonts w:cs="Times New Roman"/>
        </w:rPr>
        <w:t xml:space="preserve"> zistil, že nevyčerpané prostriedky z rezerv boli čerpané v rozpore s ich pôvodným účelovým určením. Boli presunuté na iné výdavkové tituly</w:t>
      </w:r>
      <w:r w:rsidR="00B924CE">
        <w:rPr>
          <w:rFonts w:cs="Times New Roman"/>
        </w:rPr>
        <w:t>,</w:t>
      </w:r>
      <w:r>
        <w:rPr>
          <w:rFonts w:cs="Times New Roman"/>
        </w:rPr>
        <w:t xml:space="preserve"> napr. </w:t>
      </w:r>
      <w:r w:rsidRPr="001F5E71">
        <w:t xml:space="preserve">na </w:t>
      </w:r>
      <w:r w:rsidR="00B924CE">
        <w:t>v</w:t>
      </w:r>
      <w:r w:rsidRPr="001F5E71">
        <w:t>ýdavky na realizáciu nerozpočtovaných potrieb</w:t>
      </w:r>
      <w:r>
        <w:t xml:space="preserve"> a </w:t>
      </w:r>
      <w:r w:rsidR="00B924CE">
        <w:t>v</w:t>
      </w:r>
      <w:r w:rsidRPr="001F5E71">
        <w:t>ýdavky na vybrané investície</w:t>
      </w:r>
      <w:r w:rsidR="0005431A">
        <w:t>,</w:t>
      </w:r>
      <w:r w:rsidRPr="001F5E71">
        <w:t xml:space="preserve"> a časť bola v zmysle zákona o</w:t>
      </w:r>
      <w:r>
        <w:t xml:space="preserve"> rozpočtových pravidlách viazaná na použitie v </w:t>
      </w:r>
      <w:r w:rsidRPr="001F5E71">
        <w:t>nasledujúcich rokoch.</w:t>
      </w:r>
      <w:r>
        <w:t xml:space="preserve"> NKÚ SR</w:t>
      </w:r>
      <w:r w:rsidRPr="00C65CAA">
        <w:t xml:space="preserve"> opakovane upozorňuje na viaceré problémy spojené s čerpaním rezerv, ktoré môžu byť použité na iné účely v súlade s rozhodnutím vlády alebo ministra financií.</w:t>
      </w:r>
    </w:p>
    <w:p w14:paraId="49F58990" w14:textId="6C98F6BD" w:rsidR="008012FF" w:rsidRDefault="00AD4FF0" w:rsidP="00AD4FF0">
      <w:pPr>
        <w:pStyle w:val="Bezriadkovania"/>
        <w:spacing w:before="100" w:after="100"/>
        <w:jc w:val="both"/>
      </w:pPr>
      <w:r>
        <w:tab/>
        <w:t xml:space="preserve">V rámci </w:t>
      </w:r>
      <w:r w:rsidRPr="00AD4FF0">
        <w:rPr>
          <w:b/>
        </w:rPr>
        <w:t>ostatných výdavkov</w:t>
      </w:r>
      <w:r>
        <w:t xml:space="preserve"> kapitoly VPS bolo zistené, že v kapitole sú rozpočtované </w:t>
      </w:r>
      <w:r w:rsidR="006426A5">
        <w:t xml:space="preserve">aj </w:t>
      </w:r>
      <w:r>
        <w:t>výdavky, ktoré súvisia s výdavkami iných rozpočtových kapitol</w:t>
      </w:r>
      <w:r w:rsidR="00B924CE">
        <w:t>,</w:t>
      </w:r>
      <w:r>
        <w:t xml:space="preserve"> napríklad</w:t>
      </w:r>
      <w:r w:rsidR="00CF715F">
        <w:t xml:space="preserve"> na</w:t>
      </w:r>
      <w:r>
        <w:t>:</w:t>
      </w:r>
    </w:p>
    <w:p w14:paraId="6BAB45A8" w14:textId="77777777" w:rsidR="00AD4FF0" w:rsidRPr="00215117" w:rsidRDefault="00AD4FF0" w:rsidP="000A2429">
      <w:pPr>
        <w:pStyle w:val="Bezriadkovania"/>
        <w:numPr>
          <w:ilvl w:val="0"/>
          <w:numId w:val="5"/>
        </w:numPr>
        <w:rPr>
          <w:szCs w:val="22"/>
        </w:rPr>
      </w:pPr>
      <w:r w:rsidRPr="00215117">
        <w:rPr>
          <w:szCs w:val="22"/>
        </w:rPr>
        <w:t>kompenzačný príspevok baníkom (</w:t>
      </w:r>
      <w:proofErr w:type="spellStart"/>
      <w:r w:rsidRPr="00215117">
        <w:rPr>
          <w:szCs w:val="22"/>
        </w:rPr>
        <w:t>uzn</w:t>
      </w:r>
      <w:proofErr w:type="spellEnd"/>
      <w:r w:rsidRPr="00215117">
        <w:rPr>
          <w:szCs w:val="22"/>
        </w:rPr>
        <w:t xml:space="preserve">. </w:t>
      </w:r>
      <w:proofErr w:type="spellStart"/>
      <w:r w:rsidRPr="00215117">
        <w:rPr>
          <w:szCs w:val="22"/>
        </w:rPr>
        <w:t>vl</w:t>
      </w:r>
      <w:proofErr w:type="spellEnd"/>
      <w:r w:rsidRPr="00215117">
        <w:rPr>
          <w:szCs w:val="22"/>
        </w:rPr>
        <w:t>. 336/2019)</w:t>
      </w:r>
      <w:r w:rsidRPr="00215117">
        <w:rPr>
          <w:szCs w:val="22"/>
        </w:rPr>
        <w:tab/>
      </w:r>
      <w:r w:rsidRPr="00215117">
        <w:rPr>
          <w:szCs w:val="22"/>
        </w:rPr>
        <w:tab/>
      </w:r>
      <w:r w:rsidR="00CF715F" w:rsidRPr="00215117">
        <w:rPr>
          <w:szCs w:val="22"/>
        </w:rPr>
        <w:tab/>
      </w:r>
      <w:r w:rsidRPr="00215117">
        <w:rPr>
          <w:szCs w:val="22"/>
        </w:rPr>
        <w:t>1 600 </w:t>
      </w:r>
      <w:r w:rsidR="00CF715F" w:rsidRPr="00215117">
        <w:rPr>
          <w:szCs w:val="22"/>
        </w:rPr>
        <w:t>tis. eur</w:t>
      </w:r>
    </w:p>
    <w:p w14:paraId="249C30E6" w14:textId="77777777" w:rsidR="009E41D2" w:rsidRPr="00215117" w:rsidRDefault="00AD4FF0" w:rsidP="000A2429">
      <w:pPr>
        <w:pStyle w:val="Bezriadkovania"/>
        <w:numPr>
          <w:ilvl w:val="0"/>
          <w:numId w:val="5"/>
        </w:numPr>
        <w:rPr>
          <w:szCs w:val="22"/>
        </w:rPr>
      </w:pPr>
      <w:r w:rsidRPr="00215117">
        <w:rPr>
          <w:szCs w:val="22"/>
        </w:rPr>
        <w:t>región Horná Nitra (</w:t>
      </w:r>
      <w:proofErr w:type="spellStart"/>
      <w:r w:rsidRPr="00215117">
        <w:rPr>
          <w:szCs w:val="22"/>
        </w:rPr>
        <w:t>uzn</w:t>
      </w:r>
      <w:proofErr w:type="spellEnd"/>
      <w:r w:rsidRPr="00215117">
        <w:rPr>
          <w:szCs w:val="22"/>
        </w:rPr>
        <w:t xml:space="preserve">. </w:t>
      </w:r>
      <w:proofErr w:type="spellStart"/>
      <w:r w:rsidRPr="00215117">
        <w:rPr>
          <w:szCs w:val="22"/>
        </w:rPr>
        <w:t>vl</w:t>
      </w:r>
      <w:proofErr w:type="spellEnd"/>
      <w:r w:rsidRPr="00215117">
        <w:rPr>
          <w:szCs w:val="22"/>
        </w:rPr>
        <w:t>. 336/2019)</w:t>
      </w:r>
      <w:r w:rsidRPr="00215117">
        <w:rPr>
          <w:szCs w:val="22"/>
        </w:rPr>
        <w:tab/>
      </w:r>
      <w:r w:rsidRPr="00215117">
        <w:rPr>
          <w:szCs w:val="22"/>
        </w:rPr>
        <w:tab/>
      </w:r>
      <w:r w:rsidRPr="00215117">
        <w:rPr>
          <w:szCs w:val="22"/>
        </w:rPr>
        <w:tab/>
      </w:r>
      <w:r w:rsidRPr="00215117">
        <w:rPr>
          <w:szCs w:val="22"/>
        </w:rPr>
        <w:tab/>
      </w:r>
      <w:r w:rsidR="00CF715F" w:rsidRPr="00215117">
        <w:rPr>
          <w:szCs w:val="22"/>
        </w:rPr>
        <w:tab/>
        <w:t xml:space="preserve">   </w:t>
      </w:r>
      <w:r w:rsidRPr="00215117">
        <w:rPr>
          <w:szCs w:val="22"/>
        </w:rPr>
        <w:t>299</w:t>
      </w:r>
      <w:r w:rsidR="00CF715F" w:rsidRPr="00215117">
        <w:rPr>
          <w:szCs w:val="22"/>
        </w:rPr>
        <w:t xml:space="preserve"> tis. eur</w:t>
      </w:r>
    </w:p>
    <w:p w14:paraId="170CAC91" w14:textId="77777777" w:rsidR="00CF715F" w:rsidRPr="00215117" w:rsidRDefault="00AD4FF0" w:rsidP="000A2429">
      <w:pPr>
        <w:pStyle w:val="Bezriadkovania"/>
        <w:numPr>
          <w:ilvl w:val="0"/>
          <w:numId w:val="5"/>
        </w:numPr>
        <w:rPr>
          <w:szCs w:val="22"/>
        </w:rPr>
      </w:pPr>
      <w:r w:rsidRPr="00215117">
        <w:rPr>
          <w:color w:val="000000"/>
          <w:szCs w:val="22"/>
        </w:rPr>
        <w:t>rekonštrukciu NKP Rusovce (</w:t>
      </w:r>
      <w:proofErr w:type="spellStart"/>
      <w:r w:rsidRPr="00215117">
        <w:rPr>
          <w:color w:val="000000"/>
          <w:szCs w:val="22"/>
        </w:rPr>
        <w:t>uzn</w:t>
      </w:r>
      <w:proofErr w:type="spellEnd"/>
      <w:r w:rsidRPr="00215117">
        <w:rPr>
          <w:color w:val="000000"/>
          <w:szCs w:val="22"/>
        </w:rPr>
        <w:t xml:space="preserve">. </w:t>
      </w:r>
      <w:proofErr w:type="spellStart"/>
      <w:r w:rsidRPr="00215117">
        <w:rPr>
          <w:color w:val="000000"/>
          <w:szCs w:val="22"/>
        </w:rPr>
        <w:t>vl</w:t>
      </w:r>
      <w:proofErr w:type="spellEnd"/>
      <w:r w:rsidRPr="00215117">
        <w:rPr>
          <w:color w:val="000000"/>
          <w:szCs w:val="22"/>
        </w:rPr>
        <w:t>. 339/2018</w:t>
      </w:r>
      <w:r w:rsidR="00CF715F" w:rsidRPr="00215117">
        <w:rPr>
          <w:color w:val="000000"/>
          <w:szCs w:val="22"/>
        </w:rPr>
        <w:t>)</w:t>
      </w:r>
      <w:r w:rsidR="00CF715F" w:rsidRPr="00215117">
        <w:rPr>
          <w:color w:val="000000"/>
          <w:szCs w:val="22"/>
        </w:rPr>
        <w:tab/>
      </w:r>
      <w:r w:rsidR="00CF715F" w:rsidRPr="00215117">
        <w:rPr>
          <w:color w:val="000000"/>
          <w:szCs w:val="22"/>
        </w:rPr>
        <w:tab/>
      </w:r>
      <w:r w:rsidR="00CF715F" w:rsidRPr="00215117">
        <w:rPr>
          <w:color w:val="000000"/>
          <w:szCs w:val="22"/>
        </w:rPr>
        <w:tab/>
      </w:r>
      <w:r w:rsidR="00CF715F" w:rsidRPr="00215117">
        <w:rPr>
          <w:color w:val="000000"/>
          <w:szCs w:val="22"/>
        </w:rPr>
        <w:tab/>
        <w:t xml:space="preserve">2 000 </w:t>
      </w:r>
      <w:r w:rsidR="00CF715F" w:rsidRPr="00215117">
        <w:rPr>
          <w:szCs w:val="22"/>
        </w:rPr>
        <w:t>tis. eur</w:t>
      </w:r>
    </w:p>
    <w:p w14:paraId="5C44F550" w14:textId="77777777" w:rsidR="00AD4FF0" w:rsidRPr="00215117" w:rsidRDefault="00CF715F" w:rsidP="000A2429">
      <w:pPr>
        <w:pStyle w:val="Bezriadkovania"/>
        <w:numPr>
          <w:ilvl w:val="0"/>
          <w:numId w:val="5"/>
        </w:numPr>
        <w:rPr>
          <w:szCs w:val="22"/>
        </w:rPr>
      </w:pPr>
      <w:r w:rsidRPr="00215117">
        <w:rPr>
          <w:color w:val="000000"/>
          <w:szCs w:val="22"/>
        </w:rPr>
        <w:t>podporu regionálnej športovej infraštruktúry</w:t>
      </w:r>
      <w:r w:rsidRPr="00215117">
        <w:rPr>
          <w:color w:val="000000"/>
          <w:szCs w:val="22"/>
        </w:rPr>
        <w:tab/>
      </w:r>
      <w:r w:rsidRPr="00215117">
        <w:rPr>
          <w:color w:val="000000"/>
          <w:szCs w:val="22"/>
        </w:rPr>
        <w:tab/>
      </w:r>
      <w:r w:rsidRPr="00215117">
        <w:rPr>
          <w:color w:val="000000"/>
          <w:szCs w:val="22"/>
        </w:rPr>
        <w:tab/>
      </w:r>
      <w:r w:rsidRPr="00215117">
        <w:rPr>
          <w:color w:val="000000"/>
          <w:szCs w:val="22"/>
        </w:rPr>
        <w:tab/>
        <w:t>2 000 </w:t>
      </w:r>
      <w:r w:rsidRPr="00215117">
        <w:rPr>
          <w:szCs w:val="22"/>
        </w:rPr>
        <w:t>tis. eur</w:t>
      </w:r>
    </w:p>
    <w:p w14:paraId="5C83F892" w14:textId="77777777" w:rsidR="00CF715F" w:rsidRPr="00215117" w:rsidRDefault="00CF715F" w:rsidP="000A2429">
      <w:pPr>
        <w:pStyle w:val="Bezriadkovania"/>
        <w:numPr>
          <w:ilvl w:val="0"/>
          <w:numId w:val="5"/>
        </w:numPr>
        <w:rPr>
          <w:szCs w:val="22"/>
        </w:rPr>
      </w:pPr>
      <w:r w:rsidRPr="00215117">
        <w:rPr>
          <w:color w:val="000000"/>
          <w:szCs w:val="22"/>
        </w:rPr>
        <w:t xml:space="preserve">rekonštrukciu budovy NS SR </w:t>
      </w:r>
      <w:r w:rsidRPr="00215117">
        <w:rPr>
          <w:color w:val="000000"/>
          <w:szCs w:val="22"/>
        </w:rPr>
        <w:tab/>
      </w:r>
      <w:r w:rsidRPr="00215117">
        <w:rPr>
          <w:color w:val="000000"/>
          <w:szCs w:val="22"/>
        </w:rPr>
        <w:tab/>
      </w:r>
      <w:r w:rsidRPr="00215117">
        <w:rPr>
          <w:color w:val="000000"/>
          <w:szCs w:val="22"/>
        </w:rPr>
        <w:tab/>
      </w:r>
      <w:r w:rsidRPr="00215117">
        <w:rPr>
          <w:color w:val="000000"/>
          <w:szCs w:val="22"/>
        </w:rPr>
        <w:tab/>
      </w:r>
      <w:r w:rsidRPr="00215117">
        <w:rPr>
          <w:color w:val="000000"/>
          <w:szCs w:val="22"/>
        </w:rPr>
        <w:tab/>
      </w:r>
      <w:r w:rsidRPr="00215117">
        <w:rPr>
          <w:color w:val="000000"/>
          <w:szCs w:val="22"/>
        </w:rPr>
        <w:tab/>
        <w:t xml:space="preserve">1 000 </w:t>
      </w:r>
      <w:r w:rsidRPr="00215117">
        <w:rPr>
          <w:szCs w:val="22"/>
        </w:rPr>
        <w:t>tis. eur</w:t>
      </w:r>
    </w:p>
    <w:p w14:paraId="4DE3D234" w14:textId="77777777" w:rsidR="00AD4FF0" w:rsidRPr="00215117" w:rsidRDefault="00CF715F" w:rsidP="000A2429">
      <w:pPr>
        <w:pStyle w:val="Bezriadkovania"/>
        <w:numPr>
          <w:ilvl w:val="0"/>
          <w:numId w:val="5"/>
        </w:numPr>
        <w:rPr>
          <w:szCs w:val="22"/>
        </w:rPr>
      </w:pPr>
      <w:r w:rsidRPr="00215117">
        <w:rPr>
          <w:szCs w:val="22"/>
        </w:rPr>
        <w:t>rekonštrukciu administratívnej budovy v Levoči (</w:t>
      </w:r>
      <w:proofErr w:type="spellStart"/>
      <w:r w:rsidRPr="00215117">
        <w:rPr>
          <w:szCs w:val="22"/>
        </w:rPr>
        <w:t>uzn</w:t>
      </w:r>
      <w:proofErr w:type="spellEnd"/>
      <w:r w:rsidRPr="00215117">
        <w:rPr>
          <w:szCs w:val="22"/>
        </w:rPr>
        <w:t xml:space="preserve">. </w:t>
      </w:r>
      <w:proofErr w:type="spellStart"/>
      <w:r w:rsidRPr="00215117">
        <w:rPr>
          <w:szCs w:val="22"/>
        </w:rPr>
        <w:t>vl</w:t>
      </w:r>
      <w:proofErr w:type="spellEnd"/>
      <w:r w:rsidRPr="00215117">
        <w:rPr>
          <w:szCs w:val="22"/>
        </w:rPr>
        <w:t>. 172/2019)</w:t>
      </w:r>
      <w:r w:rsidRPr="00215117">
        <w:rPr>
          <w:szCs w:val="22"/>
        </w:rPr>
        <w:tab/>
      </w:r>
      <w:r w:rsidRPr="00215117">
        <w:rPr>
          <w:szCs w:val="22"/>
        </w:rPr>
        <w:tab/>
        <w:t>3 450 tis. eur</w:t>
      </w:r>
    </w:p>
    <w:p w14:paraId="3803F493" w14:textId="77777777" w:rsidR="00AD4FF0" w:rsidRPr="00215117" w:rsidRDefault="00CF715F" w:rsidP="000A2429">
      <w:pPr>
        <w:pStyle w:val="Bezriadkovania"/>
        <w:numPr>
          <w:ilvl w:val="0"/>
          <w:numId w:val="5"/>
        </w:numPr>
        <w:rPr>
          <w:szCs w:val="22"/>
        </w:rPr>
      </w:pPr>
      <w:r w:rsidRPr="00215117">
        <w:rPr>
          <w:color w:val="000000"/>
          <w:szCs w:val="22"/>
        </w:rPr>
        <w:t>revitalizáciu hradu Krásna Hôrka (</w:t>
      </w:r>
      <w:proofErr w:type="spellStart"/>
      <w:r w:rsidRPr="00215117">
        <w:rPr>
          <w:color w:val="000000"/>
          <w:szCs w:val="22"/>
        </w:rPr>
        <w:t>uzn</w:t>
      </w:r>
      <w:proofErr w:type="spellEnd"/>
      <w:r w:rsidRPr="00215117">
        <w:rPr>
          <w:color w:val="000000"/>
          <w:szCs w:val="22"/>
        </w:rPr>
        <w:t xml:space="preserve">. </w:t>
      </w:r>
      <w:proofErr w:type="spellStart"/>
      <w:r w:rsidRPr="00215117">
        <w:rPr>
          <w:color w:val="000000"/>
          <w:szCs w:val="22"/>
        </w:rPr>
        <w:t>vl</w:t>
      </w:r>
      <w:proofErr w:type="spellEnd"/>
      <w:r w:rsidRPr="00215117">
        <w:rPr>
          <w:color w:val="000000"/>
          <w:szCs w:val="22"/>
        </w:rPr>
        <w:t>. 348/2019)</w:t>
      </w:r>
      <w:r w:rsidRPr="00215117">
        <w:rPr>
          <w:color w:val="000000"/>
          <w:szCs w:val="22"/>
        </w:rPr>
        <w:tab/>
      </w:r>
      <w:r w:rsidRPr="00215117">
        <w:rPr>
          <w:color w:val="000000"/>
          <w:szCs w:val="22"/>
        </w:rPr>
        <w:tab/>
      </w:r>
      <w:r w:rsidRPr="00215117">
        <w:rPr>
          <w:color w:val="000000"/>
          <w:szCs w:val="22"/>
        </w:rPr>
        <w:tab/>
        <w:t xml:space="preserve">8 600 </w:t>
      </w:r>
      <w:r w:rsidRPr="00215117">
        <w:rPr>
          <w:szCs w:val="22"/>
        </w:rPr>
        <w:t>tis. eur</w:t>
      </w:r>
    </w:p>
    <w:p w14:paraId="0ACA8386" w14:textId="285068EA" w:rsidR="00CF715F" w:rsidRPr="00215117" w:rsidRDefault="00CF715F" w:rsidP="000A2429">
      <w:pPr>
        <w:pStyle w:val="Bezriadkovania"/>
        <w:numPr>
          <w:ilvl w:val="0"/>
          <w:numId w:val="5"/>
        </w:numPr>
        <w:rPr>
          <w:szCs w:val="22"/>
        </w:rPr>
      </w:pPr>
      <w:r w:rsidRPr="00215117">
        <w:rPr>
          <w:color w:val="000000"/>
          <w:szCs w:val="22"/>
        </w:rPr>
        <w:t>rekonštrukciu štátnej opery Banská Bystrica (</w:t>
      </w:r>
      <w:proofErr w:type="spellStart"/>
      <w:r w:rsidRPr="00215117">
        <w:rPr>
          <w:color w:val="000000"/>
          <w:szCs w:val="22"/>
        </w:rPr>
        <w:t>uzn</w:t>
      </w:r>
      <w:proofErr w:type="spellEnd"/>
      <w:r w:rsidRPr="00215117">
        <w:rPr>
          <w:color w:val="000000"/>
          <w:szCs w:val="22"/>
        </w:rPr>
        <w:t xml:space="preserve">. </w:t>
      </w:r>
      <w:proofErr w:type="spellStart"/>
      <w:r w:rsidRPr="00215117">
        <w:rPr>
          <w:color w:val="000000"/>
          <w:szCs w:val="22"/>
        </w:rPr>
        <w:t>vl</w:t>
      </w:r>
      <w:proofErr w:type="spellEnd"/>
      <w:r w:rsidRPr="00215117">
        <w:rPr>
          <w:color w:val="000000"/>
          <w:szCs w:val="22"/>
        </w:rPr>
        <w:t>. 354/2019</w:t>
      </w:r>
      <w:r w:rsidR="008B760E">
        <w:rPr>
          <w:color w:val="000000"/>
          <w:szCs w:val="22"/>
        </w:rPr>
        <w:t>)</w:t>
      </w:r>
      <w:r w:rsidRPr="00215117">
        <w:rPr>
          <w:color w:val="000000"/>
          <w:szCs w:val="22"/>
        </w:rPr>
        <w:tab/>
      </w:r>
      <w:r w:rsidRPr="00215117">
        <w:rPr>
          <w:color w:val="000000"/>
          <w:szCs w:val="22"/>
        </w:rPr>
        <w:tab/>
        <w:t>3 000 </w:t>
      </w:r>
      <w:r w:rsidRPr="00215117">
        <w:rPr>
          <w:szCs w:val="22"/>
        </w:rPr>
        <w:t>tis. eur</w:t>
      </w:r>
    </w:p>
    <w:p w14:paraId="4E716211" w14:textId="4AF0ED61" w:rsidR="006A2537" w:rsidRPr="00B924CE" w:rsidRDefault="00CF715F" w:rsidP="00223117">
      <w:pPr>
        <w:spacing w:before="100" w:after="100"/>
        <w:ind w:firstLine="708"/>
        <w:jc w:val="both"/>
        <w:rPr>
          <w:i/>
          <w:sz w:val="18"/>
          <w:szCs w:val="20"/>
        </w:rPr>
      </w:pPr>
      <w:r>
        <w:t xml:space="preserve">Uvedené nie je v súlade s ustanovením zákona o rozpočtových pravidlách verejnej správy, podľa ktorého kapitolu VPS tvoria </w:t>
      </w:r>
      <w:r w:rsidR="006A2537">
        <w:t xml:space="preserve">výdavky, ktoré nesúvisia </w:t>
      </w:r>
      <w:r w:rsidRPr="00CF715F">
        <w:t>s výdavkami ostatných kapitol.</w:t>
      </w:r>
    </w:p>
    <w:p w14:paraId="6ECBF2C0" w14:textId="7CBE0496" w:rsidR="00A5451B" w:rsidRPr="00C65CAA" w:rsidRDefault="00CA5523" w:rsidP="00B924CE">
      <w:pPr>
        <w:spacing w:before="100" w:after="100"/>
        <w:ind w:firstLine="709"/>
        <w:jc w:val="both"/>
      </w:pPr>
      <w:r w:rsidRPr="00C65CAA">
        <w:t xml:space="preserve">Porovnanie </w:t>
      </w:r>
      <w:r w:rsidRPr="00C65CAA">
        <w:rPr>
          <w:b/>
        </w:rPr>
        <w:t>bežných výdavkov</w:t>
      </w:r>
      <w:r w:rsidR="00555C86">
        <w:t xml:space="preserve"> za rok 2018</w:t>
      </w:r>
      <w:r w:rsidRPr="00C65CAA">
        <w:t xml:space="preserve">, schváleného </w:t>
      </w:r>
      <w:r w:rsidR="00555C86">
        <w:t>rozpočtu na rok 2019 a návrhu rozpočtu na rok 2020</w:t>
      </w:r>
      <w:r w:rsidR="00A5451B" w:rsidRPr="00C65CAA">
        <w:t xml:space="preserve"> </w:t>
      </w:r>
      <w:r w:rsidR="00B924CE">
        <w:t>uvádza nas</w:t>
      </w:r>
      <w:r w:rsidR="00E77620">
        <w:t>l</w:t>
      </w:r>
      <w:r w:rsidR="00B924CE">
        <w:t>e</w:t>
      </w:r>
      <w:r w:rsidR="00E77620">
        <w:t>dujúca tabuľka.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0"/>
        <w:gridCol w:w="1135"/>
        <w:gridCol w:w="1135"/>
        <w:gridCol w:w="1424"/>
        <w:gridCol w:w="978"/>
        <w:gridCol w:w="994"/>
      </w:tblGrid>
      <w:tr w:rsidR="00A5451B" w:rsidRPr="00C65CAA" w14:paraId="4F00037B" w14:textId="77777777" w:rsidTr="006426A5">
        <w:trPr>
          <w:trHeight w:val="170"/>
          <w:tblHeader/>
          <w:jc w:val="center"/>
        </w:trPr>
        <w:tc>
          <w:tcPr>
            <w:tcW w:w="1969" w:type="pct"/>
            <w:tcBorders>
              <w:top w:val="single" w:sz="4" w:space="0" w:color="auto"/>
              <w:left w:val="single" w:sz="4" w:space="0" w:color="auto"/>
              <w:bottom w:val="single" w:sz="4" w:space="0" w:color="auto"/>
              <w:right w:val="single" w:sz="4" w:space="0" w:color="FFFFFF" w:themeColor="background1"/>
            </w:tcBorders>
            <w:shd w:val="clear" w:color="auto" w:fill="0070C0"/>
            <w:vAlign w:val="center"/>
          </w:tcPr>
          <w:p w14:paraId="212CA205" w14:textId="77777777" w:rsidR="00A5451B" w:rsidRPr="00C65CAA" w:rsidRDefault="00A5451B" w:rsidP="00A5451B">
            <w:pPr>
              <w:jc w:val="center"/>
              <w:rPr>
                <w:rFonts w:eastAsia="Calibri"/>
                <w:bCs/>
                <w:color w:val="000000"/>
                <w:sz w:val="18"/>
                <w:szCs w:val="18"/>
              </w:rPr>
            </w:pPr>
            <w:r w:rsidRPr="00C65CAA">
              <w:rPr>
                <w:rFonts w:eastAsia="Calibri"/>
                <w:b/>
                <w:bCs/>
                <w:color w:val="FFFFFF"/>
                <w:sz w:val="20"/>
                <w:szCs w:val="20"/>
              </w:rPr>
              <w:t>Ukazovateľ</w:t>
            </w:r>
            <w:r>
              <w:rPr>
                <w:rFonts w:eastAsia="Calibri"/>
                <w:b/>
                <w:bCs/>
                <w:color w:val="FFFFFF"/>
                <w:sz w:val="20"/>
                <w:szCs w:val="20"/>
              </w:rPr>
              <w:t xml:space="preserve"> </w:t>
            </w:r>
            <w:r w:rsidRPr="00C65CAA">
              <w:rPr>
                <w:rFonts w:eastAsia="Calibri"/>
                <w:b/>
                <w:bCs/>
                <w:color w:val="FFFFFF"/>
                <w:sz w:val="20"/>
                <w:szCs w:val="20"/>
              </w:rPr>
              <w:t>(v tis. eur)</w:t>
            </w:r>
          </w:p>
        </w:tc>
        <w:tc>
          <w:tcPr>
            <w:tcW w:w="60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tcPr>
          <w:p w14:paraId="48504D71"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Skutočnosť</w:t>
            </w:r>
          </w:p>
          <w:p w14:paraId="4BB7C7A9" w14:textId="77777777" w:rsidR="00A5451B" w:rsidRPr="00C65CAA" w:rsidRDefault="00A5451B" w:rsidP="00A5451B">
            <w:pPr>
              <w:jc w:val="center"/>
              <w:rPr>
                <w:rFonts w:eastAsia="Calibri"/>
                <w:b/>
                <w:color w:val="FFFFFF"/>
                <w:sz w:val="20"/>
                <w:szCs w:val="20"/>
              </w:rPr>
            </w:pPr>
            <w:r>
              <w:rPr>
                <w:rFonts w:eastAsia="Calibri"/>
                <w:b/>
                <w:color w:val="FFFFFF"/>
                <w:sz w:val="20"/>
                <w:szCs w:val="20"/>
              </w:rPr>
              <w:t>2018</w:t>
            </w:r>
          </w:p>
        </w:tc>
        <w:tc>
          <w:tcPr>
            <w:tcW w:w="60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tcPr>
          <w:p w14:paraId="64736F8A" w14:textId="77777777" w:rsidR="00A5451B" w:rsidRPr="00C65CAA" w:rsidRDefault="00A5451B" w:rsidP="00A5451B">
            <w:pPr>
              <w:jc w:val="center"/>
              <w:rPr>
                <w:rFonts w:eastAsia="Calibri"/>
                <w:b/>
                <w:color w:val="FFFFFF"/>
                <w:sz w:val="20"/>
                <w:szCs w:val="20"/>
              </w:rPr>
            </w:pPr>
            <w:r>
              <w:rPr>
                <w:rFonts w:eastAsia="Calibri"/>
                <w:b/>
                <w:color w:val="FFFFFF"/>
                <w:sz w:val="20"/>
                <w:szCs w:val="20"/>
              </w:rPr>
              <w:t>Rozpočet 2019</w:t>
            </w:r>
          </w:p>
        </w:tc>
        <w:tc>
          <w:tcPr>
            <w:tcW w:w="76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tcPr>
          <w:p w14:paraId="3B8AF679" w14:textId="77777777" w:rsidR="00A5451B" w:rsidRPr="00C65CAA" w:rsidRDefault="00A5451B" w:rsidP="00A5451B">
            <w:pPr>
              <w:jc w:val="center"/>
              <w:rPr>
                <w:rFonts w:eastAsia="Calibri"/>
                <w:b/>
                <w:color w:val="FFFFFF"/>
                <w:sz w:val="20"/>
                <w:szCs w:val="20"/>
              </w:rPr>
            </w:pPr>
            <w:r>
              <w:rPr>
                <w:rFonts w:eastAsia="Calibri"/>
                <w:b/>
                <w:color w:val="FFFFFF"/>
                <w:sz w:val="20"/>
                <w:szCs w:val="20"/>
              </w:rPr>
              <w:t>Návrh rozpočtu 2020</w:t>
            </w:r>
          </w:p>
        </w:tc>
        <w:tc>
          <w:tcPr>
            <w:tcW w:w="52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tcPr>
          <w:p w14:paraId="5D1E44AA"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Rozdiel</w:t>
            </w:r>
          </w:p>
        </w:tc>
        <w:tc>
          <w:tcPr>
            <w:tcW w:w="532" w:type="pct"/>
            <w:tcBorders>
              <w:top w:val="single" w:sz="4" w:space="0" w:color="auto"/>
              <w:left w:val="single" w:sz="4" w:space="0" w:color="FFFFFF" w:themeColor="background1"/>
              <w:bottom w:val="single" w:sz="4" w:space="0" w:color="auto"/>
              <w:right w:val="single" w:sz="4" w:space="0" w:color="auto"/>
            </w:tcBorders>
            <w:shd w:val="clear" w:color="auto" w:fill="0070C0"/>
            <w:vAlign w:val="center"/>
          </w:tcPr>
          <w:p w14:paraId="6D3D1D40"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Podiel</w:t>
            </w:r>
          </w:p>
          <w:p w14:paraId="5C9804E1"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(v %)</w:t>
            </w:r>
          </w:p>
        </w:tc>
      </w:tr>
      <w:tr w:rsidR="00A5451B" w:rsidRPr="00C65CAA" w14:paraId="1EF264C7" w14:textId="77777777" w:rsidTr="006426A5">
        <w:trPr>
          <w:trHeight w:val="170"/>
          <w:tblHeader/>
          <w:jc w:val="center"/>
        </w:trPr>
        <w:tc>
          <w:tcPr>
            <w:tcW w:w="1969" w:type="pct"/>
            <w:tcBorders>
              <w:top w:val="single" w:sz="4" w:space="0" w:color="auto"/>
              <w:left w:val="single" w:sz="4" w:space="0" w:color="auto"/>
              <w:bottom w:val="single" w:sz="4" w:space="0" w:color="auto"/>
              <w:right w:val="single" w:sz="4" w:space="0" w:color="auto"/>
            </w:tcBorders>
            <w:vAlign w:val="center"/>
          </w:tcPr>
          <w:p w14:paraId="4E92540F" w14:textId="77777777" w:rsidR="00A5451B" w:rsidRPr="00C65CAA" w:rsidRDefault="00A5451B" w:rsidP="00A5451B">
            <w:pPr>
              <w:jc w:val="center"/>
              <w:rPr>
                <w:rFonts w:eastAsia="Calibri"/>
                <w:bCs/>
                <w:color w:val="000000"/>
                <w:sz w:val="20"/>
                <w:szCs w:val="20"/>
              </w:rPr>
            </w:pPr>
            <w:r w:rsidRPr="00C65CAA">
              <w:rPr>
                <w:rFonts w:eastAsia="Calibri"/>
                <w:bCs/>
                <w:color w:val="000000"/>
                <w:sz w:val="18"/>
                <w:szCs w:val="18"/>
              </w:rPr>
              <w:t>a</w:t>
            </w:r>
          </w:p>
        </w:tc>
        <w:tc>
          <w:tcPr>
            <w:tcW w:w="607" w:type="pct"/>
            <w:tcBorders>
              <w:top w:val="single" w:sz="4" w:space="0" w:color="auto"/>
              <w:left w:val="single" w:sz="4" w:space="0" w:color="auto"/>
              <w:bottom w:val="single" w:sz="4" w:space="0" w:color="auto"/>
              <w:right w:val="single" w:sz="4" w:space="0" w:color="auto"/>
            </w:tcBorders>
          </w:tcPr>
          <w:p w14:paraId="5EAF9D23" w14:textId="77777777" w:rsidR="00A5451B" w:rsidRPr="00C65CAA" w:rsidRDefault="00A5451B" w:rsidP="00A5451B">
            <w:pPr>
              <w:jc w:val="center"/>
              <w:rPr>
                <w:rFonts w:eastAsia="Calibri"/>
                <w:sz w:val="20"/>
                <w:szCs w:val="20"/>
              </w:rPr>
            </w:pPr>
            <w:r w:rsidRPr="00C65CAA">
              <w:rPr>
                <w:rFonts w:eastAsia="Calibri"/>
                <w:sz w:val="18"/>
                <w:szCs w:val="18"/>
              </w:rPr>
              <w:t>1</w:t>
            </w:r>
          </w:p>
        </w:tc>
        <w:tc>
          <w:tcPr>
            <w:tcW w:w="607" w:type="pct"/>
            <w:tcBorders>
              <w:top w:val="single" w:sz="4" w:space="0" w:color="auto"/>
              <w:left w:val="single" w:sz="4" w:space="0" w:color="auto"/>
              <w:bottom w:val="single" w:sz="4" w:space="0" w:color="auto"/>
              <w:right w:val="single" w:sz="4" w:space="0" w:color="auto"/>
            </w:tcBorders>
          </w:tcPr>
          <w:p w14:paraId="122C31D1" w14:textId="77777777" w:rsidR="00A5451B" w:rsidRPr="00C65CAA" w:rsidRDefault="00A5451B" w:rsidP="00A5451B">
            <w:pPr>
              <w:jc w:val="center"/>
              <w:rPr>
                <w:rFonts w:eastAsia="Calibri"/>
                <w:sz w:val="20"/>
                <w:szCs w:val="20"/>
              </w:rPr>
            </w:pPr>
            <w:r w:rsidRPr="00C65CAA">
              <w:rPr>
                <w:rFonts w:eastAsia="Calibri"/>
                <w:sz w:val="18"/>
                <w:szCs w:val="18"/>
              </w:rPr>
              <w:t>2</w:t>
            </w:r>
          </w:p>
        </w:tc>
        <w:tc>
          <w:tcPr>
            <w:tcW w:w="762" w:type="pct"/>
            <w:tcBorders>
              <w:top w:val="single" w:sz="4" w:space="0" w:color="auto"/>
              <w:left w:val="single" w:sz="4" w:space="0" w:color="auto"/>
              <w:bottom w:val="single" w:sz="4" w:space="0" w:color="auto"/>
              <w:right w:val="single" w:sz="4" w:space="0" w:color="auto"/>
            </w:tcBorders>
          </w:tcPr>
          <w:p w14:paraId="447FDA32" w14:textId="77777777" w:rsidR="00A5451B" w:rsidRPr="00C65CAA" w:rsidRDefault="00A5451B" w:rsidP="00A5451B">
            <w:pPr>
              <w:jc w:val="center"/>
              <w:rPr>
                <w:rFonts w:eastAsia="Calibri"/>
                <w:sz w:val="20"/>
                <w:szCs w:val="20"/>
              </w:rPr>
            </w:pPr>
            <w:r w:rsidRPr="00C65CAA">
              <w:rPr>
                <w:rFonts w:eastAsia="Calibri"/>
                <w:sz w:val="18"/>
                <w:szCs w:val="18"/>
              </w:rPr>
              <w:t>3</w:t>
            </w:r>
          </w:p>
        </w:tc>
        <w:tc>
          <w:tcPr>
            <w:tcW w:w="523" w:type="pct"/>
            <w:tcBorders>
              <w:top w:val="single" w:sz="4" w:space="0" w:color="auto"/>
              <w:left w:val="single" w:sz="4" w:space="0" w:color="auto"/>
              <w:bottom w:val="single" w:sz="4" w:space="0" w:color="auto"/>
              <w:right w:val="single" w:sz="4" w:space="0" w:color="auto"/>
            </w:tcBorders>
          </w:tcPr>
          <w:p w14:paraId="77E27DA3" w14:textId="77777777" w:rsidR="00A5451B" w:rsidRPr="00C65CAA" w:rsidRDefault="00A5451B" w:rsidP="00A5451B">
            <w:pPr>
              <w:jc w:val="center"/>
              <w:rPr>
                <w:rFonts w:eastAsia="Calibri"/>
                <w:sz w:val="20"/>
                <w:szCs w:val="20"/>
              </w:rPr>
            </w:pPr>
            <w:r w:rsidRPr="00C65CAA">
              <w:rPr>
                <w:rFonts w:eastAsia="Calibri"/>
                <w:sz w:val="18"/>
                <w:szCs w:val="18"/>
              </w:rPr>
              <w:t>4=3-2</w:t>
            </w:r>
          </w:p>
        </w:tc>
        <w:tc>
          <w:tcPr>
            <w:tcW w:w="532" w:type="pct"/>
            <w:tcBorders>
              <w:top w:val="single" w:sz="4" w:space="0" w:color="auto"/>
              <w:left w:val="single" w:sz="4" w:space="0" w:color="auto"/>
              <w:bottom w:val="single" w:sz="4" w:space="0" w:color="auto"/>
              <w:right w:val="single" w:sz="4" w:space="0" w:color="auto"/>
            </w:tcBorders>
          </w:tcPr>
          <w:p w14:paraId="46FACF60" w14:textId="77777777" w:rsidR="00A5451B" w:rsidRPr="00C65CAA" w:rsidRDefault="00A5451B" w:rsidP="00A5451B">
            <w:pPr>
              <w:jc w:val="center"/>
              <w:rPr>
                <w:rFonts w:eastAsia="Calibri"/>
                <w:sz w:val="20"/>
                <w:szCs w:val="20"/>
              </w:rPr>
            </w:pPr>
            <w:r w:rsidRPr="00C65CAA">
              <w:rPr>
                <w:rFonts w:eastAsia="Calibri"/>
                <w:sz w:val="18"/>
                <w:szCs w:val="18"/>
              </w:rPr>
              <w:t>5=3/2*100</w:t>
            </w:r>
          </w:p>
        </w:tc>
      </w:tr>
      <w:tr w:rsidR="00A5451B" w:rsidRPr="00C65CAA" w14:paraId="0FDC31A6" w14:textId="77777777" w:rsidTr="006426A5">
        <w:trPr>
          <w:trHeight w:val="170"/>
          <w:jc w:val="center"/>
        </w:trPr>
        <w:tc>
          <w:tcPr>
            <w:tcW w:w="1969" w:type="pct"/>
            <w:tcBorders>
              <w:top w:val="single" w:sz="4" w:space="0" w:color="auto"/>
              <w:left w:val="single" w:sz="4" w:space="0" w:color="auto"/>
              <w:bottom w:val="single" w:sz="4" w:space="0" w:color="auto"/>
              <w:right w:val="single" w:sz="4" w:space="0" w:color="auto"/>
            </w:tcBorders>
            <w:shd w:val="clear" w:color="auto" w:fill="D9D9D9"/>
            <w:vAlign w:val="center"/>
          </w:tcPr>
          <w:p w14:paraId="5410E408" w14:textId="77777777" w:rsidR="00A5451B" w:rsidRPr="00C65CAA" w:rsidRDefault="00A5451B" w:rsidP="00A5451B">
            <w:pPr>
              <w:rPr>
                <w:rFonts w:eastAsia="Calibri"/>
                <w:b/>
                <w:bCs/>
                <w:sz w:val="20"/>
                <w:szCs w:val="20"/>
              </w:rPr>
            </w:pPr>
            <w:r w:rsidRPr="00C65CAA">
              <w:rPr>
                <w:rFonts w:eastAsia="Calibri"/>
                <w:b/>
                <w:bCs/>
                <w:sz w:val="20"/>
                <w:szCs w:val="20"/>
              </w:rPr>
              <w:t>Bežné výdavky</w:t>
            </w:r>
          </w:p>
        </w:tc>
        <w:tc>
          <w:tcPr>
            <w:tcW w:w="607" w:type="pct"/>
            <w:tcBorders>
              <w:top w:val="single" w:sz="4" w:space="0" w:color="auto"/>
              <w:left w:val="single" w:sz="4" w:space="0" w:color="auto"/>
              <w:bottom w:val="single" w:sz="4" w:space="0" w:color="auto"/>
              <w:right w:val="single" w:sz="4" w:space="0" w:color="auto"/>
            </w:tcBorders>
            <w:shd w:val="clear" w:color="auto" w:fill="D9D9D9"/>
            <w:vAlign w:val="bottom"/>
          </w:tcPr>
          <w:p w14:paraId="2708FA86" w14:textId="77777777" w:rsidR="00A5451B" w:rsidRPr="00FF59B6" w:rsidRDefault="00A5451B" w:rsidP="00A5451B">
            <w:pPr>
              <w:jc w:val="right"/>
              <w:rPr>
                <w:rFonts w:cs="Arial"/>
                <w:b/>
                <w:bCs/>
                <w:sz w:val="20"/>
                <w:szCs w:val="20"/>
              </w:rPr>
            </w:pPr>
            <w:r w:rsidRPr="00FF59B6">
              <w:rPr>
                <w:rFonts w:cs="Arial"/>
                <w:b/>
                <w:bCs/>
                <w:sz w:val="20"/>
                <w:szCs w:val="20"/>
              </w:rPr>
              <w:t>14 160 931</w:t>
            </w:r>
          </w:p>
        </w:tc>
        <w:tc>
          <w:tcPr>
            <w:tcW w:w="607" w:type="pct"/>
            <w:tcBorders>
              <w:top w:val="single" w:sz="4" w:space="0" w:color="auto"/>
              <w:left w:val="single" w:sz="4" w:space="0" w:color="auto"/>
              <w:bottom w:val="single" w:sz="4" w:space="0" w:color="auto"/>
              <w:right w:val="single" w:sz="4" w:space="0" w:color="auto"/>
            </w:tcBorders>
            <w:shd w:val="clear" w:color="auto" w:fill="D9D9D9"/>
            <w:vAlign w:val="bottom"/>
          </w:tcPr>
          <w:p w14:paraId="1E7FA493" w14:textId="77777777" w:rsidR="00A5451B" w:rsidRPr="00FF59B6" w:rsidRDefault="00A5451B" w:rsidP="00A5451B">
            <w:pPr>
              <w:jc w:val="right"/>
              <w:rPr>
                <w:rFonts w:cs="Arial"/>
                <w:b/>
                <w:bCs/>
                <w:sz w:val="20"/>
                <w:szCs w:val="20"/>
              </w:rPr>
            </w:pPr>
            <w:r w:rsidRPr="00FF59B6">
              <w:rPr>
                <w:rFonts w:cs="Arial"/>
                <w:b/>
                <w:bCs/>
                <w:sz w:val="20"/>
                <w:szCs w:val="20"/>
              </w:rPr>
              <w:t>15 250 323</w:t>
            </w:r>
          </w:p>
        </w:tc>
        <w:tc>
          <w:tcPr>
            <w:tcW w:w="762" w:type="pct"/>
            <w:tcBorders>
              <w:top w:val="single" w:sz="4" w:space="0" w:color="auto"/>
              <w:left w:val="single" w:sz="4" w:space="0" w:color="auto"/>
              <w:bottom w:val="single" w:sz="4" w:space="0" w:color="auto"/>
              <w:right w:val="single" w:sz="4" w:space="0" w:color="auto"/>
            </w:tcBorders>
            <w:shd w:val="clear" w:color="auto" w:fill="D9D9D9"/>
            <w:vAlign w:val="bottom"/>
          </w:tcPr>
          <w:p w14:paraId="21D9503B" w14:textId="77777777" w:rsidR="00A5451B" w:rsidRPr="00FF59B6" w:rsidRDefault="00A5451B" w:rsidP="00A5451B">
            <w:pPr>
              <w:jc w:val="right"/>
              <w:rPr>
                <w:rFonts w:cs="Arial"/>
                <w:b/>
                <w:bCs/>
                <w:sz w:val="20"/>
                <w:szCs w:val="20"/>
              </w:rPr>
            </w:pPr>
            <w:r w:rsidRPr="00FF59B6">
              <w:rPr>
                <w:rFonts w:cs="Arial"/>
                <w:b/>
                <w:bCs/>
                <w:sz w:val="20"/>
                <w:szCs w:val="20"/>
              </w:rPr>
              <w:t>16 934 692</w:t>
            </w:r>
          </w:p>
        </w:tc>
        <w:tc>
          <w:tcPr>
            <w:tcW w:w="523" w:type="pct"/>
            <w:tcBorders>
              <w:top w:val="single" w:sz="4" w:space="0" w:color="auto"/>
              <w:left w:val="single" w:sz="4" w:space="0" w:color="auto"/>
              <w:bottom w:val="single" w:sz="4" w:space="0" w:color="auto"/>
              <w:right w:val="single" w:sz="4" w:space="0" w:color="auto"/>
            </w:tcBorders>
            <w:shd w:val="clear" w:color="auto" w:fill="D9D9D9"/>
            <w:vAlign w:val="bottom"/>
          </w:tcPr>
          <w:p w14:paraId="28E79D16" w14:textId="77777777" w:rsidR="00A5451B" w:rsidRPr="00FF59B6" w:rsidRDefault="00A5451B" w:rsidP="00A5451B">
            <w:pPr>
              <w:jc w:val="right"/>
              <w:rPr>
                <w:rFonts w:cs="Arial"/>
                <w:b/>
                <w:bCs/>
                <w:sz w:val="20"/>
                <w:szCs w:val="20"/>
              </w:rPr>
            </w:pPr>
            <w:r w:rsidRPr="00FF59B6">
              <w:rPr>
                <w:rFonts w:cs="Arial"/>
                <w:b/>
                <w:bCs/>
                <w:sz w:val="20"/>
                <w:szCs w:val="20"/>
              </w:rPr>
              <w:t>1 684 369</w:t>
            </w:r>
          </w:p>
        </w:tc>
        <w:tc>
          <w:tcPr>
            <w:tcW w:w="532" w:type="pct"/>
            <w:tcBorders>
              <w:top w:val="single" w:sz="4" w:space="0" w:color="auto"/>
              <w:left w:val="single" w:sz="4" w:space="0" w:color="auto"/>
              <w:bottom w:val="single" w:sz="4" w:space="0" w:color="auto"/>
              <w:right w:val="single" w:sz="4" w:space="0" w:color="auto"/>
            </w:tcBorders>
            <w:shd w:val="clear" w:color="auto" w:fill="D9D9D9"/>
            <w:vAlign w:val="bottom"/>
          </w:tcPr>
          <w:p w14:paraId="58820A91" w14:textId="77777777" w:rsidR="00A5451B" w:rsidRPr="00FF59B6" w:rsidRDefault="00A5451B" w:rsidP="00A5451B">
            <w:pPr>
              <w:jc w:val="right"/>
              <w:rPr>
                <w:rFonts w:cs="Arial"/>
                <w:b/>
                <w:bCs/>
                <w:sz w:val="20"/>
                <w:szCs w:val="20"/>
              </w:rPr>
            </w:pPr>
            <w:r w:rsidRPr="00FF59B6">
              <w:rPr>
                <w:rFonts w:cs="Arial"/>
                <w:b/>
                <w:bCs/>
                <w:sz w:val="20"/>
                <w:szCs w:val="20"/>
              </w:rPr>
              <w:t>111,0</w:t>
            </w:r>
          </w:p>
        </w:tc>
      </w:tr>
      <w:tr w:rsidR="00A5451B" w:rsidRPr="00C65CAA" w14:paraId="4F682DF5" w14:textId="77777777" w:rsidTr="006426A5">
        <w:trPr>
          <w:trHeight w:val="170"/>
          <w:jc w:val="center"/>
        </w:trPr>
        <w:tc>
          <w:tcPr>
            <w:tcW w:w="1969" w:type="pct"/>
            <w:tcBorders>
              <w:top w:val="single" w:sz="4" w:space="0" w:color="auto"/>
              <w:left w:val="single" w:sz="4" w:space="0" w:color="auto"/>
              <w:bottom w:val="single" w:sz="4" w:space="0" w:color="auto"/>
              <w:right w:val="single" w:sz="4" w:space="0" w:color="auto"/>
            </w:tcBorders>
            <w:vAlign w:val="center"/>
          </w:tcPr>
          <w:p w14:paraId="0D696009" w14:textId="77777777" w:rsidR="00A5451B" w:rsidRPr="00C65CAA" w:rsidRDefault="00A5451B" w:rsidP="000A2429">
            <w:pPr>
              <w:pStyle w:val="Odsekzoznamu"/>
              <w:numPr>
                <w:ilvl w:val="0"/>
                <w:numId w:val="5"/>
              </w:numPr>
              <w:rPr>
                <w:rFonts w:eastAsia="Calibri"/>
                <w:sz w:val="20"/>
                <w:szCs w:val="20"/>
              </w:rPr>
            </w:pPr>
            <w:r w:rsidRPr="00C65CAA">
              <w:rPr>
                <w:rFonts w:eastAsia="Calibri"/>
                <w:bCs/>
                <w:sz w:val="20"/>
                <w:szCs w:val="20"/>
              </w:rPr>
              <w:t>Mzdy, platy, služobné príjmy a ostatné osobné výdavky</w:t>
            </w:r>
          </w:p>
        </w:tc>
        <w:tc>
          <w:tcPr>
            <w:tcW w:w="607" w:type="pct"/>
            <w:tcBorders>
              <w:top w:val="single" w:sz="4" w:space="0" w:color="auto"/>
              <w:left w:val="single" w:sz="4" w:space="0" w:color="auto"/>
              <w:bottom w:val="single" w:sz="4" w:space="0" w:color="auto"/>
              <w:right w:val="single" w:sz="4" w:space="0" w:color="auto"/>
            </w:tcBorders>
            <w:vAlign w:val="bottom"/>
          </w:tcPr>
          <w:p w14:paraId="1E95EBA0" w14:textId="77777777" w:rsidR="00A5451B" w:rsidRPr="00FF59B6" w:rsidRDefault="00A5451B" w:rsidP="00A5451B">
            <w:pPr>
              <w:jc w:val="right"/>
              <w:rPr>
                <w:rFonts w:cs="Arial"/>
                <w:sz w:val="20"/>
                <w:szCs w:val="20"/>
              </w:rPr>
            </w:pPr>
            <w:r w:rsidRPr="00FF59B6">
              <w:rPr>
                <w:rFonts w:cs="Arial"/>
                <w:sz w:val="20"/>
                <w:szCs w:val="20"/>
              </w:rPr>
              <w:t>2 026 060</w:t>
            </w:r>
          </w:p>
        </w:tc>
        <w:tc>
          <w:tcPr>
            <w:tcW w:w="607" w:type="pct"/>
            <w:tcBorders>
              <w:top w:val="single" w:sz="4" w:space="0" w:color="auto"/>
              <w:left w:val="single" w:sz="4" w:space="0" w:color="auto"/>
              <w:bottom w:val="single" w:sz="4" w:space="0" w:color="auto"/>
              <w:right w:val="single" w:sz="4" w:space="0" w:color="auto"/>
            </w:tcBorders>
            <w:vAlign w:val="bottom"/>
          </w:tcPr>
          <w:p w14:paraId="787D0EFF" w14:textId="77777777" w:rsidR="00A5451B" w:rsidRPr="00FF59B6" w:rsidRDefault="00A5451B" w:rsidP="00A5451B">
            <w:pPr>
              <w:jc w:val="right"/>
              <w:rPr>
                <w:rFonts w:cs="Arial"/>
                <w:sz w:val="20"/>
                <w:szCs w:val="20"/>
              </w:rPr>
            </w:pPr>
            <w:r w:rsidRPr="00FF59B6">
              <w:rPr>
                <w:rFonts w:cs="Arial"/>
                <w:sz w:val="20"/>
                <w:szCs w:val="20"/>
              </w:rPr>
              <w:t>2 221 695</w:t>
            </w:r>
          </w:p>
        </w:tc>
        <w:tc>
          <w:tcPr>
            <w:tcW w:w="762" w:type="pct"/>
            <w:tcBorders>
              <w:top w:val="single" w:sz="4" w:space="0" w:color="auto"/>
              <w:left w:val="single" w:sz="4" w:space="0" w:color="auto"/>
              <w:bottom w:val="single" w:sz="4" w:space="0" w:color="auto"/>
              <w:right w:val="single" w:sz="4" w:space="0" w:color="auto"/>
            </w:tcBorders>
            <w:vAlign w:val="bottom"/>
          </w:tcPr>
          <w:p w14:paraId="70B53D7A" w14:textId="77777777" w:rsidR="00A5451B" w:rsidRPr="00FF59B6" w:rsidRDefault="00A5451B" w:rsidP="00A5451B">
            <w:pPr>
              <w:jc w:val="right"/>
              <w:rPr>
                <w:rFonts w:cs="Arial"/>
                <w:sz w:val="20"/>
                <w:szCs w:val="20"/>
              </w:rPr>
            </w:pPr>
            <w:r w:rsidRPr="00FF59B6">
              <w:rPr>
                <w:rFonts w:cs="Arial"/>
                <w:sz w:val="20"/>
                <w:szCs w:val="20"/>
              </w:rPr>
              <w:t>2 426 676</w:t>
            </w:r>
          </w:p>
        </w:tc>
        <w:tc>
          <w:tcPr>
            <w:tcW w:w="523" w:type="pct"/>
            <w:tcBorders>
              <w:top w:val="single" w:sz="4" w:space="0" w:color="auto"/>
              <w:left w:val="single" w:sz="4" w:space="0" w:color="auto"/>
              <w:bottom w:val="single" w:sz="4" w:space="0" w:color="auto"/>
              <w:right w:val="single" w:sz="4" w:space="0" w:color="auto"/>
            </w:tcBorders>
            <w:vAlign w:val="bottom"/>
          </w:tcPr>
          <w:p w14:paraId="74046070" w14:textId="77777777" w:rsidR="00A5451B" w:rsidRPr="00FF59B6" w:rsidRDefault="00A5451B" w:rsidP="00A5451B">
            <w:pPr>
              <w:jc w:val="right"/>
              <w:rPr>
                <w:rFonts w:cs="Arial"/>
                <w:sz w:val="20"/>
                <w:szCs w:val="20"/>
              </w:rPr>
            </w:pPr>
            <w:r w:rsidRPr="00FF59B6">
              <w:rPr>
                <w:rFonts w:cs="Arial"/>
                <w:sz w:val="20"/>
                <w:szCs w:val="20"/>
              </w:rPr>
              <w:t>204 981</w:t>
            </w:r>
          </w:p>
        </w:tc>
        <w:tc>
          <w:tcPr>
            <w:tcW w:w="532" w:type="pct"/>
            <w:tcBorders>
              <w:top w:val="single" w:sz="4" w:space="0" w:color="auto"/>
              <w:left w:val="single" w:sz="4" w:space="0" w:color="auto"/>
              <w:bottom w:val="single" w:sz="4" w:space="0" w:color="auto"/>
              <w:right w:val="single" w:sz="4" w:space="0" w:color="auto"/>
            </w:tcBorders>
            <w:vAlign w:val="bottom"/>
          </w:tcPr>
          <w:p w14:paraId="66F490E9" w14:textId="77777777" w:rsidR="00A5451B" w:rsidRPr="00FF59B6" w:rsidRDefault="00A5451B" w:rsidP="00A5451B">
            <w:pPr>
              <w:jc w:val="right"/>
              <w:rPr>
                <w:rFonts w:cs="Arial"/>
                <w:sz w:val="20"/>
                <w:szCs w:val="20"/>
              </w:rPr>
            </w:pPr>
            <w:r w:rsidRPr="00FF59B6">
              <w:rPr>
                <w:rFonts w:cs="Arial"/>
                <w:sz w:val="20"/>
                <w:szCs w:val="20"/>
              </w:rPr>
              <w:t>109,2</w:t>
            </w:r>
          </w:p>
        </w:tc>
      </w:tr>
      <w:tr w:rsidR="00A5451B" w:rsidRPr="00C65CAA" w14:paraId="469DC96F" w14:textId="77777777" w:rsidTr="006426A5">
        <w:trPr>
          <w:trHeight w:val="170"/>
          <w:jc w:val="center"/>
        </w:trPr>
        <w:tc>
          <w:tcPr>
            <w:tcW w:w="1969" w:type="pct"/>
            <w:tcBorders>
              <w:top w:val="single" w:sz="4" w:space="0" w:color="auto"/>
              <w:left w:val="single" w:sz="4" w:space="0" w:color="auto"/>
              <w:bottom w:val="single" w:sz="4" w:space="0" w:color="auto"/>
              <w:right w:val="single" w:sz="4" w:space="0" w:color="auto"/>
            </w:tcBorders>
            <w:vAlign w:val="center"/>
          </w:tcPr>
          <w:p w14:paraId="6AB7FEBF" w14:textId="77777777" w:rsidR="00A5451B" w:rsidRPr="00C65CAA" w:rsidRDefault="00A5451B" w:rsidP="000A2429">
            <w:pPr>
              <w:pStyle w:val="Odsekzoznamu"/>
              <w:numPr>
                <w:ilvl w:val="0"/>
                <w:numId w:val="5"/>
              </w:numPr>
              <w:rPr>
                <w:rFonts w:eastAsia="Calibri"/>
                <w:sz w:val="20"/>
                <w:szCs w:val="20"/>
              </w:rPr>
            </w:pPr>
            <w:r w:rsidRPr="00C65CAA">
              <w:rPr>
                <w:rFonts w:eastAsia="Calibri"/>
                <w:bCs/>
                <w:sz w:val="20"/>
                <w:szCs w:val="20"/>
              </w:rPr>
              <w:t>Poistné a príspevok do poisťovní</w:t>
            </w:r>
          </w:p>
        </w:tc>
        <w:tc>
          <w:tcPr>
            <w:tcW w:w="607" w:type="pct"/>
            <w:tcBorders>
              <w:top w:val="single" w:sz="4" w:space="0" w:color="auto"/>
              <w:left w:val="single" w:sz="4" w:space="0" w:color="auto"/>
              <w:bottom w:val="single" w:sz="4" w:space="0" w:color="auto"/>
              <w:right w:val="single" w:sz="4" w:space="0" w:color="auto"/>
            </w:tcBorders>
            <w:vAlign w:val="bottom"/>
          </w:tcPr>
          <w:p w14:paraId="2FB4D10F" w14:textId="77777777" w:rsidR="00A5451B" w:rsidRPr="00FF59B6" w:rsidRDefault="00A5451B" w:rsidP="00A5451B">
            <w:pPr>
              <w:jc w:val="right"/>
              <w:rPr>
                <w:rFonts w:cs="Arial"/>
                <w:sz w:val="20"/>
                <w:szCs w:val="20"/>
              </w:rPr>
            </w:pPr>
            <w:r w:rsidRPr="00FF59B6">
              <w:rPr>
                <w:rFonts w:cs="Arial"/>
                <w:sz w:val="20"/>
                <w:szCs w:val="20"/>
              </w:rPr>
              <w:t>728 295</w:t>
            </w:r>
          </w:p>
        </w:tc>
        <w:tc>
          <w:tcPr>
            <w:tcW w:w="607" w:type="pct"/>
            <w:tcBorders>
              <w:top w:val="single" w:sz="4" w:space="0" w:color="auto"/>
              <w:left w:val="single" w:sz="4" w:space="0" w:color="auto"/>
              <w:bottom w:val="single" w:sz="4" w:space="0" w:color="auto"/>
              <w:right w:val="single" w:sz="4" w:space="0" w:color="auto"/>
            </w:tcBorders>
            <w:vAlign w:val="bottom"/>
          </w:tcPr>
          <w:p w14:paraId="46C506F6" w14:textId="77777777" w:rsidR="00A5451B" w:rsidRPr="00FF59B6" w:rsidRDefault="00A5451B" w:rsidP="00A5451B">
            <w:pPr>
              <w:jc w:val="right"/>
              <w:rPr>
                <w:rFonts w:cs="Arial"/>
                <w:sz w:val="20"/>
                <w:szCs w:val="20"/>
              </w:rPr>
            </w:pPr>
            <w:r w:rsidRPr="00FF59B6">
              <w:rPr>
                <w:rFonts w:cs="Arial"/>
                <w:sz w:val="20"/>
                <w:szCs w:val="20"/>
              </w:rPr>
              <w:t>782 871</w:t>
            </w:r>
          </w:p>
        </w:tc>
        <w:tc>
          <w:tcPr>
            <w:tcW w:w="762" w:type="pct"/>
            <w:tcBorders>
              <w:top w:val="single" w:sz="4" w:space="0" w:color="auto"/>
              <w:left w:val="single" w:sz="4" w:space="0" w:color="auto"/>
              <w:bottom w:val="single" w:sz="4" w:space="0" w:color="auto"/>
              <w:right w:val="single" w:sz="4" w:space="0" w:color="auto"/>
            </w:tcBorders>
            <w:vAlign w:val="bottom"/>
          </w:tcPr>
          <w:p w14:paraId="0FA8F565" w14:textId="77777777" w:rsidR="00A5451B" w:rsidRPr="00FF59B6" w:rsidRDefault="00A5451B" w:rsidP="00A5451B">
            <w:pPr>
              <w:jc w:val="right"/>
              <w:rPr>
                <w:rFonts w:cs="Arial"/>
                <w:sz w:val="20"/>
                <w:szCs w:val="20"/>
              </w:rPr>
            </w:pPr>
            <w:r w:rsidRPr="00FF59B6">
              <w:rPr>
                <w:rFonts w:cs="Arial"/>
                <w:sz w:val="20"/>
                <w:szCs w:val="20"/>
              </w:rPr>
              <w:t>855 329</w:t>
            </w:r>
          </w:p>
        </w:tc>
        <w:tc>
          <w:tcPr>
            <w:tcW w:w="523" w:type="pct"/>
            <w:tcBorders>
              <w:top w:val="single" w:sz="4" w:space="0" w:color="auto"/>
              <w:left w:val="single" w:sz="4" w:space="0" w:color="auto"/>
              <w:bottom w:val="single" w:sz="4" w:space="0" w:color="auto"/>
              <w:right w:val="single" w:sz="4" w:space="0" w:color="auto"/>
            </w:tcBorders>
            <w:vAlign w:val="bottom"/>
          </w:tcPr>
          <w:p w14:paraId="5FDAD7FD" w14:textId="77777777" w:rsidR="00A5451B" w:rsidRPr="00FF59B6" w:rsidRDefault="00A5451B" w:rsidP="00A5451B">
            <w:pPr>
              <w:jc w:val="right"/>
              <w:rPr>
                <w:rFonts w:cs="Arial"/>
                <w:sz w:val="20"/>
                <w:szCs w:val="20"/>
              </w:rPr>
            </w:pPr>
            <w:r w:rsidRPr="00FF59B6">
              <w:rPr>
                <w:rFonts w:cs="Arial"/>
                <w:sz w:val="20"/>
                <w:szCs w:val="20"/>
              </w:rPr>
              <w:t>72 457</w:t>
            </w:r>
          </w:p>
        </w:tc>
        <w:tc>
          <w:tcPr>
            <w:tcW w:w="532" w:type="pct"/>
            <w:tcBorders>
              <w:top w:val="single" w:sz="4" w:space="0" w:color="auto"/>
              <w:left w:val="single" w:sz="4" w:space="0" w:color="auto"/>
              <w:bottom w:val="single" w:sz="4" w:space="0" w:color="auto"/>
              <w:right w:val="single" w:sz="4" w:space="0" w:color="auto"/>
            </w:tcBorders>
            <w:vAlign w:val="bottom"/>
          </w:tcPr>
          <w:p w14:paraId="699CFCDE" w14:textId="77777777" w:rsidR="00A5451B" w:rsidRPr="00FF59B6" w:rsidRDefault="00A5451B" w:rsidP="00A5451B">
            <w:pPr>
              <w:jc w:val="right"/>
              <w:rPr>
                <w:rFonts w:cs="Arial"/>
                <w:sz w:val="20"/>
                <w:szCs w:val="20"/>
              </w:rPr>
            </w:pPr>
            <w:r w:rsidRPr="00FF59B6">
              <w:rPr>
                <w:rFonts w:cs="Arial"/>
                <w:sz w:val="20"/>
                <w:szCs w:val="20"/>
              </w:rPr>
              <w:t>109,3</w:t>
            </w:r>
          </w:p>
        </w:tc>
      </w:tr>
      <w:tr w:rsidR="00A5451B" w:rsidRPr="00C65CAA" w14:paraId="2845B60E" w14:textId="77777777" w:rsidTr="006426A5">
        <w:trPr>
          <w:trHeight w:val="170"/>
          <w:jc w:val="center"/>
        </w:trPr>
        <w:tc>
          <w:tcPr>
            <w:tcW w:w="1969" w:type="pct"/>
            <w:tcBorders>
              <w:top w:val="single" w:sz="4" w:space="0" w:color="auto"/>
              <w:left w:val="single" w:sz="4" w:space="0" w:color="auto"/>
              <w:bottom w:val="single" w:sz="4" w:space="0" w:color="auto"/>
              <w:right w:val="single" w:sz="4" w:space="0" w:color="auto"/>
            </w:tcBorders>
            <w:vAlign w:val="center"/>
          </w:tcPr>
          <w:p w14:paraId="2E4579AC" w14:textId="77777777" w:rsidR="00A5451B" w:rsidRPr="00C65CAA" w:rsidRDefault="00A5451B" w:rsidP="000A2429">
            <w:pPr>
              <w:pStyle w:val="Odsekzoznamu"/>
              <w:numPr>
                <w:ilvl w:val="0"/>
                <w:numId w:val="5"/>
              </w:numPr>
              <w:rPr>
                <w:rFonts w:eastAsia="Calibri"/>
                <w:sz w:val="20"/>
                <w:szCs w:val="20"/>
              </w:rPr>
            </w:pPr>
            <w:r w:rsidRPr="00C65CAA">
              <w:rPr>
                <w:rFonts w:eastAsia="Calibri"/>
                <w:bCs/>
                <w:sz w:val="20"/>
                <w:szCs w:val="20"/>
              </w:rPr>
              <w:t>Tovary a služby</w:t>
            </w:r>
          </w:p>
        </w:tc>
        <w:tc>
          <w:tcPr>
            <w:tcW w:w="607" w:type="pct"/>
            <w:tcBorders>
              <w:top w:val="single" w:sz="4" w:space="0" w:color="auto"/>
              <w:left w:val="single" w:sz="4" w:space="0" w:color="auto"/>
              <w:bottom w:val="single" w:sz="4" w:space="0" w:color="auto"/>
              <w:right w:val="single" w:sz="4" w:space="0" w:color="auto"/>
            </w:tcBorders>
            <w:vAlign w:val="bottom"/>
          </w:tcPr>
          <w:p w14:paraId="3A5986DD" w14:textId="77777777" w:rsidR="00A5451B" w:rsidRPr="00FF59B6" w:rsidRDefault="00A5451B" w:rsidP="00A5451B">
            <w:pPr>
              <w:jc w:val="right"/>
              <w:rPr>
                <w:rFonts w:cs="Arial"/>
                <w:sz w:val="20"/>
                <w:szCs w:val="20"/>
              </w:rPr>
            </w:pPr>
            <w:r w:rsidRPr="00FF59B6">
              <w:rPr>
                <w:rFonts w:cs="Arial"/>
                <w:sz w:val="20"/>
                <w:szCs w:val="20"/>
              </w:rPr>
              <w:t>1 634 657</w:t>
            </w:r>
          </w:p>
        </w:tc>
        <w:tc>
          <w:tcPr>
            <w:tcW w:w="607" w:type="pct"/>
            <w:tcBorders>
              <w:top w:val="single" w:sz="4" w:space="0" w:color="auto"/>
              <w:left w:val="single" w:sz="4" w:space="0" w:color="auto"/>
              <w:bottom w:val="single" w:sz="4" w:space="0" w:color="auto"/>
              <w:right w:val="single" w:sz="4" w:space="0" w:color="auto"/>
            </w:tcBorders>
            <w:vAlign w:val="bottom"/>
          </w:tcPr>
          <w:p w14:paraId="17979BC9" w14:textId="77777777" w:rsidR="00A5451B" w:rsidRPr="00FF59B6" w:rsidRDefault="00A5451B" w:rsidP="00A5451B">
            <w:pPr>
              <w:jc w:val="right"/>
              <w:rPr>
                <w:rFonts w:cs="Arial"/>
                <w:sz w:val="20"/>
                <w:szCs w:val="20"/>
              </w:rPr>
            </w:pPr>
            <w:r w:rsidRPr="00FF59B6">
              <w:rPr>
                <w:rFonts w:cs="Arial"/>
                <w:sz w:val="20"/>
                <w:szCs w:val="20"/>
              </w:rPr>
              <w:t>2 428 259</w:t>
            </w:r>
          </w:p>
        </w:tc>
        <w:tc>
          <w:tcPr>
            <w:tcW w:w="762" w:type="pct"/>
            <w:tcBorders>
              <w:top w:val="single" w:sz="4" w:space="0" w:color="auto"/>
              <w:left w:val="single" w:sz="4" w:space="0" w:color="auto"/>
              <w:bottom w:val="single" w:sz="4" w:space="0" w:color="auto"/>
              <w:right w:val="single" w:sz="4" w:space="0" w:color="auto"/>
            </w:tcBorders>
            <w:vAlign w:val="bottom"/>
          </w:tcPr>
          <w:p w14:paraId="2E403D25" w14:textId="77777777" w:rsidR="00A5451B" w:rsidRPr="00FF59B6" w:rsidRDefault="00A5451B" w:rsidP="00A5451B">
            <w:pPr>
              <w:jc w:val="right"/>
              <w:rPr>
                <w:rFonts w:cs="Arial"/>
                <w:sz w:val="20"/>
                <w:szCs w:val="20"/>
              </w:rPr>
            </w:pPr>
            <w:r w:rsidRPr="00FF59B6">
              <w:rPr>
                <w:rFonts w:cs="Arial"/>
                <w:sz w:val="20"/>
                <w:szCs w:val="20"/>
              </w:rPr>
              <w:t>2 797 475</w:t>
            </w:r>
          </w:p>
        </w:tc>
        <w:tc>
          <w:tcPr>
            <w:tcW w:w="523" w:type="pct"/>
            <w:tcBorders>
              <w:top w:val="single" w:sz="4" w:space="0" w:color="auto"/>
              <w:left w:val="single" w:sz="4" w:space="0" w:color="auto"/>
              <w:bottom w:val="single" w:sz="4" w:space="0" w:color="auto"/>
              <w:right w:val="single" w:sz="4" w:space="0" w:color="auto"/>
            </w:tcBorders>
            <w:vAlign w:val="bottom"/>
          </w:tcPr>
          <w:p w14:paraId="71768716" w14:textId="77777777" w:rsidR="00A5451B" w:rsidRPr="00FF59B6" w:rsidRDefault="00A5451B" w:rsidP="00A5451B">
            <w:pPr>
              <w:jc w:val="right"/>
              <w:rPr>
                <w:rFonts w:cs="Arial"/>
                <w:sz w:val="20"/>
                <w:szCs w:val="20"/>
              </w:rPr>
            </w:pPr>
            <w:r w:rsidRPr="00FF59B6">
              <w:rPr>
                <w:rFonts w:cs="Arial"/>
                <w:sz w:val="20"/>
                <w:szCs w:val="20"/>
              </w:rPr>
              <w:t>369 216</w:t>
            </w:r>
          </w:p>
        </w:tc>
        <w:tc>
          <w:tcPr>
            <w:tcW w:w="532" w:type="pct"/>
            <w:tcBorders>
              <w:top w:val="single" w:sz="4" w:space="0" w:color="auto"/>
              <w:left w:val="single" w:sz="4" w:space="0" w:color="auto"/>
              <w:bottom w:val="single" w:sz="4" w:space="0" w:color="auto"/>
              <w:right w:val="single" w:sz="4" w:space="0" w:color="auto"/>
            </w:tcBorders>
            <w:vAlign w:val="bottom"/>
          </w:tcPr>
          <w:p w14:paraId="6B293E3E" w14:textId="77777777" w:rsidR="00A5451B" w:rsidRPr="00FF59B6" w:rsidRDefault="00A5451B" w:rsidP="00A5451B">
            <w:pPr>
              <w:jc w:val="right"/>
              <w:rPr>
                <w:rFonts w:cs="Arial"/>
                <w:sz w:val="20"/>
                <w:szCs w:val="20"/>
              </w:rPr>
            </w:pPr>
            <w:r w:rsidRPr="00FF59B6">
              <w:rPr>
                <w:rFonts w:cs="Arial"/>
                <w:sz w:val="20"/>
                <w:szCs w:val="20"/>
              </w:rPr>
              <w:t>115,2</w:t>
            </w:r>
          </w:p>
        </w:tc>
      </w:tr>
      <w:tr w:rsidR="00A5451B" w:rsidRPr="00C65CAA" w14:paraId="31CCF6A1" w14:textId="77777777" w:rsidTr="006426A5">
        <w:trPr>
          <w:trHeight w:val="170"/>
          <w:jc w:val="center"/>
        </w:trPr>
        <w:tc>
          <w:tcPr>
            <w:tcW w:w="1969" w:type="pct"/>
            <w:tcBorders>
              <w:top w:val="single" w:sz="4" w:space="0" w:color="auto"/>
              <w:left w:val="single" w:sz="4" w:space="0" w:color="auto"/>
              <w:bottom w:val="single" w:sz="4" w:space="0" w:color="auto"/>
              <w:right w:val="single" w:sz="4" w:space="0" w:color="auto"/>
            </w:tcBorders>
            <w:vAlign w:val="center"/>
          </w:tcPr>
          <w:p w14:paraId="1565EF5C" w14:textId="77777777" w:rsidR="00A5451B" w:rsidRPr="00C65CAA" w:rsidRDefault="00A5451B" w:rsidP="000A2429">
            <w:pPr>
              <w:pStyle w:val="Odsekzoznamu"/>
              <w:numPr>
                <w:ilvl w:val="0"/>
                <w:numId w:val="5"/>
              </w:numPr>
              <w:rPr>
                <w:rFonts w:eastAsia="Calibri"/>
                <w:sz w:val="20"/>
                <w:szCs w:val="20"/>
              </w:rPr>
            </w:pPr>
            <w:r w:rsidRPr="00C65CAA">
              <w:rPr>
                <w:rFonts w:eastAsia="Calibri"/>
                <w:bCs/>
                <w:sz w:val="20"/>
                <w:szCs w:val="20"/>
              </w:rPr>
              <w:t>Bežné transfery</w:t>
            </w:r>
          </w:p>
        </w:tc>
        <w:tc>
          <w:tcPr>
            <w:tcW w:w="607" w:type="pct"/>
            <w:tcBorders>
              <w:top w:val="single" w:sz="4" w:space="0" w:color="auto"/>
              <w:left w:val="single" w:sz="4" w:space="0" w:color="auto"/>
              <w:bottom w:val="single" w:sz="4" w:space="0" w:color="auto"/>
              <w:right w:val="single" w:sz="4" w:space="0" w:color="auto"/>
            </w:tcBorders>
            <w:vAlign w:val="bottom"/>
          </w:tcPr>
          <w:p w14:paraId="029C5FB6" w14:textId="77777777" w:rsidR="00A5451B" w:rsidRPr="00FF59B6" w:rsidRDefault="00A5451B" w:rsidP="00A5451B">
            <w:pPr>
              <w:jc w:val="right"/>
              <w:rPr>
                <w:rFonts w:cs="Arial"/>
                <w:sz w:val="20"/>
                <w:szCs w:val="20"/>
              </w:rPr>
            </w:pPr>
            <w:r w:rsidRPr="00FF59B6">
              <w:rPr>
                <w:rFonts w:cs="Arial"/>
                <w:sz w:val="20"/>
                <w:szCs w:val="20"/>
              </w:rPr>
              <w:t>9 771 649</w:t>
            </w:r>
          </w:p>
        </w:tc>
        <w:tc>
          <w:tcPr>
            <w:tcW w:w="607" w:type="pct"/>
            <w:tcBorders>
              <w:top w:val="single" w:sz="4" w:space="0" w:color="auto"/>
              <w:left w:val="single" w:sz="4" w:space="0" w:color="auto"/>
              <w:bottom w:val="single" w:sz="4" w:space="0" w:color="auto"/>
              <w:right w:val="single" w:sz="4" w:space="0" w:color="auto"/>
            </w:tcBorders>
            <w:vAlign w:val="bottom"/>
          </w:tcPr>
          <w:p w14:paraId="441080F0" w14:textId="77777777" w:rsidR="00A5451B" w:rsidRPr="00FF59B6" w:rsidRDefault="00A5451B" w:rsidP="00A5451B">
            <w:pPr>
              <w:jc w:val="right"/>
              <w:rPr>
                <w:rFonts w:cs="Arial"/>
                <w:sz w:val="20"/>
                <w:szCs w:val="20"/>
              </w:rPr>
            </w:pPr>
            <w:r w:rsidRPr="00FF59B6">
              <w:rPr>
                <w:rFonts w:cs="Arial"/>
                <w:sz w:val="20"/>
                <w:szCs w:val="20"/>
              </w:rPr>
              <w:t>9 817 228</w:t>
            </w:r>
          </w:p>
        </w:tc>
        <w:tc>
          <w:tcPr>
            <w:tcW w:w="762" w:type="pct"/>
            <w:tcBorders>
              <w:top w:val="single" w:sz="4" w:space="0" w:color="auto"/>
              <w:left w:val="single" w:sz="4" w:space="0" w:color="auto"/>
              <w:bottom w:val="single" w:sz="4" w:space="0" w:color="auto"/>
              <w:right w:val="single" w:sz="4" w:space="0" w:color="auto"/>
            </w:tcBorders>
            <w:vAlign w:val="bottom"/>
          </w:tcPr>
          <w:p w14:paraId="482F5D64" w14:textId="77777777" w:rsidR="00A5451B" w:rsidRPr="00FF59B6" w:rsidRDefault="00A5451B" w:rsidP="00A5451B">
            <w:pPr>
              <w:jc w:val="right"/>
              <w:rPr>
                <w:rFonts w:cs="Arial"/>
                <w:sz w:val="20"/>
                <w:szCs w:val="20"/>
              </w:rPr>
            </w:pPr>
            <w:r w:rsidRPr="00FF59B6">
              <w:rPr>
                <w:rFonts w:cs="Arial"/>
                <w:sz w:val="20"/>
                <w:szCs w:val="20"/>
              </w:rPr>
              <w:t>10 854 942</w:t>
            </w:r>
          </w:p>
        </w:tc>
        <w:tc>
          <w:tcPr>
            <w:tcW w:w="523" w:type="pct"/>
            <w:tcBorders>
              <w:top w:val="single" w:sz="4" w:space="0" w:color="auto"/>
              <w:left w:val="single" w:sz="4" w:space="0" w:color="auto"/>
              <w:bottom w:val="single" w:sz="4" w:space="0" w:color="auto"/>
              <w:right w:val="single" w:sz="4" w:space="0" w:color="auto"/>
            </w:tcBorders>
            <w:vAlign w:val="bottom"/>
          </w:tcPr>
          <w:p w14:paraId="5C1EACE1" w14:textId="77777777" w:rsidR="00A5451B" w:rsidRPr="00FF59B6" w:rsidRDefault="00A5451B" w:rsidP="00A5451B">
            <w:pPr>
              <w:jc w:val="right"/>
              <w:rPr>
                <w:rFonts w:cs="Arial"/>
                <w:sz w:val="20"/>
                <w:szCs w:val="20"/>
              </w:rPr>
            </w:pPr>
            <w:r w:rsidRPr="00FF59B6">
              <w:rPr>
                <w:rFonts w:cs="Arial"/>
                <w:sz w:val="20"/>
                <w:szCs w:val="20"/>
              </w:rPr>
              <w:t>1 037 714</w:t>
            </w:r>
          </w:p>
        </w:tc>
        <w:tc>
          <w:tcPr>
            <w:tcW w:w="532" w:type="pct"/>
            <w:tcBorders>
              <w:top w:val="single" w:sz="4" w:space="0" w:color="auto"/>
              <w:left w:val="single" w:sz="4" w:space="0" w:color="auto"/>
              <w:bottom w:val="single" w:sz="4" w:space="0" w:color="auto"/>
              <w:right w:val="single" w:sz="4" w:space="0" w:color="auto"/>
            </w:tcBorders>
            <w:vAlign w:val="bottom"/>
          </w:tcPr>
          <w:p w14:paraId="1FDB0EA1" w14:textId="77777777" w:rsidR="00A5451B" w:rsidRPr="00FF59B6" w:rsidRDefault="00A5451B" w:rsidP="00A5451B">
            <w:pPr>
              <w:jc w:val="right"/>
              <w:rPr>
                <w:rFonts w:cs="Arial"/>
                <w:sz w:val="20"/>
                <w:szCs w:val="20"/>
              </w:rPr>
            </w:pPr>
            <w:r w:rsidRPr="00FF59B6">
              <w:rPr>
                <w:rFonts w:cs="Arial"/>
                <w:sz w:val="20"/>
                <w:szCs w:val="20"/>
              </w:rPr>
              <w:t>110,6</w:t>
            </w:r>
          </w:p>
        </w:tc>
      </w:tr>
      <w:tr w:rsidR="00A5451B" w:rsidRPr="00C65CAA" w14:paraId="43CE9F9E" w14:textId="77777777" w:rsidTr="006426A5">
        <w:trPr>
          <w:trHeight w:val="170"/>
          <w:jc w:val="center"/>
        </w:trPr>
        <w:tc>
          <w:tcPr>
            <w:tcW w:w="1969" w:type="pct"/>
            <w:tcBorders>
              <w:top w:val="single" w:sz="4" w:space="0" w:color="auto"/>
              <w:left w:val="single" w:sz="4" w:space="0" w:color="auto"/>
              <w:bottom w:val="single" w:sz="4" w:space="0" w:color="auto"/>
              <w:right w:val="single" w:sz="4" w:space="0" w:color="auto"/>
            </w:tcBorders>
            <w:vAlign w:val="center"/>
          </w:tcPr>
          <w:p w14:paraId="1F1E448C" w14:textId="77777777" w:rsidR="00A5451B" w:rsidRPr="00C65CAA" w:rsidRDefault="00A5451B" w:rsidP="000A2429">
            <w:pPr>
              <w:pStyle w:val="Odsekzoznamu"/>
              <w:numPr>
                <w:ilvl w:val="0"/>
                <w:numId w:val="5"/>
              </w:numPr>
              <w:rPr>
                <w:rFonts w:eastAsia="Calibri"/>
                <w:sz w:val="20"/>
                <w:szCs w:val="20"/>
              </w:rPr>
            </w:pPr>
            <w:r w:rsidRPr="00C65CAA">
              <w:rPr>
                <w:rFonts w:eastAsia="Calibri"/>
                <w:bCs/>
                <w:sz w:val="20"/>
                <w:szCs w:val="20"/>
              </w:rPr>
              <w:t>Splácanie úrokov a ostatné platby súvisiace s úvermi</w:t>
            </w:r>
          </w:p>
        </w:tc>
        <w:tc>
          <w:tcPr>
            <w:tcW w:w="607" w:type="pct"/>
            <w:tcBorders>
              <w:top w:val="single" w:sz="4" w:space="0" w:color="auto"/>
              <w:left w:val="single" w:sz="4" w:space="0" w:color="auto"/>
              <w:bottom w:val="single" w:sz="4" w:space="0" w:color="auto"/>
              <w:right w:val="single" w:sz="4" w:space="0" w:color="auto"/>
            </w:tcBorders>
            <w:vAlign w:val="bottom"/>
          </w:tcPr>
          <w:p w14:paraId="67388254" w14:textId="77777777" w:rsidR="00A5451B" w:rsidRPr="00FF59B6" w:rsidRDefault="00A5451B" w:rsidP="00A5451B">
            <w:pPr>
              <w:jc w:val="right"/>
              <w:rPr>
                <w:rFonts w:cs="Arial"/>
                <w:sz w:val="20"/>
                <w:szCs w:val="20"/>
              </w:rPr>
            </w:pPr>
            <w:r w:rsidRPr="00FF59B6">
              <w:rPr>
                <w:rFonts w:cs="Arial"/>
                <w:sz w:val="20"/>
                <w:szCs w:val="20"/>
              </w:rPr>
              <w:t>270</w:t>
            </w:r>
          </w:p>
        </w:tc>
        <w:tc>
          <w:tcPr>
            <w:tcW w:w="607" w:type="pct"/>
            <w:tcBorders>
              <w:top w:val="single" w:sz="4" w:space="0" w:color="auto"/>
              <w:left w:val="single" w:sz="4" w:space="0" w:color="auto"/>
              <w:bottom w:val="single" w:sz="4" w:space="0" w:color="auto"/>
              <w:right w:val="single" w:sz="4" w:space="0" w:color="auto"/>
            </w:tcBorders>
            <w:vAlign w:val="bottom"/>
          </w:tcPr>
          <w:p w14:paraId="7DECB7B0" w14:textId="77777777" w:rsidR="00A5451B" w:rsidRPr="00FF59B6" w:rsidRDefault="00A5451B" w:rsidP="00A5451B">
            <w:pPr>
              <w:jc w:val="right"/>
              <w:rPr>
                <w:rFonts w:cs="Arial"/>
                <w:sz w:val="20"/>
                <w:szCs w:val="20"/>
              </w:rPr>
            </w:pPr>
            <w:r w:rsidRPr="00FF59B6">
              <w:rPr>
                <w:rFonts w:cs="Arial"/>
                <w:sz w:val="20"/>
                <w:szCs w:val="20"/>
              </w:rPr>
              <w:t>270</w:t>
            </w:r>
          </w:p>
        </w:tc>
        <w:tc>
          <w:tcPr>
            <w:tcW w:w="762" w:type="pct"/>
            <w:tcBorders>
              <w:top w:val="single" w:sz="4" w:space="0" w:color="auto"/>
              <w:left w:val="single" w:sz="4" w:space="0" w:color="auto"/>
              <w:bottom w:val="single" w:sz="4" w:space="0" w:color="auto"/>
              <w:right w:val="single" w:sz="4" w:space="0" w:color="auto"/>
            </w:tcBorders>
            <w:vAlign w:val="bottom"/>
          </w:tcPr>
          <w:p w14:paraId="7D4FDFB5" w14:textId="77777777" w:rsidR="00A5451B" w:rsidRPr="00FF59B6" w:rsidRDefault="00A5451B" w:rsidP="00A5451B">
            <w:pPr>
              <w:jc w:val="right"/>
              <w:rPr>
                <w:rFonts w:cs="Arial"/>
                <w:sz w:val="20"/>
                <w:szCs w:val="20"/>
              </w:rPr>
            </w:pPr>
            <w:r w:rsidRPr="00FF59B6">
              <w:rPr>
                <w:rFonts w:cs="Arial"/>
                <w:sz w:val="20"/>
                <w:szCs w:val="20"/>
              </w:rPr>
              <w:t>270</w:t>
            </w:r>
          </w:p>
        </w:tc>
        <w:tc>
          <w:tcPr>
            <w:tcW w:w="523" w:type="pct"/>
            <w:tcBorders>
              <w:top w:val="single" w:sz="4" w:space="0" w:color="auto"/>
              <w:left w:val="single" w:sz="4" w:space="0" w:color="auto"/>
              <w:bottom w:val="single" w:sz="4" w:space="0" w:color="auto"/>
              <w:right w:val="single" w:sz="4" w:space="0" w:color="auto"/>
            </w:tcBorders>
            <w:vAlign w:val="bottom"/>
          </w:tcPr>
          <w:p w14:paraId="7C461DDC" w14:textId="77777777" w:rsidR="00A5451B" w:rsidRPr="00FF59B6" w:rsidRDefault="00A5451B" w:rsidP="00A5451B">
            <w:pPr>
              <w:jc w:val="right"/>
              <w:rPr>
                <w:rFonts w:cs="Arial"/>
                <w:sz w:val="20"/>
                <w:szCs w:val="20"/>
              </w:rPr>
            </w:pPr>
            <w:r w:rsidRPr="00FF59B6">
              <w:rPr>
                <w:rFonts w:cs="Arial"/>
                <w:sz w:val="20"/>
                <w:szCs w:val="20"/>
              </w:rPr>
              <w:t>0</w:t>
            </w:r>
          </w:p>
        </w:tc>
        <w:tc>
          <w:tcPr>
            <w:tcW w:w="532" w:type="pct"/>
            <w:tcBorders>
              <w:top w:val="single" w:sz="4" w:space="0" w:color="auto"/>
              <w:left w:val="single" w:sz="4" w:space="0" w:color="auto"/>
              <w:bottom w:val="single" w:sz="4" w:space="0" w:color="auto"/>
              <w:right w:val="single" w:sz="4" w:space="0" w:color="auto"/>
            </w:tcBorders>
            <w:vAlign w:val="bottom"/>
          </w:tcPr>
          <w:p w14:paraId="28F46B8C" w14:textId="77777777" w:rsidR="00A5451B" w:rsidRPr="00FF59B6" w:rsidRDefault="00A5451B" w:rsidP="00A5451B">
            <w:pPr>
              <w:jc w:val="right"/>
              <w:rPr>
                <w:rFonts w:cs="Arial"/>
                <w:sz w:val="20"/>
                <w:szCs w:val="20"/>
              </w:rPr>
            </w:pPr>
            <w:r w:rsidRPr="00FF59B6">
              <w:rPr>
                <w:rFonts w:cs="Arial"/>
                <w:sz w:val="20"/>
                <w:szCs w:val="20"/>
              </w:rPr>
              <w:t>100,0</w:t>
            </w:r>
          </w:p>
        </w:tc>
      </w:tr>
    </w:tbl>
    <w:p w14:paraId="68CE4E5B" w14:textId="77777777" w:rsidR="00CA5523" w:rsidRPr="00831D12" w:rsidRDefault="00CA5523" w:rsidP="00CA5523">
      <w:pPr>
        <w:pStyle w:val="Zkladntext"/>
        <w:spacing w:after="100"/>
        <w:jc w:val="both"/>
        <w:rPr>
          <w:i/>
          <w:color w:val="000000"/>
          <w:sz w:val="18"/>
        </w:rPr>
      </w:pPr>
      <w:r w:rsidRPr="00831D12">
        <w:rPr>
          <w:i/>
          <w:color w:val="000000"/>
          <w:sz w:val="18"/>
        </w:rPr>
        <w:t>Zdroj: ŠZÚ za rok 2018, RVS na roky 2019 až 2021, Návrh RVS na roky 2020 až 2022</w:t>
      </w:r>
    </w:p>
    <w:p w14:paraId="4DA0F0B8" w14:textId="6DA3E607" w:rsidR="006426A5" w:rsidRDefault="00555C86" w:rsidP="00103B9C">
      <w:pPr>
        <w:spacing w:before="100" w:after="100"/>
        <w:ind w:firstLine="708"/>
        <w:jc w:val="both"/>
      </w:pPr>
      <w:r>
        <w:t xml:space="preserve">Bežné výdavky ŠR </w:t>
      </w:r>
      <w:r w:rsidRPr="00C65CAA">
        <w:t>sa</w:t>
      </w:r>
      <w:r>
        <w:t xml:space="preserve"> na rok 2020</w:t>
      </w:r>
      <w:r w:rsidR="00CA5523" w:rsidRPr="00C65CAA">
        <w:t xml:space="preserve"> </w:t>
      </w:r>
      <w:r>
        <w:t>rozpočtujú vo výške 16 934 692</w:t>
      </w:r>
      <w:r w:rsidR="00CA5523" w:rsidRPr="00C65CAA">
        <w:t xml:space="preserve"> tis. eur, čo je o</w:t>
      </w:r>
      <w:r>
        <w:t xml:space="preserve"> 1 684 369 </w:t>
      </w:r>
      <w:r w:rsidR="00CA5523" w:rsidRPr="00C65CAA">
        <w:t xml:space="preserve">tis. eur </w:t>
      </w:r>
      <w:r>
        <w:t>viac oproti rozpočtu na rok 2019</w:t>
      </w:r>
      <w:r w:rsidR="00560DBB">
        <w:t>.</w:t>
      </w:r>
    </w:p>
    <w:p w14:paraId="323F9FC2" w14:textId="3A886F1C" w:rsidR="00CA5523" w:rsidRPr="00C65CAA" w:rsidRDefault="00560DBB" w:rsidP="00560DBB">
      <w:pPr>
        <w:spacing w:before="100" w:after="100"/>
        <w:ind w:firstLine="709"/>
        <w:jc w:val="both"/>
      </w:pPr>
      <w:r w:rsidRPr="00C65CAA">
        <w:t>Kapitálové výdavky sa medziročne z</w:t>
      </w:r>
      <w:r>
        <w:t>nižujú o 651 529</w:t>
      </w:r>
      <w:r w:rsidRPr="00C65CAA">
        <w:t xml:space="preserve"> </w:t>
      </w:r>
      <w:r>
        <w:rPr>
          <w:color w:val="000000"/>
        </w:rPr>
        <w:t>tis. eur na 1 637 049</w:t>
      </w:r>
      <w:r w:rsidRPr="00C65CAA">
        <w:rPr>
          <w:color w:val="000000"/>
        </w:rPr>
        <w:t xml:space="preserve"> tis. eur. Navrhovaná výška neumožní odstrániť modernizačný dlh v kapitolách ŠR, a tak </w:t>
      </w:r>
      <w:r w:rsidRPr="00C65CAA">
        <w:t>rekonštrukcie, modernizácie a nákupy objektov a ich realizácia sa bude musieť op</w:t>
      </w:r>
      <w:r>
        <w:t xml:space="preserve">ätovne presunúť na ďalšie roky. </w:t>
      </w:r>
      <w:r w:rsidR="00CA5523" w:rsidRPr="00C65CAA">
        <w:t xml:space="preserve">Porovnanie </w:t>
      </w:r>
      <w:r w:rsidR="00CA5523" w:rsidRPr="00C65CAA">
        <w:rPr>
          <w:b/>
        </w:rPr>
        <w:t>kapitálových výdavkov</w:t>
      </w:r>
      <w:r w:rsidR="00120DEB">
        <w:t xml:space="preserve"> za rok 2018</w:t>
      </w:r>
      <w:r w:rsidR="00CA5523" w:rsidRPr="00C65CAA">
        <w:t xml:space="preserve">, </w:t>
      </w:r>
      <w:r w:rsidR="00120DEB">
        <w:t>schváleného rozpočtu na rok 2019 a návrhu rozpočtu na rok 2020</w:t>
      </w:r>
      <w:r w:rsidR="00831D12">
        <w:t xml:space="preserve"> uvádza nasledujúca tabuľka.</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65"/>
        <w:gridCol w:w="1256"/>
        <w:gridCol w:w="1082"/>
        <w:gridCol w:w="1608"/>
        <w:gridCol w:w="1079"/>
        <w:gridCol w:w="1256"/>
      </w:tblGrid>
      <w:tr w:rsidR="00A5451B" w:rsidRPr="00C65CAA" w14:paraId="702E7D9D" w14:textId="77777777" w:rsidTr="00A5451B">
        <w:trPr>
          <w:trHeight w:val="170"/>
          <w:tblHeader/>
        </w:trPr>
        <w:tc>
          <w:tcPr>
            <w:tcW w:w="1640" w:type="pct"/>
            <w:tcBorders>
              <w:top w:val="single" w:sz="4" w:space="0" w:color="auto"/>
              <w:left w:val="single" w:sz="4" w:space="0" w:color="auto"/>
              <w:bottom w:val="single" w:sz="4" w:space="0" w:color="auto"/>
              <w:right w:val="single" w:sz="4" w:space="0" w:color="FFFFFF" w:themeColor="background1"/>
            </w:tcBorders>
            <w:shd w:val="clear" w:color="auto" w:fill="0070C0"/>
            <w:vAlign w:val="center"/>
          </w:tcPr>
          <w:p w14:paraId="4DE091F1" w14:textId="77777777" w:rsidR="00A5451B" w:rsidRPr="00C65CAA" w:rsidRDefault="00A5451B" w:rsidP="00A5451B">
            <w:pPr>
              <w:jc w:val="center"/>
              <w:rPr>
                <w:rFonts w:eastAsia="Calibri"/>
                <w:bCs/>
                <w:color w:val="000000"/>
                <w:sz w:val="18"/>
                <w:szCs w:val="18"/>
              </w:rPr>
            </w:pPr>
            <w:r w:rsidRPr="00C65CAA">
              <w:rPr>
                <w:rFonts w:eastAsia="Calibri"/>
                <w:b/>
                <w:bCs/>
                <w:color w:val="FFFFFF"/>
                <w:sz w:val="20"/>
                <w:szCs w:val="20"/>
              </w:rPr>
              <w:t>Ukazovateľ</w:t>
            </w:r>
            <w:r>
              <w:rPr>
                <w:rFonts w:eastAsia="Calibri"/>
                <w:b/>
                <w:bCs/>
                <w:color w:val="FFFFFF"/>
                <w:sz w:val="20"/>
                <w:szCs w:val="20"/>
              </w:rPr>
              <w:t xml:space="preserve"> </w:t>
            </w:r>
            <w:r w:rsidRPr="00C65CAA">
              <w:rPr>
                <w:rFonts w:eastAsia="Calibri"/>
                <w:b/>
                <w:bCs/>
                <w:color w:val="FFFFFF"/>
                <w:sz w:val="20"/>
                <w:szCs w:val="20"/>
              </w:rPr>
              <w:t>(v tis. eur)</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tcPr>
          <w:p w14:paraId="3B4BBACB" w14:textId="77777777" w:rsidR="00A5451B" w:rsidRDefault="00A5451B" w:rsidP="00A5451B">
            <w:pPr>
              <w:jc w:val="center"/>
              <w:rPr>
                <w:rFonts w:eastAsia="Calibri"/>
                <w:b/>
                <w:color w:val="FFFFFF"/>
                <w:sz w:val="20"/>
                <w:szCs w:val="20"/>
              </w:rPr>
            </w:pPr>
            <w:r w:rsidRPr="00C65CAA">
              <w:rPr>
                <w:rFonts w:eastAsia="Calibri"/>
                <w:b/>
                <w:color w:val="FFFFFF"/>
                <w:sz w:val="20"/>
                <w:szCs w:val="20"/>
              </w:rPr>
              <w:t>Skutočnosť</w:t>
            </w:r>
          </w:p>
          <w:p w14:paraId="6349DB54" w14:textId="77777777" w:rsidR="00A5451B" w:rsidRPr="00C65CAA" w:rsidRDefault="00A5451B" w:rsidP="00A5451B">
            <w:pPr>
              <w:jc w:val="center"/>
              <w:rPr>
                <w:rFonts w:eastAsia="Calibri"/>
                <w:b/>
                <w:color w:val="FFFFFF"/>
                <w:sz w:val="20"/>
                <w:szCs w:val="20"/>
              </w:rPr>
            </w:pPr>
            <w:r>
              <w:rPr>
                <w:rFonts w:eastAsia="Calibri"/>
                <w:b/>
                <w:color w:val="FFFFFF"/>
                <w:sz w:val="20"/>
                <w:szCs w:val="20"/>
              </w:rPr>
              <w:t>2018</w:t>
            </w:r>
          </w:p>
        </w:tc>
        <w:tc>
          <w:tcPr>
            <w:tcW w:w="57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tcPr>
          <w:p w14:paraId="237020B3" w14:textId="77777777" w:rsidR="00A5451B" w:rsidRPr="00C65CAA" w:rsidRDefault="00A5451B" w:rsidP="00A5451B">
            <w:pPr>
              <w:jc w:val="center"/>
              <w:rPr>
                <w:rFonts w:eastAsia="Calibri"/>
                <w:b/>
                <w:color w:val="FFFFFF"/>
                <w:sz w:val="20"/>
                <w:szCs w:val="20"/>
              </w:rPr>
            </w:pPr>
            <w:r>
              <w:rPr>
                <w:rFonts w:eastAsia="Calibri"/>
                <w:b/>
                <w:color w:val="FFFFFF"/>
                <w:sz w:val="20"/>
                <w:szCs w:val="20"/>
              </w:rPr>
              <w:t>Rozpočet 2019</w:t>
            </w:r>
          </w:p>
        </w:tc>
        <w:tc>
          <w:tcPr>
            <w:tcW w:w="86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tcPr>
          <w:p w14:paraId="1FA33E2F" w14:textId="77777777" w:rsidR="00A5451B" w:rsidRPr="00C65CAA" w:rsidRDefault="00A5451B" w:rsidP="00A5451B">
            <w:pPr>
              <w:jc w:val="center"/>
              <w:rPr>
                <w:rFonts w:eastAsia="Calibri"/>
                <w:b/>
                <w:color w:val="FFFFFF"/>
                <w:sz w:val="20"/>
                <w:szCs w:val="20"/>
              </w:rPr>
            </w:pPr>
            <w:r>
              <w:rPr>
                <w:rFonts w:eastAsia="Calibri"/>
                <w:b/>
                <w:color w:val="FFFFFF"/>
                <w:sz w:val="20"/>
                <w:szCs w:val="20"/>
              </w:rPr>
              <w:t>Návrh rozpočtu 2020</w:t>
            </w:r>
          </w:p>
        </w:tc>
        <w:tc>
          <w:tcPr>
            <w:tcW w:w="57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tcPr>
          <w:p w14:paraId="54954BAB"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Rozdiel</w:t>
            </w:r>
          </w:p>
        </w:tc>
        <w:tc>
          <w:tcPr>
            <w:tcW w:w="672" w:type="pct"/>
            <w:tcBorders>
              <w:top w:val="single" w:sz="4" w:space="0" w:color="auto"/>
              <w:left w:val="single" w:sz="4" w:space="0" w:color="FFFFFF" w:themeColor="background1"/>
              <w:bottom w:val="single" w:sz="4" w:space="0" w:color="auto"/>
              <w:right w:val="single" w:sz="4" w:space="0" w:color="auto"/>
            </w:tcBorders>
            <w:shd w:val="clear" w:color="auto" w:fill="0070C0"/>
            <w:vAlign w:val="center"/>
          </w:tcPr>
          <w:p w14:paraId="7E84BA9B"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Podiel</w:t>
            </w:r>
          </w:p>
          <w:p w14:paraId="44F7C432" w14:textId="77777777" w:rsidR="00A5451B" w:rsidRPr="00C65CAA" w:rsidRDefault="00A5451B" w:rsidP="00A5451B">
            <w:pPr>
              <w:jc w:val="center"/>
              <w:rPr>
                <w:rFonts w:eastAsia="Calibri"/>
                <w:b/>
                <w:color w:val="FFFFFF"/>
                <w:sz w:val="20"/>
                <w:szCs w:val="20"/>
              </w:rPr>
            </w:pPr>
            <w:r w:rsidRPr="00C65CAA">
              <w:rPr>
                <w:rFonts w:eastAsia="Calibri"/>
                <w:b/>
                <w:color w:val="FFFFFF"/>
                <w:sz w:val="20"/>
                <w:szCs w:val="20"/>
              </w:rPr>
              <w:t>(v %)</w:t>
            </w:r>
          </w:p>
        </w:tc>
      </w:tr>
      <w:tr w:rsidR="00A5451B" w:rsidRPr="00C65CAA" w14:paraId="5980CD10" w14:textId="77777777" w:rsidTr="006C4F5B">
        <w:trPr>
          <w:trHeight w:val="170"/>
          <w:tblHeader/>
        </w:trPr>
        <w:tc>
          <w:tcPr>
            <w:tcW w:w="1640" w:type="pct"/>
            <w:tcBorders>
              <w:top w:val="single" w:sz="4" w:space="0" w:color="auto"/>
              <w:left w:val="single" w:sz="4" w:space="0" w:color="auto"/>
              <w:bottom w:val="single" w:sz="4" w:space="0" w:color="auto"/>
              <w:right w:val="single" w:sz="4" w:space="0" w:color="auto"/>
            </w:tcBorders>
            <w:vAlign w:val="center"/>
          </w:tcPr>
          <w:p w14:paraId="4295ECDE" w14:textId="77777777" w:rsidR="00A5451B" w:rsidRPr="00C65CAA" w:rsidRDefault="00A5451B" w:rsidP="00A5451B">
            <w:pPr>
              <w:jc w:val="center"/>
              <w:rPr>
                <w:rFonts w:eastAsia="Calibri"/>
                <w:bCs/>
                <w:color w:val="000000"/>
                <w:sz w:val="20"/>
                <w:szCs w:val="20"/>
              </w:rPr>
            </w:pPr>
            <w:r w:rsidRPr="00C65CAA">
              <w:rPr>
                <w:rFonts w:eastAsia="Calibri"/>
                <w:bCs/>
                <w:color w:val="000000"/>
                <w:sz w:val="18"/>
                <w:szCs w:val="18"/>
              </w:rPr>
              <w:t>a</w:t>
            </w:r>
          </w:p>
        </w:tc>
        <w:tc>
          <w:tcPr>
            <w:tcW w:w="672" w:type="pct"/>
            <w:tcBorders>
              <w:top w:val="single" w:sz="4" w:space="0" w:color="auto"/>
              <w:left w:val="single" w:sz="4" w:space="0" w:color="auto"/>
              <w:bottom w:val="single" w:sz="4" w:space="0" w:color="auto"/>
              <w:right w:val="single" w:sz="4" w:space="0" w:color="auto"/>
            </w:tcBorders>
          </w:tcPr>
          <w:p w14:paraId="0CACCBCE" w14:textId="77777777" w:rsidR="00A5451B" w:rsidRPr="00C65CAA" w:rsidRDefault="00A5451B" w:rsidP="00A5451B">
            <w:pPr>
              <w:jc w:val="center"/>
              <w:rPr>
                <w:rFonts w:eastAsia="Calibri"/>
                <w:sz w:val="20"/>
                <w:szCs w:val="20"/>
              </w:rPr>
            </w:pPr>
            <w:r w:rsidRPr="00C65CAA">
              <w:rPr>
                <w:rFonts w:eastAsia="Calibri"/>
                <w:sz w:val="18"/>
                <w:szCs w:val="18"/>
              </w:rPr>
              <w:t>1</w:t>
            </w:r>
          </w:p>
        </w:tc>
        <w:tc>
          <w:tcPr>
            <w:tcW w:w="579" w:type="pct"/>
            <w:tcBorders>
              <w:top w:val="single" w:sz="4" w:space="0" w:color="auto"/>
              <w:left w:val="single" w:sz="4" w:space="0" w:color="auto"/>
              <w:bottom w:val="single" w:sz="4" w:space="0" w:color="auto"/>
              <w:right w:val="single" w:sz="4" w:space="0" w:color="auto"/>
            </w:tcBorders>
          </w:tcPr>
          <w:p w14:paraId="5C13586E" w14:textId="77777777" w:rsidR="00A5451B" w:rsidRPr="00C65CAA" w:rsidRDefault="00A5451B" w:rsidP="00A5451B">
            <w:pPr>
              <w:jc w:val="center"/>
              <w:rPr>
                <w:rFonts w:eastAsia="Calibri"/>
                <w:sz w:val="20"/>
                <w:szCs w:val="20"/>
              </w:rPr>
            </w:pPr>
            <w:r w:rsidRPr="00C65CAA">
              <w:rPr>
                <w:rFonts w:eastAsia="Calibri"/>
                <w:sz w:val="18"/>
                <w:szCs w:val="18"/>
              </w:rPr>
              <w:t>2</w:t>
            </w:r>
          </w:p>
        </w:tc>
        <w:tc>
          <w:tcPr>
            <w:tcW w:w="860" w:type="pct"/>
            <w:tcBorders>
              <w:top w:val="single" w:sz="4" w:space="0" w:color="auto"/>
              <w:left w:val="single" w:sz="4" w:space="0" w:color="auto"/>
              <w:bottom w:val="single" w:sz="4" w:space="0" w:color="auto"/>
              <w:right w:val="single" w:sz="4" w:space="0" w:color="auto"/>
            </w:tcBorders>
          </w:tcPr>
          <w:p w14:paraId="6D344F72" w14:textId="77777777" w:rsidR="00A5451B" w:rsidRPr="00C65CAA" w:rsidRDefault="00A5451B" w:rsidP="00A5451B">
            <w:pPr>
              <w:jc w:val="center"/>
              <w:rPr>
                <w:rFonts w:eastAsia="Calibri"/>
                <w:sz w:val="20"/>
                <w:szCs w:val="20"/>
              </w:rPr>
            </w:pPr>
            <w:r w:rsidRPr="00C65CAA">
              <w:rPr>
                <w:rFonts w:eastAsia="Calibri"/>
                <w:sz w:val="18"/>
                <w:szCs w:val="18"/>
              </w:rPr>
              <w:t>3</w:t>
            </w:r>
          </w:p>
        </w:tc>
        <w:tc>
          <w:tcPr>
            <w:tcW w:w="577" w:type="pct"/>
            <w:tcBorders>
              <w:top w:val="single" w:sz="4" w:space="0" w:color="auto"/>
              <w:left w:val="single" w:sz="4" w:space="0" w:color="auto"/>
              <w:bottom w:val="single" w:sz="4" w:space="0" w:color="auto"/>
              <w:right w:val="single" w:sz="4" w:space="0" w:color="auto"/>
            </w:tcBorders>
          </w:tcPr>
          <w:p w14:paraId="0AD8C04E" w14:textId="77777777" w:rsidR="00A5451B" w:rsidRPr="00C65CAA" w:rsidRDefault="00A5451B" w:rsidP="00A5451B">
            <w:pPr>
              <w:jc w:val="center"/>
              <w:rPr>
                <w:rFonts w:eastAsia="Calibri"/>
                <w:sz w:val="20"/>
                <w:szCs w:val="20"/>
              </w:rPr>
            </w:pPr>
            <w:r w:rsidRPr="00C65CAA">
              <w:rPr>
                <w:rFonts w:eastAsia="Calibri"/>
                <w:sz w:val="18"/>
                <w:szCs w:val="18"/>
              </w:rPr>
              <w:t>4=3-2</w:t>
            </w:r>
          </w:p>
        </w:tc>
        <w:tc>
          <w:tcPr>
            <w:tcW w:w="672" w:type="pct"/>
            <w:tcBorders>
              <w:top w:val="single" w:sz="4" w:space="0" w:color="auto"/>
              <w:left w:val="single" w:sz="4" w:space="0" w:color="auto"/>
              <w:bottom w:val="single" w:sz="4" w:space="0" w:color="auto"/>
              <w:right w:val="single" w:sz="4" w:space="0" w:color="auto"/>
            </w:tcBorders>
          </w:tcPr>
          <w:p w14:paraId="3856156D" w14:textId="77777777" w:rsidR="00A5451B" w:rsidRPr="00C65CAA" w:rsidRDefault="00A5451B" w:rsidP="00A5451B">
            <w:pPr>
              <w:jc w:val="center"/>
              <w:rPr>
                <w:rFonts w:eastAsia="Calibri"/>
                <w:sz w:val="20"/>
                <w:szCs w:val="20"/>
              </w:rPr>
            </w:pPr>
            <w:r w:rsidRPr="00C65CAA">
              <w:rPr>
                <w:rFonts w:eastAsia="Calibri"/>
                <w:sz w:val="18"/>
                <w:szCs w:val="18"/>
              </w:rPr>
              <w:t>5=3/2*100</w:t>
            </w:r>
          </w:p>
        </w:tc>
      </w:tr>
      <w:tr w:rsidR="00A5451B" w:rsidRPr="00C65CAA" w14:paraId="6812710D" w14:textId="77777777" w:rsidTr="00D70DB3">
        <w:trPr>
          <w:trHeight w:val="170"/>
        </w:trPr>
        <w:tc>
          <w:tcPr>
            <w:tcW w:w="1640" w:type="pct"/>
            <w:tcBorders>
              <w:top w:val="single" w:sz="4" w:space="0" w:color="auto"/>
              <w:left w:val="single" w:sz="4" w:space="0" w:color="auto"/>
              <w:bottom w:val="single" w:sz="4" w:space="0" w:color="auto"/>
              <w:right w:val="single" w:sz="4" w:space="0" w:color="auto"/>
            </w:tcBorders>
            <w:shd w:val="clear" w:color="auto" w:fill="D9D9D9"/>
            <w:vAlign w:val="center"/>
          </w:tcPr>
          <w:p w14:paraId="3D47D02E" w14:textId="77777777" w:rsidR="00A5451B" w:rsidRPr="00C65CAA" w:rsidRDefault="00A5451B" w:rsidP="00A5451B">
            <w:pPr>
              <w:rPr>
                <w:rFonts w:eastAsia="Calibri"/>
                <w:b/>
                <w:bCs/>
                <w:sz w:val="20"/>
                <w:szCs w:val="20"/>
              </w:rPr>
            </w:pPr>
            <w:r w:rsidRPr="00C65CAA">
              <w:rPr>
                <w:rFonts w:eastAsia="Calibri"/>
                <w:b/>
                <w:bCs/>
                <w:sz w:val="20"/>
                <w:szCs w:val="20"/>
              </w:rPr>
              <w:t>Kapitálové výdavky</w:t>
            </w:r>
          </w:p>
        </w:tc>
        <w:tc>
          <w:tcPr>
            <w:tcW w:w="672" w:type="pct"/>
            <w:tcBorders>
              <w:top w:val="single" w:sz="4" w:space="0" w:color="auto"/>
              <w:left w:val="single" w:sz="4" w:space="0" w:color="auto"/>
              <w:bottom w:val="single" w:sz="4" w:space="0" w:color="auto"/>
              <w:right w:val="single" w:sz="4" w:space="0" w:color="auto"/>
            </w:tcBorders>
            <w:shd w:val="clear" w:color="auto" w:fill="D9D9D9"/>
            <w:vAlign w:val="bottom"/>
          </w:tcPr>
          <w:p w14:paraId="070A47BC" w14:textId="77777777" w:rsidR="00A5451B" w:rsidRDefault="00A5451B" w:rsidP="00A5451B">
            <w:pPr>
              <w:jc w:val="right"/>
              <w:rPr>
                <w:rFonts w:cs="Arial"/>
                <w:b/>
                <w:bCs/>
                <w:sz w:val="20"/>
                <w:szCs w:val="20"/>
              </w:rPr>
            </w:pPr>
            <w:r>
              <w:rPr>
                <w:rFonts w:cs="Arial"/>
                <w:b/>
                <w:bCs/>
                <w:sz w:val="20"/>
                <w:szCs w:val="20"/>
              </w:rPr>
              <w:t>2 402 324</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tcPr>
          <w:p w14:paraId="306EB4AA" w14:textId="77777777" w:rsidR="00A5451B" w:rsidRDefault="00A5451B" w:rsidP="00A5451B">
            <w:pPr>
              <w:jc w:val="right"/>
              <w:rPr>
                <w:rFonts w:cs="Arial"/>
                <w:b/>
                <w:bCs/>
                <w:sz w:val="20"/>
                <w:szCs w:val="20"/>
              </w:rPr>
            </w:pPr>
            <w:r>
              <w:rPr>
                <w:rFonts w:cs="Arial"/>
                <w:b/>
                <w:bCs/>
                <w:sz w:val="20"/>
                <w:szCs w:val="20"/>
              </w:rPr>
              <w:t>2 288 578</w:t>
            </w:r>
          </w:p>
        </w:tc>
        <w:tc>
          <w:tcPr>
            <w:tcW w:w="860" w:type="pct"/>
            <w:tcBorders>
              <w:top w:val="single" w:sz="4" w:space="0" w:color="auto"/>
              <w:left w:val="single" w:sz="4" w:space="0" w:color="auto"/>
              <w:bottom w:val="single" w:sz="4" w:space="0" w:color="auto"/>
              <w:right w:val="single" w:sz="4" w:space="0" w:color="auto"/>
            </w:tcBorders>
            <w:shd w:val="clear" w:color="auto" w:fill="D9D9D9"/>
            <w:vAlign w:val="bottom"/>
          </w:tcPr>
          <w:p w14:paraId="2215AE88" w14:textId="77777777" w:rsidR="00A5451B" w:rsidRDefault="00A5451B" w:rsidP="00A5451B">
            <w:pPr>
              <w:jc w:val="right"/>
              <w:rPr>
                <w:rFonts w:cs="Arial"/>
                <w:b/>
                <w:bCs/>
                <w:sz w:val="20"/>
                <w:szCs w:val="20"/>
              </w:rPr>
            </w:pPr>
            <w:r>
              <w:rPr>
                <w:rFonts w:cs="Arial"/>
                <w:b/>
                <w:bCs/>
                <w:sz w:val="20"/>
                <w:szCs w:val="20"/>
              </w:rPr>
              <w:t>1 637 049</w:t>
            </w:r>
          </w:p>
        </w:tc>
        <w:tc>
          <w:tcPr>
            <w:tcW w:w="577" w:type="pct"/>
            <w:tcBorders>
              <w:top w:val="single" w:sz="4" w:space="0" w:color="auto"/>
              <w:left w:val="single" w:sz="4" w:space="0" w:color="auto"/>
              <w:bottom w:val="single" w:sz="4" w:space="0" w:color="auto"/>
              <w:right w:val="single" w:sz="4" w:space="0" w:color="auto"/>
            </w:tcBorders>
            <w:shd w:val="clear" w:color="auto" w:fill="D9D9D9"/>
            <w:vAlign w:val="bottom"/>
          </w:tcPr>
          <w:p w14:paraId="34D569E7" w14:textId="77777777" w:rsidR="00A5451B" w:rsidRDefault="00A5451B" w:rsidP="00A5451B">
            <w:pPr>
              <w:jc w:val="right"/>
              <w:rPr>
                <w:rFonts w:cs="Arial"/>
                <w:b/>
                <w:bCs/>
                <w:sz w:val="20"/>
                <w:szCs w:val="20"/>
              </w:rPr>
            </w:pPr>
            <w:r>
              <w:rPr>
                <w:rFonts w:cs="Arial"/>
                <w:b/>
                <w:bCs/>
                <w:sz w:val="20"/>
                <w:szCs w:val="20"/>
              </w:rPr>
              <w:t>-651 529</w:t>
            </w:r>
          </w:p>
        </w:tc>
        <w:tc>
          <w:tcPr>
            <w:tcW w:w="672" w:type="pct"/>
            <w:tcBorders>
              <w:top w:val="single" w:sz="4" w:space="0" w:color="auto"/>
              <w:left w:val="single" w:sz="4" w:space="0" w:color="auto"/>
              <w:bottom w:val="single" w:sz="4" w:space="0" w:color="auto"/>
              <w:right w:val="single" w:sz="4" w:space="0" w:color="auto"/>
            </w:tcBorders>
            <w:shd w:val="clear" w:color="auto" w:fill="D9D9D9"/>
            <w:vAlign w:val="bottom"/>
          </w:tcPr>
          <w:p w14:paraId="7A4C9C3B" w14:textId="77777777" w:rsidR="00A5451B" w:rsidRDefault="00A5451B" w:rsidP="00A5451B">
            <w:pPr>
              <w:jc w:val="right"/>
              <w:rPr>
                <w:rFonts w:cs="Arial"/>
                <w:b/>
                <w:bCs/>
                <w:sz w:val="20"/>
                <w:szCs w:val="20"/>
              </w:rPr>
            </w:pPr>
            <w:r>
              <w:rPr>
                <w:rFonts w:cs="Arial"/>
                <w:b/>
                <w:bCs/>
                <w:sz w:val="20"/>
                <w:szCs w:val="20"/>
              </w:rPr>
              <w:t>71,5</w:t>
            </w:r>
          </w:p>
        </w:tc>
      </w:tr>
      <w:tr w:rsidR="00A5451B" w:rsidRPr="00C65CAA" w14:paraId="4A798200" w14:textId="77777777" w:rsidTr="00D70DB3">
        <w:trPr>
          <w:trHeight w:val="170"/>
        </w:trPr>
        <w:tc>
          <w:tcPr>
            <w:tcW w:w="1640" w:type="pct"/>
            <w:tcBorders>
              <w:top w:val="single" w:sz="4" w:space="0" w:color="auto"/>
              <w:left w:val="single" w:sz="4" w:space="0" w:color="auto"/>
              <w:bottom w:val="single" w:sz="4" w:space="0" w:color="auto"/>
              <w:right w:val="single" w:sz="4" w:space="0" w:color="auto"/>
            </w:tcBorders>
            <w:vAlign w:val="center"/>
          </w:tcPr>
          <w:p w14:paraId="2687F609" w14:textId="77777777" w:rsidR="00A5451B" w:rsidRPr="00C65CAA" w:rsidRDefault="00A5451B" w:rsidP="000A2429">
            <w:pPr>
              <w:pStyle w:val="Odsekzoznamu"/>
              <w:numPr>
                <w:ilvl w:val="0"/>
                <w:numId w:val="6"/>
              </w:numPr>
              <w:rPr>
                <w:rFonts w:eastAsia="Calibri"/>
                <w:sz w:val="20"/>
                <w:szCs w:val="20"/>
              </w:rPr>
            </w:pPr>
            <w:r w:rsidRPr="00C65CAA">
              <w:rPr>
                <w:rFonts w:eastAsia="Calibri"/>
                <w:bCs/>
                <w:sz w:val="20"/>
                <w:szCs w:val="20"/>
              </w:rPr>
              <w:t>Obstarávanie kapitálových aktív</w:t>
            </w:r>
          </w:p>
        </w:tc>
        <w:tc>
          <w:tcPr>
            <w:tcW w:w="672" w:type="pct"/>
            <w:tcBorders>
              <w:top w:val="single" w:sz="4" w:space="0" w:color="auto"/>
              <w:left w:val="single" w:sz="4" w:space="0" w:color="auto"/>
              <w:bottom w:val="single" w:sz="4" w:space="0" w:color="auto"/>
              <w:right w:val="single" w:sz="4" w:space="0" w:color="auto"/>
            </w:tcBorders>
            <w:vAlign w:val="bottom"/>
          </w:tcPr>
          <w:p w14:paraId="48F689D7" w14:textId="77777777" w:rsidR="00A5451B" w:rsidRDefault="00A5451B" w:rsidP="00A5451B">
            <w:pPr>
              <w:jc w:val="right"/>
              <w:rPr>
                <w:rFonts w:cs="Arial"/>
                <w:sz w:val="20"/>
                <w:szCs w:val="20"/>
              </w:rPr>
            </w:pPr>
            <w:r>
              <w:rPr>
                <w:rFonts w:cs="Arial"/>
                <w:sz w:val="20"/>
                <w:szCs w:val="20"/>
              </w:rPr>
              <w:t>721 148</w:t>
            </w:r>
          </w:p>
        </w:tc>
        <w:tc>
          <w:tcPr>
            <w:tcW w:w="579" w:type="pct"/>
            <w:tcBorders>
              <w:top w:val="single" w:sz="4" w:space="0" w:color="auto"/>
              <w:left w:val="single" w:sz="4" w:space="0" w:color="auto"/>
              <w:bottom w:val="single" w:sz="4" w:space="0" w:color="auto"/>
              <w:right w:val="single" w:sz="4" w:space="0" w:color="auto"/>
            </w:tcBorders>
            <w:vAlign w:val="bottom"/>
          </w:tcPr>
          <w:p w14:paraId="3512DD64" w14:textId="77777777" w:rsidR="00A5451B" w:rsidRDefault="00A5451B" w:rsidP="00A5451B">
            <w:pPr>
              <w:jc w:val="right"/>
              <w:rPr>
                <w:rFonts w:cs="Arial"/>
                <w:sz w:val="20"/>
                <w:szCs w:val="20"/>
              </w:rPr>
            </w:pPr>
            <w:r>
              <w:rPr>
                <w:rFonts w:cs="Arial"/>
                <w:sz w:val="20"/>
                <w:szCs w:val="20"/>
              </w:rPr>
              <w:t>1 283 011</w:t>
            </w:r>
          </w:p>
        </w:tc>
        <w:tc>
          <w:tcPr>
            <w:tcW w:w="860" w:type="pct"/>
            <w:tcBorders>
              <w:top w:val="single" w:sz="4" w:space="0" w:color="auto"/>
              <w:left w:val="single" w:sz="4" w:space="0" w:color="auto"/>
              <w:bottom w:val="single" w:sz="4" w:space="0" w:color="auto"/>
              <w:right w:val="single" w:sz="4" w:space="0" w:color="auto"/>
            </w:tcBorders>
            <w:vAlign w:val="bottom"/>
          </w:tcPr>
          <w:p w14:paraId="2FC40877" w14:textId="77777777" w:rsidR="00A5451B" w:rsidRDefault="00A5451B" w:rsidP="00A5451B">
            <w:pPr>
              <w:jc w:val="right"/>
              <w:rPr>
                <w:rFonts w:cs="Arial"/>
                <w:sz w:val="20"/>
                <w:szCs w:val="20"/>
              </w:rPr>
            </w:pPr>
            <w:r>
              <w:rPr>
                <w:rFonts w:cs="Arial"/>
                <w:sz w:val="20"/>
                <w:szCs w:val="20"/>
              </w:rPr>
              <w:t>795 423</w:t>
            </w:r>
          </w:p>
        </w:tc>
        <w:tc>
          <w:tcPr>
            <w:tcW w:w="577" w:type="pct"/>
            <w:tcBorders>
              <w:top w:val="single" w:sz="4" w:space="0" w:color="auto"/>
              <w:left w:val="single" w:sz="4" w:space="0" w:color="auto"/>
              <w:bottom w:val="single" w:sz="4" w:space="0" w:color="auto"/>
              <w:right w:val="single" w:sz="4" w:space="0" w:color="auto"/>
            </w:tcBorders>
            <w:vAlign w:val="bottom"/>
          </w:tcPr>
          <w:p w14:paraId="0E858D7B" w14:textId="77777777" w:rsidR="00A5451B" w:rsidRDefault="00A5451B" w:rsidP="00A5451B">
            <w:pPr>
              <w:jc w:val="right"/>
              <w:rPr>
                <w:rFonts w:cs="Arial"/>
                <w:sz w:val="20"/>
                <w:szCs w:val="20"/>
              </w:rPr>
            </w:pPr>
            <w:r>
              <w:rPr>
                <w:rFonts w:cs="Arial"/>
                <w:sz w:val="20"/>
                <w:szCs w:val="20"/>
              </w:rPr>
              <w:t>-487 588</w:t>
            </w:r>
          </w:p>
        </w:tc>
        <w:tc>
          <w:tcPr>
            <w:tcW w:w="672" w:type="pct"/>
            <w:tcBorders>
              <w:top w:val="single" w:sz="4" w:space="0" w:color="auto"/>
              <w:left w:val="single" w:sz="4" w:space="0" w:color="auto"/>
              <w:bottom w:val="single" w:sz="4" w:space="0" w:color="auto"/>
              <w:right w:val="single" w:sz="4" w:space="0" w:color="auto"/>
            </w:tcBorders>
            <w:vAlign w:val="bottom"/>
          </w:tcPr>
          <w:p w14:paraId="34916FC4" w14:textId="77777777" w:rsidR="00A5451B" w:rsidRDefault="00A5451B" w:rsidP="00A5451B">
            <w:pPr>
              <w:jc w:val="right"/>
              <w:rPr>
                <w:rFonts w:cs="Arial"/>
                <w:sz w:val="20"/>
                <w:szCs w:val="20"/>
              </w:rPr>
            </w:pPr>
            <w:r>
              <w:rPr>
                <w:rFonts w:cs="Arial"/>
                <w:sz w:val="20"/>
                <w:szCs w:val="20"/>
              </w:rPr>
              <w:t>62,0</w:t>
            </w:r>
          </w:p>
        </w:tc>
      </w:tr>
      <w:tr w:rsidR="00A5451B" w:rsidRPr="00C65CAA" w14:paraId="64B4D55F" w14:textId="77777777" w:rsidTr="00D70DB3">
        <w:trPr>
          <w:trHeight w:val="170"/>
        </w:trPr>
        <w:tc>
          <w:tcPr>
            <w:tcW w:w="1640" w:type="pct"/>
            <w:tcBorders>
              <w:top w:val="single" w:sz="4" w:space="0" w:color="auto"/>
              <w:left w:val="single" w:sz="4" w:space="0" w:color="auto"/>
              <w:bottom w:val="single" w:sz="4" w:space="0" w:color="auto"/>
              <w:right w:val="single" w:sz="4" w:space="0" w:color="auto"/>
            </w:tcBorders>
            <w:vAlign w:val="center"/>
          </w:tcPr>
          <w:p w14:paraId="327D2500" w14:textId="77777777" w:rsidR="00A5451B" w:rsidRPr="00C65CAA" w:rsidRDefault="00A5451B" w:rsidP="000A2429">
            <w:pPr>
              <w:pStyle w:val="Odsekzoznamu"/>
              <w:numPr>
                <w:ilvl w:val="0"/>
                <w:numId w:val="6"/>
              </w:numPr>
              <w:rPr>
                <w:rFonts w:eastAsia="Calibri"/>
                <w:sz w:val="20"/>
                <w:szCs w:val="20"/>
              </w:rPr>
            </w:pPr>
            <w:r w:rsidRPr="00C65CAA">
              <w:rPr>
                <w:rFonts w:eastAsia="Calibri"/>
                <w:bCs/>
                <w:sz w:val="20"/>
                <w:szCs w:val="20"/>
              </w:rPr>
              <w:t>Kapitálové transfery</w:t>
            </w:r>
          </w:p>
        </w:tc>
        <w:tc>
          <w:tcPr>
            <w:tcW w:w="672" w:type="pct"/>
            <w:tcBorders>
              <w:top w:val="single" w:sz="4" w:space="0" w:color="auto"/>
              <w:left w:val="single" w:sz="4" w:space="0" w:color="auto"/>
              <w:bottom w:val="single" w:sz="4" w:space="0" w:color="auto"/>
              <w:right w:val="single" w:sz="4" w:space="0" w:color="auto"/>
            </w:tcBorders>
            <w:vAlign w:val="bottom"/>
          </w:tcPr>
          <w:p w14:paraId="0601332A" w14:textId="77777777" w:rsidR="00A5451B" w:rsidRDefault="00A5451B" w:rsidP="00A5451B">
            <w:pPr>
              <w:jc w:val="right"/>
              <w:rPr>
                <w:rFonts w:cs="Arial"/>
                <w:sz w:val="20"/>
                <w:szCs w:val="20"/>
              </w:rPr>
            </w:pPr>
            <w:r>
              <w:rPr>
                <w:rFonts w:cs="Arial"/>
                <w:sz w:val="20"/>
                <w:szCs w:val="20"/>
              </w:rPr>
              <w:t>1 681 176</w:t>
            </w:r>
          </w:p>
        </w:tc>
        <w:tc>
          <w:tcPr>
            <w:tcW w:w="579" w:type="pct"/>
            <w:tcBorders>
              <w:top w:val="single" w:sz="4" w:space="0" w:color="auto"/>
              <w:left w:val="single" w:sz="4" w:space="0" w:color="auto"/>
              <w:bottom w:val="single" w:sz="4" w:space="0" w:color="auto"/>
              <w:right w:val="single" w:sz="4" w:space="0" w:color="auto"/>
            </w:tcBorders>
            <w:vAlign w:val="bottom"/>
          </w:tcPr>
          <w:p w14:paraId="771494A4" w14:textId="77777777" w:rsidR="00A5451B" w:rsidRDefault="00A5451B" w:rsidP="00A5451B">
            <w:pPr>
              <w:jc w:val="right"/>
              <w:rPr>
                <w:rFonts w:cs="Arial"/>
                <w:sz w:val="20"/>
                <w:szCs w:val="20"/>
              </w:rPr>
            </w:pPr>
            <w:r>
              <w:rPr>
                <w:rFonts w:cs="Arial"/>
                <w:sz w:val="20"/>
                <w:szCs w:val="20"/>
              </w:rPr>
              <w:t>1 005 567</w:t>
            </w:r>
          </w:p>
        </w:tc>
        <w:tc>
          <w:tcPr>
            <w:tcW w:w="860" w:type="pct"/>
            <w:tcBorders>
              <w:top w:val="single" w:sz="4" w:space="0" w:color="auto"/>
              <w:left w:val="single" w:sz="4" w:space="0" w:color="auto"/>
              <w:bottom w:val="single" w:sz="4" w:space="0" w:color="auto"/>
              <w:right w:val="single" w:sz="4" w:space="0" w:color="auto"/>
            </w:tcBorders>
            <w:vAlign w:val="bottom"/>
          </w:tcPr>
          <w:p w14:paraId="6B97553B" w14:textId="77777777" w:rsidR="00A5451B" w:rsidRDefault="00A5451B" w:rsidP="00A5451B">
            <w:pPr>
              <w:jc w:val="right"/>
              <w:rPr>
                <w:rFonts w:cs="Arial"/>
                <w:sz w:val="20"/>
                <w:szCs w:val="20"/>
              </w:rPr>
            </w:pPr>
            <w:r>
              <w:rPr>
                <w:rFonts w:cs="Arial"/>
                <w:sz w:val="20"/>
                <w:szCs w:val="20"/>
              </w:rPr>
              <w:t>841 626</w:t>
            </w:r>
          </w:p>
        </w:tc>
        <w:tc>
          <w:tcPr>
            <w:tcW w:w="577" w:type="pct"/>
            <w:tcBorders>
              <w:top w:val="single" w:sz="4" w:space="0" w:color="auto"/>
              <w:left w:val="single" w:sz="4" w:space="0" w:color="auto"/>
              <w:bottom w:val="single" w:sz="4" w:space="0" w:color="auto"/>
              <w:right w:val="single" w:sz="4" w:space="0" w:color="auto"/>
            </w:tcBorders>
            <w:vAlign w:val="bottom"/>
          </w:tcPr>
          <w:p w14:paraId="27ADA9CD" w14:textId="77777777" w:rsidR="00A5451B" w:rsidRDefault="00A5451B" w:rsidP="00A5451B">
            <w:pPr>
              <w:jc w:val="right"/>
              <w:rPr>
                <w:rFonts w:cs="Arial"/>
                <w:sz w:val="20"/>
                <w:szCs w:val="20"/>
              </w:rPr>
            </w:pPr>
            <w:r>
              <w:rPr>
                <w:rFonts w:cs="Arial"/>
                <w:sz w:val="20"/>
                <w:szCs w:val="20"/>
              </w:rPr>
              <w:t>-163 941</w:t>
            </w:r>
          </w:p>
        </w:tc>
        <w:tc>
          <w:tcPr>
            <w:tcW w:w="672" w:type="pct"/>
            <w:tcBorders>
              <w:top w:val="single" w:sz="4" w:space="0" w:color="auto"/>
              <w:left w:val="single" w:sz="4" w:space="0" w:color="auto"/>
              <w:bottom w:val="single" w:sz="4" w:space="0" w:color="auto"/>
              <w:right w:val="single" w:sz="4" w:space="0" w:color="auto"/>
            </w:tcBorders>
            <w:vAlign w:val="bottom"/>
          </w:tcPr>
          <w:p w14:paraId="4C57F091" w14:textId="77777777" w:rsidR="00A5451B" w:rsidRDefault="00A5451B" w:rsidP="00A5451B">
            <w:pPr>
              <w:jc w:val="right"/>
              <w:rPr>
                <w:rFonts w:cs="Arial"/>
                <w:sz w:val="20"/>
                <w:szCs w:val="20"/>
              </w:rPr>
            </w:pPr>
            <w:r>
              <w:rPr>
                <w:rFonts w:cs="Arial"/>
                <w:sz w:val="20"/>
                <w:szCs w:val="20"/>
              </w:rPr>
              <w:t>83,7</w:t>
            </w:r>
          </w:p>
        </w:tc>
      </w:tr>
    </w:tbl>
    <w:p w14:paraId="086A9088" w14:textId="77777777" w:rsidR="00CA5523" w:rsidRPr="00831D12" w:rsidRDefault="00CA5523" w:rsidP="00CA5523">
      <w:pPr>
        <w:pStyle w:val="Zkladntext"/>
        <w:spacing w:after="100"/>
        <w:jc w:val="both"/>
        <w:rPr>
          <w:i/>
          <w:color w:val="000000"/>
          <w:sz w:val="18"/>
        </w:rPr>
      </w:pPr>
      <w:r w:rsidRPr="00831D12">
        <w:rPr>
          <w:i/>
          <w:color w:val="000000"/>
          <w:sz w:val="18"/>
        </w:rPr>
        <w:t>Zdroj: ŠZÚ za rok 2018, RVS na roky 2019 až 2021, Návrh RVS na roky 2020 až 2022</w:t>
      </w:r>
    </w:p>
    <w:p w14:paraId="161AAFCE" w14:textId="36AC5569" w:rsidR="00165F0C" w:rsidRPr="00165F0C" w:rsidRDefault="000F48CC" w:rsidP="000F48CC">
      <w:pPr>
        <w:pStyle w:val="Nadpis2"/>
      </w:pPr>
      <w:bookmarkStart w:id="28" w:name="_Toc24098447"/>
      <w:r>
        <w:t>3</w:t>
      </w:r>
      <w:r w:rsidR="00165F0C" w:rsidRPr="00165F0C">
        <w:t>.2</w:t>
      </w:r>
      <w:r w:rsidR="00165F0C" w:rsidRPr="00165F0C">
        <w:tab/>
      </w:r>
      <w:r w:rsidR="00357FB2">
        <w:t xml:space="preserve"> </w:t>
      </w:r>
      <w:r w:rsidR="00165F0C" w:rsidRPr="00165F0C">
        <w:t xml:space="preserve">Príjmy </w:t>
      </w:r>
      <w:r w:rsidR="00AF51B4">
        <w:t xml:space="preserve">a výdavky </w:t>
      </w:r>
      <w:r w:rsidR="006926C2">
        <w:t>kapitol</w:t>
      </w:r>
      <w:bookmarkEnd w:id="26"/>
      <w:bookmarkEnd w:id="27"/>
      <w:bookmarkEnd w:id="28"/>
    </w:p>
    <w:p w14:paraId="5C61A782" w14:textId="72259046" w:rsidR="00CA5523" w:rsidRPr="00236949" w:rsidRDefault="00CA5523" w:rsidP="00980D89">
      <w:pPr>
        <w:spacing w:before="60" w:after="60"/>
        <w:ind w:firstLine="708"/>
        <w:jc w:val="both"/>
        <w:rPr>
          <w:i/>
          <w:color w:val="000000"/>
          <w:sz w:val="20"/>
        </w:rPr>
      </w:pPr>
      <w:bookmarkStart w:id="29" w:name="_Toc484097739"/>
      <w:bookmarkStart w:id="30" w:name="_Toc514137470"/>
      <w:r w:rsidRPr="00C65CAA">
        <w:t>Rozpočtovanie hot</w:t>
      </w:r>
      <w:r w:rsidR="0019236C">
        <w:t>ovostných príjmov ŠR na rok 2020</w:t>
      </w:r>
      <w:r w:rsidRPr="00C65CAA">
        <w:t xml:space="preserve"> n</w:t>
      </w:r>
      <w:r w:rsidR="0019236C">
        <w:t>a medziročne zvyšuje o 391 858 tis. eur na úroveň 15 889 512</w:t>
      </w:r>
      <w:r w:rsidRPr="00C65CAA">
        <w:t xml:space="preserve"> tis. eur.</w:t>
      </w:r>
      <w:r w:rsidR="00831D12">
        <w:t xml:space="preserve"> </w:t>
      </w:r>
      <w:r w:rsidRPr="00C65CAA">
        <w:t>Medzi</w:t>
      </w:r>
      <w:r w:rsidR="0019236C">
        <w:t>ročný nárast príjmov na rok 2020</w:t>
      </w:r>
      <w:r w:rsidRPr="00C65CAA">
        <w:t xml:space="preserve"> je rozpočtovaný v 11 kapitolách. Medzi</w:t>
      </w:r>
      <w:r w:rsidR="0019236C">
        <w:t>ročný pokles príjmov na rok 2020 sa rozpočtuje v 6 kapitolách. V 16</w:t>
      </w:r>
      <w:r w:rsidRPr="00C65CAA">
        <w:t xml:space="preserve"> rozpočtových kapitolách sú príjmy </w:t>
      </w:r>
      <w:r w:rsidR="0019236C">
        <w:t>rozpočtované na úrovni roka 2019</w:t>
      </w:r>
      <w:r w:rsidRPr="00C65CAA">
        <w:t xml:space="preserve"> a v 2 </w:t>
      </w:r>
      <w:r w:rsidR="0019236C">
        <w:t>kapitolách sa príjmy na rok 2020</w:t>
      </w:r>
      <w:r w:rsidRPr="00C65CAA">
        <w:t xml:space="preserve"> nerozpočtujú.</w:t>
      </w:r>
      <w:r w:rsidR="00831D12">
        <w:t xml:space="preserve"> </w:t>
      </w:r>
      <w:r w:rsidRPr="00C65CAA">
        <w:t xml:space="preserve">Návrh rozpočtu príjmov podľa </w:t>
      </w:r>
      <w:r w:rsidR="00EC3A8D">
        <w:t>jednotlivých kapitol na rok 2020</w:t>
      </w:r>
      <w:r w:rsidRPr="00C65CAA">
        <w:t xml:space="preserve"> a ich porovnanie so </w:t>
      </w:r>
      <w:r w:rsidR="00EC3A8D">
        <w:t>schváleným rozpočtom na rok 2019 a skutočnosťou za rok 2018</w:t>
      </w:r>
      <w:r w:rsidR="00831D12">
        <w:t xml:space="preserve"> je uvedený v</w:t>
      </w:r>
      <w:r w:rsidR="00AF51B4">
        <w:t> </w:t>
      </w:r>
      <w:r w:rsidR="00831D12">
        <w:t>prílohe</w:t>
      </w:r>
      <w:r w:rsidR="008B760E">
        <w:t xml:space="preserve"> v Tabuľke </w:t>
      </w:r>
      <w:r w:rsidR="00AF51B4">
        <w:t>1</w:t>
      </w:r>
      <w:r w:rsidR="00831D12">
        <w:t>.</w:t>
      </w:r>
    </w:p>
    <w:p w14:paraId="296404DD" w14:textId="4669DE1B" w:rsidR="00CA5523" w:rsidRDefault="00CA5523" w:rsidP="00980D89">
      <w:pPr>
        <w:tabs>
          <w:tab w:val="left" w:pos="709"/>
        </w:tabs>
        <w:spacing w:before="60" w:after="60"/>
        <w:jc w:val="both"/>
      </w:pPr>
      <w:r w:rsidRPr="00C65CAA">
        <w:lastRenderedPageBreak/>
        <w:tab/>
        <w:t xml:space="preserve">Najvýznamnejší medziročný rast príjmov v </w:t>
      </w:r>
      <w:r w:rsidR="00EC3A8D">
        <w:t>absolútnom vyjadrení na rok 2020</w:t>
      </w:r>
      <w:r w:rsidRPr="00C65CAA">
        <w:t xml:space="preserve"> je rozpočtovaný v kapitolách </w:t>
      </w:r>
      <w:r w:rsidR="00EC3A8D">
        <w:t>Všeobecná pokladničná správa – o 368 595 tis. eur, Ministerstvo práce, sociálnych ve</w:t>
      </w:r>
      <w:r w:rsidR="00B339DA">
        <w:t>cí a rodiny SR – o 112 595 tis. </w:t>
      </w:r>
      <w:r w:rsidR="00EC3A8D">
        <w:t xml:space="preserve">eur a </w:t>
      </w:r>
      <w:r w:rsidR="00DF2DFA">
        <w:t>Ministerstvo financií SR – o 97 467</w:t>
      </w:r>
      <w:r w:rsidR="00EC3A8D">
        <w:t xml:space="preserve"> tis. eur.</w:t>
      </w:r>
    </w:p>
    <w:p w14:paraId="7D1B5591" w14:textId="714B8C11" w:rsidR="00DF2DFA" w:rsidRPr="00C65CAA" w:rsidRDefault="00CA5523" w:rsidP="00980D89">
      <w:pPr>
        <w:tabs>
          <w:tab w:val="left" w:pos="709"/>
        </w:tabs>
        <w:spacing w:before="60" w:after="60"/>
        <w:jc w:val="both"/>
      </w:pPr>
      <w:r w:rsidRPr="00C65CAA">
        <w:tab/>
        <w:t xml:space="preserve">Najvýraznejší medziročný pokles príjmov v absolútnom vyjadrení na rok 2018 je rozpočtovaný v kapitolách </w:t>
      </w:r>
      <w:r w:rsidRPr="00C65CAA">
        <w:rPr>
          <w:color w:val="000000"/>
        </w:rPr>
        <w:t>Ministerstvo</w:t>
      </w:r>
      <w:r w:rsidR="00DF2DFA">
        <w:rPr>
          <w:color w:val="000000"/>
        </w:rPr>
        <w:t xml:space="preserve"> </w:t>
      </w:r>
      <w:r w:rsidR="00EC3A8D">
        <w:rPr>
          <w:color w:val="000000"/>
        </w:rPr>
        <w:t xml:space="preserve">hospodárstva SR – o </w:t>
      </w:r>
      <w:r w:rsidR="00DF2DFA">
        <w:t>135 284</w:t>
      </w:r>
      <w:r w:rsidRPr="00C65CAA">
        <w:rPr>
          <w:color w:val="000000"/>
        </w:rPr>
        <w:t xml:space="preserve"> </w:t>
      </w:r>
      <w:r w:rsidRPr="00C65CAA">
        <w:t xml:space="preserve">tis. eur; </w:t>
      </w:r>
      <w:r w:rsidRPr="00C65CAA">
        <w:rPr>
          <w:color w:val="000000"/>
        </w:rPr>
        <w:t xml:space="preserve">Ministerstvo pôdohospodárstva a rozvoja vidieka SR </w:t>
      </w:r>
      <w:r w:rsidRPr="00C65CAA">
        <w:t xml:space="preserve">– </w:t>
      </w:r>
      <w:r w:rsidRPr="00C65CAA">
        <w:rPr>
          <w:color w:val="000000"/>
        </w:rPr>
        <w:t>o</w:t>
      </w:r>
      <w:r w:rsidR="00DF2DFA">
        <w:rPr>
          <w:color w:val="000000"/>
        </w:rPr>
        <w:t> 111</w:t>
      </w:r>
      <w:r w:rsidR="00EC3A8D">
        <w:rPr>
          <w:color w:val="000000"/>
        </w:rPr>
        <w:t> </w:t>
      </w:r>
      <w:r w:rsidR="00DF2DFA">
        <w:rPr>
          <w:color w:val="000000"/>
        </w:rPr>
        <w:t>639</w:t>
      </w:r>
      <w:r w:rsidR="00EC3A8D">
        <w:rPr>
          <w:color w:val="000000"/>
        </w:rPr>
        <w:t> </w:t>
      </w:r>
      <w:r w:rsidRPr="00C65CAA">
        <w:rPr>
          <w:color w:val="000000"/>
        </w:rPr>
        <w:t>t</w:t>
      </w:r>
      <w:r w:rsidR="00EC3A8D">
        <w:t xml:space="preserve">is. eur a </w:t>
      </w:r>
      <w:r w:rsidRPr="00C65CAA">
        <w:t xml:space="preserve">v kapitole </w:t>
      </w:r>
      <w:r w:rsidR="00EC3A8D" w:rsidRPr="0005431A">
        <w:rPr>
          <w:color w:val="000000"/>
        </w:rPr>
        <w:t>Ministerstvo životného prostredia</w:t>
      </w:r>
      <w:r w:rsidRPr="0005431A">
        <w:rPr>
          <w:color w:val="000000"/>
        </w:rPr>
        <w:t xml:space="preserve"> SR</w:t>
      </w:r>
      <w:r w:rsidR="00DF2DFA">
        <w:t xml:space="preserve"> –</w:t>
      </w:r>
      <w:r w:rsidR="00AC387E">
        <w:t xml:space="preserve"> </w:t>
      </w:r>
      <w:r w:rsidR="00DF2DFA">
        <w:t>o 70 422</w:t>
      </w:r>
      <w:r w:rsidRPr="00C65CAA">
        <w:t xml:space="preserve"> tis. eur.</w:t>
      </w:r>
      <w:r w:rsidR="00DF2DFA" w:rsidRPr="00C65CAA">
        <w:t xml:space="preserve"> </w:t>
      </w:r>
    </w:p>
    <w:bookmarkEnd w:id="29"/>
    <w:bookmarkEnd w:id="30"/>
    <w:p w14:paraId="1AB48B15" w14:textId="785AF318" w:rsidR="007F76F3" w:rsidRPr="00236949" w:rsidRDefault="00CA5523" w:rsidP="00980D89">
      <w:pPr>
        <w:spacing w:before="60" w:after="60"/>
        <w:ind w:firstLine="708"/>
        <w:jc w:val="both"/>
        <w:rPr>
          <w:i/>
          <w:color w:val="000000"/>
          <w:sz w:val="20"/>
        </w:rPr>
      </w:pPr>
      <w:r w:rsidRPr="00C65CAA">
        <w:t>Rozpočtovanie hoto</w:t>
      </w:r>
      <w:r w:rsidR="00DF2DFA">
        <w:t>vostných výdavkov ŠR na rok 2020</w:t>
      </w:r>
      <w:r w:rsidRPr="00C65CAA">
        <w:t xml:space="preserve"> sa medziročne z</w:t>
      </w:r>
      <w:r w:rsidR="00DF2DFA">
        <w:t>vyšuje o</w:t>
      </w:r>
      <w:r w:rsidRPr="00C65CAA">
        <w:t> 1</w:t>
      </w:r>
      <w:r w:rsidR="00DF2DFA">
        <w:t> 032 840 tis. eur  na úroveň 18 571 741</w:t>
      </w:r>
      <w:r w:rsidRPr="00C65CAA">
        <w:t> tis. eur.</w:t>
      </w:r>
      <w:r w:rsidR="00AF51B4">
        <w:t xml:space="preserve"> </w:t>
      </w:r>
      <w:r w:rsidRPr="00C65CAA">
        <w:t xml:space="preserve">Návrh rozpočtu výdavkov podľa </w:t>
      </w:r>
      <w:r w:rsidR="00DF2DFA">
        <w:t>jednotlivých kapitol na rok 2020</w:t>
      </w:r>
      <w:r w:rsidRPr="00C65CAA">
        <w:t xml:space="preserve"> a ich porovnanie so </w:t>
      </w:r>
      <w:r w:rsidR="00DF2DFA">
        <w:t>schváleným rozpočtom na rok 2019 a skutočnosťou za rok 2018</w:t>
      </w:r>
      <w:r w:rsidR="00AF51B4">
        <w:t xml:space="preserve"> je uvedený v prílohe v Tabuľke 2.</w:t>
      </w:r>
    </w:p>
    <w:p w14:paraId="4551287A" w14:textId="649CCE50" w:rsidR="00C559B6" w:rsidRDefault="00CA5523" w:rsidP="00980D89">
      <w:pPr>
        <w:spacing w:before="60" w:after="60"/>
        <w:ind w:firstLine="708"/>
        <w:jc w:val="both"/>
      </w:pPr>
      <w:r w:rsidRPr="00C65CAA">
        <w:t>V</w:t>
      </w:r>
      <w:r w:rsidR="00DF2DFA">
        <w:t> roku 2020</w:t>
      </w:r>
      <w:r w:rsidRPr="00C65CAA">
        <w:t xml:space="preserve"> najvýznamnejšie medziročne vzrastú výdavky v rozpočtoch kapitol Ministerstva </w:t>
      </w:r>
      <w:r w:rsidR="00C559B6">
        <w:t xml:space="preserve">práce, sociálnych vecí a rodiny SR </w:t>
      </w:r>
      <w:r w:rsidR="00AF51B4">
        <w:t xml:space="preserve">- </w:t>
      </w:r>
      <w:r w:rsidR="00C559B6">
        <w:t>o 546 822</w:t>
      </w:r>
      <w:r w:rsidRPr="00C65CAA">
        <w:t xml:space="preserve"> tis. eur, </w:t>
      </w:r>
      <w:r w:rsidR="00EC3A8D">
        <w:t>M</w:t>
      </w:r>
      <w:r w:rsidR="00C559B6">
        <w:t xml:space="preserve">inisterstva vnútra SR </w:t>
      </w:r>
      <w:r w:rsidR="00AF51B4">
        <w:t xml:space="preserve">- </w:t>
      </w:r>
      <w:r w:rsidRPr="00C65CAA">
        <w:t>o</w:t>
      </w:r>
      <w:r w:rsidR="00C559B6">
        <w:t> 454 654</w:t>
      </w:r>
      <w:r w:rsidRPr="00C65CAA">
        <w:t xml:space="preserve"> tis. eur a </w:t>
      </w:r>
      <w:r w:rsidRPr="00C65CAA">
        <w:rPr>
          <w:color w:val="000000"/>
        </w:rPr>
        <w:t xml:space="preserve">Ministerstva </w:t>
      </w:r>
      <w:r w:rsidR="00C559B6">
        <w:rPr>
          <w:color w:val="000000"/>
        </w:rPr>
        <w:t>školstva, vedy, výskumu a športu</w:t>
      </w:r>
      <w:r w:rsidRPr="00C65CAA">
        <w:rPr>
          <w:color w:val="000000"/>
        </w:rPr>
        <w:t xml:space="preserve"> SR</w:t>
      </w:r>
      <w:r w:rsidRPr="00C65CAA">
        <w:t xml:space="preserve"> </w:t>
      </w:r>
      <w:r w:rsidR="00AF51B4">
        <w:t xml:space="preserve">- </w:t>
      </w:r>
      <w:r w:rsidRPr="00C65CAA">
        <w:t>o</w:t>
      </w:r>
      <w:r w:rsidR="00C559B6">
        <w:t> 220 861</w:t>
      </w:r>
      <w:r w:rsidRPr="00C65CAA">
        <w:t> tis. eur.</w:t>
      </w:r>
      <w:r w:rsidR="00C559B6" w:rsidRPr="00C65CAA">
        <w:t xml:space="preserve"> Výrazný medziročn</w:t>
      </w:r>
      <w:r w:rsidR="00A46D31">
        <w:t>ý pokles výdavkov ŠR na rok 2020</w:t>
      </w:r>
      <w:r w:rsidR="00C559B6" w:rsidRPr="00C65CAA">
        <w:t xml:space="preserve"> sa rozpočtuje v</w:t>
      </w:r>
      <w:r w:rsidR="0005431A">
        <w:t> </w:t>
      </w:r>
      <w:r w:rsidR="00C559B6" w:rsidRPr="00C65CAA">
        <w:t>kapitolách</w:t>
      </w:r>
      <w:r w:rsidR="0005431A">
        <w:t>:</w:t>
      </w:r>
      <w:r w:rsidR="00C559B6" w:rsidRPr="00C65CAA">
        <w:t xml:space="preserve"> </w:t>
      </w:r>
      <w:r w:rsidR="00C559B6">
        <w:t xml:space="preserve">Ministerstvo pôdohospodárstva a rozvoja vidieka SR </w:t>
      </w:r>
      <w:r w:rsidR="00AF51B4">
        <w:t xml:space="preserve">- </w:t>
      </w:r>
      <w:r w:rsidR="00C559B6">
        <w:t>o 250 905 tis. eur, Ministerstvo hospo</w:t>
      </w:r>
      <w:r w:rsidR="00A46D31">
        <w:t xml:space="preserve">dárstva SR </w:t>
      </w:r>
      <w:r w:rsidR="00AF51B4">
        <w:t xml:space="preserve">- </w:t>
      </w:r>
      <w:r w:rsidR="00A46D31">
        <w:t>o 119 554 tis. eur a </w:t>
      </w:r>
      <w:r w:rsidR="00C559B6" w:rsidRPr="00C65CAA">
        <w:rPr>
          <w:color w:val="000000"/>
        </w:rPr>
        <w:t xml:space="preserve">Ministerstvo </w:t>
      </w:r>
      <w:r w:rsidR="00C559B6">
        <w:rPr>
          <w:color w:val="000000"/>
        </w:rPr>
        <w:t>životného prostredia</w:t>
      </w:r>
      <w:r w:rsidR="00C559B6" w:rsidRPr="00C65CAA">
        <w:rPr>
          <w:color w:val="000000"/>
        </w:rPr>
        <w:t xml:space="preserve"> SR</w:t>
      </w:r>
      <w:r w:rsidR="00C559B6" w:rsidRPr="00C65CAA">
        <w:t xml:space="preserve"> </w:t>
      </w:r>
      <w:r w:rsidR="00AF51B4">
        <w:t xml:space="preserve">- </w:t>
      </w:r>
      <w:r w:rsidR="00C559B6" w:rsidRPr="00C65CAA">
        <w:t>o</w:t>
      </w:r>
      <w:r w:rsidR="00A46D31">
        <w:t> 85 261 tis. eur.</w:t>
      </w:r>
    </w:p>
    <w:p w14:paraId="558A9B06" w14:textId="221013BD" w:rsidR="00C559B6" w:rsidRDefault="00CD65FA" w:rsidP="00980D89">
      <w:pPr>
        <w:pStyle w:val="Nadpis1"/>
        <w:numPr>
          <w:ilvl w:val="0"/>
          <w:numId w:val="1"/>
        </w:numPr>
        <w:spacing w:before="60" w:after="60"/>
        <w:ind w:left="714" w:hanging="357"/>
      </w:pPr>
      <w:bookmarkStart w:id="31" w:name="_Toc24098448"/>
      <w:r>
        <w:t>Riziká vo v</w:t>
      </w:r>
      <w:r w:rsidR="00C559B6">
        <w:t>ybran</w:t>
      </w:r>
      <w:r>
        <w:t>ých</w:t>
      </w:r>
      <w:r w:rsidR="00C559B6">
        <w:t xml:space="preserve"> politik</w:t>
      </w:r>
      <w:r>
        <w:t>ách</w:t>
      </w:r>
      <w:r w:rsidR="00C559B6">
        <w:t xml:space="preserve"> a kapitol</w:t>
      </w:r>
      <w:r>
        <w:t>ách</w:t>
      </w:r>
      <w:r w:rsidR="00C559B6">
        <w:t xml:space="preserve"> ŠR</w:t>
      </w:r>
      <w:bookmarkEnd w:id="31"/>
    </w:p>
    <w:p w14:paraId="2FBCD8E1" w14:textId="424B7943" w:rsidR="000F275F" w:rsidRPr="000F275F" w:rsidRDefault="000F275F" w:rsidP="00980D89">
      <w:pPr>
        <w:spacing w:before="60" w:after="60"/>
        <w:ind w:firstLine="709"/>
        <w:jc w:val="both"/>
      </w:pPr>
      <w:r>
        <w:t xml:space="preserve">Nasledujúcim </w:t>
      </w:r>
      <w:r w:rsidR="00554CCA">
        <w:t>štyrom</w:t>
      </w:r>
      <w:r>
        <w:t xml:space="preserve"> verejným politikám</w:t>
      </w:r>
      <w:r w:rsidR="00554CCA">
        <w:t xml:space="preserve">: </w:t>
      </w:r>
      <w:r w:rsidR="008E301C">
        <w:t>vzdelávanie, výskum a</w:t>
      </w:r>
      <w:r w:rsidR="00554CCA">
        <w:t> </w:t>
      </w:r>
      <w:r w:rsidR="008E301C">
        <w:t>vývoj</w:t>
      </w:r>
      <w:r w:rsidR="00554CCA">
        <w:t>,</w:t>
      </w:r>
      <w:r w:rsidR="008E301C">
        <w:t xml:space="preserve"> zdravotníctvo, doprava a sociálne politiky, </w:t>
      </w:r>
      <w:r>
        <w:t xml:space="preserve">bola pri tvorbe stanoviska k návrhu RVS na rok 2020 venovaná zvýšená pozornosť z dôvodu ich prioritného postavenia pri zameraní ďalšej kontrolnej </w:t>
      </w:r>
      <w:r w:rsidRPr="000F275F">
        <w:t>činnos</w:t>
      </w:r>
      <w:r>
        <w:t>ti</w:t>
      </w:r>
      <w:r w:rsidRPr="000F275F">
        <w:t xml:space="preserve"> </w:t>
      </w:r>
      <w:r>
        <w:t>NKÚ SR</w:t>
      </w:r>
      <w:r w:rsidRPr="000F275F">
        <w:t>.</w:t>
      </w:r>
    </w:p>
    <w:p w14:paraId="416A12B1" w14:textId="77777777" w:rsidR="0062190C" w:rsidRDefault="000F48CC" w:rsidP="00980D89">
      <w:pPr>
        <w:pStyle w:val="Nadpis2"/>
        <w:spacing w:before="60" w:after="60"/>
      </w:pPr>
      <w:bookmarkStart w:id="32" w:name="_Toc24098449"/>
      <w:r>
        <w:t>4</w:t>
      </w:r>
      <w:r w:rsidR="00F97CC3">
        <w:t>.</w:t>
      </w:r>
      <w:r w:rsidR="006926C2">
        <w:t>1</w:t>
      </w:r>
      <w:r w:rsidR="00F97CC3">
        <w:tab/>
      </w:r>
      <w:r w:rsidR="00830913">
        <w:t xml:space="preserve"> </w:t>
      </w:r>
      <w:r w:rsidR="006926C2">
        <w:t>Vzdelávanie, výskum a vývoj</w:t>
      </w:r>
      <w:bookmarkEnd w:id="32"/>
    </w:p>
    <w:p w14:paraId="1D5BDE27" w14:textId="6E24FE82" w:rsidR="00511FAF" w:rsidRDefault="00511FAF" w:rsidP="00980D89">
      <w:pPr>
        <w:spacing w:before="60" w:after="60"/>
        <w:ind w:firstLine="709"/>
        <w:jc w:val="both"/>
      </w:pPr>
      <w:r>
        <w:t>V oblasti slovenského školstva, vedy a výskumu existuje mnoho výziev. Medzi tie najväčšie a v poslednom období najdiskutovanejšie patria napríklad postavenie a odmeňovanie učiteľov, efektivita siete škôl, zhoršujúce sa výsledky slovenských žiakov v medzinárodných testovaniach, integrácia znevýhodnených žiakov, problémy spojené s obstarávaním učebníc, proces akreditácie vo vysokom školstve, či nedostatočné financovanie a výsledky výskumu a vývoja. Hoci ich uspokojivé riešenie súvisí aj s objemom alokovaných prostriedkov, nemenej dôležitým faktorom je správny, účel</w:t>
      </w:r>
      <w:r w:rsidR="0005431A">
        <w:t>ný a efektívny manažment, čo však</w:t>
      </w:r>
      <w:r>
        <w:t xml:space="preserve"> nemusí mať priamy súvis s rozpočtovaným objemom prostriedkov. V tejto podkapitole sa venujeme vybraným aspektom analyzovanej oblasti v súvislosti s navrhovaným rozpočtom na rok 2020.</w:t>
      </w:r>
    </w:p>
    <w:p w14:paraId="68664D71" w14:textId="38124D38" w:rsidR="00511FAF" w:rsidRDefault="00511FAF" w:rsidP="00980D89">
      <w:pPr>
        <w:spacing w:before="60" w:after="60"/>
        <w:ind w:firstLine="709"/>
        <w:jc w:val="both"/>
      </w:pPr>
      <w:r>
        <w:t xml:space="preserve">NKÚ SR poukazuje na skutočnosť, že </w:t>
      </w:r>
      <w:r w:rsidRPr="0026572C">
        <w:rPr>
          <w:b/>
        </w:rPr>
        <w:t>verejné</w:t>
      </w:r>
      <w:r>
        <w:t xml:space="preserve"> </w:t>
      </w:r>
      <w:r w:rsidRPr="00B26447">
        <w:rPr>
          <w:b/>
        </w:rPr>
        <w:t>výdavky S</w:t>
      </w:r>
      <w:r w:rsidR="00CD65FA">
        <w:rPr>
          <w:b/>
        </w:rPr>
        <w:t>R</w:t>
      </w:r>
      <w:r w:rsidRPr="00B26447">
        <w:rPr>
          <w:b/>
        </w:rPr>
        <w:t xml:space="preserve"> na vzdelávanie</w:t>
      </w:r>
      <w:r w:rsidR="0005431A">
        <w:rPr>
          <w:b/>
        </w:rPr>
        <w:t>,</w:t>
      </w:r>
      <w:r w:rsidRPr="00B26447">
        <w:rPr>
          <w:b/>
        </w:rPr>
        <w:t xml:space="preserve"> vyjadrené ako</w:t>
      </w:r>
      <w:r>
        <w:rPr>
          <w:b/>
        </w:rPr>
        <w:t xml:space="preserve"> </w:t>
      </w:r>
      <w:r w:rsidR="00CD65FA">
        <w:rPr>
          <w:b/>
        </w:rPr>
        <w:t>%</w:t>
      </w:r>
      <w:r w:rsidRPr="00B26447">
        <w:rPr>
          <w:b/>
        </w:rPr>
        <w:t xml:space="preserve"> HDP</w:t>
      </w:r>
      <w:r w:rsidR="0005431A">
        <w:rPr>
          <w:b/>
        </w:rPr>
        <w:t>,</w:t>
      </w:r>
      <w:r w:rsidRPr="00B26447">
        <w:rPr>
          <w:b/>
        </w:rPr>
        <w:t xml:space="preserve"> dlhodobo stagnujú na úrovni pod priemerom</w:t>
      </w:r>
      <w:r>
        <w:rPr>
          <w:b/>
        </w:rPr>
        <w:t xml:space="preserve"> za porovnateľn</w:t>
      </w:r>
      <w:r w:rsidR="00422D25">
        <w:rPr>
          <w:b/>
        </w:rPr>
        <w:t>ými</w:t>
      </w:r>
      <w:r>
        <w:rPr>
          <w:b/>
        </w:rPr>
        <w:t xml:space="preserve"> zoskupenia</w:t>
      </w:r>
      <w:r w:rsidR="00422D25">
        <w:rPr>
          <w:b/>
        </w:rPr>
        <w:t>mi</w:t>
      </w:r>
      <w:r>
        <w:rPr>
          <w:b/>
        </w:rPr>
        <w:t xml:space="preserve"> krajín</w:t>
      </w:r>
      <w:r>
        <w:t>. Predpokladaná hodnota na rok 2020 vo výške 4,2 % je totožná s </w:t>
      </w:r>
      <w:r w:rsidR="00AC387E">
        <w:t>hodnotou z roku 2010 a je o 0,4 </w:t>
      </w:r>
      <w:r>
        <w:t>p</w:t>
      </w:r>
      <w:r w:rsidR="00CD65FA">
        <w:t>. b.</w:t>
      </w:r>
      <w:r>
        <w:t xml:space="preserve"> nižšia ako priemer za krajiny EÚ v roku 2017 a o 0,7 p</w:t>
      </w:r>
      <w:r w:rsidR="00422D25">
        <w:t>. b.</w:t>
      </w:r>
      <w:r>
        <w:t xml:space="preserve"> nižšia ako priemer za krajiny V3 v tom istom roku. Návrh rozpočtu tak nie je v súlade s cieľom stanoveným v Programovom vyhlásení vlády SR na roky 2016</w:t>
      </w:r>
      <w:r w:rsidR="00422D25">
        <w:t xml:space="preserve"> </w:t>
      </w:r>
      <w:r w:rsidR="0005431A">
        <w:t>až</w:t>
      </w:r>
      <w:r w:rsidR="00422D25">
        <w:t xml:space="preserve"> </w:t>
      </w:r>
      <w:r>
        <w:t>2020, v ktorom vláda tvrdí, že je rozhodnutá zvýšiť úroveň verejných zdrojov vkladaných ročne do školstva na úroveň porovnateľnú s priemerom krajín EÚ. Významnejší rast podielu verejných výdavkov na vzdelávanie na HDP sa neočakáva ani v nasledujúcich rokoch, kedy sa do roku 2022 odhaduje nárast výdavkov v tejto kategórii na 4,3 % HDP.</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11FAF" w:rsidRPr="00AF7FFA" w14:paraId="53DECDDC" w14:textId="77777777" w:rsidTr="00AC387E">
        <w:tc>
          <w:tcPr>
            <w:tcW w:w="5000" w:type="pct"/>
            <w:tcBorders>
              <w:top w:val="single" w:sz="4" w:space="0" w:color="auto"/>
              <w:bottom w:val="single" w:sz="4" w:space="0" w:color="auto"/>
            </w:tcBorders>
            <w:shd w:val="clear" w:color="auto" w:fill="0070C0"/>
          </w:tcPr>
          <w:p w14:paraId="37B5C8A2" w14:textId="24F7FBC7" w:rsidR="00511FAF" w:rsidRPr="00AF7FFA" w:rsidRDefault="00511FAF" w:rsidP="00511FAF">
            <w:pPr>
              <w:pStyle w:val="Bezriadkovania"/>
              <w:spacing w:line="240" w:lineRule="atLeast"/>
              <w:contextualSpacing/>
              <w:jc w:val="both"/>
              <w:rPr>
                <w:b/>
                <w:color w:val="FFFFFF" w:themeColor="background1"/>
              </w:rPr>
            </w:pPr>
            <w:r>
              <w:rPr>
                <w:b/>
                <w:color w:val="FFFFFF" w:themeColor="background1"/>
              </w:rPr>
              <w:t xml:space="preserve">Vývoj výšky verejných výdavkov na vzdelávanie </w:t>
            </w:r>
            <w:r w:rsidR="00AD0AF5">
              <w:rPr>
                <w:b/>
                <w:color w:val="FFFFFF" w:themeColor="background1"/>
              </w:rPr>
              <w:t>v rokoch 2010 až 2022</w:t>
            </w:r>
          </w:p>
        </w:tc>
      </w:tr>
      <w:tr w:rsidR="00511FAF" w:rsidRPr="00B67668" w14:paraId="13F4574E" w14:textId="77777777" w:rsidTr="00980D89">
        <w:tblPrEx>
          <w:tblCellMar>
            <w:left w:w="70" w:type="dxa"/>
            <w:right w:w="70" w:type="dxa"/>
          </w:tblCellMar>
        </w:tblPrEx>
        <w:trPr>
          <w:trHeight w:val="2665"/>
        </w:trPr>
        <w:tc>
          <w:tcPr>
            <w:tcW w:w="5000" w:type="pct"/>
            <w:tcBorders>
              <w:top w:val="single" w:sz="4" w:space="0" w:color="auto"/>
              <w:bottom w:val="single" w:sz="4" w:space="0" w:color="auto"/>
            </w:tcBorders>
            <w:vAlign w:val="center"/>
          </w:tcPr>
          <w:p w14:paraId="258C570D" w14:textId="77777777" w:rsidR="00511FAF" w:rsidRPr="00B67668" w:rsidRDefault="00511FAF" w:rsidP="00511FAF">
            <w:pPr>
              <w:jc w:val="both"/>
              <w:rPr>
                <w:b/>
              </w:rPr>
            </w:pPr>
            <w:r>
              <w:rPr>
                <w:noProof/>
                <w:lang w:eastAsia="sk-SK"/>
              </w:rPr>
              <w:drawing>
                <wp:inline distT="0" distB="0" distL="0" distR="0" wp14:anchorId="0EBA0AA2" wp14:editId="16D6F3F9">
                  <wp:extent cx="5687695" cy="1771650"/>
                  <wp:effectExtent l="0" t="0" r="8255"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0BEF6AAA" w14:textId="5BF091DA" w:rsidR="00511FAF" w:rsidRPr="00AD0AF5" w:rsidRDefault="00511FAF" w:rsidP="00980D89">
      <w:pPr>
        <w:rPr>
          <w:i/>
          <w:sz w:val="18"/>
          <w:szCs w:val="20"/>
        </w:rPr>
      </w:pPr>
      <w:r w:rsidRPr="00AD0AF5">
        <w:rPr>
          <w:i/>
          <w:sz w:val="18"/>
          <w:szCs w:val="20"/>
        </w:rPr>
        <w:t xml:space="preserve">Zdroj: </w:t>
      </w:r>
      <w:proofErr w:type="spellStart"/>
      <w:r w:rsidRPr="00AD0AF5">
        <w:rPr>
          <w:i/>
          <w:sz w:val="18"/>
          <w:szCs w:val="20"/>
        </w:rPr>
        <w:t>Eurostat</w:t>
      </w:r>
      <w:proofErr w:type="spellEnd"/>
      <w:r w:rsidRPr="00AD0AF5">
        <w:rPr>
          <w:i/>
          <w:sz w:val="18"/>
          <w:szCs w:val="20"/>
        </w:rPr>
        <w:t xml:space="preserve">, Návrh </w:t>
      </w:r>
      <w:r w:rsidR="00AD0AF5">
        <w:rPr>
          <w:i/>
          <w:sz w:val="18"/>
          <w:szCs w:val="20"/>
        </w:rPr>
        <w:t>RVS</w:t>
      </w:r>
      <w:r w:rsidRPr="00AD0AF5">
        <w:rPr>
          <w:i/>
          <w:sz w:val="18"/>
          <w:szCs w:val="20"/>
        </w:rPr>
        <w:t xml:space="preserve"> na roky 2020 až 2022, vlastné výpočty</w:t>
      </w:r>
      <w:r w:rsidR="00980D89">
        <w:rPr>
          <w:i/>
          <w:sz w:val="18"/>
          <w:szCs w:val="20"/>
        </w:rPr>
        <w:t xml:space="preserve">, </w:t>
      </w:r>
      <w:r w:rsidRPr="00AD0AF5">
        <w:rPr>
          <w:i/>
          <w:sz w:val="18"/>
          <w:szCs w:val="20"/>
        </w:rPr>
        <w:t xml:space="preserve">Poznámka: v prípade údajov za roky 2018 </w:t>
      </w:r>
      <w:r w:rsidR="0005431A">
        <w:rPr>
          <w:i/>
          <w:sz w:val="18"/>
          <w:szCs w:val="20"/>
        </w:rPr>
        <w:t>až</w:t>
      </w:r>
      <w:r w:rsidRPr="00AD0AF5">
        <w:rPr>
          <w:i/>
          <w:sz w:val="18"/>
          <w:szCs w:val="20"/>
        </w:rPr>
        <w:t xml:space="preserve"> 2022 ide o prognózu</w:t>
      </w:r>
    </w:p>
    <w:p w14:paraId="7ADBC569" w14:textId="4665B594" w:rsidR="00511FAF" w:rsidRDefault="00511FAF" w:rsidP="000C5F8B">
      <w:pPr>
        <w:spacing w:before="120" w:after="120"/>
        <w:ind w:firstLine="708"/>
        <w:jc w:val="both"/>
      </w:pPr>
      <w:r>
        <w:t xml:space="preserve">Z hľadiska programovej štruktúry </w:t>
      </w:r>
      <w:r w:rsidRPr="007B7603">
        <w:rPr>
          <w:b/>
        </w:rPr>
        <w:t>je</w:t>
      </w:r>
      <w:r>
        <w:t xml:space="preserve"> </w:t>
      </w:r>
      <w:r>
        <w:rPr>
          <w:b/>
        </w:rPr>
        <w:t>viac než</w:t>
      </w:r>
      <w:r w:rsidRPr="00035CC9">
        <w:rPr>
          <w:b/>
        </w:rPr>
        <w:t xml:space="preserve"> 80</w:t>
      </w:r>
      <w:r w:rsidR="00422D25">
        <w:rPr>
          <w:b/>
        </w:rPr>
        <w:t xml:space="preserve"> </w:t>
      </w:r>
      <w:r w:rsidRPr="00035CC9">
        <w:rPr>
          <w:b/>
        </w:rPr>
        <w:t>% celkových roz</w:t>
      </w:r>
      <w:r>
        <w:rPr>
          <w:b/>
        </w:rPr>
        <w:t>počtovaných výdavkov kapitoly</w:t>
      </w:r>
      <w:r w:rsidRPr="00035CC9">
        <w:rPr>
          <w:b/>
        </w:rPr>
        <w:t xml:space="preserve"> plánovaných na dva programy</w:t>
      </w:r>
      <w:r>
        <w:rPr>
          <w:b/>
        </w:rPr>
        <w:t xml:space="preserve"> –</w:t>
      </w:r>
      <w:r w:rsidRPr="00035CC9">
        <w:rPr>
          <w:b/>
        </w:rPr>
        <w:t xml:space="preserve"> Národný program výchovy, vzdelávania a</w:t>
      </w:r>
      <w:r>
        <w:rPr>
          <w:b/>
        </w:rPr>
        <w:t> </w:t>
      </w:r>
      <w:r w:rsidRPr="00035CC9">
        <w:rPr>
          <w:b/>
        </w:rPr>
        <w:t>mládeže</w:t>
      </w:r>
      <w:r>
        <w:t xml:space="preserve"> a </w:t>
      </w:r>
      <w:r w:rsidRPr="00EE36D5">
        <w:rPr>
          <w:b/>
        </w:rPr>
        <w:t>Vysokoškolské vzdelávanie a veda, sociálna podpora študentov vysokých škôl</w:t>
      </w:r>
      <w:r>
        <w:rPr>
          <w:b/>
        </w:rPr>
        <w:t>.</w:t>
      </w:r>
      <w:r>
        <w:t xml:space="preserve"> Cez prvý z týchto programov MŠVVaŠ SR financuje najmä časť regionálneho školstva. Vývoj programovej štruktúry kapitoly v období od roku 2012 bol </w:t>
      </w:r>
      <w:r>
        <w:lastRenderedPageBreak/>
        <w:t xml:space="preserve">ovplyvnený predovšetkým prechodom financovania časti regionálneho školstva pod kapitolu MV SR v roku 2013. Za skokovým nárastom výdavkov v roku 2015 je vysoké čerpanie EÚ fondov v rámci OP </w:t>
      </w:r>
      <w:proofErr w:type="spellStart"/>
      <w:r>
        <w:t>VaV</w:t>
      </w:r>
      <w:proofErr w:type="spellEnd"/>
      <w:r>
        <w:t xml:space="preserve">. V kontexte vývoja programovej štruktúry je návrh rozpočtu na rok 2020 poznačený najmä nárastom prostriedkov v programe výchovy, vzdelávania a mládeže, čo súvisí predovšetkým s rastom osobných výdavkov a s predpokladom rastu objemu výdavkov čerpaných v rámci OP </w:t>
      </w:r>
      <w:proofErr w:type="spellStart"/>
      <w:r>
        <w:t>VaI</w:t>
      </w:r>
      <w:proofErr w:type="spellEnd"/>
      <w:r>
        <w:t xml:space="preserve">. </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939"/>
      </w:tblGrid>
      <w:tr w:rsidR="00236949" w:rsidRPr="00236949" w14:paraId="7D355BAF" w14:textId="77777777" w:rsidTr="00236949">
        <w:tc>
          <w:tcPr>
            <w:tcW w:w="1641" w:type="pct"/>
            <w:tcBorders>
              <w:top w:val="single" w:sz="4" w:space="0" w:color="auto"/>
              <w:bottom w:val="single" w:sz="4" w:space="0" w:color="auto"/>
            </w:tcBorders>
            <w:shd w:val="clear" w:color="auto" w:fill="0070C0"/>
            <w:vAlign w:val="center"/>
          </w:tcPr>
          <w:p w14:paraId="5C313C30" w14:textId="55944274" w:rsidR="00511FAF" w:rsidRPr="00236949" w:rsidRDefault="00511FAF" w:rsidP="00AD0AF5">
            <w:pPr>
              <w:pStyle w:val="Popis"/>
              <w:spacing w:after="0"/>
              <w:rPr>
                <w:rFonts w:eastAsia="Times New Roman" w:cs="Times New Roman"/>
                <w:b/>
                <w:i w:val="0"/>
                <w:color w:val="FFFFFF" w:themeColor="background1"/>
                <w:sz w:val="20"/>
                <w:szCs w:val="20"/>
              </w:rPr>
            </w:pPr>
            <w:r w:rsidRPr="00236949">
              <w:rPr>
                <w:rFonts w:eastAsia="Times New Roman" w:cs="Times New Roman"/>
                <w:b/>
                <w:i w:val="0"/>
                <w:color w:val="FFFFFF" w:themeColor="background1"/>
                <w:sz w:val="20"/>
                <w:szCs w:val="20"/>
              </w:rPr>
              <w:t xml:space="preserve">Programová štruktúra návrhu rozpočtu MŠVVaŠ </w:t>
            </w:r>
            <w:r w:rsidR="00AD0AF5">
              <w:rPr>
                <w:rFonts w:eastAsia="Times New Roman" w:cs="Times New Roman"/>
                <w:b/>
                <w:i w:val="0"/>
                <w:color w:val="FFFFFF" w:themeColor="background1"/>
                <w:sz w:val="20"/>
                <w:szCs w:val="20"/>
              </w:rPr>
              <w:t xml:space="preserve">SR </w:t>
            </w:r>
            <w:r w:rsidRPr="00236949">
              <w:rPr>
                <w:rFonts w:eastAsia="Times New Roman" w:cs="Times New Roman"/>
                <w:b/>
                <w:i w:val="0"/>
                <w:color w:val="FFFFFF" w:themeColor="background1"/>
                <w:sz w:val="20"/>
                <w:szCs w:val="20"/>
              </w:rPr>
              <w:t>na rok 2020 (v %)</w:t>
            </w:r>
          </w:p>
        </w:tc>
        <w:tc>
          <w:tcPr>
            <w:tcW w:w="3359" w:type="pct"/>
            <w:tcBorders>
              <w:top w:val="single" w:sz="4" w:space="0" w:color="auto"/>
              <w:left w:val="nil"/>
              <w:bottom w:val="single" w:sz="4" w:space="0" w:color="auto"/>
            </w:tcBorders>
            <w:shd w:val="clear" w:color="auto" w:fill="0070C0"/>
            <w:vAlign w:val="center"/>
          </w:tcPr>
          <w:p w14:paraId="6C150388" w14:textId="16651255" w:rsidR="00511FAF" w:rsidRPr="00236949" w:rsidRDefault="00AD0AF5" w:rsidP="00AD0AF5">
            <w:pPr>
              <w:pStyle w:val="Popis"/>
              <w:spacing w:after="0"/>
              <w:rPr>
                <w:rFonts w:eastAsia="Times New Roman" w:cs="Times New Roman"/>
                <w:b/>
                <w:i w:val="0"/>
                <w:color w:val="FFFFFF" w:themeColor="background1"/>
                <w:sz w:val="20"/>
                <w:szCs w:val="20"/>
              </w:rPr>
            </w:pPr>
            <w:r>
              <w:rPr>
                <w:rFonts w:eastAsia="Times New Roman" w:cs="Times New Roman"/>
                <w:b/>
                <w:i w:val="0"/>
                <w:color w:val="FFFFFF" w:themeColor="background1"/>
                <w:sz w:val="20"/>
                <w:szCs w:val="20"/>
              </w:rPr>
              <w:t xml:space="preserve">     </w:t>
            </w:r>
            <w:r w:rsidR="00511FAF" w:rsidRPr="00236949">
              <w:rPr>
                <w:rFonts w:eastAsia="Times New Roman" w:cs="Times New Roman"/>
                <w:b/>
                <w:i w:val="0"/>
                <w:color w:val="FFFFFF" w:themeColor="background1"/>
                <w:sz w:val="20"/>
                <w:szCs w:val="20"/>
              </w:rPr>
              <w:t>Vývoj programovej štruktúry rozpočtu MŠVVaŠ</w:t>
            </w:r>
            <w:r>
              <w:rPr>
                <w:rFonts w:eastAsia="Times New Roman" w:cs="Times New Roman"/>
                <w:b/>
                <w:i w:val="0"/>
                <w:color w:val="FFFFFF" w:themeColor="background1"/>
                <w:sz w:val="20"/>
                <w:szCs w:val="20"/>
              </w:rPr>
              <w:t xml:space="preserve"> SR </w:t>
            </w:r>
            <w:r w:rsidR="00511FAF" w:rsidRPr="00236949">
              <w:rPr>
                <w:rFonts w:eastAsia="Times New Roman" w:cs="Times New Roman"/>
                <w:b/>
                <w:i w:val="0"/>
                <w:color w:val="FFFFFF" w:themeColor="background1"/>
                <w:sz w:val="20"/>
                <w:szCs w:val="20"/>
              </w:rPr>
              <w:t>(v mil. eur)</w:t>
            </w:r>
          </w:p>
        </w:tc>
      </w:tr>
      <w:tr w:rsidR="00236949" w:rsidRPr="00B67668" w14:paraId="3C3ED225" w14:textId="77777777" w:rsidTr="00236949">
        <w:tblPrEx>
          <w:tblCellMar>
            <w:left w:w="70" w:type="dxa"/>
            <w:right w:w="70" w:type="dxa"/>
          </w:tblCellMar>
        </w:tblPrEx>
        <w:trPr>
          <w:trHeight w:val="3483"/>
        </w:trPr>
        <w:tc>
          <w:tcPr>
            <w:tcW w:w="1641" w:type="pct"/>
            <w:tcBorders>
              <w:top w:val="single" w:sz="4" w:space="0" w:color="auto"/>
              <w:bottom w:val="single" w:sz="4" w:space="0" w:color="auto"/>
            </w:tcBorders>
            <w:vAlign w:val="center"/>
          </w:tcPr>
          <w:p w14:paraId="030B3C58" w14:textId="77777777" w:rsidR="00511FAF" w:rsidRPr="00B67668" w:rsidRDefault="00511FAF" w:rsidP="00511FAF">
            <w:pPr>
              <w:jc w:val="both"/>
              <w:rPr>
                <w:b/>
              </w:rPr>
            </w:pPr>
            <w:r>
              <w:rPr>
                <w:noProof/>
                <w:lang w:eastAsia="sk-SK"/>
              </w:rPr>
              <w:drawing>
                <wp:inline distT="0" distB="0" distL="0" distR="0" wp14:anchorId="5282C66C" wp14:editId="21A51E03">
                  <wp:extent cx="2148840" cy="1800225"/>
                  <wp:effectExtent l="0" t="0" r="381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359" w:type="pct"/>
            <w:tcBorders>
              <w:top w:val="single" w:sz="4" w:space="0" w:color="auto"/>
              <w:left w:val="nil"/>
              <w:bottom w:val="single" w:sz="4" w:space="0" w:color="auto"/>
            </w:tcBorders>
            <w:vAlign w:val="center"/>
          </w:tcPr>
          <w:p w14:paraId="6116A182" w14:textId="77777777" w:rsidR="00511FAF" w:rsidRDefault="00511FAF" w:rsidP="00511FAF">
            <w:pPr>
              <w:jc w:val="both"/>
              <w:rPr>
                <w:noProof/>
                <w:lang w:eastAsia="sk-SK"/>
              </w:rPr>
            </w:pPr>
            <w:r>
              <w:rPr>
                <w:noProof/>
                <w:lang w:eastAsia="sk-SK"/>
              </w:rPr>
              <w:drawing>
                <wp:inline distT="0" distB="0" distL="0" distR="0" wp14:anchorId="5393BCA6" wp14:editId="0363F736">
                  <wp:extent cx="3810000" cy="2266950"/>
                  <wp:effectExtent l="0" t="0" r="0"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236949" w:rsidRPr="00B67668" w14:paraId="199F73EF" w14:textId="77777777" w:rsidTr="000052E6">
        <w:tblPrEx>
          <w:tblCellMar>
            <w:left w:w="70" w:type="dxa"/>
            <w:right w:w="70" w:type="dxa"/>
          </w:tblCellMar>
        </w:tblPrEx>
        <w:trPr>
          <w:trHeight w:val="406"/>
        </w:trPr>
        <w:tc>
          <w:tcPr>
            <w:tcW w:w="1641" w:type="pct"/>
            <w:tcBorders>
              <w:top w:val="single" w:sz="4" w:space="0" w:color="auto"/>
            </w:tcBorders>
            <w:vAlign w:val="center"/>
          </w:tcPr>
          <w:p w14:paraId="51109EB8" w14:textId="14F0F1C2" w:rsidR="00511FAF" w:rsidRDefault="00511FAF" w:rsidP="00511FAF">
            <w:pPr>
              <w:jc w:val="both"/>
              <w:rPr>
                <w:rFonts w:cs="Times New Roman"/>
                <w:i/>
                <w:color w:val="000000"/>
                <w:sz w:val="18"/>
                <w:szCs w:val="24"/>
              </w:rPr>
            </w:pPr>
            <w:r w:rsidRPr="000E32CB">
              <w:rPr>
                <w:rFonts w:cs="Times New Roman"/>
                <w:i/>
                <w:color w:val="000000"/>
                <w:sz w:val="18"/>
                <w:szCs w:val="24"/>
              </w:rPr>
              <w:t xml:space="preserve">Zdroj: </w:t>
            </w:r>
            <w:r>
              <w:rPr>
                <w:rFonts w:cs="Times New Roman"/>
                <w:i/>
                <w:color w:val="000000"/>
                <w:sz w:val="18"/>
                <w:szCs w:val="24"/>
              </w:rPr>
              <w:t>RIS</w:t>
            </w:r>
            <w:r w:rsidR="00AD0AF5">
              <w:rPr>
                <w:rFonts w:cs="Times New Roman"/>
                <w:i/>
                <w:color w:val="000000"/>
                <w:sz w:val="18"/>
                <w:szCs w:val="24"/>
              </w:rPr>
              <w:t>;</w:t>
            </w:r>
            <w:r>
              <w:rPr>
                <w:rFonts w:cs="Times New Roman"/>
                <w:i/>
                <w:color w:val="000000"/>
                <w:sz w:val="18"/>
                <w:szCs w:val="24"/>
              </w:rPr>
              <w:t xml:space="preserve"> vlastné výpočty</w:t>
            </w:r>
          </w:p>
          <w:p w14:paraId="05A5EB6A" w14:textId="77777777" w:rsidR="00511FAF" w:rsidRDefault="00511FAF" w:rsidP="00511FAF">
            <w:pPr>
              <w:jc w:val="both"/>
              <w:rPr>
                <w:noProof/>
                <w:lang w:eastAsia="sk-SK"/>
              </w:rPr>
            </w:pPr>
            <w:r>
              <w:rPr>
                <w:rFonts w:cs="Times New Roman"/>
                <w:i/>
                <w:color w:val="000000"/>
                <w:sz w:val="18"/>
                <w:szCs w:val="24"/>
              </w:rPr>
              <w:t>Poznámka: legenda totožná s vedľajším grafom</w:t>
            </w:r>
          </w:p>
        </w:tc>
        <w:tc>
          <w:tcPr>
            <w:tcW w:w="3359" w:type="pct"/>
            <w:tcBorders>
              <w:top w:val="single" w:sz="4" w:space="0" w:color="auto"/>
            </w:tcBorders>
            <w:vAlign w:val="center"/>
          </w:tcPr>
          <w:p w14:paraId="4944EA91" w14:textId="330B7B75" w:rsidR="00511FAF" w:rsidRDefault="00511FAF" w:rsidP="00511FAF">
            <w:pPr>
              <w:jc w:val="both"/>
              <w:rPr>
                <w:rFonts w:cs="Times New Roman"/>
                <w:i/>
                <w:color w:val="000000"/>
                <w:sz w:val="18"/>
                <w:szCs w:val="24"/>
              </w:rPr>
            </w:pPr>
            <w:r w:rsidRPr="000E32CB">
              <w:rPr>
                <w:rFonts w:cs="Times New Roman"/>
                <w:i/>
                <w:color w:val="000000"/>
                <w:sz w:val="18"/>
                <w:szCs w:val="24"/>
              </w:rPr>
              <w:t xml:space="preserve">Zdroj: </w:t>
            </w:r>
            <w:r w:rsidR="00AD0AF5">
              <w:rPr>
                <w:rFonts w:cs="Times New Roman"/>
                <w:i/>
                <w:color w:val="000000"/>
                <w:sz w:val="18"/>
                <w:szCs w:val="24"/>
              </w:rPr>
              <w:t>RIS</w:t>
            </w:r>
            <w:r w:rsidR="00AD0AF5">
              <w:rPr>
                <w:rFonts w:cs="Times New Roman"/>
                <w:i/>
                <w:color w:val="000000"/>
                <w:sz w:val="18"/>
                <w:szCs w:val="24"/>
                <w:lang w:val="en-US"/>
              </w:rPr>
              <w:t>;</w:t>
            </w:r>
            <w:r w:rsidR="00AD0AF5">
              <w:rPr>
                <w:rFonts w:cs="Times New Roman"/>
                <w:i/>
                <w:color w:val="000000"/>
                <w:sz w:val="18"/>
                <w:szCs w:val="24"/>
              </w:rPr>
              <w:t xml:space="preserve"> vlastné výpočty</w:t>
            </w:r>
          </w:p>
          <w:p w14:paraId="73E7AB31" w14:textId="7AAF4B43" w:rsidR="00511FAF" w:rsidRDefault="0005431A" w:rsidP="00511FAF">
            <w:pPr>
              <w:jc w:val="both"/>
              <w:rPr>
                <w:noProof/>
                <w:lang w:eastAsia="sk-SK"/>
              </w:rPr>
            </w:pPr>
            <w:r>
              <w:rPr>
                <w:rFonts w:cs="Times New Roman"/>
                <w:i/>
                <w:color w:val="000000"/>
                <w:sz w:val="18"/>
                <w:szCs w:val="24"/>
              </w:rPr>
              <w:t>Poznámka: hodnoty za roky 2012 až</w:t>
            </w:r>
            <w:r w:rsidR="00511FAF">
              <w:rPr>
                <w:rFonts w:cs="Times New Roman"/>
                <w:i/>
                <w:color w:val="000000"/>
                <w:sz w:val="18"/>
                <w:szCs w:val="24"/>
              </w:rPr>
              <w:t xml:space="preserve"> 2018 sú skutočne čerpané výdavky, za roky 2019 a 2020 ide o rozpočtované výdavky </w:t>
            </w:r>
          </w:p>
        </w:tc>
      </w:tr>
    </w:tbl>
    <w:p w14:paraId="546283E2" w14:textId="5DB08552" w:rsidR="00511FAF" w:rsidRDefault="00511FAF" w:rsidP="00422D25">
      <w:pPr>
        <w:spacing w:before="120" w:after="120"/>
        <w:ind w:firstLine="709"/>
        <w:jc w:val="both"/>
        <w:rPr>
          <w:rFonts w:eastAsia="Times New Roman" w:cs="Times New Roman"/>
          <w:szCs w:val="24"/>
        </w:rPr>
      </w:pPr>
      <w:r>
        <w:t xml:space="preserve">S výnimkou špecifického roku 2015 je skutočné čerpanie kapitoly MŠVVaŠ SR každoročne nižšie ako výška schváleného rozpočtu. Analýza čerpania podľa programovej štruktúry naznačuje, že </w:t>
      </w:r>
      <w:r w:rsidRPr="00035CC9">
        <w:rPr>
          <w:b/>
        </w:rPr>
        <w:t>rezort</w:t>
      </w:r>
      <w:r>
        <w:rPr>
          <w:b/>
        </w:rPr>
        <w:t xml:space="preserve"> školstva</w:t>
      </w:r>
      <w:r w:rsidRPr="00035CC9">
        <w:rPr>
          <w:b/>
        </w:rPr>
        <w:t xml:space="preserve"> má výrazné odchýlky</w:t>
      </w:r>
      <w:r>
        <w:rPr>
          <w:b/>
        </w:rPr>
        <w:t xml:space="preserve"> skutočného</w:t>
      </w:r>
      <w:r w:rsidRPr="00035CC9">
        <w:rPr>
          <w:b/>
        </w:rPr>
        <w:t xml:space="preserve"> </w:t>
      </w:r>
      <w:r>
        <w:rPr>
          <w:b/>
        </w:rPr>
        <w:t>čerpania od schváleného rozpočtu najmä v prípade</w:t>
      </w:r>
      <w:r w:rsidRPr="00035CC9">
        <w:rPr>
          <w:b/>
        </w:rPr>
        <w:t> programov financovaných</w:t>
      </w:r>
      <w:r w:rsidR="00422D25">
        <w:rPr>
          <w:b/>
        </w:rPr>
        <w:t xml:space="preserve"> z</w:t>
      </w:r>
      <w:r w:rsidRPr="00035CC9">
        <w:rPr>
          <w:b/>
        </w:rPr>
        <w:t> eurofond</w:t>
      </w:r>
      <w:r w:rsidR="00422D25">
        <w:rPr>
          <w:b/>
        </w:rPr>
        <w:t>ov</w:t>
      </w:r>
      <w:r w:rsidRPr="00035CC9">
        <w:rPr>
          <w:b/>
        </w:rPr>
        <w:t xml:space="preserve">. </w:t>
      </w:r>
      <w:r>
        <w:rPr>
          <w:b/>
        </w:rPr>
        <w:t xml:space="preserve">NKÚ </w:t>
      </w:r>
      <w:r w:rsidR="00422D25">
        <w:rPr>
          <w:b/>
        </w:rPr>
        <w:t xml:space="preserve">SR </w:t>
      </w:r>
      <w:r>
        <w:rPr>
          <w:b/>
        </w:rPr>
        <w:t>vidí priestor na zlepšenie v manažovaní</w:t>
      </w:r>
      <w:r w:rsidRPr="00035CC9">
        <w:rPr>
          <w:b/>
        </w:rPr>
        <w:t xml:space="preserve"> </w:t>
      </w:r>
      <w:r>
        <w:rPr>
          <w:b/>
        </w:rPr>
        <w:t>čerpania eurofondov</w:t>
      </w:r>
      <w:r>
        <w:t>, pretože v opačnom prípade hrozí, že aj v roku 2020 bude čerpanie výrazne odlišné od rozpočtu, čo znižuje efektivitu plánovania aj samotného čerpania prostriedkov.</w:t>
      </w:r>
      <w:r w:rsidR="00422D25">
        <w:t xml:space="preserve"> </w:t>
      </w:r>
      <w:r w:rsidRPr="00511FAF">
        <w:rPr>
          <w:rFonts w:eastAsia="Times New Roman" w:cs="Times New Roman"/>
          <w:szCs w:val="24"/>
        </w:rPr>
        <w:t xml:space="preserve">Skutočné čerpanie ako podiel rozpočtovaných prostriedkov </w:t>
      </w:r>
      <w:r w:rsidR="00E06664">
        <w:rPr>
          <w:rFonts w:eastAsia="Times New Roman" w:cs="Times New Roman"/>
          <w:szCs w:val="24"/>
        </w:rPr>
        <w:t xml:space="preserve">podľa jednotlivých programov </w:t>
      </w:r>
      <w:r w:rsidR="008B760E">
        <w:rPr>
          <w:rFonts w:eastAsia="Times New Roman" w:cs="Times New Roman"/>
          <w:szCs w:val="24"/>
        </w:rPr>
        <w:t xml:space="preserve">a podprogramov </w:t>
      </w:r>
      <w:r w:rsidR="00422D25">
        <w:rPr>
          <w:rFonts w:eastAsia="Times New Roman" w:cs="Times New Roman"/>
          <w:szCs w:val="24"/>
        </w:rPr>
        <w:t>je uvedené v nasledujúcej tabuľke.</w:t>
      </w:r>
    </w:p>
    <w:tbl>
      <w:tblPr>
        <w:tblW w:w="9209" w:type="dxa"/>
        <w:tblLayout w:type="fixed"/>
        <w:tblCellMar>
          <w:left w:w="70" w:type="dxa"/>
          <w:right w:w="70" w:type="dxa"/>
        </w:tblCellMar>
        <w:tblLook w:val="04A0" w:firstRow="1" w:lastRow="0" w:firstColumn="1" w:lastColumn="0" w:noHBand="0" w:noVBand="1"/>
      </w:tblPr>
      <w:tblGrid>
        <w:gridCol w:w="4248"/>
        <w:gridCol w:w="708"/>
        <w:gridCol w:w="709"/>
        <w:gridCol w:w="709"/>
        <w:gridCol w:w="708"/>
        <w:gridCol w:w="709"/>
        <w:gridCol w:w="709"/>
        <w:gridCol w:w="709"/>
      </w:tblGrid>
      <w:tr w:rsidR="00511FAF" w:rsidRPr="00511FAF" w14:paraId="25887580" w14:textId="77777777" w:rsidTr="00236949">
        <w:trPr>
          <w:trHeight w:val="20"/>
          <w:tblHeader/>
        </w:trPr>
        <w:tc>
          <w:tcPr>
            <w:tcW w:w="4248"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14:paraId="626A5216" w14:textId="7A009222" w:rsidR="00511FAF" w:rsidRPr="00511FAF" w:rsidRDefault="00511FAF" w:rsidP="00511FAF">
            <w:pP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 xml:space="preserve">Jednotlivé programy </w:t>
            </w:r>
            <w:r w:rsidR="00422D25">
              <w:rPr>
                <w:rFonts w:eastAsia="Times New Roman" w:cs="Calibri"/>
                <w:b/>
                <w:color w:val="FFFFFF" w:themeColor="background1"/>
                <w:sz w:val="20"/>
                <w:szCs w:val="20"/>
                <w:lang w:eastAsia="sk-SK"/>
              </w:rPr>
              <w:t>(</w:t>
            </w:r>
            <w:r w:rsidRPr="00511FAF">
              <w:rPr>
                <w:rFonts w:eastAsia="Times New Roman" w:cs="Calibri"/>
                <w:b/>
                <w:color w:val="FFFFFF" w:themeColor="background1"/>
                <w:sz w:val="20"/>
                <w:szCs w:val="20"/>
                <w:lang w:eastAsia="sk-SK"/>
              </w:rPr>
              <w:t>v %</w:t>
            </w:r>
            <w:r w:rsidR="00422D25">
              <w:rPr>
                <w:rFonts w:eastAsia="Times New Roman" w:cs="Calibri"/>
                <w:b/>
                <w:color w:val="FFFFFF" w:themeColor="background1"/>
                <w:sz w:val="20"/>
                <w:szCs w:val="20"/>
                <w:lang w:eastAsia="sk-SK"/>
              </w:rPr>
              <w:t>)</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14:paraId="23DBFFCB"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2012</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14:paraId="49F0D481"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2013</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14:paraId="371536D3"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2014</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14:paraId="43E50DF3"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2015</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14:paraId="45550030"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2016</w:t>
            </w:r>
          </w:p>
        </w:tc>
        <w:tc>
          <w:tcPr>
            <w:tcW w:w="70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14:paraId="68F51444"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2017</w:t>
            </w:r>
          </w:p>
        </w:tc>
        <w:tc>
          <w:tcPr>
            <w:tcW w:w="709"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14:paraId="1D1764F3" w14:textId="77777777" w:rsidR="00511FAF" w:rsidRPr="00511FAF" w:rsidRDefault="00511FAF" w:rsidP="00511FAF">
            <w:pPr>
              <w:jc w:val="center"/>
              <w:rPr>
                <w:rFonts w:eastAsia="Times New Roman" w:cs="Calibri"/>
                <w:b/>
                <w:color w:val="FFFFFF" w:themeColor="background1"/>
                <w:sz w:val="20"/>
                <w:szCs w:val="20"/>
                <w:lang w:eastAsia="sk-SK"/>
              </w:rPr>
            </w:pPr>
            <w:r w:rsidRPr="00511FAF">
              <w:rPr>
                <w:rFonts w:eastAsia="Times New Roman" w:cs="Calibri"/>
                <w:b/>
                <w:color w:val="FFFFFF" w:themeColor="background1"/>
                <w:sz w:val="20"/>
                <w:szCs w:val="20"/>
                <w:lang w:eastAsia="sk-SK"/>
              </w:rPr>
              <w:t>2018</w:t>
            </w:r>
          </w:p>
        </w:tc>
      </w:tr>
      <w:tr w:rsidR="00511FAF" w:rsidRPr="00164ACE" w14:paraId="2E5627D8"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8451"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Tvorba a implementácia politík</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108F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0E69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C49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117,8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47BE5"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1CC05"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CAEC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94B9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125,7</w:t>
            </w:r>
          </w:p>
        </w:tc>
      </w:tr>
      <w:tr w:rsidR="00511FAF" w:rsidRPr="00164ACE" w14:paraId="35E96761"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4C3B"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Národný program rozvoja športu v SR</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0473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99,7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8729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065B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A0D8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669F5"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BBB6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A79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54,5</w:t>
            </w:r>
          </w:p>
        </w:tc>
      </w:tr>
      <w:tr w:rsidR="00511FAF" w:rsidRPr="00164ACE" w14:paraId="2C8DA51F"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B7E6"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Rozvojová spolupráca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ECD3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98,9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3AEF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260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98,7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73C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85AF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6F49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7762"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103,1</w:t>
            </w:r>
          </w:p>
        </w:tc>
      </w:tr>
      <w:tr w:rsidR="00511FAF" w:rsidRPr="00164ACE" w14:paraId="7DB17921"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6AC8" w14:textId="1DFBE3C6"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Ľudské zdroje</w:t>
            </w:r>
            <w:r w:rsidR="008B760E">
              <w:rPr>
                <w:rFonts w:eastAsia="Times New Roman" w:cs="Calibri"/>
                <w:color w:val="000000"/>
                <w:sz w:val="20"/>
                <w:szCs w:val="20"/>
                <w:lang w:eastAsia="sk-SK"/>
              </w:rPr>
              <w:t xml:space="preserve"> (PO 1 Vzdelávanie)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504D"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2650D"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7DB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37B28EB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581A46B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3,0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0317CFD2"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26,2</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438C700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140,7</w:t>
            </w:r>
          </w:p>
        </w:tc>
      </w:tr>
      <w:tr w:rsidR="00511FAF" w:rsidRPr="00164ACE" w14:paraId="35331A6C"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0E29F"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Hospodárska mobilizácia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BC8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C3C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BEF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B139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B6D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286D"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8F6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r>
      <w:tr w:rsidR="00511FAF" w:rsidRPr="00164ACE" w14:paraId="467A2E7F"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6233"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Národný program rozvoja vedy a techniky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048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EE21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96,6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77A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96,1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F1FB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104,9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014A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549D2"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DE07E"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95,9</w:t>
            </w:r>
          </w:p>
        </w:tc>
      </w:tr>
      <w:tr w:rsidR="00511FAF" w:rsidRPr="00164ACE" w14:paraId="45A02782"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6871E"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Vysokoškolské vzdelávanie a veda, sociálna podpora študentov vysokých škôl</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609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60C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505D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ADD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515F"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107,3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E86CD"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61F6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106,4</w:t>
            </w:r>
          </w:p>
        </w:tc>
      </w:tr>
      <w:tr w:rsidR="00511FAF" w:rsidRPr="00164ACE" w14:paraId="0DA1F9F5"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885B0"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Národný program výchovy, vzdelávania a mládeže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D742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AD0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31,9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832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ACC4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97,5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A9AB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92,0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EA57E"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80,9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F970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85,3</w:t>
            </w:r>
          </w:p>
        </w:tc>
      </w:tr>
      <w:tr w:rsidR="00511FAF" w:rsidRPr="00164ACE" w14:paraId="502A4CAA"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EDCA3"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Príspevky Slovenskej republiky do medzinárodných organizácií</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30845"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69,9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1B9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CC94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3471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122,5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B3F8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254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108,2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2364F"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115,5</w:t>
            </w:r>
          </w:p>
        </w:tc>
      </w:tr>
      <w:tr w:rsidR="00511FAF" w:rsidRPr="00164ACE" w14:paraId="7978C952"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F90B"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Medzirezortný program OP Informatizácia spoločnosti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C1F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6BF3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022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5966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72B1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D8E2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3B58D"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r>
      <w:tr w:rsidR="00511FAF" w:rsidRPr="00164ACE" w14:paraId="42D68747"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580F"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Operačný program Vzdelávanie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F084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45,6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2512"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64,8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11F1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117,5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2C9C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124,6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41DC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63,2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73B8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2800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r>
      <w:tr w:rsidR="00511FAF" w:rsidRPr="00164ACE" w14:paraId="19F37F19"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7680"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Operačný program Výskum a vývoj</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019EDFD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34,0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46FD548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42,8</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7FA0A5B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59,4</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51017D1F"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193,9</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4129F7F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228,9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B63B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CAC1B"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r>
      <w:tr w:rsidR="00511FAF" w:rsidRPr="00164ACE" w14:paraId="200F4381"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B33B"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Protidrogová politika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AD6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84,2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59D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38,0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BEFAF"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25,0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179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22,5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ED6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25,6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3F03F"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47A9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46,7</w:t>
            </w:r>
          </w:p>
        </w:tc>
      </w:tr>
      <w:tr w:rsidR="00511FAF" w:rsidRPr="00164ACE" w14:paraId="3171941E"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D6723"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SK PRES 2016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50D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BA7D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A563"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2A41A"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4AD2"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17CE"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188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r>
      <w:tr w:rsidR="00511FAF" w:rsidRPr="00164ACE" w14:paraId="0C57B36D"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13E5"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Operačný program Výskum a inovácie</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1AA41F9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255CD72C"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75B77B5D"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1B048A7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0,0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1840851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6,8</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7E3EB45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36,7</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469990E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65,5</w:t>
            </w:r>
          </w:p>
        </w:tc>
      </w:tr>
      <w:tr w:rsidR="00511FAF" w:rsidRPr="00164ACE" w14:paraId="7507F57E"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B0C1B"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Medzirezortný program Informačná spoločnosť 2014 - 2020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216E"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B469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FC93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77CA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5F0B4"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001A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C62D2"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r>
      <w:tr w:rsidR="00511FAF" w:rsidRPr="00164ACE" w14:paraId="6BBDBD23"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1CF7E" w14:textId="77777777" w:rsidR="00511FAF" w:rsidRPr="00164ACE" w:rsidRDefault="00511FAF" w:rsidP="00511FAF">
            <w:pPr>
              <w:rPr>
                <w:rFonts w:eastAsia="Times New Roman" w:cs="Calibri"/>
                <w:color w:val="000000"/>
                <w:sz w:val="20"/>
                <w:szCs w:val="20"/>
                <w:lang w:eastAsia="sk-SK"/>
              </w:rPr>
            </w:pPr>
            <w:r w:rsidRPr="00164ACE">
              <w:rPr>
                <w:rFonts w:eastAsia="Times New Roman" w:cs="Calibri"/>
                <w:color w:val="000000"/>
                <w:sz w:val="20"/>
                <w:szCs w:val="20"/>
                <w:lang w:eastAsia="sk-SK"/>
              </w:rPr>
              <w:t>Informačné technológie financované zo štátneho rozpočtu</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20431"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A977"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CEFA8"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2C71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B9226"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2E026D69"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158,7</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2E2C1210" w14:textId="77777777" w:rsidR="00511FAF" w:rsidRPr="00164ACE" w:rsidRDefault="00511FAF" w:rsidP="00511FAF">
            <w:pPr>
              <w:jc w:val="right"/>
              <w:rPr>
                <w:rFonts w:eastAsia="Times New Roman" w:cs="Calibri"/>
                <w:color w:val="000000"/>
                <w:sz w:val="20"/>
                <w:szCs w:val="20"/>
                <w:lang w:eastAsia="sk-SK"/>
              </w:rPr>
            </w:pPr>
            <w:r w:rsidRPr="00164ACE">
              <w:rPr>
                <w:rFonts w:eastAsia="Times New Roman" w:cs="Calibri"/>
                <w:color w:val="000000"/>
                <w:sz w:val="20"/>
                <w:szCs w:val="20"/>
                <w:lang w:eastAsia="sk-SK"/>
              </w:rPr>
              <w:t>157,9</w:t>
            </w:r>
          </w:p>
        </w:tc>
      </w:tr>
      <w:tr w:rsidR="00511FAF" w:rsidRPr="00164ACE" w14:paraId="76A4FC7D" w14:textId="77777777" w:rsidTr="00511FAF">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D2EF" w14:textId="77777777" w:rsidR="00511FAF" w:rsidRPr="00164ACE" w:rsidRDefault="00511FAF" w:rsidP="00511FAF">
            <w:pPr>
              <w:rPr>
                <w:rFonts w:eastAsia="Times New Roman" w:cs="Calibri"/>
                <w:b/>
                <w:color w:val="000000"/>
                <w:sz w:val="20"/>
                <w:szCs w:val="20"/>
                <w:lang w:eastAsia="sk-SK"/>
              </w:rPr>
            </w:pPr>
            <w:r w:rsidRPr="00164ACE">
              <w:rPr>
                <w:rFonts w:eastAsia="Times New Roman" w:cs="Calibri"/>
                <w:b/>
                <w:color w:val="000000"/>
                <w:sz w:val="20"/>
                <w:szCs w:val="20"/>
                <w:lang w:eastAsia="sk-SK"/>
              </w:rPr>
              <w:t>Celkovo</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1854"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86,5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31E0"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51,8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0C4E"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91,6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F370"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110,8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E720"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93,7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8B5DB"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86,0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55685" w14:textId="77777777" w:rsidR="00511FAF" w:rsidRPr="00164ACE" w:rsidRDefault="00511FAF" w:rsidP="00511FAF">
            <w:pPr>
              <w:jc w:val="right"/>
              <w:rPr>
                <w:rFonts w:eastAsia="Times New Roman" w:cs="Calibri"/>
                <w:b/>
                <w:color w:val="000000"/>
                <w:sz w:val="20"/>
                <w:szCs w:val="20"/>
                <w:lang w:eastAsia="sk-SK"/>
              </w:rPr>
            </w:pPr>
            <w:r w:rsidRPr="00164ACE">
              <w:rPr>
                <w:rFonts w:eastAsia="Times New Roman" w:cs="Calibri"/>
                <w:b/>
                <w:color w:val="000000"/>
                <w:sz w:val="20"/>
                <w:szCs w:val="20"/>
                <w:lang w:eastAsia="sk-SK"/>
              </w:rPr>
              <w:t>92,8</w:t>
            </w:r>
          </w:p>
        </w:tc>
      </w:tr>
    </w:tbl>
    <w:p w14:paraId="32772EE3" w14:textId="77777777" w:rsidR="00511FAF" w:rsidRPr="00422D25" w:rsidRDefault="007F2643" w:rsidP="00511FAF">
      <w:pPr>
        <w:jc w:val="both"/>
        <w:rPr>
          <w:i/>
          <w:sz w:val="18"/>
          <w:szCs w:val="20"/>
        </w:rPr>
      </w:pPr>
      <w:r w:rsidRPr="00422D25">
        <w:rPr>
          <w:i/>
          <w:sz w:val="18"/>
          <w:szCs w:val="20"/>
        </w:rPr>
        <w:t xml:space="preserve">Zdroj: </w:t>
      </w:r>
      <w:r w:rsidR="00236949" w:rsidRPr="00422D25">
        <w:rPr>
          <w:i/>
          <w:sz w:val="18"/>
          <w:szCs w:val="20"/>
        </w:rPr>
        <w:t>RIS</w:t>
      </w:r>
    </w:p>
    <w:p w14:paraId="214E8E76" w14:textId="1BF6B78D" w:rsidR="00511FAF" w:rsidRDefault="00511FAF" w:rsidP="007F2643">
      <w:pPr>
        <w:spacing w:before="120" w:after="120"/>
        <w:ind w:firstLine="708"/>
        <w:jc w:val="both"/>
      </w:pPr>
      <w:r>
        <w:lastRenderedPageBreak/>
        <w:t xml:space="preserve">Na detailnejšej úrovni programovej štruktúry </w:t>
      </w:r>
      <w:r w:rsidRPr="00111433">
        <w:rPr>
          <w:b/>
        </w:rPr>
        <w:t xml:space="preserve">NKÚ </w:t>
      </w:r>
      <w:r w:rsidR="007F2643">
        <w:rPr>
          <w:b/>
        </w:rPr>
        <w:t xml:space="preserve">SR </w:t>
      </w:r>
      <w:r w:rsidRPr="00111433">
        <w:rPr>
          <w:b/>
        </w:rPr>
        <w:t>identifikuje riziko</w:t>
      </w:r>
      <w:r>
        <w:rPr>
          <w:b/>
        </w:rPr>
        <w:t xml:space="preserve"> v prípade dvoch </w:t>
      </w:r>
      <w:r w:rsidR="008B760E">
        <w:rPr>
          <w:b/>
        </w:rPr>
        <w:t>podprogramov</w:t>
      </w:r>
      <w:r w:rsidRPr="00111433">
        <w:rPr>
          <w:b/>
        </w:rPr>
        <w:t xml:space="preserve">, ktoré vyplýva z každoročného nesúladu medzi rozpočtovanými prostriedkami </w:t>
      </w:r>
      <w:r>
        <w:rPr>
          <w:b/>
        </w:rPr>
        <w:t xml:space="preserve">a </w:t>
      </w:r>
      <w:r w:rsidRPr="00111433">
        <w:rPr>
          <w:b/>
        </w:rPr>
        <w:t>skutočným čerpaním</w:t>
      </w:r>
      <w:r>
        <w:rPr>
          <w:b/>
        </w:rPr>
        <w:t>. Konkrétne ide o výdavky</w:t>
      </w:r>
      <w:r w:rsidRPr="00111433">
        <w:rPr>
          <w:b/>
        </w:rPr>
        <w:t xml:space="preserve"> na profesijný rozvoj pedagogických a odborných zamestnancov</w:t>
      </w:r>
      <w:r>
        <w:rPr>
          <w:b/>
        </w:rPr>
        <w:t xml:space="preserve"> a príspevky SR do medzinárodných organizácií</w:t>
      </w:r>
      <w:r>
        <w:t>. Od roku 2012 bo</w:t>
      </w:r>
      <w:r w:rsidR="008B760E">
        <w:t xml:space="preserve">lo skutočné čerpanie </w:t>
      </w:r>
      <w:r>
        <w:t xml:space="preserve">Národného programu výchovy, vzdelávania a mládeže každý rok výrazne vyššie ako </w:t>
      </w:r>
      <w:r w:rsidR="0005431A">
        <w:t xml:space="preserve">prostriedky </w:t>
      </w:r>
      <w:r>
        <w:t>naň rozpočtované. Výrazný nesúlad nastal najmä v rokoch 2016 a 201</w:t>
      </w:r>
      <w:r w:rsidR="008B760E">
        <w:t>7. Na rok 2020 je na tento podprogram</w:t>
      </w:r>
      <w:r>
        <w:t xml:space="preserve"> </w:t>
      </w:r>
      <w:r w:rsidRPr="00917B8D">
        <w:t xml:space="preserve">rozpočtovaných približne 4,3 mil. eur, priemerné ročné čerpanie od roku 2012 je však na úrovni približne 7,2 mil. eur. V prípade príspevkov SR do medzinárodných organizácií je od roku 2013 každoročne rozpočtovaná </w:t>
      </w:r>
      <w:r w:rsidR="00422D25">
        <w:t>rovnaká</w:t>
      </w:r>
      <w:r w:rsidRPr="00917B8D">
        <w:t xml:space="preserve"> suma – 9,1 mil. eur (vrátane</w:t>
      </w:r>
      <w:r>
        <w:t xml:space="preserve"> roku 2020). Tento objem prostriedkov však nebol v období rokov 2015 – 2018 ani raz dostatočný, počas daného obdobia bolo skutočn</w:t>
      </w:r>
      <w:r w:rsidR="00422D25">
        <w:t>é</w:t>
      </w:r>
      <w:r>
        <w:t xml:space="preserve"> čerpanie v priemere vo výške 10,5 mil. eur</w:t>
      </w:r>
      <w:r w:rsidR="00422D25">
        <w:t xml:space="preserve"> (uvedené v nasledujúcej tabuľke)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7"/>
        <w:gridCol w:w="541"/>
        <w:gridCol w:w="540"/>
        <w:gridCol w:w="540"/>
        <w:gridCol w:w="540"/>
        <w:gridCol w:w="540"/>
        <w:gridCol w:w="540"/>
        <w:gridCol w:w="538"/>
      </w:tblGrid>
      <w:tr w:rsidR="00422D25" w:rsidRPr="00D70062" w14:paraId="6CE1C471" w14:textId="77777777" w:rsidTr="00422D25">
        <w:trPr>
          <w:trHeight w:val="227"/>
        </w:trPr>
        <w:tc>
          <w:tcPr>
            <w:tcW w:w="2978" w:type="pct"/>
            <w:tcBorders>
              <w:right w:val="single" w:sz="4" w:space="0" w:color="FFFFFF" w:themeColor="background1"/>
            </w:tcBorders>
            <w:shd w:val="clear" w:color="auto" w:fill="0070C0"/>
            <w:noWrap/>
            <w:vAlign w:val="bottom"/>
            <w:hideMark/>
          </w:tcPr>
          <w:p w14:paraId="12C250A6" w14:textId="0B668CF8" w:rsidR="007F2643" w:rsidRPr="00D70062" w:rsidRDefault="00422D25" w:rsidP="00422D25">
            <w:pP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Skutočné čerpanie - podiel rozpočtovaných prostriedkov</w:t>
            </w:r>
            <w:r w:rsidR="007F2643" w:rsidRPr="00D70062">
              <w:rPr>
                <w:rFonts w:eastAsia="Times New Roman" w:cs="Times New Roman"/>
                <w:b/>
                <w:color w:val="FFFFFF" w:themeColor="background1"/>
                <w:sz w:val="20"/>
                <w:lang w:eastAsia="sk-SK"/>
              </w:rPr>
              <w:t xml:space="preserve"> (%)</w:t>
            </w:r>
          </w:p>
        </w:tc>
        <w:tc>
          <w:tcPr>
            <w:tcW w:w="289" w:type="pct"/>
            <w:tcBorders>
              <w:left w:val="single" w:sz="4" w:space="0" w:color="FFFFFF" w:themeColor="background1"/>
              <w:right w:val="single" w:sz="4" w:space="0" w:color="FFFFFF" w:themeColor="background1"/>
            </w:tcBorders>
            <w:shd w:val="clear" w:color="auto" w:fill="0070C0"/>
            <w:noWrap/>
            <w:vAlign w:val="bottom"/>
            <w:hideMark/>
          </w:tcPr>
          <w:p w14:paraId="439CA14F"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2012</w:t>
            </w:r>
          </w:p>
        </w:tc>
        <w:tc>
          <w:tcPr>
            <w:tcW w:w="289" w:type="pct"/>
            <w:tcBorders>
              <w:left w:val="single" w:sz="4" w:space="0" w:color="FFFFFF" w:themeColor="background1"/>
              <w:right w:val="single" w:sz="4" w:space="0" w:color="FFFFFF" w:themeColor="background1"/>
            </w:tcBorders>
            <w:shd w:val="clear" w:color="auto" w:fill="0070C0"/>
            <w:noWrap/>
            <w:vAlign w:val="bottom"/>
            <w:hideMark/>
          </w:tcPr>
          <w:p w14:paraId="6AE52598"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2013</w:t>
            </w:r>
          </w:p>
        </w:tc>
        <w:tc>
          <w:tcPr>
            <w:tcW w:w="289" w:type="pct"/>
            <w:tcBorders>
              <w:left w:val="single" w:sz="4" w:space="0" w:color="FFFFFF" w:themeColor="background1"/>
              <w:right w:val="single" w:sz="4" w:space="0" w:color="FFFFFF" w:themeColor="background1"/>
            </w:tcBorders>
            <w:shd w:val="clear" w:color="auto" w:fill="0070C0"/>
            <w:noWrap/>
            <w:vAlign w:val="bottom"/>
            <w:hideMark/>
          </w:tcPr>
          <w:p w14:paraId="73E02683"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2014</w:t>
            </w:r>
          </w:p>
        </w:tc>
        <w:tc>
          <w:tcPr>
            <w:tcW w:w="289" w:type="pct"/>
            <w:tcBorders>
              <w:left w:val="single" w:sz="4" w:space="0" w:color="FFFFFF" w:themeColor="background1"/>
              <w:right w:val="single" w:sz="4" w:space="0" w:color="FFFFFF" w:themeColor="background1"/>
            </w:tcBorders>
            <w:shd w:val="clear" w:color="auto" w:fill="0070C0"/>
            <w:noWrap/>
            <w:vAlign w:val="bottom"/>
            <w:hideMark/>
          </w:tcPr>
          <w:p w14:paraId="793257D0"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2015</w:t>
            </w:r>
          </w:p>
        </w:tc>
        <w:tc>
          <w:tcPr>
            <w:tcW w:w="289" w:type="pct"/>
            <w:tcBorders>
              <w:left w:val="single" w:sz="4" w:space="0" w:color="FFFFFF" w:themeColor="background1"/>
              <w:right w:val="single" w:sz="4" w:space="0" w:color="FFFFFF" w:themeColor="background1"/>
            </w:tcBorders>
            <w:shd w:val="clear" w:color="auto" w:fill="0070C0"/>
            <w:noWrap/>
            <w:vAlign w:val="bottom"/>
            <w:hideMark/>
          </w:tcPr>
          <w:p w14:paraId="1B5FB9E1"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2016</w:t>
            </w:r>
          </w:p>
        </w:tc>
        <w:tc>
          <w:tcPr>
            <w:tcW w:w="289" w:type="pct"/>
            <w:tcBorders>
              <w:left w:val="single" w:sz="4" w:space="0" w:color="FFFFFF" w:themeColor="background1"/>
              <w:right w:val="single" w:sz="4" w:space="0" w:color="FFFFFF" w:themeColor="background1"/>
            </w:tcBorders>
            <w:shd w:val="clear" w:color="auto" w:fill="0070C0"/>
            <w:noWrap/>
            <w:vAlign w:val="bottom"/>
            <w:hideMark/>
          </w:tcPr>
          <w:p w14:paraId="426AB532"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2017</w:t>
            </w:r>
          </w:p>
        </w:tc>
        <w:tc>
          <w:tcPr>
            <w:tcW w:w="289" w:type="pct"/>
            <w:tcBorders>
              <w:left w:val="single" w:sz="4" w:space="0" w:color="FFFFFF" w:themeColor="background1"/>
            </w:tcBorders>
            <w:shd w:val="clear" w:color="auto" w:fill="0070C0"/>
            <w:noWrap/>
            <w:vAlign w:val="bottom"/>
            <w:hideMark/>
          </w:tcPr>
          <w:p w14:paraId="12B60B72" w14:textId="77777777" w:rsidR="007F2643" w:rsidRPr="00D70062" w:rsidRDefault="007F2643" w:rsidP="003844C2">
            <w:pPr>
              <w:jc w:val="center"/>
              <w:rPr>
                <w:rFonts w:eastAsia="Times New Roman" w:cs="Times New Roman"/>
                <w:b/>
                <w:color w:val="FFFFFF" w:themeColor="background1"/>
                <w:sz w:val="20"/>
                <w:lang w:eastAsia="sk-SK"/>
              </w:rPr>
            </w:pPr>
            <w:r w:rsidRPr="00D70062">
              <w:rPr>
                <w:rFonts w:eastAsia="Times New Roman" w:cs="Times New Roman"/>
                <w:b/>
                <w:color w:val="FFFFFF" w:themeColor="background1"/>
                <w:sz w:val="20"/>
                <w:lang w:eastAsia="sk-SK"/>
              </w:rPr>
              <w:t>2018</w:t>
            </w:r>
          </w:p>
        </w:tc>
      </w:tr>
      <w:tr w:rsidR="00422D25" w:rsidRPr="00D70062" w14:paraId="3B599136" w14:textId="77777777" w:rsidTr="00422D25">
        <w:trPr>
          <w:trHeight w:val="227"/>
        </w:trPr>
        <w:tc>
          <w:tcPr>
            <w:tcW w:w="2978" w:type="pct"/>
            <w:shd w:val="clear" w:color="auto" w:fill="auto"/>
            <w:vAlign w:val="bottom"/>
            <w:hideMark/>
          </w:tcPr>
          <w:p w14:paraId="2C3A0D73" w14:textId="77777777" w:rsidR="007F2643" w:rsidRPr="00D70062" w:rsidRDefault="007F2643" w:rsidP="003844C2">
            <w:pPr>
              <w:rPr>
                <w:rFonts w:eastAsia="Times New Roman" w:cs="Times New Roman"/>
                <w:color w:val="000000"/>
                <w:sz w:val="20"/>
                <w:lang w:eastAsia="sk-SK"/>
              </w:rPr>
            </w:pPr>
            <w:r w:rsidRPr="00D70062">
              <w:rPr>
                <w:rFonts w:eastAsia="Times New Roman" w:cs="Times New Roman"/>
                <w:color w:val="000000"/>
                <w:sz w:val="20"/>
                <w:lang w:eastAsia="sk-SK"/>
              </w:rPr>
              <w:t>07816 Profesijný rozvoj pedagogických a odborných zamestnancov v kariérnom systéme</w:t>
            </w:r>
          </w:p>
        </w:tc>
        <w:tc>
          <w:tcPr>
            <w:tcW w:w="289" w:type="pct"/>
            <w:shd w:val="clear" w:color="auto" w:fill="auto"/>
            <w:noWrap/>
            <w:vAlign w:val="bottom"/>
            <w:hideMark/>
          </w:tcPr>
          <w:p w14:paraId="4A22CBEB"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124</w:t>
            </w:r>
          </w:p>
        </w:tc>
        <w:tc>
          <w:tcPr>
            <w:tcW w:w="289" w:type="pct"/>
            <w:shd w:val="clear" w:color="auto" w:fill="auto"/>
            <w:noWrap/>
            <w:vAlign w:val="bottom"/>
            <w:hideMark/>
          </w:tcPr>
          <w:p w14:paraId="33F5D9BA"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122</w:t>
            </w:r>
          </w:p>
        </w:tc>
        <w:tc>
          <w:tcPr>
            <w:tcW w:w="289" w:type="pct"/>
            <w:shd w:val="clear" w:color="auto" w:fill="auto"/>
            <w:noWrap/>
            <w:vAlign w:val="bottom"/>
            <w:hideMark/>
          </w:tcPr>
          <w:p w14:paraId="79AE88DD"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186</w:t>
            </w:r>
          </w:p>
        </w:tc>
        <w:tc>
          <w:tcPr>
            <w:tcW w:w="289" w:type="pct"/>
            <w:shd w:val="clear" w:color="auto" w:fill="auto"/>
            <w:noWrap/>
            <w:vAlign w:val="bottom"/>
            <w:hideMark/>
          </w:tcPr>
          <w:p w14:paraId="37C56D63"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201</w:t>
            </w:r>
          </w:p>
        </w:tc>
        <w:tc>
          <w:tcPr>
            <w:tcW w:w="289" w:type="pct"/>
            <w:shd w:val="clear" w:color="auto" w:fill="auto"/>
            <w:noWrap/>
            <w:vAlign w:val="bottom"/>
            <w:hideMark/>
          </w:tcPr>
          <w:p w14:paraId="2C024668"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361</w:t>
            </w:r>
          </w:p>
        </w:tc>
        <w:tc>
          <w:tcPr>
            <w:tcW w:w="289" w:type="pct"/>
            <w:shd w:val="clear" w:color="auto" w:fill="auto"/>
            <w:noWrap/>
            <w:vAlign w:val="bottom"/>
            <w:hideMark/>
          </w:tcPr>
          <w:p w14:paraId="6E53DCA5"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443</w:t>
            </w:r>
          </w:p>
        </w:tc>
        <w:tc>
          <w:tcPr>
            <w:tcW w:w="289" w:type="pct"/>
            <w:shd w:val="clear" w:color="auto" w:fill="auto"/>
            <w:noWrap/>
            <w:vAlign w:val="bottom"/>
            <w:hideMark/>
          </w:tcPr>
          <w:p w14:paraId="2244901E"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133</w:t>
            </w:r>
          </w:p>
        </w:tc>
      </w:tr>
      <w:tr w:rsidR="00422D25" w:rsidRPr="00D70062" w14:paraId="7304D20A" w14:textId="77777777" w:rsidTr="00422D25">
        <w:trPr>
          <w:trHeight w:val="227"/>
        </w:trPr>
        <w:tc>
          <w:tcPr>
            <w:tcW w:w="2978" w:type="pct"/>
            <w:shd w:val="clear" w:color="auto" w:fill="auto"/>
            <w:vAlign w:val="bottom"/>
            <w:hideMark/>
          </w:tcPr>
          <w:p w14:paraId="762494F0" w14:textId="77777777" w:rsidR="007F2643" w:rsidRPr="00D70062" w:rsidRDefault="007F2643" w:rsidP="003844C2">
            <w:pPr>
              <w:rPr>
                <w:rFonts w:eastAsia="Times New Roman" w:cs="Times New Roman"/>
                <w:color w:val="000000"/>
                <w:sz w:val="20"/>
                <w:lang w:eastAsia="sk-SK"/>
              </w:rPr>
            </w:pPr>
            <w:r w:rsidRPr="00D70062">
              <w:rPr>
                <w:rFonts w:eastAsia="Times New Roman" w:cs="Times New Roman"/>
                <w:color w:val="000000"/>
                <w:sz w:val="20"/>
                <w:lang w:eastAsia="sk-SK"/>
              </w:rPr>
              <w:t>0970A Príspevky SR do MO - MŠVVaŠ SR</w:t>
            </w:r>
          </w:p>
        </w:tc>
        <w:tc>
          <w:tcPr>
            <w:tcW w:w="289" w:type="pct"/>
            <w:shd w:val="clear" w:color="auto" w:fill="auto"/>
            <w:noWrap/>
            <w:vAlign w:val="bottom"/>
            <w:hideMark/>
          </w:tcPr>
          <w:p w14:paraId="7472B099"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70</w:t>
            </w:r>
          </w:p>
        </w:tc>
        <w:tc>
          <w:tcPr>
            <w:tcW w:w="289" w:type="pct"/>
            <w:shd w:val="clear" w:color="auto" w:fill="auto"/>
            <w:noWrap/>
            <w:vAlign w:val="bottom"/>
            <w:hideMark/>
          </w:tcPr>
          <w:p w14:paraId="6EEDCFB2"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89</w:t>
            </w:r>
          </w:p>
        </w:tc>
        <w:tc>
          <w:tcPr>
            <w:tcW w:w="289" w:type="pct"/>
            <w:shd w:val="clear" w:color="auto" w:fill="auto"/>
            <w:noWrap/>
            <w:vAlign w:val="bottom"/>
            <w:hideMark/>
          </w:tcPr>
          <w:p w14:paraId="3445D215"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100</w:t>
            </w:r>
          </w:p>
        </w:tc>
        <w:tc>
          <w:tcPr>
            <w:tcW w:w="289" w:type="pct"/>
            <w:shd w:val="clear" w:color="auto" w:fill="auto"/>
            <w:noWrap/>
            <w:vAlign w:val="bottom"/>
            <w:hideMark/>
          </w:tcPr>
          <w:p w14:paraId="75993130"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123</w:t>
            </w:r>
          </w:p>
        </w:tc>
        <w:tc>
          <w:tcPr>
            <w:tcW w:w="289" w:type="pct"/>
            <w:shd w:val="clear" w:color="auto" w:fill="auto"/>
            <w:noWrap/>
            <w:vAlign w:val="bottom"/>
            <w:hideMark/>
          </w:tcPr>
          <w:p w14:paraId="1100FC2C"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114</w:t>
            </w:r>
          </w:p>
        </w:tc>
        <w:tc>
          <w:tcPr>
            <w:tcW w:w="289" w:type="pct"/>
            <w:shd w:val="clear" w:color="auto" w:fill="auto"/>
            <w:noWrap/>
            <w:vAlign w:val="bottom"/>
            <w:hideMark/>
          </w:tcPr>
          <w:p w14:paraId="6DD6CFAA"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108</w:t>
            </w:r>
          </w:p>
        </w:tc>
        <w:tc>
          <w:tcPr>
            <w:tcW w:w="289" w:type="pct"/>
            <w:shd w:val="clear" w:color="auto" w:fill="auto"/>
            <w:noWrap/>
            <w:vAlign w:val="bottom"/>
            <w:hideMark/>
          </w:tcPr>
          <w:p w14:paraId="64E9A8FD" w14:textId="77777777" w:rsidR="007F2643" w:rsidRPr="00D70062" w:rsidRDefault="007F2643" w:rsidP="003844C2">
            <w:pPr>
              <w:jc w:val="center"/>
              <w:rPr>
                <w:rFonts w:eastAsia="Times New Roman" w:cs="Times New Roman"/>
                <w:color w:val="000000"/>
                <w:sz w:val="20"/>
                <w:lang w:eastAsia="sk-SK"/>
              </w:rPr>
            </w:pPr>
            <w:r w:rsidRPr="00D70062">
              <w:rPr>
                <w:rFonts w:eastAsia="Times New Roman" w:cs="Times New Roman"/>
                <w:color w:val="000000"/>
                <w:sz w:val="20"/>
                <w:lang w:eastAsia="sk-SK"/>
              </w:rPr>
              <w:t>115</w:t>
            </w:r>
          </w:p>
        </w:tc>
      </w:tr>
    </w:tbl>
    <w:p w14:paraId="1AFACB90" w14:textId="77777777" w:rsidR="007F2643" w:rsidRPr="00422D25" w:rsidRDefault="00E06664" w:rsidP="00511FAF">
      <w:pPr>
        <w:jc w:val="both"/>
        <w:rPr>
          <w:i/>
          <w:strike/>
          <w:sz w:val="18"/>
          <w:szCs w:val="20"/>
        </w:rPr>
      </w:pPr>
      <w:r w:rsidRPr="00422D25">
        <w:rPr>
          <w:i/>
          <w:sz w:val="18"/>
          <w:szCs w:val="20"/>
        </w:rPr>
        <w:t>Zdroj: RIS</w:t>
      </w:r>
    </w:p>
    <w:p w14:paraId="22600597" w14:textId="321FB5AA" w:rsidR="00511FAF" w:rsidRDefault="00511FAF" w:rsidP="007F2643">
      <w:pPr>
        <w:spacing w:before="120" w:after="120"/>
        <w:ind w:firstLine="708"/>
        <w:jc w:val="both"/>
      </w:pPr>
      <w:r>
        <w:t xml:space="preserve">Od roku 2013 je na oblasť školstva rozpočtovaný významný objem prostriedkov aj v rámci kapitoly MV SR, na ktoré prešlo z MŠVVaŠ </w:t>
      </w:r>
      <w:r w:rsidR="00422D25">
        <w:t xml:space="preserve">SR </w:t>
      </w:r>
      <w:r>
        <w:t>financovanie veľkej časti regionálneho školstva. Konkrétne, pod kapitolu MV SR spadá program Výchova a vzdelávanie mládeže, ktorým sa financujú najmä školy a školské zariadenia zriaďované obcami. V návrhu rozpočtu na rok 2020 je evidentný výrazný nárast prostriedkov práve na tento program, a to až o vyše 20 % v porovnaní s rozpočtom roku 2019</w:t>
      </w:r>
      <w:r>
        <w:rPr>
          <w:rStyle w:val="Odkaznapoznmkupodiarou"/>
        </w:rPr>
        <w:footnoteReference w:id="2"/>
      </w:r>
      <w:r>
        <w:t xml:space="preserve">. Tento nárast súvisí s celkovým navyšovaním objemu prostriedkov smerujúcich do školstva a mal by pokryť najmä zvyšovanie miezd v rezorte, čo NKÚ </w:t>
      </w:r>
      <w:r w:rsidR="00422D25">
        <w:t xml:space="preserve">SR </w:t>
      </w:r>
      <w:r>
        <w:t xml:space="preserve">hodnotí pozitívne. Rozporuplnejšia je skutočnosť, že </w:t>
      </w:r>
      <w:r w:rsidRPr="00035CC9">
        <w:rPr>
          <w:b/>
        </w:rPr>
        <w:t xml:space="preserve">významná časť školstva je financovaná mimo rezortu školstva, čo znižuje </w:t>
      </w:r>
      <w:r>
        <w:rPr>
          <w:b/>
        </w:rPr>
        <w:t>prehľadnosť</w:t>
      </w:r>
      <w:r w:rsidRPr="00035CC9">
        <w:rPr>
          <w:b/>
        </w:rPr>
        <w:t xml:space="preserve"> systému</w:t>
      </w:r>
      <w:r>
        <w:t>. Analýza</w:t>
      </w:r>
      <w:r w:rsidR="00422D25">
        <w:t xml:space="preserve"> trendu</w:t>
      </w:r>
      <w:r>
        <w:t xml:space="preserve"> výdavkov, ktorých sa týkal prechod pod rezort MV SR</w:t>
      </w:r>
      <w:r w:rsidR="00422D25">
        <w:t>,</w:t>
      </w:r>
      <w:r>
        <w:t xml:space="preserve"> nenaznačuje, že by táto zmena viedla k zvýšeniu efektivity vynakladania verejných prostriedkov, keďže </w:t>
      </w:r>
      <w:r w:rsidRPr="00035CC9">
        <w:rPr>
          <w:b/>
        </w:rPr>
        <w:t xml:space="preserve">presun financovania neviedol </w:t>
      </w:r>
      <w:r>
        <w:rPr>
          <w:b/>
        </w:rPr>
        <w:t>k zníženiu sumy týchto výdavkov</w:t>
      </w:r>
      <w:r w:rsidR="00422D25">
        <w:rPr>
          <w:b/>
        </w:rPr>
        <w:t>,</w:t>
      </w:r>
      <w:r w:rsidRPr="00035CC9">
        <w:rPr>
          <w:b/>
        </w:rPr>
        <w:t xml:space="preserve"> alebo aspoň k spomaleniu ich rastu,</w:t>
      </w:r>
      <w:r>
        <w:rPr>
          <w:b/>
        </w:rPr>
        <w:t xml:space="preserve"> ale</w:t>
      </w:r>
      <w:r w:rsidRPr="00035CC9">
        <w:rPr>
          <w:b/>
        </w:rPr>
        <w:t xml:space="preserve"> iba k ich rozdeleniu medzi dve kapitoly</w:t>
      </w:r>
      <w:r>
        <w:t>. NKÚ</w:t>
      </w:r>
      <w:r w:rsidRPr="00035CC9">
        <w:t xml:space="preserve"> </w:t>
      </w:r>
      <w:r w:rsidR="00422D25">
        <w:t xml:space="preserve">SR </w:t>
      </w:r>
      <w:r w:rsidRPr="00035CC9">
        <w:t>preto</w:t>
      </w:r>
      <w:r>
        <w:t xml:space="preserve"> vidí</w:t>
      </w:r>
      <w:r w:rsidRPr="00035CC9">
        <w:t xml:space="preserve"> priestor na hlbšiu analýzu účelnosti a efektívnosti presunutia financovania časti školstva </w:t>
      </w:r>
      <w:r>
        <w:t>pod kapitolu</w:t>
      </w:r>
      <w:r w:rsidRPr="00035CC9">
        <w:t xml:space="preserve"> MV SR.</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11FAF" w:rsidRPr="000C5F8B" w14:paraId="568C6539" w14:textId="77777777" w:rsidTr="00511FAF">
        <w:tc>
          <w:tcPr>
            <w:tcW w:w="9072" w:type="dxa"/>
            <w:tcBorders>
              <w:top w:val="single" w:sz="4" w:space="0" w:color="auto"/>
              <w:bottom w:val="single" w:sz="4" w:space="0" w:color="auto"/>
            </w:tcBorders>
            <w:shd w:val="clear" w:color="auto" w:fill="0070C0"/>
          </w:tcPr>
          <w:p w14:paraId="58C3471F" w14:textId="77777777" w:rsidR="00511FAF" w:rsidRPr="000C5F8B" w:rsidRDefault="00511FAF" w:rsidP="00511FAF">
            <w:pPr>
              <w:pStyle w:val="Bezriadkovania"/>
              <w:spacing w:line="240" w:lineRule="atLeast"/>
              <w:contextualSpacing/>
              <w:jc w:val="both"/>
              <w:rPr>
                <w:b/>
                <w:color w:val="FFFFFF" w:themeColor="background1"/>
                <w:szCs w:val="22"/>
              </w:rPr>
            </w:pPr>
            <w:r w:rsidRPr="000C5F8B">
              <w:rPr>
                <w:b/>
                <w:color w:val="FFFFFF" w:themeColor="background1"/>
                <w:szCs w:val="22"/>
              </w:rPr>
              <w:t>Vývoj výdavkov kapitol MŠVVaŠ SR a MV SR na programy súvisiace s výchovou a vzdelávaním mládeže (v mil. eur)</w:t>
            </w:r>
          </w:p>
        </w:tc>
      </w:tr>
      <w:tr w:rsidR="00511FAF" w:rsidRPr="00B67668" w14:paraId="17A7A9B6" w14:textId="77777777" w:rsidTr="00511FAF">
        <w:tblPrEx>
          <w:tblCellMar>
            <w:left w:w="70" w:type="dxa"/>
            <w:right w:w="70" w:type="dxa"/>
          </w:tblCellMar>
        </w:tblPrEx>
        <w:trPr>
          <w:trHeight w:val="3118"/>
        </w:trPr>
        <w:tc>
          <w:tcPr>
            <w:tcW w:w="9072" w:type="dxa"/>
            <w:tcBorders>
              <w:top w:val="single" w:sz="4" w:space="0" w:color="auto"/>
              <w:bottom w:val="single" w:sz="4" w:space="0" w:color="auto"/>
            </w:tcBorders>
            <w:vAlign w:val="center"/>
          </w:tcPr>
          <w:p w14:paraId="63142A4D" w14:textId="77777777" w:rsidR="00511FAF" w:rsidRPr="00B67668" w:rsidRDefault="00511FAF" w:rsidP="00511FAF">
            <w:pPr>
              <w:jc w:val="both"/>
              <w:rPr>
                <w:b/>
              </w:rPr>
            </w:pPr>
            <w:r>
              <w:rPr>
                <w:noProof/>
                <w:lang w:eastAsia="sk-SK"/>
              </w:rPr>
              <w:drawing>
                <wp:inline distT="0" distB="0" distL="0" distR="0" wp14:anchorId="098064D6" wp14:editId="1DA92090">
                  <wp:extent cx="5652000" cy="2520000"/>
                  <wp:effectExtent l="0" t="0" r="635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16266783" w14:textId="77777777" w:rsidR="007F2643" w:rsidRPr="00422D25" w:rsidRDefault="007F2643" w:rsidP="007F2643">
      <w:pPr>
        <w:rPr>
          <w:i/>
          <w:sz w:val="18"/>
          <w:szCs w:val="20"/>
        </w:rPr>
      </w:pPr>
      <w:r w:rsidRPr="00422D25">
        <w:rPr>
          <w:i/>
          <w:sz w:val="18"/>
          <w:szCs w:val="20"/>
        </w:rPr>
        <w:t>Zdroj: RIS, vlastné výpočty;</w:t>
      </w:r>
    </w:p>
    <w:p w14:paraId="5A5DCF80" w14:textId="338C412F" w:rsidR="007F2643" w:rsidRPr="00422D25" w:rsidRDefault="007F2643" w:rsidP="000C5F8B">
      <w:pPr>
        <w:spacing w:after="120"/>
        <w:jc w:val="both"/>
        <w:rPr>
          <w:i/>
          <w:sz w:val="18"/>
          <w:szCs w:val="20"/>
        </w:rPr>
      </w:pPr>
      <w:r w:rsidRPr="00422D25">
        <w:rPr>
          <w:i/>
          <w:sz w:val="18"/>
          <w:szCs w:val="20"/>
        </w:rPr>
        <w:t>Poznámka: v prípade MŠVVaŠ SR ide o údaje za Národný program výchovy, vzde</w:t>
      </w:r>
      <w:r w:rsidR="00840D58" w:rsidRPr="00422D25">
        <w:rPr>
          <w:i/>
          <w:sz w:val="18"/>
          <w:szCs w:val="20"/>
        </w:rPr>
        <w:t>lávania a mládeže, v prípade MV </w:t>
      </w:r>
      <w:r w:rsidRPr="00422D25">
        <w:rPr>
          <w:i/>
          <w:sz w:val="18"/>
          <w:szCs w:val="20"/>
        </w:rPr>
        <w:t>SR ide o údaje za program Výchova a vzdelávanie</w:t>
      </w:r>
      <w:r w:rsidR="0005431A">
        <w:rPr>
          <w:i/>
          <w:sz w:val="18"/>
          <w:szCs w:val="20"/>
        </w:rPr>
        <w:t xml:space="preserve"> mládeže; hodnoty za roky 2004 až</w:t>
      </w:r>
      <w:r w:rsidRPr="00422D25">
        <w:rPr>
          <w:i/>
          <w:sz w:val="18"/>
          <w:szCs w:val="20"/>
        </w:rPr>
        <w:t xml:space="preserve"> 2018 sú skutočne čerpané výdavky, za roky 2019 a 2020 ide o rozpočtované výdavky</w:t>
      </w:r>
    </w:p>
    <w:p w14:paraId="580263CD" w14:textId="0AA09D13" w:rsidR="00511FAF" w:rsidRDefault="00511FAF" w:rsidP="00A54B1F">
      <w:pPr>
        <w:spacing w:before="120" w:after="120"/>
        <w:ind w:firstLine="709"/>
        <w:jc w:val="both"/>
      </w:pPr>
      <w:r>
        <w:t>Jedným z možných zdrojov krytia</w:t>
      </w:r>
      <w:r w:rsidR="001F55CD">
        <w:t>,</w:t>
      </w:r>
      <w:r>
        <w:t xml:space="preserve"> či už zvyšovania atraktivity učiteľského povolania alebo iných rozvojových potrieb školstva</w:t>
      </w:r>
      <w:r w:rsidR="001F55CD">
        <w:t>,</w:t>
      </w:r>
      <w:r>
        <w:t xml:space="preserve"> je hľadanie vnútorných rezerv. </w:t>
      </w:r>
      <w:r w:rsidR="00744F1E">
        <w:t>P</w:t>
      </w:r>
      <w:r>
        <w:t>ríkladom toho je racionalizácia škôl, ktorá má potenciál priniesť niekoľkomiliónové úspory.</w:t>
      </w:r>
      <w:r>
        <w:rPr>
          <w:rStyle w:val="Odkaznapoznmkupodiarou"/>
        </w:rPr>
        <w:footnoteReference w:id="3"/>
      </w:r>
      <w:r>
        <w:t xml:space="preserve"> </w:t>
      </w:r>
      <w:r w:rsidR="00744F1E">
        <w:t>O</w:t>
      </w:r>
      <w:r>
        <w:t xml:space="preserve"> tejto problematike </w:t>
      </w:r>
      <w:r w:rsidR="00744F1E">
        <w:t>poskytuje obraz</w:t>
      </w:r>
      <w:r>
        <w:t xml:space="preserve"> aj porovnanie priemerných nákladov na jedného žiaka </w:t>
      </w:r>
      <w:r>
        <w:lastRenderedPageBreak/>
        <w:t>v prípade škôl s rôznym počtom žiakov. Ukazuje sa</w:t>
      </w:r>
      <w:r w:rsidRPr="007D7FFE">
        <w:t xml:space="preserve">, že veľké základné školy sú výrazne efektívnejšie </w:t>
      </w:r>
      <w:r w:rsidR="00744F1E">
        <w:t>než</w:t>
      </w:r>
      <w:r w:rsidRPr="007D7FFE">
        <w:t xml:space="preserve"> malé (</w:t>
      </w:r>
      <w:r w:rsidR="001F55CD">
        <w:t>toto tvrdenie ilustruje nasledujúci graf</w:t>
      </w:r>
      <w:r>
        <w:t>).</w:t>
      </w:r>
      <w:r w:rsidRPr="007D7FFE">
        <w:rPr>
          <w:rStyle w:val="Odkaznapoznmkupodiarou"/>
        </w:rPr>
        <w:footnoteReference w:id="4"/>
      </w:r>
      <w:r>
        <w:t xml:space="preserve"> </w:t>
      </w:r>
      <w:r w:rsidRPr="00740AF7">
        <w:rPr>
          <w:b/>
        </w:rPr>
        <w:t>Z</w:t>
      </w:r>
      <w:r w:rsidRPr="007D7FFE">
        <w:rPr>
          <w:b/>
        </w:rPr>
        <w:t xml:space="preserve"> návrhu rozpočtu </w:t>
      </w:r>
      <w:r>
        <w:rPr>
          <w:b/>
        </w:rPr>
        <w:t xml:space="preserve">však </w:t>
      </w:r>
      <w:r w:rsidRPr="007D7FFE">
        <w:rPr>
          <w:b/>
        </w:rPr>
        <w:t>nevyplýva, že</w:t>
      </w:r>
      <w:r w:rsidR="001F55CD">
        <w:rPr>
          <w:b/>
        </w:rPr>
        <w:t xml:space="preserve"> </w:t>
      </w:r>
      <w:r>
        <w:rPr>
          <w:b/>
        </w:rPr>
        <w:t>by sa</w:t>
      </w:r>
      <w:r w:rsidRPr="007D7FFE">
        <w:rPr>
          <w:b/>
        </w:rPr>
        <w:t> racionalizácia siete škôl v dohľadnom období plánovala</w:t>
      </w:r>
      <w:r w:rsidRPr="007D7FFE">
        <w:t>. Vláda SR sa pritom k zvýšeniu efektívnosti vynakla</w:t>
      </w:r>
      <w:r w:rsidR="00B339DA">
        <w:t>dania finančných prostriedkov v </w:t>
      </w:r>
      <w:r w:rsidRPr="007D7FFE">
        <w:t>regionálnom školstve postupnou optimalizáciou siete škôl a školských zariadení zaviazala v programovom vyhlásení</w:t>
      </w:r>
      <w:r w:rsidRPr="007D7FFE">
        <w:rPr>
          <w:rStyle w:val="Odkaznapoznmkupodiarou"/>
        </w:rPr>
        <w:footnoteReference w:id="5"/>
      </w:r>
      <w:r w:rsidRPr="007D7FFE">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11FAF" w:rsidRPr="00AF7FFA" w14:paraId="2DD4399D" w14:textId="77777777" w:rsidTr="00511FAF">
        <w:tc>
          <w:tcPr>
            <w:tcW w:w="9072" w:type="dxa"/>
            <w:tcBorders>
              <w:top w:val="single" w:sz="4" w:space="0" w:color="auto"/>
              <w:bottom w:val="single" w:sz="4" w:space="0" w:color="auto"/>
            </w:tcBorders>
            <w:shd w:val="clear" w:color="auto" w:fill="0070C0"/>
          </w:tcPr>
          <w:p w14:paraId="6EBB9872" w14:textId="77777777" w:rsidR="00511FAF" w:rsidRPr="008218B2" w:rsidRDefault="00511FAF" w:rsidP="00511FAF">
            <w:pPr>
              <w:pStyle w:val="Bezriadkovania"/>
              <w:spacing w:line="240" w:lineRule="atLeast"/>
              <w:contextualSpacing/>
              <w:jc w:val="both"/>
              <w:rPr>
                <w:b/>
                <w:color w:val="FFFFFF" w:themeColor="background1"/>
              </w:rPr>
            </w:pPr>
            <w:r>
              <w:rPr>
                <w:b/>
                <w:color w:val="FFFFFF" w:themeColor="background1"/>
              </w:rPr>
              <w:t>Distribúcia priemerného</w:t>
            </w:r>
            <w:r w:rsidRPr="008218B2">
              <w:rPr>
                <w:b/>
                <w:color w:val="FFFFFF" w:themeColor="background1"/>
              </w:rPr>
              <w:t xml:space="preserve"> objem</w:t>
            </w:r>
            <w:r>
              <w:rPr>
                <w:b/>
                <w:color w:val="FFFFFF" w:themeColor="background1"/>
              </w:rPr>
              <w:t>u prostriedkov ZŠ</w:t>
            </w:r>
            <w:r w:rsidRPr="008218B2">
              <w:rPr>
                <w:b/>
                <w:color w:val="FFFFFF" w:themeColor="background1"/>
              </w:rPr>
              <w:t xml:space="preserve"> podľa </w:t>
            </w:r>
            <w:r>
              <w:rPr>
                <w:b/>
                <w:color w:val="FFFFFF" w:themeColor="background1"/>
              </w:rPr>
              <w:t>veľkosti ZŠ v roku 2018 (v eur)</w:t>
            </w:r>
          </w:p>
        </w:tc>
      </w:tr>
      <w:tr w:rsidR="00511FAF" w:rsidRPr="00B67668" w14:paraId="0A44B320" w14:textId="77777777" w:rsidTr="00511FAF">
        <w:tblPrEx>
          <w:tblCellMar>
            <w:left w:w="70" w:type="dxa"/>
            <w:right w:w="70" w:type="dxa"/>
          </w:tblCellMar>
        </w:tblPrEx>
        <w:trPr>
          <w:trHeight w:val="3118"/>
        </w:trPr>
        <w:tc>
          <w:tcPr>
            <w:tcW w:w="9072" w:type="dxa"/>
            <w:tcBorders>
              <w:top w:val="single" w:sz="4" w:space="0" w:color="auto"/>
              <w:bottom w:val="single" w:sz="4" w:space="0" w:color="auto"/>
            </w:tcBorders>
            <w:vAlign w:val="center"/>
          </w:tcPr>
          <w:p w14:paraId="41B2FA9A" w14:textId="77777777" w:rsidR="00511FAF" w:rsidRPr="00B67668" w:rsidRDefault="00511FAF" w:rsidP="00511FAF">
            <w:pPr>
              <w:jc w:val="both"/>
              <w:rPr>
                <w:b/>
              </w:rPr>
            </w:pPr>
            <w:r>
              <w:rPr>
                <w:noProof/>
                <w:lang w:eastAsia="sk-SK"/>
              </w:rPr>
              <w:drawing>
                <wp:inline distT="0" distB="0" distL="0" distR="0" wp14:anchorId="328D2DA4" wp14:editId="343AD53A">
                  <wp:extent cx="5651500" cy="2095500"/>
                  <wp:effectExtent l="0" t="0" r="6350" b="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0898898D" w14:textId="5E3A3226" w:rsidR="00A54B1F" w:rsidRPr="001F55CD" w:rsidRDefault="00A54B1F" w:rsidP="00511FAF">
      <w:pPr>
        <w:jc w:val="both"/>
        <w:rPr>
          <w:sz w:val="18"/>
          <w:szCs w:val="20"/>
        </w:rPr>
      </w:pPr>
      <w:r w:rsidRPr="001F55CD">
        <w:rPr>
          <w:rFonts w:cs="Times New Roman"/>
          <w:i/>
          <w:color w:val="000000"/>
          <w:sz w:val="18"/>
          <w:szCs w:val="20"/>
        </w:rPr>
        <w:t>Zdroj: Výkaz k správe o hospodárení - Š</w:t>
      </w:r>
      <w:r w:rsidR="001F55CD">
        <w:rPr>
          <w:rFonts w:cs="Times New Roman"/>
          <w:i/>
          <w:color w:val="000000"/>
          <w:sz w:val="18"/>
          <w:szCs w:val="20"/>
        </w:rPr>
        <w:t>kolské výpočtové stredisko CVTI</w:t>
      </w:r>
      <w:r w:rsidR="001F55CD">
        <w:rPr>
          <w:rFonts w:cs="Times New Roman"/>
          <w:i/>
          <w:color w:val="000000"/>
          <w:sz w:val="18"/>
          <w:szCs w:val="20"/>
          <w:lang w:val="en-US"/>
        </w:rPr>
        <w:t>;</w:t>
      </w:r>
      <w:r w:rsidR="001F55CD">
        <w:rPr>
          <w:rFonts w:cs="Times New Roman"/>
          <w:i/>
          <w:color w:val="000000"/>
          <w:sz w:val="18"/>
          <w:szCs w:val="20"/>
        </w:rPr>
        <w:t xml:space="preserve"> Register škôl – CVTI;</w:t>
      </w:r>
      <w:r w:rsidRPr="001F55CD">
        <w:rPr>
          <w:rFonts w:cs="Times New Roman"/>
          <w:i/>
          <w:color w:val="000000"/>
          <w:sz w:val="18"/>
          <w:szCs w:val="20"/>
        </w:rPr>
        <w:t xml:space="preserve"> vlastné výpočty</w:t>
      </w:r>
    </w:p>
    <w:p w14:paraId="10A41043" w14:textId="2C8537DE" w:rsidR="00511FAF" w:rsidRPr="00A54B1F" w:rsidRDefault="00511FAF" w:rsidP="00EB336B">
      <w:pPr>
        <w:spacing w:before="120" w:after="120"/>
        <w:ind w:firstLine="708"/>
        <w:jc w:val="both"/>
      </w:pPr>
      <w:r w:rsidRPr="00511AF0">
        <w:rPr>
          <w:b/>
        </w:rPr>
        <w:t xml:space="preserve">Napriek výraznému výkonnostnému zaostávaniu slovenskej vedy v medzinárodnom porovnaní </w:t>
      </w:r>
      <w:r>
        <w:rPr>
          <w:b/>
        </w:rPr>
        <w:t xml:space="preserve">je na rok 2020 </w:t>
      </w:r>
      <w:r w:rsidRPr="00511AF0">
        <w:rPr>
          <w:b/>
        </w:rPr>
        <w:t>naplánovaný</w:t>
      </w:r>
      <w:r>
        <w:rPr>
          <w:b/>
        </w:rPr>
        <w:t xml:space="preserve"> iba 2%-</w:t>
      </w:r>
      <w:r w:rsidR="0005431A">
        <w:rPr>
          <w:b/>
        </w:rPr>
        <w:t>percent</w:t>
      </w:r>
      <w:r>
        <w:rPr>
          <w:b/>
        </w:rPr>
        <w:t xml:space="preserve">ný </w:t>
      </w:r>
      <w:r w:rsidRPr="00C04206">
        <w:t>(</w:t>
      </w:r>
      <w:r>
        <w:t>oproti očakávanému skutočnému čerpaniu v roku 2019)</w:t>
      </w:r>
      <w:r>
        <w:rPr>
          <w:b/>
        </w:rPr>
        <w:t xml:space="preserve"> medziročný nárast</w:t>
      </w:r>
      <w:r w:rsidRPr="00511AF0">
        <w:rPr>
          <w:b/>
        </w:rPr>
        <w:t xml:space="preserve"> objem</w:t>
      </w:r>
      <w:r>
        <w:rPr>
          <w:b/>
        </w:rPr>
        <w:t>u</w:t>
      </w:r>
      <w:r w:rsidRPr="00511AF0">
        <w:rPr>
          <w:b/>
        </w:rPr>
        <w:t xml:space="preserve"> výdavkov na vedu a</w:t>
      </w:r>
      <w:r>
        <w:rPr>
          <w:b/>
        </w:rPr>
        <w:t> </w:t>
      </w:r>
      <w:r w:rsidRPr="00511AF0">
        <w:rPr>
          <w:b/>
        </w:rPr>
        <w:t>techniku</w:t>
      </w:r>
      <w:r>
        <w:rPr>
          <w:b/>
        </w:rPr>
        <w:t xml:space="preserve"> </w:t>
      </w:r>
      <w:r w:rsidRPr="00511AF0">
        <w:rPr>
          <w:b/>
        </w:rPr>
        <w:t xml:space="preserve">zo </w:t>
      </w:r>
      <w:r w:rsidR="008B760E">
        <w:rPr>
          <w:b/>
        </w:rPr>
        <w:t>ŠR</w:t>
      </w:r>
      <w:r w:rsidRPr="00511AF0">
        <w:rPr>
          <w:b/>
        </w:rPr>
        <w:t>.</w:t>
      </w:r>
      <w:r>
        <w:rPr>
          <w:b/>
        </w:rPr>
        <w:t xml:space="preserve"> </w:t>
      </w:r>
      <w:r>
        <w:t>Navyše, v roku 2021 sa počíta s med</w:t>
      </w:r>
      <w:r w:rsidR="008B760E">
        <w:t>ziročným poklesom na úrovni 0,4 </w:t>
      </w:r>
      <w:r>
        <w:t>%, kedy rovnaký objem výdavkov je následne naplánovaný aj na rok 2022. Celkový rast objemu výdavkov na túto oblasť je tak ťahaný najmä prostriedkami z EÚ.</w:t>
      </w:r>
      <w:r w:rsidR="00EB336B">
        <w:t xml:space="preserve"> </w:t>
      </w:r>
      <w:r w:rsidR="00A54B1F" w:rsidRPr="00A54B1F">
        <w:t>Verejné výdavky na vedu a</w:t>
      </w:r>
      <w:r w:rsidR="00EB336B">
        <w:t> </w:t>
      </w:r>
      <w:r w:rsidR="00A54B1F" w:rsidRPr="00A54B1F">
        <w:t>techniku</w:t>
      </w:r>
      <w:r w:rsidR="00EB336B">
        <w:t xml:space="preserve"> sumarizuje nasledujúca tabuľka.</w:t>
      </w:r>
    </w:p>
    <w:tbl>
      <w:tblPr>
        <w:tblStyle w:val="Mriekatabuky"/>
        <w:tblW w:w="9346" w:type="dxa"/>
        <w:tblLayout w:type="fixed"/>
        <w:tblLook w:val="04A0" w:firstRow="1" w:lastRow="0" w:firstColumn="1" w:lastColumn="0" w:noHBand="0" w:noVBand="1"/>
      </w:tblPr>
      <w:tblGrid>
        <w:gridCol w:w="2972"/>
        <w:gridCol w:w="1418"/>
        <w:gridCol w:w="1417"/>
        <w:gridCol w:w="1701"/>
        <w:gridCol w:w="992"/>
        <w:gridCol w:w="846"/>
      </w:tblGrid>
      <w:tr w:rsidR="00135721" w:rsidRPr="00135721" w14:paraId="1475A378" w14:textId="77777777" w:rsidTr="00135721">
        <w:trPr>
          <w:trHeight w:val="20"/>
          <w:tblHeader/>
        </w:trPr>
        <w:tc>
          <w:tcPr>
            <w:tcW w:w="2972" w:type="dxa"/>
            <w:tcBorders>
              <w:bottom w:val="single" w:sz="4" w:space="0" w:color="FFFFFF" w:themeColor="background1"/>
              <w:right w:val="single" w:sz="4" w:space="0" w:color="FFFFFF" w:themeColor="background1"/>
            </w:tcBorders>
            <w:shd w:val="clear" w:color="auto" w:fill="0070C0"/>
            <w:vAlign w:val="center"/>
          </w:tcPr>
          <w:p w14:paraId="01109370" w14:textId="3E4A3C3A" w:rsidR="00A54B1F" w:rsidRPr="00135721" w:rsidRDefault="00EB336B" w:rsidP="003844C2">
            <w:pPr>
              <w:jc w:val="center"/>
              <w:rPr>
                <w:rFonts w:eastAsia="Calibri"/>
                <w:b/>
                <w:bCs/>
                <w:color w:val="FFFFFF" w:themeColor="background1"/>
                <w:sz w:val="20"/>
                <w:szCs w:val="20"/>
              </w:rPr>
            </w:pPr>
            <w:r>
              <w:rPr>
                <w:rFonts w:eastAsia="Calibri"/>
                <w:b/>
                <w:bCs/>
                <w:color w:val="FFFFFF" w:themeColor="background1"/>
                <w:sz w:val="20"/>
                <w:szCs w:val="20"/>
              </w:rPr>
              <w:t>Výdavky</w:t>
            </w:r>
          </w:p>
          <w:p w14:paraId="73F4F2E5" w14:textId="77777777" w:rsidR="00A54B1F" w:rsidRPr="000F0382" w:rsidRDefault="00A54B1F" w:rsidP="003844C2">
            <w:pPr>
              <w:jc w:val="center"/>
              <w:rPr>
                <w:rFonts w:eastAsia="Calibri"/>
                <w:b/>
                <w:color w:val="FFFFFF" w:themeColor="background1"/>
                <w:sz w:val="20"/>
                <w:szCs w:val="20"/>
              </w:rPr>
            </w:pPr>
            <w:r w:rsidRPr="000F0382">
              <w:rPr>
                <w:b/>
                <w:color w:val="FFFFFF" w:themeColor="background1"/>
                <w:sz w:val="20"/>
                <w:szCs w:val="20"/>
              </w:rPr>
              <w:t>(v tis. eur)</w:t>
            </w:r>
          </w:p>
        </w:tc>
        <w:tc>
          <w:tcPr>
            <w:tcW w:w="1418" w:type="dxa"/>
            <w:tcBorders>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71738C6" w14:textId="77777777" w:rsidR="00A54B1F" w:rsidRPr="00135721" w:rsidRDefault="00A54B1F" w:rsidP="00135721">
            <w:pPr>
              <w:jc w:val="center"/>
              <w:rPr>
                <w:b/>
                <w:color w:val="FFFFFF" w:themeColor="background1"/>
                <w:sz w:val="20"/>
                <w:szCs w:val="20"/>
              </w:rPr>
            </w:pPr>
            <w:r w:rsidRPr="00135721">
              <w:rPr>
                <w:b/>
                <w:color w:val="FFFFFF" w:themeColor="background1"/>
                <w:sz w:val="20"/>
                <w:szCs w:val="20"/>
              </w:rPr>
              <w:t>Skutočnosť</w:t>
            </w:r>
            <w:r w:rsidR="00135721">
              <w:rPr>
                <w:b/>
                <w:color w:val="FFFFFF" w:themeColor="background1"/>
                <w:sz w:val="20"/>
                <w:szCs w:val="20"/>
              </w:rPr>
              <w:t xml:space="preserve"> </w:t>
            </w:r>
            <w:r w:rsidRPr="00135721">
              <w:rPr>
                <w:b/>
                <w:color w:val="FFFFFF" w:themeColor="background1"/>
                <w:sz w:val="20"/>
                <w:szCs w:val="20"/>
              </w:rPr>
              <w:t>2018</w:t>
            </w:r>
          </w:p>
        </w:tc>
        <w:tc>
          <w:tcPr>
            <w:tcW w:w="1417" w:type="dxa"/>
            <w:tcBorders>
              <w:left w:val="single" w:sz="4" w:space="0" w:color="FFFFFF" w:themeColor="background1"/>
              <w:right w:val="single" w:sz="4" w:space="0" w:color="FFFFFF" w:themeColor="background1"/>
            </w:tcBorders>
            <w:shd w:val="clear" w:color="auto" w:fill="0070C0"/>
            <w:vAlign w:val="center"/>
          </w:tcPr>
          <w:p w14:paraId="70E9D36D" w14:textId="77777777" w:rsidR="00135721" w:rsidRDefault="00A54B1F" w:rsidP="00135721">
            <w:pPr>
              <w:jc w:val="center"/>
              <w:rPr>
                <w:b/>
                <w:color w:val="FFFFFF" w:themeColor="background1"/>
                <w:sz w:val="20"/>
                <w:szCs w:val="20"/>
              </w:rPr>
            </w:pPr>
            <w:r w:rsidRPr="00135721">
              <w:rPr>
                <w:b/>
                <w:color w:val="FFFFFF" w:themeColor="background1"/>
                <w:sz w:val="20"/>
                <w:szCs w:val="20"/>
              </w:rPr>
              <w:t>Rozpočet</w:t>
            </w:r>
            <w:r w:rsidR="00135721">
              <w:rPr>
                <w:b/>
                <w:color w:val="FFFFFF" w:themeColor="background1"/>
                <w:sz w:val="20"/>
                <w:szCs w:val="20"/>
              </w:rPr>
              <w:t xml:space="preserve"> </w:t>
            </w:r>
          </w:p>
          <w:p w14:paraId="5560F216" w14:textId="77777777" w:rsidR="00A54B1F" w:rsidRPr="00135721" w:rsidRDefault="00A54B1F" w:rsidP="00135721">
            <w:pPr>
              <w:jc w:val="center"/>
              <w:rPr>
                <w:b/>
                <w:color w:val="FFFFFF" w:themeColor="background1"/>
                <w:sz w:val="20"/>
                <w:szCs w:val="20"/>
              </w:rPr>
            </w:pPr>
            <w:r w:rsidRPr="00135721">
              <w:rPr>
                <w:b/>
                <w:color w:val="FFFFFF" w:themeColor="background1"/>
                <w:sz w:val="20"/>
                <w:szCs w:val="20"/>
              </w:rPr>
              <w:t>2019</w:t>
            </w:r>
          </w:p>
        </w:tc>
        <w:tc>
          <w:tcPr>
            <w:tcW w:w="1701" w:type="dxa"/>
            <w:tcBorders>
              <w:left w:val="single" w:sz="4" w:space="0" w:color="FFFFFF" w:themeColor="background1"/>
              <w:right w:val="single" w:sz="4" w:space="0" w:color="FFFFFF" w:themeColor="background1"/>
            </w:tcBorders>
            <w:shd w:val="clear" w:color="auto" w:fill="0070C0"/>
            <w:vAlign w:val="center"/>
          </w:tcPr>
          <w:p w14:paraId="033408A4" w14:textId="77777777" w:rsidR="00A54B1F" w:rsidRPr="00135721" w:rsidRDefault="00A54B1F" w:rsidP="00135721">
            <w:pPr>
              <w:jc w:val="center"/>
              <w:rPr>
                <w:b/>
                <w:color w:val="FFFFFF" w:themeColor="background1"/>
                <w:sz w:val="20"/>
                <w:szCs w:val="20"/>
              </w:rPr>
            </w:pPr>
            <w:r w:rsidRPr="00135721">
              <w:rPr>
                <w:b/>
                <w:color w:val="FFFFFF" w:themeColor="background1"/>
                <w:sz w:val="20"/>
                <w:szCs w:val="20"/>
              </w:rPr>
              <w:t>Návrh rozpočtu</w:t>
            </w:r>
            <w:r w:rsidR="00135721">
              <w:rPr>
                <w:b/>
                <w:color w:val="FFFFFF" w:themeColor="background1"/>
                <w:sz w:val="20"/>
                <w:szCs w:val="20"/>
              </w:rPr>
              <w:t xml:space="preserve"> </w:t>
            </w:r>
            <w:r w:rsidRPr="00135721">
              <w:rPr>
                <w:b/>
                <w:color w:val="FFFFFF" w:themeColor="background1"/>
                <w:sz w:val="20"/>
                <w:szCs w:val="20"/>
              </w:rPr>
              <w:t>2020</w:t>
            </w:r>
          </w:p>
        </w:tc>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E3C3C76" w14:textId="77777777" w:rsidR="00A54B1F" w:rsidRPr="00135721" w:rsidRDefault="00A54B1F" w:rsidP="003844C2">
            <w:pPr>
              <w:jc w:val="center"/>
              <w:rPr>
                <w:b/>
                <w:color w:val="FFFFFF" w:themeColor="background1"/>
                <w:sz w:val="20"/>
                <w:szCs w:val="20"/>
              </w:rPr>
            </w:pPr>
            <w:r w:rsidRPr="00135721">
              <w:rPr>
                <w:b/>
                <w:color w:val="FFFFFF" w:themeColor="background1"/>
                <w:sz w:val="20"/>
                <w:szCs w:val="20"/>
              </w:rPr>
              <w:t>Rozdiel</w:t>
            </w:r>
          </w:p>
        </w:tc>
        <w:tc>
          <w:tcPr>
            <w:tcW w:w="846" w:type="dxa"/>
            <w:tcBorders>
              <w:left w:val="single" w:sz="4" w:space="0" w:color="FFFFFF" w:themeColor="background1"/>
            </w:tcBorders>
            <w:shd w:val="clear" w:color="auto" w:fill="0070C0"/>
            <w:vAlign w:val="center"/>
          </w:tcPr>
          <w:p w14:paraId="67E8869C" w14:textId="77777777" w:rsidR="00A54B1F" w:rsidRPr="00135721" w:rsidRDefault="00A54B1F" w:rsidP="003844C2">
            <w:pPr>
              <w:jc w:val="center"/>
              <w:rPr>
                <w:b/>
                <w:color w:val="FFFFFF" w:themeColor="background1"/>
                <w:sz w:val="20"/>
                <w:szCs w:val="20"/>
              </w:rPr>
            </w:pPr>
            <w:r w:rsidRPr="00135721">
              <w:rPr>
                <w:b/>
                <w:color w:val="FFFFFF" w:themeColor="background1"/>
                <w:sz w:val="20"/>
                <w:szCs w:val="20"/>
              </w:rPr>
              <w:t xml:space="preserve">Podiel </w:t>
            </w:r>
          </w:p>
          <w:p w14:paraId="5E80F64C" w14:textId="77777777" w:rsidR="00A54B1F" w:rsidRPr="00135721" w:rsidRDefault="00A54B1F" w:rsidP="003844C2">
            <w:pPr>
              <w:jc w:val="center"/>
              <w:rPr>
                <w:b/>
                <w:color w:val="FFFFFF" w:themeColor="background1"/>
                <w:sz w:val="20"/>
                <w:szCs w:val="20"/>
              </w:rPr>
            </w:pPr>
            <w:r w:rsidRPr="00135721">
              <w:rPr>
                <w:b/>
                <w:color w:val="FFFFFF" w:themeColor="background1"/>
                <w:sz w:val="20"/>
                <w:szCs w:val="20"/>
              </w:rPr>
              <w:t>v %</w:t>
            </w:r>
          </w:p>
        </w:tc>
      </w:tr>
      <w:tr w:rsidR="00A54B1F" w:rsidRPr="00135721" w14:paraId="53218AE5" w14:textId="77777777" w:rsidTr="00135721">
        <w:trPr>
          <w:trHeight w:val="20"/>
          <w:tblHeader/>
        </w:trPr>
        <w:tc>
          <w:tcPr>
            <w:tcW w:w="2972" w:type="dxa"/>
            <w:vAlign w:val="center"/>
          </w:tcPr>
          <w:p w14:paraId="000CEE9E" w14:textId="77777777" w:rsidR="00A54B1F" w:rsidRPr="00135721" w:rsidRDefault="00A54B1F" w:rsidP="003844C2">
            <w:pPr>
              <w:jc w:val="center"/>
              <w:rPr>
                <w:bCs/>
                <w:color w:val="000000"/>
                <w:sz w:val="20"/>
                <w:szCs w:val="20"/>
              </w:rPr>
            </w:pPr>
            <w:r w:rsidRPr="00135721">
              <w:rPr>
                <w:bCs/>
                <w:color w:val="000000"/>
                <w:sz w:val="20"/>
                <w:szCs w:val="20"/>
              </w:rPr>
              <w:t>a</w:t>
            </w:r>
          </w:p>
        </w:tc>
        <w:tc>
          <w:tcPr>
            <w:tcW w:w="1418" w:type="dxa"/>
          </w:tcPr>
          <w:p w14:paraId="0B2AC379" w14:textId="77777777" w:rsidR="00A54B1F" w:rsidRPr="00135721" w:rsidRDefault="00A54B1F" w:rsidP="003844C2">
            <w:pPr>
              <w:jc w:val="center"/>
              <w:rPr>
                <w:sz w:val="20"/>
                <w:szCs w:val="20"/>
              </w:rPr>
            </w:pPr>
            <w:r w:rsidRPr="00135721">
              <w:rPr>
                <w:sz w:val="20"/>
                <w:szCs w:val="20"/>
              </w:rPr>
              <w:t>1</w:t>
            </w:r>
          </w:p>
        </w:tc>
        <w:tc>
          <w:tcPr>
            <w:tcW w:w="1417" w:type="dxa"/>
          </w:tcPr>
          <w:p w14:paraId="0299A28C" w14:textId="77777777" w:rsidR="00A54B1F" w:rsidRPr="00135721" w:rsidRDefault="00A54B1F" w:rsidP="003844C2">
            <w:pPr>
              <w:jc w:val="center"/>
              <w:rPr>
                <w:sz w:val="20"/>
                <w:szCs w:val="20"/>
              </w:rPr>
            </w:pPr>
            <w:r w:rsidRPr="00135721">
              <w:rPr>
                <w:sz w:val="20"/>
                <w:szCs w:val="20"/>
              </w:rPr>
              <w:t>2</w:t>
            </w:r>
          </w:p>
        </w:tc>
        <w:tc>
          <w:tcPr>
            <w:tcW w:w="1701" w:type="dxa"/>
          </w:tcPr>
          <w:p w14:paraId="5AFD8EB9" w14:textId="77777777" w:rsidR="00A54B1F" w:rsidRPr="00135721" w:rsidRDefault="00A54B1F" w:rsidP="003844C2">
            <w:pPr>
              <w:jc w:val="center"/>
              <w:rPr>
                <w:sz w:val="20"/>
                <w:szCs w:val="20"/>
              </w:rPr>
            </w:pPr>
            <w:r w:rsidRPr="00135721">
              <w:rPr>
                <w:sz w:val="20"/>
                <w:szCs w:val="20"/>
              </w:rPr>
              <w:t>3</w:t>
            </w:r>
          </w:p>
        </w:tc>
        <w:tc>
          <w:tcPr>
            <w:tcW w:w="992" w:type="dxa"/>
          </w:tcPr>
          <w:p w14:paraId="4C5929E4" w14:textId="77777777" w:rsidR="00A54B1F" w:rsidRPr="00135721" w:rsidRDefault="00A54B1F" w:rsidP="003844C2">
            <w:pPr>
              <w:jc w:val="center"/>
              <w:rPr>
                <w:sz w:val="20"/>
                <w:szCs w:val="20"/>
              </w:rPr>
            </w:pPr>
            <w:r w:rsidRPr="00135721">
              <w:rPr>
                <w:sz w:val="20"/>
                <w:szCs w:val="20"/>
              </w:rPr>
              <w:t>3-2</w:t>
            </w:r>
          </w:p>
        </w:tc>
        <w:tc>
          <w:tcPr>
            <w:tcW w:w="846" w:type="dxa"/>
          </w:tcPr>
          <w:p w14:paraId="13A8F090" w14:textId="77777777" w:rsidR="00A54B1F" w:rsidRPr="00135721" w:rsidRDefault="00A54B1F" w:rsidP="003844C2">
            <w:pPr>
              <w:jc w:val="center"/>
              <w:rPr>
                <w:sz w:val="20"/>
                <w:szCs w:val="20"/>
              </w:rPr>
            </w:pPr>
            <w:r w:rsidRPr="00135721">
              <w:rPr>
                <w:sz w:val="20"/>
                <w:szCs w:val="20"/>
              </w:rPr>
              <w:t>3/2*100</w:t>
            </w:r>
          </w:p>
        </w:tc>
      </w:tr>
      <w:tr w:rsidR="00EF3003" w:rsidRPr="00135721" w14:paraId="068FE693" w14:textId="77777777" w:rsidTr="00AC387E">
        <w:trPr>
          <w:trHeight w:val="20"/>
        </w:trPr>
        <w:tc>
          <w:tcPr>
            <w:tcW w:w="2972" w:type="dxa"/>
            <w:vAlign w:val="bottom"/>
          </w:tcPr>
          <w:p w14:paraId="48DA5114" w14:textId="77777777" w:rsidR="00EF3003" w:rsidRPr="00135721" w:rsidRDefault="00EF3003" w:rsidP="00EF3003">
            <w:pPr>
              <w:rPr>
                <w:rFonts w:eastAsia="Times New Roman" w:cs="Arial"/>
                <w:sz w:val="20"/>
                <w:szCs w:val="20"/>
                <w:lang w:eastAsia="sk-SK"/>
              </w:rPr>
            </w:pPr>
            <w:r w:rsidRPr="00135721">
              <w:rPr>
                <w:rFonts w:eastAsia="Times New Roman" w:cs="Arial"/>
                <w:sz w:val="20"/>
                <w:szCs w:val="20"/>
                <w:lang w:eastAsia="sk-SK"/>
              </w:rPr>
              <w:t>Výdavky na vedu a techniku celkom</w:t>
            </w:r>
          </w:p>
        </w:tc>
        <w:tc>
          <w:tcPr>
            <w:tcW w:w="1418" w:type="dxa"/>
            <w:vAlign w:val="center"/>
          </w:tcPr>
          <w:p w14:paraId="7A653697" w14:textId="77777777" w:rsidR="00EF3003" w:rsidRDefault="00EF3003" w:rsidP="00EF3003">
            <w:pPr>
              <w:jc w:val="right"/>
              <w:rPr>
                <w:rFonts w:cs="Arial"/>
                <w:color w:val="000000"/>
                <w:sz w:val="20"/>
                <w:szCs w:val="20"/>
              </w:rPr>
            </w:pPr>
            <w:r>
              <w:rPr>
                <w:rFonts w:cs="Arial"/>
                <w:color w:val="000000"/>
                <w:sz w:val="20"/>
                <w:szCs w:val="20"/>
              </w:rPr>
              <w:t>398 081</w:t>
            </w:r>
          </w:p>
        </w:tc>
        <w:tc>
          <w:tcPr>
            <w:tcW w:w="1417" w:type="dxa"/>
            <w:vAlign w:val="center"/>
          </w:tcPr>
          <w:p w14:paraId="17EC4641" w14:textId="77777777" w:rsidR="00EF3003" w:rsidRDefault="00EF3003" w:rsidP="00EF3003">
            <w:pPr>
              <w:jc w:val="right"/>
              <w:rPr>
                <w:rFonts w:cs="Arial"/>
                <w:color w:val="000000"/>
                <w:sz w:val="20"/>
                <w:szCs w:val="20"/>
              </w:rPr>
            </w:pPr>
            <w:r>
              <w:rPr>
                <w:rFonts w:cs="Arial"/>
                <w:color w:val="000000"/>
                <w:sz w:val="20"/>
                <w:szCs w:val="20"/>
              </w:rPr>
              <w:t>317 206</w:t>
            </w:r>
          </w:p>
        </w:tc>
        <w:tc>
          <w:tcPr>
            <w:tcW w:w="1701" w:type="dxa"/>
            <w:vAlign w:val="center"/>
          </w:tcPr>
          <w:p w14:paraId="5E4FE7C7" w14:textId="77777777" w:rsidR="00EF3003" w:rsidRDefault="00EF3003" w:rsidP="00EF3003">
            <w:pPr>
              <w:jc w:val="right"/>
              <w:rPr>
                <w:rFonts w:cs="Arial"/>
                <w:color w:val="000000"/>
                <w:sz w:val="20"/>
                <w:szCs w:val="20"/>
              </w:rPr>
            </w:pPr>
            <w:r>
              <w:rPr>
                <w:rFonts w:cs="Arial"/>
                <w:color w:val="000000"/>
                <w:sz w:val="20"/>
                <w:szCs w:val="20"/>
              </w:rPr>
              <w:t>446 024</w:t>
            </w:r>
          </w:p>
        </w:tc>
        <w:tc>
          <w:tcPr>
            <w:tcW w:w="992" w:type="dxa"/>
            <w:vAlign w:val="center"/>
          </w:tcPr>
          <w:p w14:paraId="3A7BB807" w14:textId="77777777" w:rsidR="00EF3003" w:rsidRDefault="00EF3003" w:rsidP="00EF3003">
            <w:pPr>
              <w:jc w:val="right"/>
              <w:rPr>
                <w:rFonts w:cs="Arial"/>
                <w:color w:val="000000"/>
                <w:sz w:val="20"/>
                <w:szCs w:val="20"/>
              </w:rPr>
            </w:pPr>
            <w:r>
              <w:rPr>
                <w:rFonts w:cs="Arial"/>
                <w:color w:val="000000"/>
                <w:sz w:val="20"/>
                <w:szCs w:val="20"/>
              </w:rPr>
              <w:t>128 818</w:t>
            </w:r>
          </w:p>
        </w:tc>
        <w:tc>
          <w:tcPr>
            <w:tcW w:w="846" w:type="dxa"/>
            <w:vAlign w:val="center"/>
          </w:tcPr>
          <w:p w14:paraId="374FAC40" w14:textId="77777777" w:rsidR="00EF3003" w:rsidRPr="009C2AB5" w:rsidRDefault="00EF3003" w:rsidP="00EF3003">
            <w:pPr>
              <w:jc w:val="right"/>
              <w:rPr>
                <w:rFonts w:eastAsia="Times New Roman" w:cs="Times New Roman"/>
                <w:color w:val="000000"/>
                <w:sz w:val="20"/>
                <w:szCs w:val="20"/>
                <w:lang w:eastAsia="sk-SK"/>
              </w:rPr>
            </w:pPr>
            <w:r w:rsidRPr="009C2AB5">
              <w:rPr>
                <w:rFonts w:eastAsia="Times New Roman" w:cs="Times New Roman"/>
                <w:color w:val="000000"/>
                <w:sz w:val="20"/>
                <w:szCs w:val="20"/>
                <w:lang w:eastAsia="sk-SK"/>
              </w:rPr>
              <w:t>140,6</w:t>
            </w:r>
          </w:p>
        </w:tc>
      </w:tr>
      <w:tr w:rsidR="00EF3003" w:rsidRPr="00135721" w14:paraId="0617D4DB" w14:textId="77777777" w:rsidTr="00AC387E">
        <w:trPr>
          <w:trHeight w:val="20"/>
        </w:trPr>
        <w:tc>
          <w:tcPr>
            <w:tcW w:w="2972" w:type="dxa"/>
            <w:vAlign w:val="bottom"/>
          </w:tcPr>
          <w:p w14:paraId="598D4847" w14:textId="77777777" w:rsidR="00EF3003" w:rsidRPr="00135721" w:rsidRDefault="00EF3003" w:rsidP="00EF3003">
            <w:pPr>
              <w:rPr>
                <w:rFonts w:eastAsia="Times New Roman" w:cs="Arial"/>
                <w:sz w:val="20"/>
                <w:szCs w:val="20"/>
                <w:lang w:eastAsia="sk-SK"/>
              </w:rPr>
            </w:pPr>
            <w:r w:rsidRPr="00135721">
              <w:rPr>
                <w:rFonts w:eastAsia="Times New Roman" w:cs="Arial"/>
                <w:sz w:val="20"/>
                <w:szCs w:val="20"/>
                <w:lang w:eastAsia="sk-SK"/>
              </w:rPr>
              <w:t xml:space="preserve">Veda a technika v MŠVVŠ SR zo ŠR </w:t>
            </w:r>
          </w:p>
        </w:tc>
        <w:tc>
          <w:tcPr>
            <w:tcW w:w="1418" w:type="dxa"/>
            <w:vAlign w:val="center"/>
          </w:tcPr>
          <w:p w14:paraId="1C1AB272" w14:textId="77777777" w:rsidR="00EF3003" w:rsidRDefault="00EF3003" w:rsidP="00EF3003">
            <w:pPr>
              <w:jc w:val="right"/>
              <w:rPr>
                <w:rFonts w:cs="Arial"/>
                <w:color w:val="000000"/>
                <w:sz w:val="20"/>
                <w:szCs w:val="20"/>
              </w:rPr>
            </w:pPr>
            <w:r>
              <w:rPr>
                <w:rFonts w:cs="Arial"/>
                <w:color w:val="000000"/>
                <w:sz w:val="20"/>
                <w:szCs w:val="20"/>
              </w:rPr>
              <w:t>239 830</w:t>
            </w:r>
          </w:p>
        </w:tc>
        <w:tc>
          <w:tcPr>
            <w:tcW w:w="1417" w:type="dxa"/>
            <w:vAlign w:val="center"/>
          </w:tcPr>
          <w:p w14:paraId="473C9369" w14:textId="77777777" w:rsidR="00EF3003" w:rsidRDefault="00EF3003" w:rsidP="00EF3003">
            <w:pPr>
              <w:jc w:val="right"/>
              <w:rPr>
                <w:rFonts w:cs="Arial"/>
                <w:color w:val="000000"/>
                <w:sz w:val="20"/>
                <w:szCs w:val="20"/>
              </w:rPr>
            </w:pPr>
            <w:r>
              <w:rPr>
                <w:rFonts w:cs="Arial"/>
                <w:color w:val="000000"/>
                <w:sz w:val="20"/>
                <w:szCs w:val="20"/>
              </w:rPr>
              <w:t>228 436</w:t>
            </w:r>
          </w:p>
        </w:tc>
        <w:tc>
          <w:tcPr>
            <w:tcW w:w="1701" w:type="dxa"/>
            <w:vAlign w:val="center"/>
          </w:tcPr>
          <w:p w14:paraId="79EFEE5F" w14:textId="77777777" w:rsidR="00EF3003" w:rsidRDefault="00EF3003" w:rsidP="00EF3003">
            <w:pPr>
              <w:jc w:val="right"/>
              <w:rPr>
                <w:rFonts w:cs="Arial"/>
                <w:color w:val="000000"/>
                <w:sz w:val="20"/>
                <w:szCs w:val="20"/>
              </w:rPr>
            </w:pPr>
            <w:r>
              <w:rPr>
                <w:rFonts w:cs="Arial"/>
                <w:color w:val="000000"/>
                <w:sz w:val="20"/>
                <w:szCs w:val="20"/>
              </w:rPr>
              <w:t>243 572</w:t>
            </w:r>
          </w:p>
        </w:tc>
        <w:tc>
          <w:tcPr>
            <w:tcW w:w="992" w:type="dxa"/>
            <w:vAlign w:val="center"/>
          </w:tcPr>
          <w:p w14:paraId="04989A71" w14:textId="77777777" w:rsidR="00EF3003" w:rsidRDefault="00EF3003" w:rsidP="00EF3003">
            <w:pPr>
              <w:jc w:val="right"/>
              <w:rPr>
                <w:rFonts w:cs="Arial"/>
                <w:color w:val="000000"/>
                <w:sz w:val="20"/>
                <w:szCs w:val="20"/>
              </w:rPr>
            </w:pPr>
            <w:r>
              <w:rPr>
                <w:rFonts w:cs="Arial"/>
                <w:color w:val="000000"/>
                <w:sz w:val="20"/>
                <w:szCs w:val="20"/>
              </w:rPr>
              <w:t>15 136</w:t>
            </w:r>
          </w:p>
        </w:tc>
        <w:tc>
          <w:tcPr>
            <w:tcW w:w="846" w:type="dxa"/>
            <w:vAlign w:val="center"/>
          </w:tcPr>
          <w:p w14:paraId="6D699220" w14:textId="77777777" w:rsidR="00EF3003" w:rsidRPr="009C2AB5" w:rsidRDefault="00EF3003" w:rsidP="00EF3003">
            <w:pPr>
              <w:jc w:val="right"/>
              <w:rPr>
                <w:rFonts w:eastAsia="Times New Roman" w:cs="Times New Roman"/>
                <w:color w:val="000000"/>
                <w:sz w:val="20"/>
                <w:szCs w:val="20"/>
                <w:lang w:eastAsia="sk-SK"/>
              </w:rPr>
            </w:pPr>
            <w:r w:rsidRPr="009C2AB5">
              <w:rPr>
                <w:rFonts w:eastAsia="Times New Roman" w:cs="Times New Roman"/>
                <w:color w:val="000000"/>
                <w:sz w:val="20"/>
                <w:szCs w:val="20"/>
                <w:lang w:eastAsia="sk-SK"/>
              </w:rPr>
              <w:t>106,6</w:t>
            </w:r>
          </w:p>
        </w:tc>
      </w:tr>
    </w:tbl>
    <w:p w14:paraId="5B4D9984" w14:textId="1EA18FC5" w:rsidR="00A54B1F" w:rsidRPr="00EB336B" w:rsidRDefault="00A54B1F" w:rsidP="00A54B1F">
      <w:pPr>
        <w:spacing w:after="120"/>
        <w:jc w:val="both"/>
        <w:rPr>
          <w:i/>
          <w:sz w:val="18"/>
          <w:szCs w:val="20"/>
        </w:rPr>
      </w:pPr>
      <w:r w:rsidRPr="00EB336B">
        <w:rPr>
          <w:i/>
          <w:sz w:val="18"/>
          <w:szCs w:val="20"/>
        </w:rPr>
        <w:t xml:space="preserve">Zdroj: Návrh </w:t>
      </w:r>
      <w:r w:rsidR="00EB336B">
        <w:rPr>
          <w:i/>
          <w:sz w:val="18"/>
          <w:szCs w:val="20"/>
        </w:rPr>
        <w:t>RVS</w:t>
      </w:r>
      <w:r w:rsidRPr="00EB336B">
        <w:rPr>
          <w:i/>
          <w:sz w:val="18"/>
          <w:szCs w:val="20"/>
        </w:rPr>
        <w:t xml:space="preserve"> na ro</w:t>
      </w:r>
      <w:r w:rsidR="00E06664" w:rsidRPr="00EB336B">
        <w:rPr>
          <w:i/>
          <w:sz w:val="18"/>
          <w:szCs w:val="20"/>
        </w:rPr>
        <w:t>ky 2020 až 2022</w:t>
      </w:r>
    </w:p>
    <w:p w14:paraId="4B07537D" w14:textId="77777777" w:rsidR="006926C2" w:rsidRDefault="006926C2" w:rsidP="006926C2">
      <w:pPr>
        <w:pStyle w:val="Nadpis2"/>
      </w:pPr>
      <w:bookmarkStart w:id="33" w:name="_Toc24098450"/>
      <w:r>
        <w:t>4.2</w:t>
      </w:r>
      <w:r>
        <w:tab/>
        <w:t xml:space="preserve"> Zdravotníctvo</w:t>
      </w:r>
      <w:bookmarkEnd w:id="33"/>
    </w:p>
    <w:p w14:paraId="731AC9E2" w14:textId="1484E87B" w:rsidR="00BE3D14" w:rsidRDefault="00BE3D14" w:rsidP="00714481">
      <w:pPr>
        <w:pStyle w:val="Zkladntext"/>
        <w:ind w:firstLine="709"/>
        <w:jc w:val="both"/>
        <w:rPr>
          <w:szCs w:val="22"/>
        </w:rPr>
      </w:pPr>
      <w:r>
        <w:rPr>
          <w:szCs w:val="22"/>
        </w:rPr>
        <w:t xml:space="preserve">Celkové výdavky verejného zdravotného poistenia na rok 2020 sa rozpočtujú na úrovni 5 418 027 tis. eur a v porovnaní so schváleným </w:t>
      </w:r>
      <w:r w:rsidR="008B760E">
        <w:rPr>
          <w:szCs w:val="22"/>
        </w:rPr>
        <w:t>rozpočtom na rok 2019 sa zvýšia</w:t>
      </w:r>
      <w:r>
        <w:rPr>
          <w:szCs w:val="22"/>
        </w:rPr>
        <w:t xml:space="preserve"> o 432 439 tis. eur (o 8,7 %). Verejné výdavky na zdravotní</w:t>
      </w:r>
      <w:r w:rsidR="003A30E9">
        <w:rPr>
          <w:szCs w:val="22"/>
        </w:rPr>
        <w:t xml:space="preserve">ctvo v SR </w:t>
      </w:r>
      <w:r w:rsidR="00CA6088">
        <w:rPr>
          <w:szCs w:val="22"/>
        </w:rPr>
        <w:t xml:space="preserve">v roku 2018 predstavovali </w:t>
      </w:r>
      <w:r w:rsidR="003A30E9">
        <w:rPr>
          <w:szCs w:val="22"/>
        </w:rPr>
        <w:t xml:space="preserve">podľa OECD </w:t>
      </w:r>
      <w:r>
        <w:rPr>
          <w:szCs w:val="22"/>
        </w:rPr>
        <w:t>5,</w:t>
      </w:r>
      <w:r w:rsidR="003A30E9">
        <w:rPr>
          <w:szCs w:val="22"/>
        </w:rPr>
        <w:t>4 % HDP, čo bolo</w:t>
      </w:r>
      <w:r>
        <w:rPr>
          <w:szCs w:val="22"/>
        </w:rPr>
        <w:t xml:space="preserve"> viac ako priemer krajín V3 (5,1 %) a me</w:t>
      </w:r>
      <w:r w:rsidR="00D73DB5">
        <w:rPr>
          <w:szCs w:val="22"/>
        </w:rPr>
        <w:t>nej ako priemer EÚ 15 (7,2 %).</w:t>
      </w:r>
    </w:p>
    <w:p w14:paraId="5DB5C4DB" w14:textId="77777777" w:rsidR="00D73DB5" w:rsidRDefault="00D73DB5" w:rsidP="00D73DB5">
      <w:pPr>
        <w:pStyle w:val="Zkladntext"/>
        <w:ind w:firstLine="709"/>
        <w:jc w:val="both"/>
        <w:rPr>
          <w:szCs w:val="22"/>
        </w:rPr>
      </w:pPr>
      <w:r>
        <w:rPr>
          <w:szCs w:val="22"/>
        </w:rPr>
        <w:t xml:space="preserve">Výsledky slovenského zdravotníctva nezodpovedajú výdavkom. Podľa revízie výdavkov na zdravotníctvo II (ďalej revízia) na Slovensku pripadá ročne na 100 tis. obyvateľov 168 úmrtí, ktoré mohli byť odvrátené včasnou zdravotnou starostlivosťou. V krajinách V3 počet týchto úmrtí dosahuje ročne 145 na 100 tis. obyvateľov. Vláda si dala za cieľ znížiť počet odvrátiteľných úmrtí na úroveň V3 do roku 2025. </w:t>
      </w:r>
    </w:p>
    <w:p w14:paraId="2E4CEF8F" w14:textId="77777777" w:rsidR="00D73DB5" w:rsidRDefault="00D73DB5" w:rsidP="00D73DB5">
      <w:pPr>
        <w:pStyle w:val="Zkladntext"/>
        <w:ind w:firstLine="709"/>
        <w:jc w:val="both"/>
        <w:rPr>
          <w:szCs w:val="22"/>
        </w:rPr>
      </w:pPr>
      <w:r>
        <w:rPr>
          <w:szCs w:val="22"/>
        </w:rPr>
        <w:t xml:space="preserve">Nižšiu hodnotu za peniaze v slovenskom zdravotníctve spôsobuje neefektívna alokácia zdrojov. Podľa revízie je priestor na zefektívnenie najmä v liekovej politike a to v znížení výdavkov na lieky, ktoré nespĺňajú kritériá nákladovej efektívnosti, v rozširovaní centrálnych nákupov, v oblasti liekov na výnimky a v zavedení prínosov elektronickej </w:t>
      </w:r>
      <w:proofErr w:type="spellStart"/>
      <w:r>
        <w:rPr>
          <w:szCs w:val="22"/>
        </w:rPr>
        <w:t>preskripcie</w:t>
      </w:r>
      <w:proofErr w:type="spellEnd"/>
      <w:r>
        <w:rPr>
          <w:szCs w:val="22"/>
        </w:rPr>
        <w:t xml:space="preserve"> do praxe. V roku 2020 by mali byť realizované úsporné opatrenia vo výške 148 mil. eur z verejného zdravotného poistenia, z toho 114 mil. eur vo výdavkoch na lieky a dietetické potraviny. </w:t>
      </w:r>
    </w:p>
    <w:tbl>
      <w:tblPr>
        <w:tblW w:w="9500" w:type="dxa"/>
        <w:jc w:val="center"/>
        <w:tblLayout w:type="fixed"/>
        <w:tblCellMar>
          <w:left w:w="70" w:type="dxa"/>
          <w:right w:w="70" w:type="dxa"/>
        </w:tblCellMar>
        <w:tblLook w:val="04A0" w:firstRow="1" w:lastRow="0" w:firstColumn="1" w:lastColumn="0" w:noHBand="0" w:noVBand="1"/>
      </w:tblPr>
      <w:tblGrid>
        <w:gridCol w:w="2557"/>
        <w:gridCol w:w="1275"/>
        <w:gridCol w:w="993"/>
        <w:gridCol w:w="992"/>
        <w:gridCol w:w="1134"/>
        <w:gridCol w:w="992"/>
        <w:gridCol w:w="851"/>
        <w:gridCol w:w="706"/>
      </w:tblGrid>
      <w:tr w:rsidR="00BE3D14" w:rsidRPr="00BB6C53" w14:paraId="4B1133D1" w14:textId="77777777" w:rsidTr="00245744">
        <w:trPr>
          <w:trHeight w:val="20"/>
          <w:tblHeader/>
          <w:jc w:val="center"/>
        </w:trPr>
        <w:tc>
          <w:tcPr>
            <w:tcW w:w="2557" w:type="dxa"/>
            <w:tcBorders>
              <w:top w:val="single" w:sz="4" w:space="0" w:color="auto"/>
              <w:left w:val="single" w:sz="4" w:space="0" w:color="auto"/>
              <w:right w:val="single" w:sz="4" w:space="0" w:color="FFFFFF" w:themeColor="background1"/>
            </w:tcBorders>
            <w:shd w:val="clear" w:color="000000" w:fill="0070C0"/>
            <w:vAlign w:val="center"/>
            <w:hideMark/>
          </w:tcPr>
          <w:p w14:paraId="0C9CE33A" w14:textId="131673AE" w:rsidR="00BE3D14" w:rsidRPr="00BB6C53" w:rsidRDefault="00F9079C" w:rsidP="00BE3D14">
            <w:pPr>
              <w:jc w:val="center"/>
              <w:rPr>
                <w:rFonts w:eastAsia="Times New Roman" w:cs="Times New Roman"/>
                <w:b/>
                <w:bCs/>
                <w:color w:val="FFFFFF"/>
                <w:sz w:val="20"/>
                <w:szCs w:val="20"/>
              </w:rPr>
            </w:pPr>
            <w:r>
              <w:rPr>
                <w:rFonts w:eastAsia="Times New Roman" w:cs="Times New Roman"/>
                <w:b/>
                <w:bCs/>
                <w:color w:val="FFFFFF"/>
                <w:sz w:val="20"/>
                <w:szCs w:val="20"/>
              </w:rPr>
              <w:lastRenderedPageBreak/>
              <w:t>Výdavky verejného zdravotného poistenia</w:t>
            </w:r>
          </w:p>
          <w:p w14:paraId="79C5EDC0" w14:textId="77777777" w:rsidR="00BE3D14" w:rsidRPr="00F9079C" w:rsidRDefault="00BE3D14" w:rsidP="00BE3D14">
            <w:pPr>
              <w:jc w:val="center"/>
              <w:rPr>
                <w:rFonts w:eastAsia="Times New Roman" w:cs="Times New Roman"/>
                <w:b/>
                <w:bCs/>
                <w:color w:val="FFFFFF"/>
                <w:sz w:val="20"/>
                <w:szCs w:val="20"/>
              </w:rPr>
            </w:pPr>
            <w:r w:rsidRPr="00F9079C">
              <w:rPr>
                <w:rFonts w:eastAsia="Times New Roman" w:cs="Times New Roman"/>
                <w:b/>
                <w:color w:val="FFFFFF"/>
                <w:sz w:val="20"/>
                <w:szCs w:val="20"/>
              </w:rPr>
              <w:t>(v tis. eur)</w:t>
            </w:r>
          </w:p>
        </w:tc>
        <w:tc>
          <w:tcPr>
            <w:tcW w:w="1275" w:type="dxa"/>
            <w:tcBorders>
              <w:top w:val="single" w:sz="4" w:space="0" w:color="auto"/>
              <w:left w:val="single" w:sz="4" w:space="0" w:color="FFFFFF" w:themeColor="background1"/>
              <w:right w:val="single" w:sz="4" w:space="0" w:color="FFFFFF" w:themeColor="background1"/>
            </w:tcBorders>
            <w:shd w:val="clear" w:color="000000" w:fill="0070C0"/>
            <w:vAlign w:val="center"/>
            <w:hideMark/>
          </w:tcPr>
          <w:p w14:paraId="393EDC1B"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Skutočnosť</w:t>
            </w:r>
          </w:p>
          <w:p w14:paraId="3B8ECD4D"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2018</w:t>
            </w:r>
          </w:p>
        </w:tc>
        <w:tc>
          <w:tcPr>
            <w:tcW w:w="993" w:type="dxa"/>
            <w:tcBorders>
              <w:top w:val="single" w:sz="4" w:space="0" w:color="auto"/>
              <w:left w:val="single" w:sz="4" w:space="0" w:color="FFFFFF" w:themeColor="background1"/>
              <w:right w:val="single" w:sz="4" w:space="0" w:color="FFFFFF" w:themeColor="background1"/>
            </w:tcBorders>
            <w:shd w:val="clear" w:color="000000" w:fill="0070C0"/>
            <w:vAlign w:val="center"/>
            <w:hideMark/>
          </w:tcPr>
          <w:p w14:paraId="7066E67A"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Rozpočet</w:t>
            </w:r>
          </w:p>
          <w:p w14:paraId="36A4B88D"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2019</w:t>
            </w:r>
          </w:p>
        </w:tc>
        <w:tc>
          <w:tcPr>
            <w:tcW w:w="992" w:type="dxa"/>
            <w:tcBorders>
              <w:top w:val="single" w:sz="4" w:space="0" w:color="auto"/>
              <w:left w:val="single" w:sz="4" w:space="0" w:color="FFFFFF" w:themeColor="background1"/>
              <w:right w:val="single" w:sz="4" w:space="0" w:color="FFFFFF" w:themeColor="background1"/>
            </w:tcBorders>
            <w:shd w:val="clear" w:color="000000" w:fill="0070C0"/>
            <w:vAlign w:val="center"/>
            <w:hideMark/>
          </w:tcPr>
          <w:p w14:paraId="6848D828"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Návrh rozpočtu</w:t>
            </w:r>
          </w:p>
          <w:p w14:paraId="4D9955B1"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2020</w:t>
            </w:r>
          </w:p>
        </w:tc>
        <w:tc>
          <w:tcPr>
            <w:tcW w:w="1134" w:type="dxa"/>
            <w:tcBorders>
              <w:top w:val="single" w:sz="4" w:space="0" w:color="auto"/>
              <w:left w:val="single" w:sz="4" w:space="0" w:color="FFFFFF" w:themeColor="background1"/>
              <w:right w:val="single" w:sz="4" w:space="0" w:color="FFFFFF" w:themeColor="background1"/>
            </w:tcBorders>
            <w:shd w:val="clear" w:color="000000" w:fill="0070C0"/>
            <w:vAlign w:val="center"/>
            <w:hideMark/>
          </w:tcPr>
          <w:p w14:paraId="0E793501"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Podiel z VZP</w:t>
            </w:r>
          </w:p>
          <w:p w14:paraId="5AF328B3" w14:textId="17798A3D" w:rsidR="00BE3D14" w:rsidRPr="00BB6C53" w:rsidRDefault="00245744" w:rsidP="00BE3D14">
            <w:pPr>
              <w:jc w:val="center"/>
              <w:rPr>
                <w:rFonts w:eastAsia="Times New Roman" w:cs="Times New Roman"/>
                <w:b/>
                <w:bCs/>
                <w:color w:val="FFFFFF"/>
                <w:sz w:val="20"/>
                <w:szCs w:val="20"/>
              </w:rPr>
            </w:pPr>
            <w:r>
              <w:rPr>
                <w:rFonts w:eastAsia="Times New Roman" w:cs="Times New Roman"/>
                <w:b/>
                <w:bCs/>
                <w:color w:val="FFFFFF"/>
                <w:sz w:val="20"/>
                <w:szCs w:val="20"/>
              </w:rPr>
              <w:t>(</w:t>
            </w:r>
            <w:r w:rsidR="00BE3D14" w:rsidRPr="00BB6C53">
              <w:rPr>
                <w:rFonts w:eastAsia="Times New Roman" w:cs="Times New Roman"/>
                <w:b/>
                <w:bCs/>
                <w:color w:val="FFFFFF"/>
                <w:sz w:val="20"/>
                <w:szCs w:val="20"/>
              </w:rPr>
              <w:t>v %</w:t>
            </w:r>
            <w:r>
              <w:rPr>
                <w:rFonts w:eastAsia="Times New Roman" w:cs="Times New Roman"/>
                <w:b/>
                <w:bCs/>
                <w:color w:val="FFFFFF"/>
                <w:sz w:val="20"/>
                <w:szCs w:val="20"/>
              </w:rPr>
              <w:t>)</w:t>
            </w:r>
          </w:p>
        </w:tc>
        <w:tc>
          <w:tcPr>
            <w:tcW w:w="992" w:type="dxa"/>
            <w:tcBorders>
              <w:top w:val="single" w:sz="4" w:space="0" w:color="auto"/>
              <w:left w:val="single" w:sz="4" w:space="0" w:color="FFFFFF" w:themeColor="background1"/>
              <w:right w:val="single" w:sz="4" w:space="0" w:color="FFFFFF" w:themeColor="background1"/>
            </w:tcBorders>
            <w:shd w:val="clear" w:color="000000" w:fill="0070C0"/>
            <w:vAlign w:val="center"/>
            <w:hideMark/>
          </w:tcPr>
          <w:p w14:paraId="3D6D43DA"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Úsporné opatrenia</w:t>
            </w:r>
          </w:p>
          <w:p w14:paraId="23D0E075"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2020</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070C0"/>
            <w:vAlign w:val="center"/>
            <w:hideMark/>
          </w:tcPr>
          <w:p w14:paraId="1F3FAF50"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Rozdiel</w:t>
            </w:r>
          </w:p>
        </w:tc>
        <w:tc>
          <w:tcPr>
            <w:tcW w:w="706" w:type="dxa"/>
            <w:tcBorders>
              <w:top w:val="single" w:sz="4" w:space="0" w:color="auto"/>
              <w:left w:val="single" w:sz="4" w:space="0" w:color="FFFFFF" w:themeColor="background1"/>
              <w:right w:val="single" w:sz="4" w:space="0" w:color="auto"/>
            </w:tcBorders>
            <w:shd w:val="clear" w:color="000000" w:fill="0070C0"/>
            <w:vAlign w:val="center"/>
            <w:hideMark/>
          </w:tcPr>
          <w:p w14:paraId="69355C7D" w14:textId="77777777" w:rsidR="00BE3D14" w:rsidRPr="00BB6C53" w:rsidRDefault="00BE3D14" w:rsidP="00BE3D14">
            <w:pPr>
              <w:jc w:val="center"/>
              <w:rPr>
                <w:rFonts w:eastAsia="Times New Roman" w:cs="Times New Roman"/>
                <w:b/>
                <w:bCs/>
                <w:color w:val="FFFFFF"/>
                <w:sz w:val="20"/>
                <w:szCs w:val="20"/>
              </w:rPr>
            </w:pPr>
            <w:r w:rsidRPr="00BB6C53">
              <w:rPr>
                <w:rFonts w:eastAsia="Times New Roman" w:cs="Times New Roman"/>
                <w:b/>
                <w:bCs/>
                <w:color w:val="FFFFFF"/>
                <w:sz w:val="20"/>
                <w:szCs w:val="20"/>
              </w:rPr>
              <w:t xml:space="preserve">Podiel </w:t>
            </w:r>
          </w:p>
          <w:p w14:paraId="3F2A0BBD" w14:textId="07AE504A" w:rsidR="00BE3D14" w:rsidRPr="00BB6C53" w:rsidRDefault="00245744" w:rsidP="00BE3D14">
            <w:pPr>
              <w:jc w:val="center"/>
              <w:rPr>
                <w:rFonts w:eastAsia="Times New Roman" w:cs="Times New Roman"/>
                <w:b/>
                <w:bCs/>
                <w:color w:val="FFFFFF"/>
                <w:sz w:val="20"/>
                <w:szCs w:val="20"/>
              </w:rPr>
            </w:pPr>
            <w:r>
              <w:rPr>
                <w:rFonts w:eastAsia="Times New Roman" w:cs="Times New Roman"/>
                <w:b/>
                <w:bCs/>
                <w:color w:val="FFFFFF"/>
                <w:sz w:val="20"/>
                <w:szCs w:val="20"/>
              </w:rPr>
              <w:t>(</w:t>
            </w:r>
            <w:r w:rsidR="00BE3D14" w:rsidRPr="00BB6C53">
              <w:rPr>
                <w:rFonts w:eastAsia="Times New Roman" w:cs="Times New Roman"/>
                <w:b/>
                <w:bCs/>
                <w:color w:val="FFFFFF"/>
                <w:sz w:val="20"/>
                <w:szCs w:val="20"/>
              </w:rPr>
              <w:t>v %</w:t>
            </w:r>
            <w:r>
              <w:rPr>
                <w:rFonts w:eastAsia="Times New Roman" w:cs="Times New Roman"/>
                <w:b/>
                <w:bCs/>
                <w:color w:val="FFFFFF"/>
                <w:sz w:val="20"/>
                <w:szCs w:val="20"/>
              </w:rPr>
              <w:t>)</w:t>
            </w:r>
          </w:p>
        </w:tc>
      </w:tr>
      <w:tr w:rsidR="00BE3D14" w:rsidRPr="00BB6C53" w14:paraId="46F2F380"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DFDB0D0"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a</w:t>
            </w:r>
          </w:p>
        </w:tc>
        <w:tc>
          <w:tcPr>
            <w:tcW w:w="1275" w:type="dxa"/>
            <w:tcBorders>
              <w:top w:val="nil"/>
              <w:left w:val="nil"/>
              <w:bottom w:val="single" w:sz="4" w:space="0" w:color="auto"/>
              <w:right w:val="single" w:sz="4" w:space="0" w:color="auto"/>
            </w:tcBorders>
            <w:shd w:val="clear" w:color="auto" w:fill="auto"/>
            <w:vAlign w:val="center"/>
            <w:hideMark/>
          </w:tcPr>
          <w:p w14:paraId="38751E3D"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14:paraId="0015DB9D"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6196B428"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14:paraId="6D8A3D1E"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6B57A686"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14:paraId="1C9C61FC"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 xml:space="preserve"> 3-2</w:t>
            </w:r>
          </w:p>
        </w:tc>
        <w:tc>
          <w:tcPr>
            <w:tcW w:w="706" w:type="dxa"/>
            <w:tcBorders>
              <w:top w:val="nil"/>
              <w:left w:val="nil"/>
              <w:bottom w:val="single" w:sz="4" w:space="0" w:color="auto"/>
              <w:right w:val="single" w:sz="4" w:space="0" w:color="auto"/>
            </w:tcBorders>
            <w:shd w:val="clear" w:color="auto" w:fill="auto"/>
            <w:vAlign w:val="center"/>
            <w:hideMark/>
          </w:tcPr>
          <w:p w14:paraId="3667CB67" w14:textId="77777777" w:rsidR="00BE3D14" w:rsidRPr="00BB6C53" w:rsidRDefault="00BE3D14" w:rsidP="00BE3D14">
            <w:pPr>
              <w:jc w:val="center"/>
              <w:rPr>
                <w:rFonts w:eastAsia="Times New Roman" w:cs="Times New Roman"/>
                <w:color w:val="000000"/>
                <w:sz w:val="20"/>
                <w:szCs w:val="20"/>
              </w:rPr>
            </w:pPr>
            <w:r w:rsidRPr="00BB6C53">
              <w:rPr>
                <w:rFonts w:eastAsia="Times New Roman" w:cs="Times New Roman"/>
                <w:color w:val="000000"/>
                <w:sz w:val="20"/>
                <w:szCs w:val="20"/>
              </w:rPr>
              <w:t>3/2*100</w:t>
            </w:r>
          </w:p>
        </w:tc>
      </w:tr>
      <w:tr w:rsidR="00BE3D14" w:rsidRPr="00135721" w14:paraId="5CE4F863"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1746178" w14:textId="77777777" w:rsidR="00BE3D14" w:rsidRPr="00135721" w:rsidRDefault="00BE3D14" w:rsidP="00BE3D14">
            <w:pPr>
              <w:rPr>
                <w:rFonts w:eastAsia="Times New Roman" w:cs="Times New Roman"/>
                <w:b/>
                <w:color w:val="000000"/>
                <w:sz w:val="20"/>
                <w:szCs w:val="20"/>
              </w:rPr>
            </w:pPr>
            <w:r w:rsidRPr="00135721">
              <w:rPr>
                <w:rFonts w:eastAsia="Times New Roman" w:cs="Times New Roman"/>
                <w:b/>
                <w:color w:val="000000"/>
                <w:sz w:val="20"/>
                <w:szCs w:val="20"/>
              </w:rPr>
              <w:t>Výdavky VZP spolu</w:t>
            </w:r>
          </w:p>
        </w:tc>
        <w:tc>
          <w:tcPr>
            <w:tcW w:w="1275" w:type="dxa"/>
            <w:tcBorders>
              <w:top w:val="nil"/>
              <w:left w:val="nil"/>
              <w:bottom w:val="single" w:sz="4" w:space="0" w:color="auto"/>
              <w:right w:val="single" w:sz="4" w:space="0" w:color="auto"/>
            </w:tcBorders>
            <w:shd w:val="clear" w:color="auto" w:fill="auto"/>
            <w:vAlign w:val="center"/>
            <w:hideMark/>
          </w:tcPr>
          <w:p w14:paraId="18CC2EFC"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4 992 754</w:t>
            </w:r>
          </w:p>
        </w:tc>
        <w:tc>
          <w:tcPr>
            <w:tcW w:w="993" w:type="dxa"/>
            <w:tcBorders>
              <w:top w:val="nil"/>
              <w:left w:val="nil"/>
              <w:bottom w:val="single" w:sz="4" w:space="0" w:color="auto"/>
              <w:right w:val="single" w:sz="4" w:space="0" w:color="auto"/>
            </w:tcBorders>
            <w:shd w:val="clear" w:color="auto" w:fill="auto"/>
            <w:vAlign w:val="center"/>
            <w:hideMark/>
          </w:tcPr>
          <w:p w14:paraId="6C332CB8"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4 985 588</w:t>
            </w:r>
          </w:p>
        </w:tc>
        <w:tc>
          <w:tcPr>
            <w:tcW w:w="992" w:type="dxa"/>
            <w:tcBorders>
              <w:top w:val="nil"/>
              <w:left w:val="nil"/>
              <w:bottom w:val="single" w:sz="4" w:space="0" w:color="auto"/>
              <w:right w:val="single" w:sz="4" w:space="0" w:color="auto"/>
            </w:tcBorders>
            <w:shd w:val="clear" w:color="auto" w:fill="auto"/>
            <w:vAlign w:val="center"/>
            <w:hideMark/>
          </w:tcPr>
          <w:p w14:paraId="0247915F"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5 418 027</w:t>
            </w:r>
          </w:p>
        </w:tc>
        <w:tc>
          <w:tcPr>
            <w:tcW w:w="1134" w:type="dxa"/>
            <w:tcBorders>
              <w:top w:val="nil"/>
              <w:left w:val="nil"/>
              <w:bottom w:val="single" w:sz="4" w:space="0" w:color="auto"/>
              <w:right w:val="single" w:sz="4" w:space="0" w:color="auto"/>
            </w:tcBorders>
            <w:shd w:val="clear" w:color="auto" w:fill="auto"/>
            <w:vAlign w:val="center"/>
            <w:hideMark/>
          </w:tcPr>
          <w:p w14:paraId="0EA0AD2D"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14:paraId="45204BA6"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-148 000</w:t>
            </w:r>
          </w:p>
        </w:tc>
        <w:tc>
          <w:tcPr>
            <w:tcW w:w="851" w:type="dxa"/>
            <w:tcBorders>
              <w:top w:val="nil"/>
              <w:left w:val="nil"/>
              <w:bottom w:val="single" w:sz="4" w:space="0" w:color="auto"/>
              <w:right w:val="single" w:sz="4" w:space="0" w:color="auto"/>
            </w:tcBorders>
            <w:shd w:val="clear" w:color="auto" w:fill="auto"/>
            <w:vAlign w:val="center"/>
            <w:hideMark/>
          </w:tcPr>
          <w:p w14:paraId="030307E9"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432 439</w:t>
            </w:r>
          </w:p>
        </w:tc>
        <w:tc>
          <w:tcPr>
            <w:tcW w:w="706" w:type="dxa"/>
            <w:tcBorders>
              <w:top w:val="nil"/>
              <w:left w:val="nil"/>
              <w:bottom w:val="single" w:sz="4" w:space="0" w:color="auto"/>
              <w:right w:val="single" w:sz="4" w:space="0" w:color="auto"/>
            </w:tcBorders>
            <w:shd w:val="clear" w:color="auto" w:fill="auto"/>
            <w:vAlign w:val="center"/>
            <w:hideMark/>
          </w:tcPr>
          <w:p w14:paraId="265318A3" w14:textId="77777777" w:rsidR="00BE3D14" w:rsidRPr="00135721" w:rsidRDefault="00BE3D14" w:rsidP="00BE3D14">
            <w:pPr>
              <w:jc w:val="right"/>
              <w:rPr>
                <w:rFonts w:eastAsia="Times New Roman" w:cs="Times New Roman"/>
                <w:b/>
                <w:color w:val="000000"/>
                <w:sz w:val="20"/>
                <w:szCs w:val="20"/>
              </w:rPr>
            </w:pPr>
            <w:r w:rsidRPr="00135721">
              <w:rPr>
                <w:rFonts w:eastAsia="Times New Roman" w:cs="Times New Roman"/>
                <w:b/>
                <w:color w:val="000000"/>
                <w:sz w:val="20"/>
                <w:szCs w:val="20"/>
              </w:rPr>
              <w:t>108,7</w:t>
            </w:r>
          </w:p>
        </w:tc>
      </w:tr>
      <w:tr w:rsidR="00BE3D14" w:rsidRPr="00BB6C53" w14:paraId="1F76BA86"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719D045" w14:textId="77777777" w:rsidR="00BE3D14" w:rsidRPr="00BB6C53" w:rsidRDefault="00BE3D14" w:rsidP="000A2429">
            <w:pPr>
              <w:pStyle w:val="Odsekzoznamu"/>
              <w:numPr>
                <w:ilvl w:val="0"/>
                <w:numId w:val="10"/>
              </w:numPr>
              <w:rPr>
                <w:rFonts w:eastAsia="Times New Roman" w:cs="Times New Roman"/>
                <w:color w:val="000000"/>
                <w:sz w:val="20"/>
                <w:szCs w:val="20"/>
              </w:rPr>
            </w:pPr>
            <w:r w:rsidRPr="00BB6C53">
              <w:rPr>
                <w:rFonts w:eastAsia="Times New Roman" w:cs="Times New Roman"/>
                <w:color w:val="000000"/>
                <w:sz w:val="20"/>
                <w:szCs w:val="20"/>
              </w:rPr>
              <w:t>Zdravotná starostlivosť</w:t>
            </w:r>
          </w:p>
        </w:tc>
        <w:tc>
          <w:tcPr>
            <w:tcW w:w="1275" w:type="dxa"/>
            <w:tcBorders>
              <w:top w:val="nil"/>
              <w:left w:val="nil"/>
              <w:bottom w:val="single" w:sz="4" w:space="0" w:color="auto"/>
              <w:right w:val="single" w:sz="4" w:space="0" w:color="auto"/>
            </w:tcBorders>
            <w:shd w:val="clear" w:color="auto" w:fill="auto"/>
            <w:vAlign w:val="center"/>
            <w:hideMark/>
          </w:tcPr>
          <w:p w14:paraId="1457CCE6"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4 564 000</w:t>
            </w:r>
          </w:p>
        </w:tc>
        <w:tc>
          <w:tcPr>
            <w:tcW w:w="993" w:type="dxa"/>
            <w:tcBorders>
              <w:top w:val="nil"/>
              <w:left w:val="nil"/>
              <w:bottom w:val="single" w:sz="4" w:space="0" w:color="auto"/>
              <w:right w:val="single" w:sz="4" w:space="0" w:color="auto"/>
            </w:tcBorders>
            <w:shd w:val="clear" w:color="auto" w:fill="auto"/>
            <w:vAlign w:val="center"/>
            <w:hideMark/>
          </w:tcPr>
          <w:p w14:paraId="075C4144"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4 704 000</w:t>
            </w:r>
          </w:p>
        </w:tc>
        <w:tc>
          <w:tcPr>
            <w:tcW w:w="992" w:type="dxa"/>
            <w:tcBorders>
              <w:top w:val="nil"/>
              <w:left w:val="nil"/>
              <w:bottom w:val="single" w:sz="4" w:space="0" w:color="auto"/>
              <w:right w:val="single" w:sz="4" w:space="0" w:color="auto"/>
            </w:tcBorders>
            <w:shd w:val="clear" w:color="auto" w:fill="auto"/>
            <w:vAlign w:val="center"/>
            <w:hideMark/>
          </w:tcPr>
          <w:p w14:paraId="79407988"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5 168 000</w:t>
            </w:r>
          </w:p>
        </w:tc>
        <w:tc>
          <w:tcPr>
            <w:tcW w:w="1134" w:type="dxa"/>
            <w:tcBorders>
              <w:top w:val="nil"/>
              <w:left w:val="nil"/>
              <w:bottom w:val="single" w:sz="4" w:space="0" w:color="auto"/>
              <w:right w:val="single" w:sz="4" w:space="0" w:color="auto"/>
            </w:tcBorders>
            <w:shd w:val="clear" w:color="auto" w:fill="auto"/>
            <w:vAlign w:val="center"/>
            <w:hideMark/>
          </w:tcPr>
          <w:p w14:paraId="39836093"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95,4</w:t>
            </w:r>
          </w:p>
        </w:tc>
        <w:tc>
          <w:tcPr>
            <w:tcW w:w="992" w:type="dxa"/>
            <w:tcBorders>
              <w:top w:val="nil"/>
              <w:left w:val="nil"/>
              <w:bottom w:val="single" w:sz="4" w:space="0" w:color="auto"/>
              <w:right w:val="single" w:sz="4" w:space="0" w:color="auto"/>
            </w:tcBorders>
            <w:shd w:val="clear" w:color="auto" w:fill="auto"/>
            <w:vAlign w:val="center"/>
            <w:hideMark/>
          </w:tcPr>
          <w:p w14:paraId="001CBF26"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-144 000</w:t>
            </w:r>
          </w:p>
        </w:tc>
        <w:tc>
          <w:tcPr>
            <w:tcW w:w="851" w:type="dxa"/>
            <w:tcBorders>
              <w:top w:val="nil"/>
              <w:left w:val="nil"/>
              <w:bottom w:val="single" w:sz="4" w:space="0" w:color="auto"/>
              <w:right w:val="single" w:sz="4" w:space="0" w:color="auto"/>
            </w:tcBorders>
            <w:shd w:val="clear" w:color="auto" w:fill="auto"/>
            <w:vAlign w:val="center"/>
            <w:hideMark/>
          </w:tcPr>
          <w:p w14:paraId="69DDBCD0"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464 000</w:t>
            </w:r>
          </w:p>
        </w:tc>
        <w:tc>
          <w:tcPr>
            <w:tcW w:w="706" w:type="dxa"/>
            <w:tcBorders>
              <w:top w:val="nil"/>
              <w:left w:val="nil"/>
              <w:bottom w:val="single" w:sz="4" w:space="0" w:color="auto"/>
              <w:right w:val="single" w:sz="4" w:space="0" w:color="auto"/>
            </w:tcBorders>
            <w:shd w:val="clear" w:color="auto" w:fill="auto"/>
            <w:vAlign w:val="center"/>
            <w:hideMark/>
          </w:tcPr>
          <w:p w14:paraId="7AA1779D"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109,9</w:t>
            </w:r>
          </w:p>
        </w:tc>
      </w:tr>
      <w:tr w:rsidR="00BE3D14" w:rsidRPr="00BB6C53" w14:paraId="04C56267"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8DE5D28" w14:textId="77777777" w:rsidR="00BE3D14" w:rsidRPr="00BB6C53" w:rsidRDefault="00BE3D14" w:rsidP="000A2429">
            <w:pPr>
              <w:pStyle w:val="Odsekzoznamu"/>
              <w:numPr>
                <w:ilvl w:val="0"/>
                <w:numId w:val="10"/>
              </w:numPr>
              <w:rPr>
                <w:rFonts w:eastAsia="Times New Roman" w:cs="Times New Roman"/>
                <w:color w:val="000000"/>
                <w:sz w:val="20"/>
                <w:szCs w:val="20"/>
              </w:rPr>
            </w:pPr>
            <w:r w:rsidRPr="00BB6C53">
              <w:rPr>
                <w:rFonts w:eastAsia="Times New Roman" w:cs="Times New Roman"/>
                <w:color w:val="000000"/>
                <w:sz w:val="20"/>
                <w:szCs w:val="20"/>
              </w:rPr>
              <w:t>Lieky a dietetické potraviny</w:t>
            </w:r>
          </w:p>
        </w:tc>
        <w:tc>
          <w:tcPr>
            <w:tcW w:w="1275" w:type="dxa"/>
            <w:tcBorders>
              <w:top w:val="nil"/>
              <w:left w:val="nil"/>
              <w:bottom w:val="single" w:sz="4" w:space="0" w:color="auto"/>
              <w:right w:val="single" w:sz="4" w:space="0" w:color="auto"/>
            </w:tcBorders>
            <w:shd w:val="clear" w:color="auto" w:fill="auto"/>
            <w:vAlign w:val="center"/>
            <w:hideMark/>
          </w:tcPr>
          <w:p w14:paraId="75A87D07"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1 066 000</w:t>
            </w:r>
          </w:p>
        </w:tc>
        <w:tc>
          <w:tcPr>
            <w:tcW w:w="993" w:type="dxa"/>
            <w:tcBorders>
              <w:top w:val="nil"/>
              <w:left w:val="nil"/>
              <w:bottom w:val="single" w:sz="4" w:space="0" w:color="auto"/>
              <w:right w:val="single" w:sz="4" w:space="0" w:color="auto"/>
            </w:tcBorders>
            <w:shd w:val="clear" w:color="auto" w:fill="auto"/>
            <w:vAlign w:val="center"/>
            <w:hideMark/>
          </w:tcPr>
          <w:p w14:paraId="5BD169E8"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1 069 000</w:t>
            </w:r>
          </w:p>
        </w:tc>
        <w:tc>
          <w:tcPr>
            <w:tcW w:w="992" w:type="dxa"/>
            <w:tcBorders>
              <w:top w:val="nil"/>
              <w:left w:val="nil"/>
              <w:bottom w:val="single" w:sz="4" w:space="0" w:color="auto"/>
              <w:right w:val="single" w:sz="4" w:space="0" w:color="auto"/>
            </w:tcBorders>
            <w:shd w:val="clear" w:color="auto" w:fill="auto"/>
            <w:vAlign w:val="center"/>
            <w:hideMark/>
          </w:tcPr>
          <w:p w14:paraId="0BD8C692"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1 039 000</w:t>
            </w:r>
          </w:p>
        </w:tc>
        <w:tc>
          <w:tcPr>
            <w:tcW w:w="1134" w:type="dxa"/>
            <w:tcBorders>
              <w:top w:val="nil"/>
              <w:left w:val="nil"/>
              <w:bottom w:val="single" w:sz="4" w:space="0" w:color="auto"/>
              <w:right w:val="single" w:sz="4" w:space="0" w:color="auto"/>
            </w:tcBorders>
            <w:shd w:val="clear" w:color="auto" w:fill="auto"/>
            <w:vAlign w:val="center"/>
            <w:hideMark/>
          </w:tcPr>
          <w:p w14:paraId="164687FD"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19,2</w:t>
            </w:r>
          </w:p>
        </w:tc>
        <w:tc>
          <w:tcPr>
            <w:tcW w:w="992" w:type="dxa"/>
            <w:tcBorders>
              <w:top w:val="nil"/>
              <w:left w:val="nil"/>
              <w:bottom w:val="single" w:sz="4" w:space="0" w:color="auto"/>
              <w:right w:val="single" w:sz="4" w:space="0" w:color="auto"/>
            </w:tcBorders>
            <w:shd w:val="clear" w:color="auto" w:fill="auto"/>
            <w:vAlign w:val="center"/>
            <w:hideMark/>
          </w:tcPr>
          <w:p w14:paraId="2ADBAA30"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-114 000</w:t>
            </w:r>
          </w:p>
        </w:tc>
        <w:tc>
          <w:tcPr>
            <w:tcW w:w="851" w:type="dxa"/>
            <w:tcBorders>
              <w:top w:val="nil"/>
              <w:left w:val="nil"/>
              <w:bottom w:val="single" w:sz="4" w:space="0" w:color="auto"/>
              <w:right w:val="single" w:sz="4" w:space="0" w:color="auto"/>
            </w:tcBorders>
            <w:shd w:val="clear" w:color="auto" w:fill="auto"/>
            <w:vAlign w:val="center"/>
            <w:hideMark/>
          </w:tcPr>
          <w:p w14:paraId="481CAC88"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-30 000</w:t>
            </w:r>
          </w:p>
        </w:tc>
        <w:tc>
          <w:tcPr>
            <w:tcW w:w="706" w:type="dxa"/>
            <w:tcBorders>
              <w:top w:val="nil"/>
              <w:left w:val="nil"/>
              <w:bottom w:val="single" w:sz="4" w:space="0" w:color="auto"/>
              <w:right w:val="single" w:sz="4" w:space="0" w:color="auto"/>
            </w:tcBorders>
            <w:shd w:val="clear" w:color="auto" w:fill="auto"/>
            <w:vAlign w:val="center"/>
            <w:hideMark/>
          </w:tcPr>
          <w:p w14:paraId="0F13C6FC"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97,2</w:t>
            </w:r>
          </w:p>
        </w:tc>
      </w:tr>
      <w:tr w:rsidR="00BE3D14" w:rsidRPr="00BB6C53" w14:paraId="413423D6"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35CCD61" w14:textId="77777777" w:rsidR="00BE3D14" w:rsidRPr="00BB6C53" w:rsidRDefault="00BE3D14" w:rsidP="000A2429">
            <w:pPr>
              <w:pStyle w:val="Odsekzoznamu"/>
              <w:numPr>
                <w:ilvl w:val="0"/>
                <w:numId w:val="10"/>
              </w:numPr>
              <w:rPr>
                <w:rFonts w:eastAsia="Times New Roman" w:cs="Times New Roman"/>
                <w:color w:val="000000"/>
                <w:sz w:val="20"/>
                <w:szCs w:val="20"/>
              </w:rPr>
            </w:pPr>
            <w:r w:rsidRPr="00BB6C53">
              <w:rPr>
                <w:rFonts w:eastAsia="Times New Roman" w:cs="Times New Roman"/>
                <w:color w:val="000000"/>
                <w:sz w:val="20"/>
                <w:szCs w:val="20"/>
              </w:rPr>
              <w:t>Ústavná zdravotná starostlivosť</w:t>
            </w:r>
          </w:p>
        </w:tc>
        <w:tc>
          <w:tcPr>
            <w:tcW w:w="1275" w:type="dxa"/>
            <w:tcBorders>
              <w:top w:val="nil"/>
              <w:left w:val="nil"/>
              <w:bottom w:val="single" w:sz="4" w:space="0" w:color="auto"/>
              <w:right w:val="single" w:sz="4" w:space="0" w:color="auto"/>
            </w:tcBorders>
            <w:shd w:val="clear" w:color="auto" w:fill="auto"/>
            <w:vAlign w:val="center"/>
            <w:hideMark/>
          </w:tcPr>
          <w:p w14:paraId="3A3FD26A"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1 312 000</w:t>
            </w:r>
          </w:p>
        </w:tc>
        <w:tc>
          <w:tcPr>
            <w:tcW w:w="993" w:type="dxa"/>
            <w:tcBorders>
              <w:top w:val="nil"/>
              <w:left w:val="nil"/>
              <w:bottom w:val="single" w:sz="4" w:space="0" w:color="auto"/>
              <w:right w:val="single" w:sz="4" w:space="0" w:color="auto"/>
            </w:tcBorders>
            <w:shd w:val="clear" w:color="auto" w:fill="auto"/>
            <w:vAlign w:val="center"/>
            <w:hideMark/>
          </w:tcPr>
          <w:p w14:paraId="3D77ED9F"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1 466 000</w:t>
            </w:r>
          </w:p>
        </w:tc>
        <w:tc>
          <w:tcPr>
            <w:tcW w:w="992" w:type="dxa"/>
            <w:tcBorders>
              <w:top w:val="nil"/>
              <w:left w:val="nil"/>
              <w:bottom w:val="single" w:sz="4" w:space="0" w:color="auto"/>
              <w:right w:val="single" w:sz="4" w:space="0" w:color="auto"/>
            </w:tcBorders>
            <w:shd w:val="clear" w:color="auto" w:fill="auto"/>
            <w:vAlign w:val="center"/>
            <w:hideMark/>
          </w:tcPr>
          <w:p w14:paraId="3CE3C0AF"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1 642 000</w:t>
            </w:r>
          </w:p>
        </w:tc>
        <w:tc>
          <w:tcPr>
            <w:tcW w:w="1134" w:type="dxa"/>
            <w:tcBorders>
              <w:top w:val="nil"/>
              <w:left w:val="nil"/>
              <w:bottom w:val="single" w:sz="4" w:space="0" w:color="auto"/>
              <w:right w:val="single" w:sz="4" w:space="0" w:color="auto"/>
            </w:tcBorders>
            <w:shd w:val="clear" w:color="auto" w:fill="auto"/>
            <w:vAlign w:val="center"/>
            <w:hideMark/>
          </w:tcPr>
          <w:p w14:paraId="0863BDD6"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30,3</w:t>
            </w:r>
          </w:p>
        </w:tc>
        <w:tc>
          <w:tcPr>
            <w:tcW w:w="992" w:type="dxa"/>
            <w:tcBorders>
              <w:top w:val="nil"/>
              <w:left w:val="nil"/>
              <w:bottom w:val="single" w:sz="4" w:space="0" w:color="auto"/>
              <w:right w:val="single" w:sz="4" w:space="0" w:color="auto"/>
            </w:tcBorders>
            <w:shd w:val="clear" w:color="auto" w:fill="auto"/>
            <w:vAlign w:val="center"/>
            <w:hideMark/>
          </w:tcPr>
          <w:p w14:paraId="7576806C"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-6 000</w:t>
            </w:r>
          </w:p>
        </w:tc>
        <w:tc>
          <w:tcPr>
            <w:tcW w:w="851" w:type="dxa"/>
            <w:tcBorders>
              <w:top w:val="nil"/>
              <w:left w:val="nil"/>
              <w:bottom w:val="single" w:sz="4" w:space="0" w:color="auto"/>
              <w:right w:val="single" w:sz="4" w:space="0" w:color="auto"/>
            </w:tcBorders>
            <w:shd w:val="clear" w:color="auto" w:fill="auto"/>
            <w:vAlign w:val="center"/>
            <w:hideMark/>
          </w:tcPr>
          <w:p w14:paraId="5E29AC97"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176 000</w:t>
            </w:r>
          </w:p>
        </w:tc>
        <w:tc>
          <w:tcPr>
            <w:tcW w:w="706" w:type="dxa"/>
            <w:tcBorders>
              <w:top w:val="nil"/>
              <w:left w:val="nil"/>
              <w:bottom w:val="single" w:sz="4" w:space="0" w:color="auto"/>
              <w:right w:val="single" w:sz="4" w:space="0" w:color="auto"/>
            </w:tcBorders>
            <w:shd w:val="clear" w:color="auto" w:fill="auto"/>
            <w:vAlign w:val="center"/>
            <w:hideMark/>
          </w:tcPr>
          <w:p w14:paraId="7FCEF258"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112,0</w:t>
            </w:r>
          </w:p>
        </w:tc>
      </w:tr>
      <w:tr w:rsidR="00BE3D14" w:rsidRPr="00BB6C53" w14:paraId="496ED228"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84FAAFA" w14:textId="77777777" w:rsidR="00BE3D14" w:rsidRPr="00BB6C53" w:rsidRDefault="00BE3D14" w:rsidP="000A2429">
            <w:pPr>
              <w:pStyle w:val="Odsekzoznamu"/>
              <w:numPr>
                <w:ilvl w:val="0"/>
                <w:numId w:val="10"/>
              </w:numPr>
              <w:rPr>
                <w:rFonts w:eastAsia="Times New Roman" w:cs="Times New Roman"/>
                <w:color w:val="000000"/>
                <w:sz w:val="20"/>
                <w:szCs w:val="20"/>
              </w:rPr>
            </w:pPr>
            <w:r w:rsidRPr="00BB6C53">
              <w:rPr>
                <w:rFonts w:eastAsia="Times New Roman" w:cs="Times New Roman"/>
                <w:color w:val="000000"/>
                <w:sz w:val="20"/>
                <w:szCs w:val="20"/>
              </w:rPr>
              <w:t>Všeobecná ambulantná starostlivosť</w:t>
            </w:r>
          </w:p>
        </w:tc>
        <w:tc>
          <w:tcPr>
            <w:tcW w:w="1275" w:type="dxa"/>
            <w:tcBorders>
              <w:top w:val="nil"/>
              <w:left w:val="nil"/>
              <w:bottom w:val="single" w:sz="4" w:space="0" w:color="auto"/>
              <w:right w:val="single" w:sz="4" w:space="0" w:color="auto"/>
            </w:tcBorders>
            <w:shd w:val="clear" w:color="auto" w:fill="auto"/>
            <w:vAlign w:val="center"/>
            <w:hideMark/>
          </w:tcPr>
          <w:p w14:paraId="735EF150"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256 000</w:t>
            </w:r>
          </w:p>
        </w:tc>
        <w:tc>
          <w:tcPr>
            <w:tcW w:w="993" w:type="dxa"/>
            <w:tcBorders>
              <w:top w:val="nil"/>
              <w:left w:val="nil"/>
              <w:bottom w:val="single" w:sz="4" w:space="0" w:color="auto"/>
              <w:right w:val="single" w:sz="4" w:space="0" w:color="auto"/>
            </w:tcBorders>
            <w:shd w:val="clear" w:color="auto" w:fill="auto"/>
            <w:vAlign w:val="center"/>
            <w:hideMark/>
          </w:tcPr>
          <w:p w14:paraId="1C5C889E"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256 000</w:t>
            </w:r>
          </w:p>
        </w:tc>
        <w:tc>
          <w:tcPr>
            <w:tcW w:w="992" w:type="dxa"/>
            <w:tcBorders>
              <w:top w:val="nil"/>
              <w:left w:val="nil"/>
              <w:bottom w:val="single" w:sz="4" w:space="0" w:color="auto"/>
              <w:right w:val="single" w:sz="4" w:space="0" w:color="auto"/>
            </w:tcBorders>
            <w:shd w:val="clear" w:color="auto" w:fill="auto"/>
            <w:vAlign w:val="center"/>
            <w:hideMark/>
          </w:tcPr>
          <w:p w14:paraId="24F1E74C"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317 000</w:t>
            </w:r>
          </w:p>
        </w:tc>
        <w:tc>
          <w:tcPr>
            <w:tcW w:w="1134" w:type="dxa"/>
            <w:tcBorders>
              <w:top w:val="nil"/>
              <w:left w:val="nil"/>
              <w:bottom w:val="single" w:sz="4" w:space="0" w:color="auto"/>
              <w:right w:val="single" w:sz="4" w:space="0" w:color="auto"/>
            </w:tcBorders>
            <w:shd w:val="clear" w:color="auto" w:fill="auto"/>
            <w:vAlign w:val="center"/>
            <w:hideMark/>
          </w:tcPr>
          <w:p w14:paraId="6F43168A"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5,9</w:t>
            </w:r>
          </w:p>
        </w:tc>
        <w:tc>
          <w:tcPr>
            <w:tcW w:w="992" w:type="dxa"/>
            <w:tcBorders>
              <w:top w:val="nil"/>
              <w:left w:val="nil"/>
              <w:bottom w:val="single" w:sz="4" w:space="0" w:color="auto"/>
              <w:right w:val="single" w:sz="4" w:space="0" w:color="auto"/>
            </w:tcBorders>
            <w:shd w:val="clear" w:color="auto" w:fill="auto"/>
            <w:vAlign w:val="center"/>
            <w:hideMark/>
          </w:tcPr>
          <w:p w14:paraId="7BC4945B"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3F7C5A60"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61 000</w:t>
            </w:r>
          </w:p>
        </w:tc>
        <w:tc>
          <w:tcPr>
            <w:tcW w:w="706" w:type="dxa"/>
            <w:tcBorders>
              <w:top w:val="nil"/>
              <w:left w:val="nil"/>
              <w:bottom w:val="single" w:sz="4" w:space="0" w:color="auto"/>
              <w:right w:val="single" w:sz="4" w:space="0" w:color="auto"/>
            </w:tcBorders>
            <w:shd w:val="clear" w:color="auto" w:fill="auto"/>
            <w:vAlign w:val="center"/>
            <w:hideMark/>
          </w:tcPr>
          <w:p w14:paraId="20A3DD55"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123,8</w:t>
            </w:r>
          </w:p>
        </w:tc>
      </w:tr>
      <w:tr w:rsidR="00BE3D14" w:rsidRPr="00BB6C53" w14:paraId="62973F78" w14:textId="77777777" w:rsidTr="00245744">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B811EED" w14:textId="77777777" w:rsidR="00BE3D14" w:rsidRPr="00BB6C53" w:rsidRDefault="00BE3D14" w:rsidP="000A2429">
            <w:pPr>
              <w:pStyle w:val="Odsekzoznamu"/>
              <w:numPr>
                <w:ilvl w:val="0"/>
                <w:numId w:val="10"/>
              </w:numPr>
              <w:rPr>
                <w:rFonts w:eastAsia="Times New Roman" w:cs="Times New Roman"/>
                <w:color w:val="000000"/>
                <w:sz w:val="20"/>
                <w:szCs w:val="20"/>
              </w:rPr>
            </w:pPr>
            <w:r w:rsidRPr="00BB6C53">
              <w:rPr>
                <w:rFonts w:eastAsia="Times New Roman" w:cs="Times New Roman"/>
                <w:color w:val="000000"/>
                <w:sz w:val="20"/>
                <w:szCs w:val="20"/>
              </w:rPr>
              <w:t>Špecializovaná ambulantná starostlivosť</w:t>
            </w:r>
          </w:p>
        </w:tc>
        <w:tc>
          <w:tcPr>
            <w:tcW w:w="1275" w:type="dxa"/>
            <w:tcBorders>
              <w:top w:val="nil"/>
              <w:left w:val="nil"/>
              <w:bottom w:val="single" w:sz="4" w:space="0" w:color="auto"/>
              <w:right w:val="single" w:sz="4" w:space="0" w:color="auto"/>
            </w:tcBorders>
            <w:shd w:val="clear" w:color="auto" w:fill="auto"/>
            <w:vAlign w:val="center"/>
            <w:hideMark/>
          </w:tcPr>
          <w:p w14:paraId="638C2E21"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882 000</w:t>
            </w:r>
          </w:p>
        </w:tc>
        <w:tc>
          <w:tcPr>
            <w:tcW w:w="993" w:type="dxa"/>
            <w:tcBorders>
              <w:top w:val="nil"/>
              <w:left w:val="nil"/>
              <w:bottom w:val="single" w:sz="4" w:space="0" w:color="auto"/>
              <w:right w:val="single" w:sz="4" w:space="0" w:color="auto"/>
            </w:tcBorders>
            <w:shd w:val="clear" w:color="auto" w:fill="auto"/>
            <w:vAlign w:val="center"/>
            <w:hideMark/>
          </w:tcPr>
          <w:p w14:paraId="13D2A57F"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877 000</w:t>
            </w:r>
          </w:p>
        </w:tc>
        <w:tc>
          <w:tcPr>
            <w:tcW w:w="992" w:type="dxa"/>
            <w:tcBorders>
              <w:top w:val="nil"/>
              <w:left w:val="nil"/>
              <w:bottom w:val="single" w:sz="4" w:space="0" w:color="auto"/>
              <w:right w:val="single" w:sz="4" w:space="0" w:color="auto"/>
            </w:tcBorders>
            <w:shd w:val="clear" w:color="auto" w:fill="auto"/>
            <w:vAlign w:val="center"/>
            <w:hideMark/>
          </w:tcPr>
          <w:p w14:paraId="1323B622"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996 000</w:t>
            </w:r>
          </w:p>
        </w:tc>
        <w:tc>
          <w:tcPr>
            <w:tcW w:w="1134" w:type="dxa"/>
            <w:tcBorders>
              <w:top w:val="nil"/>
              <w:left w:val="nil"/>
              <w:bottom w:val="single" w:sz="4" w:space="0" w:color="auto"/>
              <w:right w:val="single" w:sz="4" w:space="0" w:color="auto"/>
            </w:tcBorders>
            <w:shd w:val="clear" w:color="auto" w:fill="auto"/>
            <w:vAlign w:val="center"/>
            <w:hideMark/>
          </w:tcPr>
          <w:p w14:paraId="5C0EE448"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18,4</w:t>
            </w:r>
          </w:p>
        </w:tc>
        <w:tc>
          <w:tcPr>
            <w:tcW w:w="992" w:type="dxa"/>
            <w:tcBorders>
              <w:top w:val="nil"/>
              <w:left w:val="nil"/>
              <w:bottom w:val="single" w:sz="4" w:space="0" w:color="auto"/>
              <w:right w:val="single" w:sz="4" w:space="0" w:color="auto"/>
            </w:tcBorders>
            <w:shd w:val="clear" w:color="auto" w:fill="auto"/>
            <w:vAlign w:val="center"/>
            <w:hideMark/>
          </w:tcPr>
          <w:p w14:paraId="42588542"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-4 000</w:t>
            </w:r>
          </w:p>
        </w:tc>
        <w:tc>
          <w:tcPr>
            <w:tcW w:w="851" w:type="dxa"/>
            <w:tcBorders>
              <w:top w:val="nil"/>
              <w:left w:val="nil"/>
              <w:bottom w:val="single" w:sz="4" w:space="0" w:color="auto"/>
              <w:right w:val="single" w:sz="4" w:space="0" w:color="auto"/>
            </w:tcBorders>
            <w:shd w:val="clear" w:color="auto" w:fill="auto"/>
            <w:vAlign w:val="center"/>
            <w:hideMark/>
          </w:tcPr>
          <w:p w14:paraId="58FD0C6B"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119 000</w:t>
            </w:r>
          </w:p>
        </w:tc>
        <w:tc>
          <w:tcPr>
            <w:tcW w:w="706" w:type="dxa"/>
            <w:tcBorders>
              <w:top w:val="nil"/>
              <w:left w:val="nil"/>
              <w:bottom w:val="single" w:sz="4" w:space="0" w:color="auto"/>
              <w:right w:val="single" w:sz="4" w:space="0" w:color="auto"/>
            </w:tcBorders>
            <w:shd w:val="clear" w:color="auto" w:fill="auto"/>
            <w:vAlign w:val="center"/>
            <w:hideMark/>
          </w:tcPr>
          <w:p w14:paraId="7ED23DBC" w14:textId="77777777" w:rsidR="00BE3D14" w:rsidRPr="00BB6C53" w:rsidRDefault="00BE3D14" w:rsidP="00BE3D14">
            <w:pPr>
              <w:jc w:val="right"/>
              <w:rPr>
                <w:rFonts w:eastAsia="Times New Roman" w:cs="Times New Roman"/>
                <w:color w:val="000000"/>
                <w:sz w:val="20"/>
                <w:szCs w:val="20"/>
              </w:rPr>
            </w:pPr>
            <w:r w:rsidRPr="00BB6C53">
              <w:rPr>
                <w:rFonts w:eastAsia="Times New Roman" w:cs="Times New Roman"/>
                <w:color w:val="000000"/>
                <w:sz w:val="20"/>
                <w:szCs w:val="20"/>
              </w:rPr>
              <w:t>113,6</w:t>
            </w:r>
          </w:p>
        </w:tc>
      </w:tr>
    </w:tbl>
    <w:p w14:paraId="5F6AC744" w14:textId="77777777" w:rsidR="00BE3D14" w:rsidRPr="00245744" w:rsidRDefault="00BE3D14" w:rsidP="00BE3D14">
      <w:pPr>
        <w:pStyle w:val="Zkladntext"/>
        <w:jc w:val="both"/>
        <w:rPr>
          <w:i/>
          <w:sz w:val="20"/>
          <w:szCs w:val="22"/>
        </w:rPr>
      </w:pPr>
      <w:r w:rsidRPr="00245744">
        <w:rPr>
          <w:i/>
          <w:color w:val="000000"/>
          <w:sz w:val="18"/>
          <w:szCs w:val="20"/>
        </w:rPr>
        <w:t>Zdroj: MF SR</w:t>
      </w:r>
    </w:p>
    <w:p w14:paraId="57DC95EA" w14:textId="541F8B0E" w:rsidR="00BE3D14" w:rsidRPr="00B5417F" w:rsidRDefault="00BE3D14" w:rsidP="00714481">
      <w:pPr>
        <w:pStyle w:val="Zkladntext"/>
        <w:ind w:firstLine="709"/>
        <w:jc w:val="both"/>
        <w:rPr>
          <w:b/>
          <w:szCs w:val="22"/>
        </w:rPr>
      </w:pPr>
      <w:r w:rsidRPr="00B5417F">
        <w:rPr>
          <w:b/>
          <w:szCs w:val="22"/>
        </w:rPr>
        <w:t>NKÚ SR upozorňuje na tieto riziká úsporných opatrení na rok 2020:</w:t>
      </w:r>
    </w:p>
    <w:p w14:paraId="44701D61" w14:textId="1F983DAC" w:rsidR="00714481" w:rsidRPr="00B5417F" w:rsidRDefault="0005431A" w:rsidP="000A2429">
      <w:pPr>
        <w:pStyle w:val="Zkladntext"/>
        <w:numPr>
          <w:ilvl w:val="0"/>
          <w:numId w:val="10"/>
        </w:numPr>
        <w:tabs>
          <w:tab w:val="left" w:pos="1559"/>
        </w:tabs>
        <w:jc w:val="both"/>
        <w:rPr>
          <w:b/>
          <w:szCs w:val="22"/>
        </w:rPr>
      </w:pPr>
      <w:r>
        <w:rPr>
          <w:b/>
          <w:szCs w:val="22"/>
        </w:rPr>
        <w:t>V</w:t>
      </w:r>
      <w:r w:rsidR="00BE3D14" w:rsidRPr="00B5417F">
        <w:rPr>
          <w:b/>
          <w:szCs w:val="22"/>
        </w:rPr>
        <w:t> oblasti  nákladovej efektivity liekov je navrhn</w:t>
      </w:r>
      <w:r w:rsidR="00B5417F">
        <w:rPr>
          <w:b/>
          <w:szCs w:val="22"/>
        </w:rPr>
        <w:t>utá úspora vo výške 8 mil. eur</w:t>
      </w:r>
    </w:p>
    <w:p w14:paraId="1C23F73E" w14:textId="21F124BC" w:rsidR="00BE3D14" w:rsidRPr="00BE3D14" w:rsidRDefault="00BE3D14" w:rsidP="00714481">
      <w:pPr>
        <w:pStyle w:val="Zkladntext"/>
        <w:ind w:firstLine="709"/>
        <w:jc w:val="both"/>
        <w:rPr>
          <w:szCs w:val="22"/>
        </w:rPr>
      </w:pPr>
      <w:r w:rsidRPr="00BE3D14">
        <w:rPr>
          <w:szCs w:val="22"/>
        </w:rPr>
        <w:t>Rizikom je, že od začiatku platnosti zákona č. 363/2011 Z. z. o rozsahu a podmienkach úhrady liekov, zdravotníckych pomôcok a dietetických potravín z verejného zdravotného poistenia neprebehlo vyraďovanie liekov z kategorizačného zoznamu na základe podmienok nákladovej efektivity. Navyše</w:t>
      </w:r>
      <w:r w:rsidR="00B5417F">
        <w:rPr>
          <w:szCs w:val="22"/>
        </w:rPr>
        <w:t>,</w:t>
      </w:r>
      <w:r w:rsidRPr="00BE3D14">
        <w:rPr>
          <w:szCs w:val="22"/>
        </w:rPr>
        <w:t xml:space="preserve"> personálne kapacity na posudzovanie nákladovej efektivity sú nízke</w:t>
      </w:r>
      <w:r w:rsidR="00B73104">
        <w:rPr>
          <w:szCs w:val="22"/>
        </w:rPr>
        <w:t xml:space="preserve">. </w:t>
      </w:r>
      <w:r w:rsidR="00B5417F">
        <w:rPr>
          <w:szCs w:val="22"/>
        </w:rPr>
        <w:t>V</w:t>
      </w:r>
      <w:r w:rsidRPr="00BE3D14">
        <w:rPr>
          <w:szCs w:val="22"/>
        </w:rPr>
        <w:t xml:space="preserve"> dôsledku nevhodnej definície lieku na zriedkavé ochorenia, platnej </w:t>
      </w:r>
      <w:r w:rsidR="008B760E">
        <w:rPr>
          <w:szCs w:val="22"/>
        </w:rPr>
        <w:t xml:space="preserve"> v roku 2018</w:t>
      </w:r>
      <w:r w:rsidR="0005431A">
        <w:rPr>
          <w:szCs w:val="22"/>
        </w:rPr>
        <w:t>,</w:t>
      </w:r>
      <w:r w:rsidR="008B760E">
        <w:rPr>
          <w:szCs w:val="22"/>
        </w:rPr>
        <w:t xml:space="preserve"> </w:t>
      </w:r>
      <w:r w:rsidRPr="00BE3D14">
        <w:rPr>
          <w:szCs w:val="22"/>
        </w:rPr>
        <w:t>sa do zoznamu kategorizovaných liekov dostala skupina liekov na zriedkavé ochorenia s ročným dopadom 74 mil. eur, pri ktorých nebolo potrebné preukázať nákladovú efektivitu. U tejto skupiny liekov možno predpokladať namiesto úspory ďalší nárast spotreby v nasledujúcich rokoch.</w:t>
      </w:r>
    </w:p>
    <w:p w14:paraId="2AD0D9AB" w14:textId="3616CD80" w:rsidR="00BE3D14" w:rsidRPr="00B5417F" w:rsidRDefault="0005431A" w:rsidP="000A2429">
      <w:pPr>
        <w:pStyle w:val="Zkladntext"/>
        <w:numPr>
          <w:ilvl w:val="0"/>
          <w:numId w:val="10"/>
        </w:numPr>
        <w:tabs>
          <w:tab w:val="left" w:pos="709"/>
        </w:tabs>
        <w:jc w:val="both"/>
        <w:rPr>
          <w:b/>
          <w:szCs w:val="22"/>
        </w:rPr>
      </w:pPr>
      <w:r>
        <w:rPr>
          <w:b/>
          <w:szCs w:val="22"/>
        </w:rPr>
        <w:t>V</w:t>
      </w:r>
      <w:r w:rsidR="00BE3D14" w:rsidRPr="00B5417F">
        <w:rPr>
          <w:b/>
          <w:szCs w:val="22"/>
        </w:rPr>
        <w:t> oblasti zmeny úhradových skupín od 1.</w:t>
      </w:r>
      <w:r w:rsidR="00B5417F" w:rsidRPr="00B5417F">
        <w:rPr>
          <w:b/>
          <w:szCs w:val="22"/>
        </w:rPr>
        <w:t xml:space="preserve"> </w:t>
      </w:r>
      <w:r w:rsidR="00BE3D14" w:rsidRPr="00B5417F">
        <w:rPr>
          <w:b/>
          <w:szCs w:val="22"/>
        </w:rPr>
        <w:t>1.</w:t>
      </w:r>
      <w:r w:rsidR="00B5417F" w:rsidRPr="00B5417F">
        <w:rPr>
          <w:b/>
          <w:szCs w:val="22"/>
        </w:rPr>
        <w:t xml:space="preserve"> </w:t>
      </w:r>
      <w:r w:rsidR="00BE3D14" w:rsidRPr="00B5417F">
        <w:rPr>
          <w:b/>
          <w:szCs w:val="22"/>
        </w:rPr>
        <w:t>2020 j</w:t>
      </w:r>
      <w:r w:rsidR="00B5417F" w:rsidRPr="00B5417F">
        <w:rPr>
          <w:b/>
          <w:szCs w:val="22"/>
        </w:rPr>
        <w:t>e navrhnutá úspora 7,9 mil. eur</w:t>
      </w:r>
    </w:p>
    <w:p w14:paraId="293B4E4A" w14:textId="77777777" w:rsidR="00714481" w:rsidRDefault="00BE3D14" w:rsidP="00714481">
      <w:pPr>
        <w:pStyle w:val="Zkladntext"/>
        <w:ind w:firstLine="708"/>
        <w:jc w:val="both"/>
        <w:rPr>
          <w:szCs w:val="22"/>
        </w:rPr>
      </w:pPr>
      <w:r>
        <w:rPr>
          <w:szCs w:val="22"/>
        </w:rPr>
        <w:t xml:space="preserve">Riziko spočíva v možnom prestavení pacientov </w:t>
      </w:r>
      <w:r w:rsidRPr="000275D3">
        <w:rPr>
          <w:szCs w:val="22"/>
        </w:rPr>
        <w:t xml:space="preserve">z úspornejšej </w:t>
      </w:r>
      <w:r>
        <w:rPr>
          <w:szCs w:val="22"/>
        </w:rPr>
        <w:t>terapie pre systém VZP s vyšším doplatkom pre pacienta na nákladnejšiu terapiu s nižším doplatkom. Očakáva sa, že pacient bude preferovať lieky s najnižším doplatkom. Pri rozhodovaní o úhradových skupinách chýba transparentnosť (odôvodnenie spôsobu zoskupovania liekov) v novele vyhlášky č. 435/2011 Z. z. o spôsobe určenia štandardnej dávky liečiva a maximálnej výšky úhrady zdravotnej poisťovne za štandardnú dávku liečiva. Zmeny vo vyhláške spô</w:t>
      </w:r>
      <w:r w:rsidR="00714481">
        <w:rPr>
          <w:szCs w:val="22"/>
        </w:rPr>
        <w:t>sobili nové systémové problémy.</w:t>
      </w:r>
    </w:p>
    <w:p w14:paraId="63372633" w14:textId="37F05B12" w:rsidR="00BE3D14" w:rsidRPr="00B5417F" w:rsidRDefault="0005431A" w:rsidP="000A2429">
      <w:pPr>
        <w:pStyle w:val="Zkladntext"/>
        <w:numPr>
          <w:ilvl w:val="0"/>
          <w:numId w:val="10"/>
        </w:numPr>
        <w:jc w:val="both"/>
        <w:rPr>
          <w:b/>
          <w:szCs w:val="22"/>
        </w:rPr>
      </w:pPr>
      <w:r>
        <w:rPr>
          <w:b/>
          <w:szCs w:val="22"/>
        </w:rPr>
        <w:t>V</w:t>
      </w:r>
      <w:r w:rsidR="00BE3D14" w:rsidRPr="00B5417F">
        <w:rPr>
          <w:b/>
          <w:szCs w:val="22"/>
        </w:rPr>
        <w:t xml:space="preserve"> oblasti liekov na výnimky </w:t>
      </w:r>
      <w:r w:rsidR="00B5417F">
        <w:rPr>
          <w:b/>
          <w:szCs w:val="22"/>
        </w:rPr>
        <w:t>je navrhnutá úspora 16 mil. eur</w:t>
      </w:r>
    </w:p>
    <w:p w14:paraId="55C17101" w14:textId="47D78B34" w:rsidR="00BE3D14" w:rsidRDefault="00BE3D14" w:rsidP="00714481">
      <w:pPr>
        <w:pStyle w:val="Zkladntext"/>
        <w:ind w:left="170" w:firstLine="539"/>
        <w:jc w:val="both"/>
        <w:rPr>
          <w:szCs w:val="22"/>
        </w:rPr>
      </w:pPr>
      <w:r>
        <w:rPr>
          <w:szCs w:val="22"/>
        </w:rPr>
        <w:t>Úspora je podmienkou dofinancovania zdravotníctva, na základe ktorej MZ SR v Memo</w:t>
      </w:r>
      <w:r w:rsidR="0005431A">
        <w:rPr>
          <w:szCs w:val="22"/>
        </w:rPr>
        <w:t>rande v bode 1.2.2</w:t>
      </w:r>
      <w:r w:rsidR="00714481">
        <w:rPr>
          <w:szCs w:val="22"/>
        </w:rPr>
        <w:t xml:space="preserve"> vyžaduje, </w:t>
      </w:r>
      <w:r>
        <w:rPr>
          <w:szCs w:val="22"/>
        </w:rPr>
        <w:t>aby sa v zmluvách o poskytovaní zdravotnej starostlivosti znížil objem prostriedkov viazaných na lieky</w:t>
      </w:r>
      <w:r w:rsidR="0005431A">
        <w:rPr>
          <w:szCs w:val="22"/>
        </w:rPr>
        <w:t>,</w:t>
      </w:r>
      <w:r>
        <w:rPr>
          <w:szCs w:val="22"/>
        </w:rPr>
        <w:t xml:space="preserve"> hradených podľa § 88 zákona č. 363/2011 Z. z.</w:t>
      </w:r>
      <w:r w:rsidR="0005431A">
        <w:rPr>
          <w:szCs w:val="22"/>
        </w:rPr>
        <w:t>,</w:t>
      </w:r>
      <w:r>
        <w:rPr>
          <w:szCs w:val="22"/>
        </w:rPr>
        <w:t xml:space="preserve"> medziročne o 16 mil. eur za všetky zdravotné poisťovne pomerne podľa počtu poistencov. Uvedená požiadavka je nevykonateľná. Podľa údajov Úradu pre dohľad nad zdravotnou starostlivosťou dosahuje pomer počtu poistencov u zdravotnej poisťo</w:t>
      </w:r>
      <w:r w:rsidR="0005431A">
        <w:rPr>
          <w:szCs w:val="22"/>
        </w:rPr>
        <w:t>vne Dôvera,</w:t>
      </w:r>
      <w:r w:rsidR="00081484">
        <w:rPr>
          <w:szCs w:val="22"/>
        </w:rPr>
        <w:t xml:space="preserve"> a.</w:t>
      </w:r>
      <w:r w:rsidR="000E5A53">
        <w:rPr>
          <w:szCs w:val="22"/>
        </w:rPr>
        <w:t xml:space="preserve"> </w:t>
      </w:r>
      <w:r w:rsidR="00081484">
        <w:rPr>
          <w:szCs w:val="22"/>
        </w:rPr>
        <w:t>s.</w:t>
      </w:r>
      <w:r w:rsidR="0005431A">
        <w:rPr>
          <w:szCs w:val="22"/>
        </w:rPr>
        <w:t>,</w:t>
      </w:r>
      <w:r w:rsidR="00081484">
        <w:rPr>
          <w:szCs w:val="22"/>
        </w:rPr>
        <w:t xml:space="preserve"> 29,56 </w:t>
      </w:r>
      <w:r>
        <w:rPr>
          <w:szCs w:val="22"/>
        </w:rPr>
        <w:t>%</w:t>
      </w:r>
      <w:r w:rsidR="0005431A">
        <w:rPr>
          <w:szCs w:val="22"/>
        </w:rPr>
        <w:t>,</w:t>
      </w:r>
      <w:r>
        <w:rPr>
          <w:szCs w:val="22"/>
        </w:rPr>
        <w:t xml:space="preserve"> a u zdravotnej poisťovne </w:t>
      </w:r>
      <w:proofErr w:type="spellStart"/>
      <w:r>
        <w:rPr>
          <w:szCs w:val="22"/>
        </w:rPr>
        <w:t>Union</w:t>
      </w:r>
      <w:proofErr w:type="spellEnd"/>
      <w:r>
        <w:rPr>
          <w:szCs w:val="22"/>
        </w:rPr>
        <w:t>, a. s.</w:t>
      </w:r>
      <w:r w:rsidR="006336EE">
        <w:rPr>
          <w:szCs w:val="22"/>
        </w:rPr>
        <w:t>,</w:t>
      </w:r>
      <w:r>
        <w:rPr>
          <w:szCs w:val="22"/>
        </w:rPr>
        <w:t xml:space="preserve"> 9,48 %. Požadované zníženie objemu prostriedkov viazaných na lieky hradené podľa § 88 zákona č. 363/2011 pre ZP Dôvera, a. s.</w:t>
      </w:r>
      <w:r w:rsidR="006336EE">
        <w:rPr>
          <w:szCs w:val="22"/>
        </w:rPr>
        <w:t>,</w:t>
      </w:r>
      <w:r>
        <w:rPr>
          <w:szCs w:val="22"/>
        </w:rPr>
        <w:t xml:space="preserve"> a ZP </w:t>
      </w:r>
      <w:proofErr w:type="spellStart"/>
      <w:r>
        <w:rPr>
          <w:szCs w:val="22"/>
        </w:rPr>
        <w:t>Union</w:t>
      </w:r>
      <w:proofErr w:type="spellEnd"/>
      <w:r>
        <w:rPr>
          <w:szCs w:val="22"/>
        </w:rPr>
        <w:t>, a. s.</w:t>
      </w:r>
      <w:r w:rsidR="006336EE">
        <w:rPr>
          <w:szCs w:val="22"/>
        </w:rPr>
        <w:t>,</w:t>
      </w:r>
      <w:r>
        <w:rPr>
          <w:szCs w:val="22"/>
        </w:rPr>
        <w:t xml:space="preserve"> pomerne podľa počtu poistencov predstavuje vyššiu hodnotu ako v skutočnosti uvedené dve poisťovne v súčasnej dobe ročne celkovo</w:t>
      </w:r>
      <w:r w:rsidR="00B339DA">
        <w:rPr>
          <w:szCs w:val="22"/>
        </w:rPr>
        <w:t xml:space="preserve"> uhrádzajú podľa § 88 zákona č. </w:t>
      </w:r>
      <w:r>
        <w:rPr>
          <w:szCs w:val="22"/>
        </w:rPr>
        <w:t>363/2011 Z. z.</w:t>
      </w:r>
    </w:p>
    <w:p w14:paraId="79192494" w14:textId="3502517E" w:rsidR="00BE3D14" w:rsidRPr="003A30E9" w:rsidRDefault="006336EE" w:rsidP="000A2429">
      <w:pPr>
        <w:pStyle w:val="Zkladntext"/>
        <w:numPr>
          <w:ilvl w:val="0"/>
          <w:numId w:val="10"/>
        </w:numPr>
        <w:spacing w:after="0"/>
        <w:jc w:val="both"/>
        <w:rPr>
          <w:szCs w:val="22"/>
        </w:rPr>
      </w:pPr>
      <w:r>
        <w:rPr>
          <w:b/>
          <w:szCs w:val="22"/>
        </w:rPr>
        <w:t>V</w:t>
      </w:r>
      <w:r w:rsidR="00BE3D14" w:rsidRPr="00B94357">
        <w:rPr>
          <w:b/>
          <w:szCs w:val="22"/>
        </w:rPr>
        <w:t xml:space="preserve"> oblasti </w:t>
      </w:r>
      <w:proofErr w:type="spellStart"/>
      <w:r w:rsidR="00BE3D14" w:rsidRPr="00B94357">
        <w:rPr>
          <w:b/>
          <w:szCs w:val="22"/>
        </w:rPr>
        <w:t>eHealth</w:t>
      </w:r>
      <w:proofErr w:type="spellEnd"/>
      <w:r w:rsidR="00BE3D14" w:rsidRPr="00B94357">
        <w:rPr>
          <w:b/>
          <w:szCs w:val="22"/>
        </w:rPr>
        <w:t xml:space="preserve"> je navrhnutá úspora 30 mil. eur, </w:t>
      </w:r>
      <w:r w:rsidR="00BE3D14" w:rsidRPr="003A30E9">
        <w:rPr>
          <w:szCs w:val="22"/>
        </w:rPr>
        <w:t>čo</w:t>
      </w:r>
      <w:r w:rsidR="00B80718" w:rsidRPr="003A30E9">
        <w:rPr>
          <w:szCs w:val="22"/>
        </w:rPr>
        <w:t xml:space="preserve"> NKÚ SR</w:t>
      </w:r>
      <w:r w:rsidR="00BE3D14" w:rsidRPr="003A30E9">
        <w:rPr>
          <w:szCs w:val="22"/>
        </w:rPr>
        <w:t xml:space="preserve"> považuje za rizikové, </w:t>
      </w:r>
      <w:r w:rsidR="00B94357" w:rsidRPr="003A30E9">
        <w:rPr>
          <w:szCs w:val="22"/>
        </w:rPr>
        <w:t xml:space="preserve">keďže </w:t>
      </w:r>
      <w:r w:rsidR="00BE3D14" w:rsidRPr="003A30E9">
        <w:rPr>
          <w:szCs w:val="22"/>
        </w:rPr>
        <w:t xml:space="preserve">rovnaký plán úspor bol </w:t>
      </w:r>
      <w:r w:rsidR="00B94357" w:rsidRPr="003A30E9">
        <w:rPr>
          <w:szCs w:val="22"/>
        </w:rPr>
        <w:t>navrhnutý</w:t>
      </w:r>
      <w:r w:rsidR="00BE3D14" w:rsidRPr="003A30E9">
        <w:rPr>
          <w:szCs w:val="22"/>
        </w:rPr>
        <w:t xml:space="preserve"> na r</w:t>
      </w:r>
      <w:r w:rsidR="00B94357" w:rsidRPr="003A30E9">
        <w:rPr>
          <w:szCs w:val="22"/>
        </w:rPr>
        <w:t>ok 2019 a nerealizoval sa.</w:t>
      </w:r>
    </w:p>
    <w:p w14:paraId="0D195968" w14:textId="3501D1A8" w:rsidR="005369DE" w:rsidRPr="00FA2B8A" w:rsidRDefault="00571224" w:rsidP="005369DE">
      <w:pPr>
        <w:pStyle w:val="Zkladntext"/>
        <w:spacing w:before="120"/>
        <w:ind w:firstLine="709"/>
        <w:jc w:val="both"/>
        <w:rPr>
          <w:b/>
          <w:szCs w:val="22"/>
        </w:rPr>
      </w:pPr>
      <w:r>
        <w:rPr>
          <w:szCs w:val="22"/>
        </w:rPr>
        <w:t>Hodnotu v zdravotníctve pomáhajú zvyšovať kapitálové výdavky MZ SR. V návrhu rozpočtu na rok 2020 sa rozpočtuje 69 mil. eur kapitálových výdavkov do nemocníc, čo je o 31 mil. eur menej oproti rozpočtu na rok 2019. Podľa NKÚ SR je tento pokles v rozpore so zámerom pokračovania obnovy, rekonštrukcie a výstavby nemocníc, najmä komplexnej rekonštrukcie fakultnej nemocnice v Banskej Bystrici, výstavby novej un</w:t>
      </w:r>
      <w:r w:rsidR="006336EE">
        <w:rPr>
          <w:szCs w:val="22"/>
        </w:rPr>
        <w:t>iverzitnej nemocnice v Martine aj</w:t>
      </w:r>
      <w:r>
        <w:rPr>
          <w:szCs w:val="22"/>
        </w:rPr>
        <w:t> nového komplexu univerzitnej nemocnice v Bratislave. V nasledujúcej tabuľke sú uvedené v</w:t>
      </w:r>
      <w:r w:rsidRPr="00E067C7">
        <w:rPr>
          <w:szCs w:val="22"/>
        </w:rPr>
        <w:t>ybrané údaje z hospodárenia univerzitných a fakultných</w:t>
      </w:r>
      <w:r>
        <w:rPr>
          <w:szCs w:val="22"/>
        </w:rPr>
        <w:t xml:space="preserve"> nemocníc za rok</w:t>
      </w:r>
      <w:r w:rsidRPr="00E067C7">
        <w:rPr>
          <w:szCs w:val="22"/>
        </w:rPr>
        <w:t xml:space="preserve"> 2018</w:t>
      </w:r>
      <w:r>
        <w:rPr>
          <w:szCs w:val="22"/>
        </w:rPr>
        <w:t>.</w:t>
      </w:r>
      <w:r w:rsidR="005369DE">
        <w:rPr>
          <w:szCs w:val="22"/>
        </w:rPr>
        <w:t xml:space="preserve"> Vo väčšine nemocníc tržby od zdravotných poisťovní nepokrývali náklady na zdravotnú starostlivosť nemocníc. Nem</w:t>
      </w:r>
      <w:r w:rsidR="003A30E9">
        <w:rPr>
          <w:szCs w:val="22"/>
        </w:rPr>
        <w:t xml:space="preserve">ocnice majú okrem nákladov na zdravotnú starostlivosť </w:t>
      </w:r>
      <w:r w:rsidR="005369DE">
        <w:rPr>
          <w:szCs w:val="22"/>
        </w:rPr>
        <w:t xml:space="preserve">aj náklady súvisiace s hospodárskou správou nemocníc, ktorá v prípade UN Bratislava predstavuje sumu na úrovni 100 mil. eur. Na zdravotnej starostlivosti prerobili nemocnice 42 mil. eur, ďalších 235 mil. eur tvorili náklady na správu nemocníc. </w:t>
      </w:r>
      <w:r w:rsidR="005369DE" w:rsidRPr="00FA2B8A">
        <w:rPr>
          <w:b/>
          <w:szCs w:val="22"/>
        </w:rPr>
        <w:t>Pokiaľ tržby od zdravotných poisťovní nep</w:t>
      </w:r>
      <w:r w:rsidR="005369DE">
        <w:rPr>
          <w:b/>
          <w:szCs w:val="22"/>
        </w:rPr>
        <w:t>okryjú náklady na zdravotnú starostlivosť</w:t>
      </w:r>
      <w:r w:rsidR="005369DE" w:rsidRPr="00FA2B8A">
        <w:rPr>
          <w:b/>
          <w:szCs w:val="22"/>
        </w:rPr>
        <w:t xml:space="preserve"> nemocníc, bude </w:t>
      </w:r>
      <w:r w:rsidR="005369DE">
        <w:rPr>
          <w:b/>
          <w:szCs w:val="22"/>
        </w:rPr>
        <w:t xml:space="preserve">ich </w:t>
      </w:r>
      <w:r w:rsidR="005369DE" w:rsidRPr="00FA2B8A">
        <w:rPr>
          <w:b/>
          <w:szCs w:val="22"/>
        </w:rPr>
        <w:t xml:space="preserve">dlh </w:t>
      </w:r>
      <w:r w:rsidR="005369DE">
        <w:rPr>
          <w:b/>
          <w:szCs w:val="22"/>
        </w:rPr>
        <w:t>ďalej</w:t>
      </w:r>
      <w:r w:rsidR="005369DE" w:rsidRPr="00FA2B8A">
        <w:rPr>
          <w:b/>
          <w:szCs w:val="22"/>
        </w:rPr>
        <w:t xml:space="preserve"> narastať. </w:t>
      </w:r>
    </w:p>
    <w:tbl>
      <w:tblPr>
        <w:tblStyle w:val="Mriekatabuky8"/>
        <w:tblW w:w="5000" w:type="pct"/>
        <w:tblLook w:val="04A0" w:firstRow="1" w:lastRow="0" w:firstColumn="1" w:lastColumn="0" w:noHBand="0" w:noVBand="1"/>
      </w:tblPr>
      <w:tblGrid>
        <w:gridCol w:w="1696"/>
        <w:gridCol w:w="1015"/>
        <w:gridCol w:w="1363"/>
        <w:gridCol w:w="1056"/>
        <w:gridCol w:w="1950"/>
        <w:gridCol w:w="1247"/>
        <w:gridCol w:w="1019"/>
      </w:tblGrid>
      <w:tr w:rsidR="00571224" w:rsidRPr="005F06AE" w14:paraId="07B7A87D" w14:textId="77777777" w:rsidTr="003A30E9">
        <w:tc>
          <w:tcPr>
            <w:tcW w:w="907" w:type="pct"/>
            <w:tcBorders>
              <w:right w:val="single" w:sz="4" w:space="0" w:color="FFFFFF"/>
            </w:tcBorders>
            <w:shd w:val="clear" w:color="auto" w:fill="0070C0"/>
            <w:vAlign w:val="center"/>
          </w:tcPr>
          <w:p w14:paraId="7A09C804" w14:textId="02EAB6A1" w:rsidR="00571224" w:rsidRPr="00571224" w:rsidRDefault="00571224" w:rsidP="00796D9A">
            <w:pPr>
              <w:rPr>
                <w:rFonts w:ascii="Arial Narrow" w:hAnsi="Arial Narrow" w:cs="Times New Roman"/>
                <w:b/>
                <w:sz w:val="20"/>
                <w:szCs w:val="20"/>
              </w:rPr>
            </w:pPr>
            <w:r w:rsidRPr="00571224">
              <w:rPr>
                <w:rFonts w:ascii="Arial Narrow" w:hAnsi="Arial Narrow" w:cs="Times New Roman"/>
                <w:b/>
                <w:color w:val="FFFFFF"/>
                <w:sz w:val="20"/>
                <w:szCs w:val="20"/>
              </w:rPr>
              <w:lastRenderedPageBreak/>
              <w:t>Nemocnica</w:t>
            </w:r>
          </w:p>
        </w:tc>
        <w:tc>
          <w:tcPr>
            <w:tcW w:w="543" w:type="pct"/>
            <w:tcBorders>
              <w:left w:val="single" w:sz="4" w:space="0" w:color="FFFFFF"/>
              <w:right w:val="single" w:sz="4" w:space="0" w:color="FFFFFF"/>
            </w:tcBorders>
            <w:shd w:val="clear" w:color="auto" w:fill="0070C0"/>
            <w:vAlign w:val="center"/>
          </w:tcPr>
          <w:p w14:paraId="35FCE333" w14:textId="77777777" w:rsidR="00571224" w:rsidRDefault="00571224" w:rsidP="00571224">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Celkové náklady</w:t>
            </w:r>
          </w:p>
          <w:p w14:paraId="644B3212" w14:textId="283C8D13" w:rsidR="00571224" w:rsidRPr="00571224" w:rsidRDefault="00571224" w:rsidP="00571224">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(tis. eur)</w:t>
            </w:r>
          </w:p>
        </w:tc>
        <w:tc>
          <w:tcPr>
            <w:tcW w:w="729" w:type="pct"/>
            <w:tcBorders>
              <w:left w:val="single" w:sz="4" w:space="0" w:color="FFFFFF"/>
              <w:bottom w:val="single" w:sz="4" w:space="0" w:color="auto"/>
              <w:right w:val="single" w:sz="4" w:space="0" w:color="FFFFFF"/>
            </w:tcBorders>
            <w:shd w:val="clear" w:color="auto" w:fill="0070C0"/>
            <w:vAlign w:val="center"/>
          </w:tcPr>
          <w:p w14:paraId="7F204135" w14:textId="77777777" w:rsidR="00571224" w:rsidRDefault="00571224" w:rsidP="00571224">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Náklady bez správy</w:t>
            </w:r>
          </w:p>
          <w:p w14:paraId="33CCB6AE" w14:textId="693DB39B" w:rsidR="00571224" w:rsidRPr="00571224" w:rsidRDefault="00571224" w:rsidP="00571224">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(tis. eur)</w:t>
            </w:r>
          </w:p>
        </w:tc>
        <w:tc>
          <w:tcPr>
            <w:tcW w:w="565" w:type="pct"/>
            <w:tcBorders>
              <w:left w:val="single" w:sz="4" w:space="0" w:color="FFFFFF"/>
              <w:bottom w:val="single" w:sz="4" w:space="0" w:color="auto"/>
              <w:right w:val="single" w:sz="4" w:space="0" w:color="FFFFFF"/>
            </w:tcBorders>
            <w:shd w:val="clear" w:color="auto" w:fill="0070C0"/>
            <w:vAlign w:val="center"/>
          </w:tcPr>
          <w:p w14:paraId="4F88F864" w14:textId="1B5384AA" w:rsidR="00571224" w:rsidRPr="00571224" w:rsidRDefault="00571224" w:rsidP="00796D9A">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 xml:space="preserve">Tržby od ZP </w:t>
            </w:r>
          </w:p>
          <w:p w14:paraId="54AE0398" w14:textId="77777777" w:rsidR="00571224" w:rsidRPr="00571224" w:rsidRDefault="00571224" w:rsidP="00796D9A">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(tis. eur)</w:t>
            </w:r>
          </w:p>
        </w:tc>
        <w:tc>
          <w:tcPr>
            <w:tcW w:w="1043" w:type="pct"/>
            <w:tcBorders>
              <w:left w:val="single" w:sz="4" w:space="0" w:color="FFFFFF"/>
              <w:right w:val="single" w:sz="4" w:space="0" w:color="FFFFFF"/>
            </w:tcBorders>
            <w:shd w:val="clear" w:color="auto" w:fill="0070C0"/>
            <w:vAlign w:val="center"/>
          </w:tcPr>
          <w:p w14:paraId="043E214A" w14:textId="787566CF" w:rsidR="00571224" w:rsidRDefault="0047450E" w:rsidP="00571224">
            <w:pPr>
              <w:jc w:val="center"/>
              <w:rPr>
                <w:rFonts w:ascii="Arial Narrow" w:hAnsi="Arial Narrow" w:cs="Times New Roman"/>
                <w:b/>
                <w:color w:val="FFFFFF"/>
                <w:sz w:val="20"/>
                <w:szCs w:val="20"/>
              </w:rPr>
            </w:pPr>
            <w:r>
              <w:rPr>
                <w:rFonts w:ascii="Arial Narrow" w:hAnsi="Arial Narrow" w:cs="Times New Roman"/>
                <w:b/>
                <w:color w:val="FFFFFF"/>
                <w:sz w:val="20"/>
                <w:szCs w:val="20"/>
              </w:rPr>
              <w:t>Náklady na zdravotnú</w:t>
            </w:r>
            <w:r w:rsidR="00571224" w:rsidRPr="00571224">
              <w:rPr>
                <w:rFonts w:ascii="Arial Narrow" w:hAnsi="Arial Narrow" w:cs="Times New Roman"/>
                <w:b/>
                <w:color w:val="FFFFFF"/>
                <w:sz w:val="20"/>
                <w:szCs w:val="20"/>
              </w:rPr>
              <w:t xml:space="preserve"> </w:t>
            </w:r>
            <w:r>
              <w:rPr>
                <w:rFonts w:ascii="Arial Narrow" w:hAnsi="Arial Narrow" w:cs="Times New Roman"/>
                <w:b/>
                <w:color w:val="FFFFFF"/>
                <w:sz w:val="20"/>
                <w:szCs w:val="20"/>
              </w:rPr>
              <w:t>starostlivosť</w:t>
            </w:r>
          </w:p>
          <w:p w14:paraId="32CCD44F" w14:textId="52117EE6" w:rsidR="00571224" w:rsidRPr="00571224" w:rsidRDefault="00571224" w:rsidP="00571224">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(tis. eur)</w:t>
            </w:r>
          </w:p>
        </w:tc>
        <w:tc>
          <w:tcPr>
            <w:tcW w:w="667" w:type="pct"/>
            <w:tcBorders>
              <w:left w:val="single" w:sz="4" w:space="0" w:color="FFFFFF"/>
              <w:right w:val="single" w:sz="4" w:space="0" w:color="FFFFFF"/>
            </w:tcBorders>
            <w:shd w:val="clear" w:color="auto" w:fill="0070C0"/>
            <w:vAlign w:val="center"/>
          </w:tcPr>
          <w:p w14:paraId="76F9985D" w14:textId="69C2BB34" w:rsidR="00571224" w:rsidRPr="00571224" w:rsidRDefault="00571224" w:rsidP="00796D9A">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Počet hospitalizácií</w:t>
            </w:r>
          </w:p>
        </w:tc>
        <w:tc>
          <w:tcPr>
            <w:tcW w:w="545" w:type="pct"/>
            <w:tcBorders>
              <w:left w:val="single" w:sz="4" w:space="0" w:color="FFFFFF"/>
              <w:bottom w:val="single" w:sz="4" w:space="0" w:color="auto"/>
            </w:tcBorders>
            <w:shd w:val="clear" w:color="auto" w:fill="0070C0"/>
            <w:vAlign w:val="center"/>
          </w:tcPr>
          <w:p w14:paraId="6057146E" w14:textId="24C7CEAA" w:rsidR="00571224" w:rsidRPr="00571224" w:rsidRDefault="00571224" w:rsidP="00796D9A">
            <w:pPr>
              <w:jc w:val="center"/>
              <w:rPr>
                <w:rFonts w:ascii="Arial Narrow" w:hAnsi="Arial Narrow" w:cs="Times New Roman"/>
                <w:b/>
                <w:color w:val="FFFFFF"/>
                <w:sz w:val="20"/>
                <w:szCs w:val="20"/>
              </w:rPr>
            </w:pPr>
            <w:r w:rsidRPr="00571224">
              <w:rPr>
                <w:rFonts w:ascii="Arial Narrow" w:hAnsi="Arial Narrow" w:cs="Times New Roman"/>
                <w:b/>
                <w:color w:val="FFFFFF"/>
                <w:sz w:val="20"/>
                <w:szCs w:val="20"/>
              </w:rPr>
              <w:t>Priemerná mzda (eur)</w:t>
            </w:r>
          </w:p>
        </w:tc>
      </w:tr>
      <w:tr w:rsidR="00571224" w:rsidRPr="005F06AE" w14:paraId="24AC66BA" w14:textId="77777777" w:rsidTr="003A30E9">
        <w:tc>
          <w:tcPr>
            <w:tcW w:w="907" w:type="pct"/>
            <w:vAlign w:val="center"/>
          </w:tcPr>
          <w:p w14:paraId="2BC785CC" w14:textId="77777777" w:rsidR="00571224" w:rsidRPr="005F06AE" w:rsidRDefault="00571224" w:rsidP="00796D9A">
            <w:pPr>
              <w:rPr>
                <w:rFonts w:ascii="Arial Narrow" w:hAnsi="Arial Narrow" w:cs="Times New Roman"/>
                <w:sz w:val="20"/>
                <w:szCs w:val="20"/>
              </w:rPr>
            </w:pPr>
            <w:r w:rsidRPr="005F06AE">
              <w:rPr>
                <w:rFonts w:ascii="Arial Narrow" w:hAnsi="Arial Narrow" w:cs="Times New Roman"/>
                <w:sz w:val="20"/>
                <w:szCs w:val="20"/>
              </w:rPr>
              <w:t>UN Bratislava</w:t>
            </w:r>
          </w:p>
        </w:tc>
        <w:tc>
          <w:tcPr>
            <w:tcW w:w="543" w:type="pct"/>
            <w:tcBorders>
              <w:top w:val="single" w:sz="4" w:space="0" w:color="auto"/>
              <w:left w:val="nil"/>
              <w:bottom w:val="single" w:sz="4" w:space="0" w:color="auto"/>
              <w:right w:val="single" w:sz="4" w:space="0" w:color="auto"/>
            </w:tcBorders>
            <w:shd w:val="clear" w:color="auto" w:fill="auto"/>
            <w:vAlign w:val="center"/>
          </w:tcPr>
          <w:p w14:paraId="2064BA67"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312 777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534FCC58"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194 366</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75F3E63"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174 277</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5BE91D73"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-20 089 </w:t>
            </w:r>
          </w:p>
        </w:tc>
        <w:tc>
          <w:tcPr>
            <w:tcW w:w="667" w:type="pct"/>
            <w:tcBorders>
              <w:top w:val="single" w:sz="4" w:space="0" w:color="auto"/>
              <w:left w:val="single" w:sz="4" w:space="0" w:color="auto"/>
              <w:bottom w:val="single" w:sz="4" w:space="0" w:color="auto"/>
              <w:right w:val="single" w:sz="4" w:space="0" w:color="auto"/>
            </w:tcBorders>
            <w:vAlign w:val="center"/>
          </w:tcPr>
          <w:p w14:paraId="191BBB8B"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79 735</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7F6732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2 066</w:t>
            </w:r>
          </w:p>
        </w:tc>
      </w:tr>
      <w:tr w:rsidR="00571224" w:rsidRPr="005F06AE" w14:paraId="0D56421C" w14:textId="77777777" w:rsidTr="003A30E9">
        <w:tc>
          <w:tcPr>
            <w:tcW w:w="907" w:type="pct"/>
            <w:vAlign w:val="center"/>
          </w:tcPr>
          <w:p w14:paraId="04EDB2F5" w14:textId="77777777" w:rsidR="00571224" w:rsidRPr="005F06AE" w:rsidRDefault="00571224" w:rsidP="00796D9A">
            <w:pPr>
              <w:rPr>
                <w:rFonts w:ascii="Arial Narrow" w:hAnsi="Arial Narrow" w:cs="Times New Roman"/>
                <w:sz w:val="20"/>
                <w:szCs w:val="20"/>
              </w:rPr>
            </w:pPr>
            <w:r w:rsidRPr="005F06AE">
              <w:rPr>
                <w:rFonts w:ascii="Arial Narrow" w:hAnsi="Arial Narrow" w:cs="Times New Roman"/>
                <w:sz w:val="20"/>
                <w:szCs w:val="20"/>
              </w:rPr>
              <w:t>UN Košice</w:t>
            </w:r>
          </w:p>
        </w:tc>
        <w:tc>
          <w:tcPr>
            <w:tcW w:w="543" w:type="pct"/>
            <w:tcBorders>
              <w:top w:val="single" w:sz="4" w:space="0" w:color="auto"/>
              <w:left w:val="nil"/>
              <w:bottom w:val="single" w:sz="4" w:space="0" w:color="auto"/>
              <w:right w:val="single" w:sz="4" w:space="0" w:color="auto"/>
            </w:tcBorders>
            <w:shd w:val="clear" w:color="auto" w:fill="auto"/>
            <w:vAlign w:val="center"/>
          </w:tcPr>
          <w:p w14:paraId="2DF71C20"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123 785</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7BFEB729"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102 863</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5C5A14B"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91 736</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39C9AEC3"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-11 127 </w:t>
            </w:r>
          </w:p>
        </w:tc>
        <w:tc>
          <w:tcPr>
            <w:tcW w:w="667" w:type="pct"/>
            <w:tcBorders>
              <w:top w:val="single" w:sz="4" w:space="0" w:color="auto"/>
              <w:left w:val="single" w:sz="4" w:space="0" w:color="auto"/>
              <w:bottom w:val="single" w:sz="4" w:space="0" w:color="auto"/>
              <w:right w:val="single" w:sz="4" w:space="0" w:color="auto"/>
            </w:tcBorders>
            <w:vAlign w:val="center"/>
          </w:tcPr>
          <w:p w14:paraId="094233B4"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52 748</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BC63118"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1 842</w:t>
            </w:r>
          </w:p>
        </w:tc>
      </w:tr>
      <w:tr w:rsidR="00571224" w:rsidRPr="005F06AE" w14:paraId="250C33C2" w14:textId="77777777" w:rsidTr="003A30E9">
        <w:tc>
          <w:tcPr>
            <w:tcW w:w="907" w:type="pct"/>
            <w:vAlign w:val="center"/>
          </w:tcPr>
          <w:p w14:paraId="4132DE39" w14:textId="77777777" w:rsidR="00571224" w:rsidRPr="005F06AE" w:rsidRDefault="00571224" w:rsidP="00796D9A">
            <w:pPr>
              <w:rPr>
                <w:rFonts w:ascii="Arial Narrow" w:hAnsi="Arial Narrow" w:cs="Times New Roman"/>
                <w:sz w:val="20"/>
                <w:szCs w:val="20"/>
              </w:rPr>
            </w:pPr>
            <w:r w:rsidRPr="005F06AE">
              <w:rPr>
                <w:rFonts w:ascii="Arial Narrow" w:hAnsi="Arial Narrow" w:cs="Times New Roman"/>
                <w:sz w:val="20"/>
                <w:szCs w:val="20"/>
              </w:rPr>
              <w:t>UN Martin</w:t>
            </w:r>
          </w:p>
        </w:tc>
        <w:tc>
          <w:tcPr>
            <w:tcW w:w="543" w:type="pct"/>
            <w:tcBorders>
              <w:top w:val="single" w:sz="4" w:space="0" w:color="auto"/>
              <w:left w:val="nil"/>
              <w:bottom w:val="single" w:sz="4" w:space="0" w:color="auto"/>
              <w:right w:val="single" w:sz="4" w:space="0" w:color="auto"/>
            </w:tcBorders>
            <w:shd w:val="clear" w:color="auto" w:fill="auto"/>
            <w:vAlign w:val="center"/>
          </w:tcPr>
          <w:p w14:paraId="5784176F"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95 936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0183D84B"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87 665</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A0D55F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75 273</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CA8B337"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-12 392 </w:t>
            </w:r>
          </w:p>
        </w:tc>
        <w:tc>
          <w:tcPr>
            <w:tcW w:w="667" w:type="pct"/>
            <w:tcBorders>
              <w:top w:val="single" w:sz="4" w:space="0" w:color="auto"/>
              <w:left w:val="single" w:sz="4" w:space="0" w:color="auto"/>
              <w:bottom w:val="single" w:sz="4" w:space="0" w:color="auto"/>
              <w:right w:val="single" w:sz="4" w:space="0" w:color="auto"/>
            </w:tcBorders>
            <w:vAlign w:val="center"/>
          </w:tcPr>
          <w:p w14:paraId="5EEFFDED"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30 532</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7ED48BC"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2 178</w:t>
            </w:r>
          </w:p>
        </w:tc>
      </w:tr>
      <w:tr w:rsidR="00571224" w:rsidRPr="005F06AE" w14:paraId="6C03A345" w14:textId="77777777" w:rsidTr="003A30E9">
        <w:tc>
          <w:tcPr>
            <w:tcW w:w="907" w:type="pct"/>
            <w:vAlign w:val="center"/>
          </w:tcPr>
          <w:p w14:paraId="602A5CB0" w14:textId="5674189C"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NÚDCH</w:t>
            </w:r>
            <w:r w:rsidR="00571224" w:rsidRPr="005F06AE">
              <w:rPr>
                <w:rFonts w:ascii="Arial Narrow" w:hAnsi="Arial Narrow" w:cs="Times New Roman"/>
                <w:sz w:val="20"/>
                <w:szCs w:val="20"/>
              </w:rPr>
              <w:t xml:space="preserve"> Bratislava</w:t>
            </w:r>
          </w:p>
        </w:tc>
        <w:tc>
          <w:tcPr>
            <w:tcW w:w="543" w:type="pct"/>
            <w:tcBorders>
              <w:top w:val="single" w:sz="4" w:space="0" w:color="auto"/>
              <w:left w:val="nil"/>
              <w:bottom w:val="single" w:sz="4" w:space="0" w:color="auto"/>
              <w:right w:val="single" w:sz="4" w:space="0" w:color="auto"/>
            </w:tcBorders>
            <w:shd w:val="clear" w:color="auto" w:fill="auto"/>
            <w:vAlign w:val="center"/>
          </w:tcPr>
          <w:p w14:paraId="5432A327"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68 969</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5A9F97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47 972</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4D526F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67 391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1043F965"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 xml:space="preserve">19 420 </w:t>
            </w:r>
          </w:p>
        </w:tc>
        <w:tc>
          <w:tcPr>
            <w:tcW w:w="667" w:type="pct"/>
            <w:tcBorders>
              <w:top w:val="single" w:sz="4" w:space="0" w:color="auto"/>
              <w:left w:val="single" w:sz="4" w:space="0" w:color="auto"/>
              <w:bottom w:val="single" w:sz="4" w:space="0" w:color="auto"/>
              <w:right w:val="single" w:sz="4" w:space="0" w:color="auto"/>
            </w:tcBorders>
            <w:vAlign w:val="center"/>
          </w:tcPr>
          <w:p w14:paraId="1AC34540"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22 514</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0446C8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2 115</w:t>
            </w:r>
          </w:p>
        </w:tc>
      </w:tr>
      <w:tr w:rsidR="00571224" w:rsidRPr="005F06AE" w14:paraId="77DB3924" w14:textId="77777777" w:rsidTr="003A30E9">
        <w:tc>
          <w:tcPr>
            <w:tcW w:w="907" w:type="pct"/>
            <w:vAlign w:val="center"/>
          </w:tcPr>
          <w:p w14:paraId="629B8B6B" w14:textId="47EA553C" w:rsidR="00571224" w:rsidRPr="005F06AE" w:rsidRDefault="00571224" w:rsidP="00796D9A">
            <w:pPr>
              <w:rPr>
                <w:rFonts w:ascii="Arial Narrow" w:hAnsi="Arial Narrow" w:cs="Times New Roman"/>
                <w:sz w:val="20"/>
                <w:szCs w:val="20"/>
              </w:rPr>
            </w:pPr>
            <w:r w:rsidRPr="005F06AE">
              <w:rPr>
                <w:rFonts w:ascii="Arial Narrow" w:hAnsi="Arial Narrow" w:cs="Times New Roman"/>
                <w:sz w:val="20"/>
                <w:szCs w:val="20"/>
              </w:rPr>
              <w:t>DF</w:t>
            </w:r>
            <w:r w:rsidR="003A30E9">
              <w:rPr>
                <w:rFonts w:ascii="Arial Narrow" w:hAnsi="Arial Narrow" w:cs="Times New Roman"/>
                <w:sz w:val="20"/>
                <w:szCs w:val="20"/>
              </w:rPr>
              <w:t>N</w:t>
            </w:r>
            <w:r w:rsidRPr="005F06AE">
              <w:rPr>
                <w:rFonts w:ascii="Arial Narrow" w:hAnsi="Arial Narrow" w:cs="Times New Roman"/>
                <w:sz w:val="20"/>
                <w:szCs w:val="20"/>
              </w:rPr>
              <w:t xml:space="preserve"> Košice</w:t>
            </w:r>
          </w:p>
        </w:tc>
        <w:tc>
          <w:tcPr>
            <w:tcW w:w="543" w:type="pct"/>
            <w:tcBorders>
              <w:top w:val="single" w:sz="4" w:space="0" w:color="auto"/>
              <w:left w:val="nil"/>
              <w:bottom w:val="single" w:sz="4" w:space="0" w:color="auto"/>
              <w:right w:val="single" w:sz="4" w:space="0" w:color="auto"/>
            </w:tcBorders>
            <w:shd w:val="clear" w:color="auto" w:fill="auto"/>
            <w:vAlign w:val="center"/>
          </w:tcPr>
          <w:p w14:paraId="044083BB"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19 275</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A0A5A13"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16 915</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A2E6D2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16 262</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21D9037"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-653 </w:t>
            </w:r>
          </w:p>
        </w:tc>
        <w:tc>
          <w:tcPr>
            <w:tcW w:w="667" w:type="pct"/>
            <w:tcBorders>
              <w:top w:val="single" w:sz="4" w:space="0" w:color="auto"/>
              <w:left w:val="single" w:sz="4" w:space="0" w:color="auto"/>
              <w:bottom w:val="single" w:sz="4" w:space="0" w:color="auto"/>
              <w:right w:val="single" w:sz="4" w:space="0" w:color="auto"/>
            </w:tcBorders>
            <w:vAlign w:val="center"/>
          </w:tcPr>
          <w:p w14:paraId="63323FC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12 937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9C6BA0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1 532</w:t>
            </w:r>
          </w:p>
        </w:tc>
      </w:tr>
      <w:tr w:rsidR="00571224" w:rsidRPr="005F06AE" w14:paraId="589A0CFF" w14:textId="77777777" w:rsidTr="003A30E9">
        <w:tc>
          <w:tcPr>
            <w:tcW w:w="907" w:type="pct"/>
            <w:vAlign w:val="center"/>
          </w:tcPr>
          <w:p w14:paraId="302C066D" w14:textId="4FE1E1C8" w:rsidR="00571224" w:rsidRPr="005F06AE" w:rsidRDefault="00571224" w:rsidP="00796D9A">
            <w:pPr>
              <w:rPr>
                <w:rFonts w:ascii="Arial Narrow" w:hAnsi="Arial Narrow" w:cs="Times New Roman"/>
                <w:sz w:val="20"/>
                <w:szCs w:val="20"/>
              </w:rPr>
            </w:pPr>
            <w:r w:rsidRPr="005F06AE">
              <w:rPr>
                <w:rFonts w:ascii="Arial Narrow" w:hAnsi="Arial Narrow" w:cs="Times New Roman"/>
                <w:sz w:val="20"/>
                <w:szCs w:val="20"/>
              </w:rPr>
              <w:t>DF</w:t>
            </w:r>
            <w:r w:rsidR="003A30E9">
              <w:rPr>
                <w:rFonts w:ascii="Arial Narrow" w:hAnsi="Arial Narrow" w:cs="Times New Roman"/>
                <w:sz w:val="20"/>
                <w:szCs w:val="20"/>
              </w:rPr>
              <w:t>N</w:t>
            </w:r>
            <w:r w:rsidRPr="005F06AE">
              <w:rPr>
                <w:rFonts w:ascii="Arial Narrow" w:hAnsi="Arial Narrow" w:cs="Times New Roman"/>
                <w:sz w:val="20"/>
                <w:szCs w:val="20"/>
              </w:rPr>
              <w:t xml:space="preserve"> B. Bystrica</w:t>
            </w:r>
          </w:p>
        </w:tc>
        <w:tc>
          <w:tcPr>
            <w:tcW w:w="543" w:type="pct"/>
            <w:tcBorders>
              <w:top w:val="single" w:sz="4" w:space="0" w:color="auto"/>
              <w:left w:val="nil"/>
              <w:bottom w:val="single" w:sz="4" w:space="0" w:color="auto"/>
              <w:right w:val="single" w:sz="4" w:space="0" w:color="auto"/>
            </w:tcBorders>
            <w:shd w:val="clear" w:color="auto" w:fill="auto"/>
            <w:vAlign w:val="center"/>
          </w:tcPr>
          <w:p w14:paraId="23FF5040"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12 174</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14B67A20"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10 385</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777CD0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10 652</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0A026B1B"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 xml:space="preserve">267 </w:t>
            </w:r>
          </w:p>
        </w:tc>
        <w:tc>
          <w:tcPr>
            <w:tcW w:w="667" w:type="pct"/>
            <w:tcBorders>
              <w:top w:val="single" w:sz="4" w:space="0" w:color="auto"/>
              <w:left w:val="single" w:sz="4" w:space="0" w:color="auto"/>
              <w:bottom w:val="single" w:sz="4" w:space="0" w:color="auto"/>
              <w:right w:val="single" w:sz="4" w:space="0" w:color="auto"/>
            </w:tcBorders>
            <w:vAlign w:val="center"/>
          </w:tcPr>
          <w:p w14:paraId="19D3963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5 349</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535B628"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1 776</w:t>
            </w:r>
          </w:p>
        </w:tc>
      </w:tr>
      <w:tr w:rsidR="00571224" w:rsidRPr="005F06AE" w14:paraId="745FD4FC" w14:textId="77777777" w:rsidTr="003A30E9">
        <w:tc>
          <w:tcPr>
            <w:tcW w:w="907" w:type="pct"/>
            <w:vAlign w:val="center"/>
          </w:tcPr>
          <w:p w14:paraId="28F18521" w14:textId="616C0068"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Prešov</w:t>
            </w:r>
          </w:p>
        </w:tc>
        <w:tc>
          <w:tcPr>
            <w:tcW w:w="543" w:type="pct"/>
            <w:tcBorders>
              <w:top w:val="single" w:sz="4" w:space="0" w:color="auto"/>
              <w:left w:val="nil"/>
              <w:bottom w:val="single" w:sz="4" w:space="0" w:color="auto"/>
              <w:right w:val="single" w:sz="4" w:space="0" w:color="auto"/>
            </w:tcBorders>
            <w:shd w:val="clear" w:color="auto" w:fill="auto"/>
            <w:vAlign w:val="center"/>
          </w:tcPr>
          <w:p w14:paraId="548D0B71"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83 037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41FCE0B1"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73 729</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D44BCB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66 330</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7107BCB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-7 399 </w:t>
            </w:r>
          </w:p>
        </w:tc>
        <w:tc>
          <w:tcPr>
            <w:tcW w:w="667" w:type="pct"/>
            <w:tcBorders>
              <w:top w:val="single" w:sz="4" w:space="0" w:color="auto"/>
              <w:left w:val="single" w:sz="4" w:space="0" w:color="auto"/>
              <w:bottom w:val="single" w:sz="4" w:space="0" w:color="auto"/>
              <w:right w:val="single" w:sz="4" w:space="0" w:color="auto"/>
            </w:tcBorders>
            <w:vAlign w:val="center"/>
          </w:tcPr>
          <w:p w14:paraId="50DEF62B"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43 954</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496B30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1 410</w:t>
            </w:r>
          </w:p>
        </w:tc>
      </w:tr>
      <w:tr w:rsidR="00571224" w:rsidRPr="005F06AE" w14:paraId="3FDA204D" w14:textId="77777777" w:rsidTr="003A30E9">
        <w:tc>
          <w:tcPr>
            <w:tcW w:w="907" w:type="pct"/>
            <w:vAlign w:val="center"/>
          </w:tcPr>
          <w:p w14:paraId="1B7AAA88" w14:textId="572E7669"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Žilina</w:t>
            </w:r>
          </w:p>
        </w:tc>
        <w:tc>
          <w:tcPr>
            <w:tcW w:w="543" w:type="pct"/>
            <w:tcBorders>
              <w:top w:val="single" w:sz="4" w:space="0" w:color="auto"/>
              <w:left w:val="nil"/>
              <w:bottom w:val="single" w:sz="4" w:space="0" w:color="auto"/>
              <w:right w:val="single" w:sz="4" w:space="0" w:color="auto"/>
            </w:tcBorders>
            <w:shd w:val="clear" w:color="auto" w:fill="auto"/>
            <w:vAlign w:val="center"/>
          </w:tcPr>
          <w:p w14:paraId="4BECD4EF"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61 689</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57B1B12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56 036</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6E55D29"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53 191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3833D8B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-2 845 </w:t>
            </w:r>
          </w:p>
        </w:tc>
        <w:tc>
          <w:tcPr>
            <w:tcW w:w="667" w:type="pct"/>
            <w:tcBorders>
              <w:top w:val="single" w:sz="4" w:space="0" w:color="auto"/>
              <w:left w:val="single" w:sz="4" w:space="0" w:color="auto"/>
              <w:bottom w:val="single" w:sz="4" w:space="0" w:color="auto"/>
              <w:right w:val="single" w:sz="4" w:space="0" w:color="auto"/>
            </w:tcBorders>
            <w:vAlign w:val="center"/>
          </w:tcPr>
          <w:p w14:paraId="380ECB9D"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28 897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AA610AA"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1 821</w:t>
            </w:r>
          </w:p>
        </w:tc>
      </w:tr>
      <w:tr w:rsidR="00571224" w:rsidRPr="005F06AE" w14:paraId="4D107AA3" w14:textId="77777777" w:rsidTr="003A30E9">
        <w:tc>
          <w:tcPr>
            <w:tcW w:w="907" w:type="pct"/>
            <w:vAlign w:val="center"/>
          </w:tcPr>
          <w:p w14:paraId="2E15FBF2" w14:textId="401EB52E"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B. Bystrica</w:t>
            </w:r>
          </w:p>
        </w:tc>
        <w:tc>
          <w:tcPr>
            <w:tcW w:w="543" w:type="pct"/>
            <w:tcBorders>
              <w:top w:val="single" w:sz="4" w:space="0" w:color="auto"/>
              <w:left w:val="nil"/>
              <w:bottom w:val="single" w:sz="4" w:space="0" w:color="auto"/>
              <w:right w:val="single" w:sz="4" w:space="0" w:color="auto"/>
            </w:tcBorders>
            <w:shd w:val="clear" w:color="auto" w:fill="auto"/>
            <w:vAlign w:val="center"/>
          </w:tcPr>
          <w:p w14:paraId="1C6F41D1"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111 178</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733CACAA"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91 387</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9B8E95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84 677</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45DDC5D7"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-6 710 </w:t>
            </w:r>
          </w:p>
        </w:tc>
        <w:tc>
          <w:tcPr>
            <w:tcW w:w="667" w:type="pct"/>
            <w:tcBorders>
              <w:top w:val="single" w:sz="4" w:space="0" w:color="auto"/>
              <w:left w:val="single" w:sz="4" w:space="0" w:color="auto"/>
              <w:bottom w:val="single" w:sz="4" w:space="0" w:color="auto"/>
              <w:right w:val="single" w:sz="4" w:space="0" w:color="auto"/>
            </w:tcBorders>
            <w:vAlign w:val="center"/>
          </w:tcPr>
          <w:p w14:paraId="67FBAB5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38 775</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CE8E11A"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1 810</w:t>
            </w:r>
          </w:p>
        </w:tc>
      </w:tr>
      <w:tr w:rsidR="00571224" w:rsidRPr="005F06AE" w14:paraId="42ABC6C8" w14:textId="77777777" w:rsidTr="003A30E9">
        <w:tc>
          <w:tcPr>
            <w:tcW w:w="907" w:type="pct"/>
            <w:vAlign w:val="center"/>
          </w:tcPr>
          <w:p w14:paraId="0C3D910A" w14:textId="7B4DFFB5"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Nitra</w:t>
            </w:r>
          </w:p>
        </w:tc>
        <w:tc>
          <w:tcPr>
            <w:tcW w:w="543" w:type="pct"/>
            <w:tcBorders>
              <w:top w:val="single" w:sz="4" w:space="0" w:color="auto"/>
              <w:left w:val="nil"/>
              <w:bottom w:val="single" w:sz="4" w:space="0" w:color="auto"/>
              <w:right w:val="single" w:sz="4" w:space="0" w:color="auto"/>
            </w:tcBorders>
            <w:shd w:val="clear" w:color="auto" w:fill="auto"/>
            <w:vAlign w:val="center"/>
          </w:tcPr>
          <w:p w14:paraId="30F1ED99"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49 609</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4C34CC91"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44 918</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098A32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47 474</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1AB8E0A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 xml:space="preserve">2 556 </w:t>
            </w:r>
          </w:p>
        </w:tc>
        <w:tc>
          <w:tcPr>
            <w:tcW w:w="667" w:type="pct"/>
            <w:tcBorders>
              <w:top w:val="single" w:sz="4" w:space="0" w:color="auto"/>
              <w:left w:val="single" w:sz="4" w:space="0" w:color="auto"/>
              <w:bottom w:val="single" w:sz="4" w:space="0" w:color="auto"/>
              <w:right w:val="single" w:sz="4" w:space="0" w:color="auto"/>
            </w:tcBorders>
            <w:vAlign w:val="center"/>
          </w:tcPr>
          <w:p w14:paraId="418EF7FA"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40 861</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4CC0A1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1 421</w:t>
            </w:r>
          </w:p>
        </w:tc>
      </w:tr>
      <w:tr w:rsidR="00571224" w:rsidRPr="005F06AE" w14:paraId="3BA79836" w14:textId="77777777" w:rsidTr="003A30E9">
        <w:tc>
          <w:tcPr>
            <w:tcW w:w="907" w:type="pct"/>
            <w:vAlign w:val="center"/>
          </w:tcPr>
          <w:p w14:paraId="52F5C9DC" w14:textId="21E23CBB"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Trnava</w:t>
            </w:r>
          </w:p>
        </w:tc>
        <w:tc>
          <w:tcPr>
            <w:tcW w:w="543" w:type="pct"/>
            <w:tcBorders>
              <w:top w:val="single" w:sz="4" w:space="0" w:color="auto"/>
              <w:left w:val="nil"/>
              <w:bottom w:val="single" w:sz="4" w:space="0" w:color="auto"/>
              <w:right w:val="single" w:sz="4" w:space="0" w:color="auto"/>
            </w:tcBorders>
            <w:shd w:val="clear" w:color="auto" w:fill="auto"/>
            <w:vAlign w:val="center"/>
          </w:tcPr>
          <w:p w14:paraId="3A4DE9A5"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52 533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5A0927EC"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42 430</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C4D5F6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39 454</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F52B88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-2 976 </w:t>
            </w:r>
          </w:p>
        </w:tc>
        <w:tc>
          <w:tcPr>
            <w:tcW w:w="667" w:type="pct"/>
            <w:tcBorders>
              <w:top w:val="single" w:sz="4" w:space="0" w:color="auto"/>
              <w:left w:val="single" w:sz="4" w:space="0" w:color="auto"/>
              <w:bottom w:val="single" w:sz="4" w:space="0" w:color="auto"/>
              <w:right w:val="single" w:sz="4" w:space="0" w:color="auto"/>
            </w:tcBorders>
            <w:vAlign w:val="center"/>
          </w:tcPr>
          <w:p w14:paraId="137D19E3"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24 242</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156D7F5"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1 683</w:t>
            </w:r>
          </w:p>
        </w:tc>
      </w:tr>
      <w:tr w:rsidR="00571224" w:rsidRPr="005F06AE" w14:paraId="6280E83C" w14:textId="77777777" w:rsidTr="003A30E9">
        <w:tc>
          <w:tcPr>
            <w:tcW w:w="907" w:type="pct"/>
            <w:vAlign w:val="center"/>
          </w:tcPr>
          <w:p w14:paraId="27873107" w14:textId="61B648E2"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Trenčín</w:t>
            </w:r>
          </w:p>
        </w:tc>
        <w:tc>
          <w:tcPr>
            <w:tcW w:w="543" w:type="pct"/>
            <w:tcBorders>
              <w:top w:val="single" w:sz="4" w:space="0" w:color="auto"/>
              <w:left w:val="nil"/>
              <w:bottom w:val="single" w:sz="4" w:space="0" w:color="auto"/>
              <w:right w:val="single" w:sz="4" w:space="0" w:color="auto"/>
            </w:tcBorders>
            <w:shd w:val="clear" w:color="auto" w:fill="auto"/>
            <w:vAlign w:val="center"/>
          </w:tcPr>
          <w:p w14:paraId="0870921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57 764</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61A241B1"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50 053</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8BF175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48 601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45F0327C"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FF0000"/>
                <w:sz w:val="20"/>
                <w:szCs w:val="20"/>
              </w:rPr>
              <w:t xml:space="preserve">-1 452 </w:t>
            </w:r>
          </w:p>
        </w:tc>
        <w:tc>
          <w:tcPr>
            <w:tcW w:w="667" w:type="pct"/>
            <w:tcBorders>
              <w:top w:val="single" w:sz="4" w:space="0" w:color="auto"/>
              <w:left w:val="single" w:sz="4" w:space="0" w:color="auto"/>
              <w:bottom w:val="single" w:sz="4" w:space="0" w:color="auto"/>
              <w:right w:val="single" w:sz="4" w:space="0" w:color="auto"/>
            </w:tcBorders>
            <w:vAlign w:val="center"/>
          </w:tcPr>
          <w:p w14:paraId="2ACDA7E0"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24 030</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EADF44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1 573</w:t>
            </w:r>
          </w:p>
        </w:tc>
      </w:tr>
      <w:tr w:rsidR="00571224" w:rsidRPr="005F06AE" w14:paraId="3EFC0252" w14:textId="77777777" w:rsidTr="003A30E9">
        <w:tc>
          <w:tcPr>
            <w:tcW w:w="907" w:type="pct"/>
            <w:vAlign w:val="center"/>
          </w:tcPr>
          <w:p w14:paraId="065A3897" w14:textId="763047FE" w:rsidR="00571224" w:rsidRPr="005F06AE" w:rsidRDefault="003A30E9" w:rsidP="00796D9A">
            <w:pPr>
              <w:rPr>
                <w:rFonts w:ascii="Arial Narrow" w:hAnsi="Arial Narrow" w:cs="Times New Roman"/>
                <w:sz w:val="20"/>
                <w:szCs w:val="20"/>
              </w:rPr>
            </w:pPr>
            <w:r>
              <w:rPr>
                <w:rFonts w:ascii="Arial Narrow" w:hAnsi="Arial Narrow" w:cs="Times New Roman"/>
                <w:sz w:val="20"/>
                <w:szCs w:val="20"/>
              </w:rPr>
              <w:t xml:space="preserve">FN </w:t>
            </w:r>
            <w:r w:rsidR="00571224" w:rsidRPr="005F06AE">
              <w:rPr>
                <w:rFonts w:ascii="Arial Narrow" w:hAnsi="Arial Narrow" w:cs="Times New Roman"/>
                <w:sz w:val="20"/>
                <w:szCs w:val="20"/>
              </w:rPr>
              <w:t>Nové Zámky</w:t>
            </w:r>
          </w:p>
        </w:tc>
        <w:tc>
          <w:tcPr>
            <w:tcW w:w="543" w:type="pct"/>
            <w:tcBorders>
              <w:top w:val="single" w:sz="4" w:space="0" w:color="auto"/>
              <w:left w:val="nil"/>
              <w:bottom w:val="single" w:sz="4" w:space="0" w:color="auto"/>
              <w:right w:val="single" w:sz="4" w:space="0" w:color="auto"/>
            </w:tcBorders>
            <w:shd w:val="clear" w:color="auto" w:fill="auto"/>
            <w:vAlign w:val="center"/>
          </w:tcPr>
          <w:p w14:paraId="4E39B6D2"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45 176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17277873"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39 581</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044854E"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40 561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3FBADDA6"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 xml:space="preserve">980 </w:t>
            </w:r>
          </w:p>
        </w:tc>
        <w:tc>
          <w:tcPr>
            <w:tcW w:w="667" w:type="pct"/>
            <w:tcBorders>
              <w:top w:val="single" w:sz="4" w:space="0" w:color="auto"/>
              <w:left w:val="single" w:sz="4" w:space="0" w:color="auto"/>
              <w:bottom w:val="single" w:sz="4" w:space="0" w:color="auto"/>
              <w:right w:val="single" w:sz="4" w:space="0" w:color="auto"/>
            </w:tcBorders>
            <w:vAlign w:val="center"/>
          </w:tcPr>
          <w:p w14:paraId="7ED5FAC0"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25 497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2018298" w14:textId="77777777" w:rsidR="00571224" w:rsidRPr="005F06AE" w:rsidRDefault="00571224" w:rsidP="00796D9A">
            <w:pPr>
              <w:jc w:val="right"/>
              <w:rPr>
                <w:rFonts w:ascii="Arial Narrow" w:hAnsi="Arial Narrow" w:cs="Calibri"/>
                <w:color w:val="000000"/>
                <w:sz w:val="20"/>
                <w:szCs w:val="20"/>
              </w:rPr>
            </w:pPr>
            <w:r w:rsidRPr="005F06AE">
              <w:rPr>
                <w:rFonts w:ascii="Arial Narrow" w:hAnsi="Arial Narrow" w:cs="Calibri"/>
                <w:color w:val="000000"/>
                <w:sz w:val="20"/>
                <w:szCs w:val="20"/>
              </w:rPr>
              <w:t>1 781</w:t>
            </w:r>
          </w:p>
        </w:tc>
      </w:tr>
      <w:tr w:rsidR="00571224" w:rsidRPr="005F06AE" w14:paraId="2DB13BEB" w14:textId="77777777" w:rsidTr="003A30E9">
        <w:tc>
          <w:tcPr>
            <w:tcW w:w="907" w:type="pct"/>
            <w:vAlign w:val="center"/>
          </w:tcPr>
          <w:p w14:paraId="64F1DC6D" w14:textId="77777777" w:rsidR="00571224" w:rsidRPr="005F06AE" w:rsidRDefault="00571224" w:rsidP="00796D9A">
            <w:pPr>
              <w:rPr>
                <w:rFonts w:ascii="Arial Narrow" w:hAnsi="Arial Narrow" w:cs="Times New Roman"/>
                <w:b/>
                <w:sz w:val="20"/>
                <w:szCs w:val="20"/>
              </w:rPr>
            </w:pPr>
            <w:r w:rsidRPr="005F06AE">
              <w:rPr>
                <w:rFonts w:ascii="Arial Narrow" w:hAnsi="Arial Narrow" w:cs="Times New Roman"/>
                <w:b/>
                <w:sz w:val="20"/>
                <w:szCs w:val="20"/>
              </w:rPr>
              <w:t>SPOLU</w:t>
            </w:r>
          </w:p>
        </w:tc>
        <w:tc>
          <w:tcPr>
            <w:tcW w:w="543" w:type="pct"/>
            <w:tcBorders>
              <w:top w:val="single" w:sz="4" w:space="0" w:color="auto"/>
              <w:left w:val="nil"/>
              <w:bottom w:val="single" w:sz="4" w:space="0" w:color="auto"/>
              <w:right w:val="single" w:sz="4" w:space="0" w:color="auto"/>
            </w:tcBorders>
            <w:shd w:val="clear" w:color="auto" w:fill="auto"/>
            <w:vAlign w:val="center"/>
          </w:tcPr>
          <w:p w14:paraId="2DA23D3B" w14:textId="77777777" w:rsidR="00571224" w:rsidRPr="005F06AE" w:rsidRDefault="00571224" w:rsidP="00796D9A">
            <w:pPr>
              <w:jc w:val="right"/>
              <w:rPr>
                <w:rFonts w:ascii="Arial Narrow" w:hAnsi="Arial Narrow" w:cs="Calibri"/>
                <w:b/>
                <w:color w:val="000000"/>
                <w:sz w:val="20"/>
                <w:szCs w:val="20"/>
              </w:rPr>
            </w:pPr>
            <w:r w:rsidRPr="005F06AE">
              <w:rPr>
                <w:rFonts w:ascii="Arial Narrow" w:hAnsi="Arial Narrow" w:cs="Calibri"/>
                <w:b/>
                <w:color w:val="000000"/>
                <w:sz w:val="20"/>
                <w:szCs w:val="20"/>
              </w:rPr>
              <w:t>1 093 902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4413CF09" w14:textId="77777777" w:rsidR="00571224" w:rsidRPr="005F06AE" w:rsidRDefault="00571224" w:rsidP="00796D9A">
            <w:pPr>
              <w:jc w:val="right"/>
              <w:rPr>
                <w:rFonts w:ascii="Arial Narrow" w:hAnsi="Arial Narrow" w:cs="Calibri"/>
                <w:b/>
                <w:color w:val="000000"/>
                <w:sz w:val="20"/>
                <w:szCs w:val="20"/>
              </w:rPr>
            </w:pPr>
            <w:r w:rsidRPr="005F06AE">
              <w:rPr>
                <w:rFonts w:ascii="Arial Narrow" w:hAnsi="Arial Narrow" w:cs="Calibri"/>
                <w:b/>
                <w:color w:val="000000"/>
                <w:sz w:val="20"/>
                <w:szCs w:val="20"/>
              </w:rPr>
              <w:t>858 298</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6FA5480" w14:textId="77777777" w:rsidR="00571224" w:rsidRPr="005F06AE" w:rsidRDefault="00571224" w:rsidP="00796D9A">
            <w:pPr>
              <w:jc w:val="right"/>
              <w:rPr>
                <w:rFonts w:ascii="Arial Narrow" w:hAnsi="Arial Narrow" w:cs="Calibri"/>
                <w:b/>
                <w:color w:val="000000"/>
                <w:sz w:val="20"/>
                <w:szCs w:val="20"/>
              </w:rPr>
            </w:pPr>
            <w:r w:rsidRPr="005F06AE">
              <w:rPr>
                <w:rFonts w:ascii="Arial Narrow" w:hAnsi="Arial Narrow" w:cs="Calibri"/>
                <w:b/>
                <w:color w:val="000000"/>
                <w:sz w:val="20"/>
                <w:szCs w:val="20"/>
              </w:rPr>
              <w:t>815 879</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0C88903D" w14:textId="77777777" w:rsidR="00571224" w:rsidRPr="005F06AE" w:rsidRDefault="00571224" w:rsidP="00796D9A">
            <w:pPr>
              <w:jc w:val="right"/>
              <w:rPr>
                <w:rFonts w:ascii="Arial Narrow" w:hAnsi="Arial Narrow" w:cs="Calibri"/>
                <w:b/>
                <w:color w:val="000000"/>
                <w:sz w:val="20"/>
                <w:szCs w:val="20"/>
              </w:rPr>
            </w:pPr>
            <w:r w:rsidRPr="005F06AE">
              <w:rPr>
                <w:rFonts w:ascii="Arial Narrow" w:hAnsi="Arial Narrow" w:cs="Calibri"/>
                <w:b/>
                <w:color w:val="FF0000"/>
                <w:sz w:val="20"/>
                <w:szCs w:val="20"/>
              </w:rPr>
              <w:t xml:space="preserve">-42 419 </w:t>
            </w:r>
          </w:p>
        </w:tc>
        <w:tc>
          <w:tcPr>
            <w:tcW w:w="667" w:type="pct"/>
            <w:tcBorders>
              <w:top w:val="single" w:sz="4" w:space="0" w:color="auto"/>
              <w:left w:val="single" w:sz="4" w:space="0" w:color="auto"/>
              <w:bottom w:val="single" w:sz="4" w:space="0" w:color="auto"/>
              <w:right w:val="single" w:sz="4" w:space="0" w:color="auto"/>
            </w:tcBorders>
            <w:vAlign w:val="center"/>
          </w:tcPr>
          <w:p w14:paraId="6E12308D" w14:textId="77777777" w:rsidR="00571224" w:rsidRPr="005F06AE" w:rsidRDefault="00571224" w:rsidP="00796D9A">
            <w:pPr>
              <w:jc w:val="right"/>
              <w:rPr>
                <w:rFonts w:ascii="Arial Narrow" w:hAnsi="Arial Narrow" w:cs="Calibri"/>
                <w:b/>
                <w:color w:val="000000"/>
                <w:sz w:val="20"/>
                <w:szCs w:val="20"/>
              </w:rPr>
            </w:pPr>
            <w:r w:rsidRPr="005F06AE">
              <w:rPr>
                <w:rFonts w:ascii="Arial Narrow" w:hAnsi="Arial Narrow" w:cs="Calibri"/>
                <w:b/>
                <w:color w:val="000000"/>
                <w:sz w:val="20"/>
                <w:szCs w:val="20"/>
              </w:rPr>
              <w:t>430 071</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ADD7A7F" w14:textId="77777777" w:rsidR="00571224" w:rsidRPr="005F06AE" w:rsidRDefault="00571224" w:rsidP="00796D9A">
            <w:pPr>
              <w:jc w:val="right"/>
              <w:rPr>
                <w:rFonts w:ascii="Arial Narrow" w:hAnsi="Arial Narrow" w:cs="Calibri"/>
                <w:b/>
                <w:color w:val="000000"/>
                <w:sz w:val="20"/>
                <w:szCs w:val="20"/>
              </w:rPr>
            </w:pPr>
            <w:r w:rsidRPr="005F06AE">
              <w:rPr>
                <w:rFonts w:ascii="Arial Narrow" w:hAnsi="Arial Narrow" w:cs="Calibri"/>
                <w:b/>
                <w:color w:val="000000"/>
                <w:sz w:val="20"/>
                <w:szCs w:val="20"/>
              </w:rPr>
              <w:t>1 814</w:t>
            </w:r>
          </w:p>
        </w:tc>
      </w:tr>
    </w:tbl>
    <w:p w14:paraId="035481CA" w14:textId="77777777" w:rsidR="00571224" w:rsidRPr="00571224" w:rsidRDefault="00571224" w:rsidP="00571224">
      <w:pPr>
        <w:pStyle w:val="Zkladntext"/>
        <w:jc w:val="both"/>
        <w:rPr>
          <w:i/>
          <w:sz w:val="18"/>
        </w:rPr>
      </w:pPr>
      <w:r w:rsidRPr="00571224">
        <w:rPr>
          <w:i/>
          <w:sz w:val="18"/>
        </w:rPr>
        <w:t>Zdroj: IZP MZ SR</w:t>
      </w:r>
    </w:p>
    <w:p w14:paraId="17E5C4FB" w14:textId="1A4FC8A6" w:rsidR="00571224" w:rsidRDefault="00571224" w:rsidP="00571224">
      <w:pPr>
        <w:pStyle w:val="Zkladntext"/>
        <w:spacing w:before="120"/>
        <w:ind w:firstLine="709"/>
        <w:jc w:val="both"/>
        <w:rPr>
          <w:szCs w:val="22"/>
        </w:rPr>
      </w:pPr>
      <w:r>
        <w:rPr>
          <w:szCs w:val="22"/>
        </w:rPr>
        <w:t>Celkový stav záväzkov univerzitných a fakultných nemocníc za prvých 8 mesiacov roku 2019 narástol o 56 447 tis. eur. Vplyv oddlženia mal na dlhy nemocníc iba tlmiaci efekt, pretože ich rast sa zatiaľ nepodarilo zastaviť. Bez zásadných zmien, akými sú predovšetkým zavedenie systému DRG, pln</w:t>
      </w:r>
      <w:r w:rsidR="00B339DA">
        <w:rPr>
          <w:szCs w:val="22"/>
        </w:rPr>
        <w:t xml:space="preserve">á funkcionalita systému </w:t>
      </w:r>
      <w:proofErr w:type="spellStart"/>
      <w:r w:rsidR="00B339DA">
        <w:rPr>
          <w:szCs w:val="22"/>
        </w:rPr>
        <w:t>eHealth</w:t>
      </w:r>
      <w:proofErr w:type="spellEnd"/>
      <w:r>
        <w:rPr>
          <w:szCs w:val="22"/>
        </w:rPr>
        <w:t xml:space="preserve"> a stratifikácia nemocníc</w:t>
      </w:r>
      <w:r w:rsidR="0016251C">
        <w:rPr>
          <w:szCs w:val="22"/>
        </w:rPr>
        <w:t>,</w:t>
      </w:r>
      <w:r>
        <w:rPr>
          <w:szCs w:val="22"/>
        </w:rPr>
        <w:t xml:space="preserve"> nie je možné vysporiadať sa s problematikou zadlženosti.</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71224" w:rsidRPr="004D1E98" w14:paraId="184AD7D5" w14:textId="77777777" w:rsidTr="00796D9A">
        <w:trPr>
          <w:trHeight w:val="170"/>
        </w:trPr>
        <w:tc>
          <w:tcPr>
            <w:tcW w:w="5000" w:type="pct"/>
            <w:tcBorders>
              <w:top w:val="single" w:sz="4" w:space="0" w:color="auto"/>
              <w:bottom w:val="single" w:sz="4" w:space="0" w:color="auto"/>
            </w:tcBorders>
            <w:shd w:val="clear" w:color="auto" w:fill="0070C0"/>
          </w:tcPr>
          <w:p w14:paraId="64C297EA" w14:textId="6B5DB1A7" w:rsidR="00571224" w:rsidRPr="004D1E98" w:rsidRDefault="00571224" w:rsidP="00796D9A">
            <w:pPr>
              <w:pStyle w:val="Zkladntext"/>
              <w:spacing w:after="0"/>
              <w:jc w:val="both"/>
              <w:rPr>
                <w:b/>
                <w:color w:val="FFFFFF" w:themeColor="background1"/>
                <w:sz w:val="20"/>
              </w:rPr>
            </w:pPr>
            <w:r w:rsidRPr="004D1E98">
              <w:rPr>
                <w:b/>
                <w:color w:val="FFFFFF" w:themeColor="background1"/>
                <w:sz w:val="20"/>
              </w:rPr>
              <w:t>Stav záväzkov univerzitných a fakultných nemocníc</w:t>
            </w:r>
            <w:r w:rsidR="0016251C">
              <w:rPr>
                <w:b/>
                <w:color w:val="FFFFFF" w:themeColor="background1"/>
                <w:sz w:val="20"/>
              </w:rPr>
              <w:t xml:space="preserve"> (v tis. eur)</w:t>
            </w:r>
          </w:p>
        </w:tc>
      </w:tr>
      <w:tr w:rsidR="00571224" w14:paraId="58855F03" w14:textId="77777777" w:rsidTr="00796D9A">
        <w:tblPrEx>
          <w:tblCellMar>
            <w:left w:w="70" w:type="dxa"/>
            <w:right w:w="70" w:type="dxa"/>
          </w:tblCellMar>
        </w:tblPrEx>
        <w:trPr>
          <w:trHeight w:val="170"/>
        </w:trPr>
        <w:tc>
          <w:tcPr>
            <w:tcW w:w="5000" w:type="pct"/>
            <w:tcBorders>
              <w:top w:val="single" w:sz="4" w:space="0" w:color="auto"/>
              <w:bottom w:val="single" w:sz="4" w:space="0" w:color="auto"/>
            </w:tcBorders>
          </w:tcPr>
          <w:p w14:paraId="0A46C878" w14:textId="77777777" w:rsidR="00571224" w:rsidRDefault="00571224" w:rsidP="00796D9A">
            <w:pPr>
              <w:pStyle w:val="Zkladntext"/>
              <w:spacing w:after="0"/>
              <w:jc w:val="both"/>
              <w:rPr>
                <w:szCs w:val="22"/>
              </w:rPr>
            </w:pPr>
            <w:r>
              <w:rPr>
                <w:noProof/>
              </w:rPr>
              <w:drawing>
                <wp:inline distT="0" distB="0" distL="0" distR="0" wp14:anchorId="6511CF81" wp14:editId="20DC9976">
                  <wp:extent cx="5842635" cy="1889760"/>
                  <wp:effectExtent l="0" t="0" r="5715"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0F9AD181" w14:textId="7999563E" w:rsidR="00571224" w:rsidRPr="0016251C" w:rsidRDefault="00571224" w:rsidP="00571224">
      <w:pPr>
        <w:pStyle w:val="Zkladntext"/>
        <w:jc w:val="both"/>
        <w:rPr>
          <w:i/>
          <w:sz w:val="20"/>
          <w:szCs w:val="22"/>
        </w:rPr>
      </w:pPr>
      <w:r w:rsidRPr="0016251C">
        <w:rPr>
          <w:i/>
          <w:sz w:val="18"/>
        </w:rPr>
        <w:t>Zdroj: MF SR</w:t>
      </w:r>
    </w:p>
    <w:p w14:paraId="363D3472" w14:textId="62CE212D" w:rsidR="00571224" w:rsidRDefault="00571224" w:rsidP="005E582A">
      <w:pPr>
        <w:pStyle w:val="Zkladntext"/>
        <w:jc w:val="both"/>
        <w:rPr>
          <w:szCs w:val="22"/>
        </w:rPr>
      </w:pPr>
      <w:r>
        <w:rPr>
          <w:szCs w:val="22"/>
        </w:rPr>
        <w:tab/>
        <w:t xml:space="preserve">V návrhu </w:t>
      </w:r>
      <w:r w:rsidR="001D6B61">
        <w:rPr>
          <w:szCs w:val="22"/>
        </w:rPr>
        <w:t>RVS</w:t>
      </w:r>
      <w:r>
        <w:rPr>
          <w:szCs w:val="22"/>
        </w:rPr>
        <w:t xml:space="preserve"> na roky 2020 až 2022 je uvedené, že hospodárenie V</w:t>
      </w:r>
      <w:r w:rsidR="001D6B61">
        <w:rPr>
          <w:szCs w:val="22"/>
        </w:rPr>
        <w:t>ZP</w:t>
      </w:r>
      <w:r>
        <w:rPr>
          <w:szCs w:val="22"/>
        </w:rPr>
        <w:t xml:space="preserve"> v roku 2019 </w:t>
      </w:r>
      <w:r w:rsidR="00377C95">
        <w:rPr>
          <w:szCs w:val="22"/>
        </w:rPr>
        <w:t xml:space="preserve">by malo prispieť </w:t>
      </w:r>
      <w:r>
        <w:rPr>
          <w:szCs w:val="22"/>
        </w:rPr>
        <w:t>k zhoršeniu bilancie verejných financií sum</w:t>
      </w:r>
      <w:r w:rsidR="001D6B61">
        <w:rPr>
          <w:szCs w:val="22"/>
        </w:rPr>
        <w:t>o</w:t>
      </w:r>
      <w:r>
        <w:rPr>
          <w:szCs w:val="22"/>
        </w:rPr>
        <w:t>u 48,1 mil. eur. Najvýznamnejším faktorom oproti schválenému rozpočtu je dofinancovanie sektora zdravotníctva prostredníctvom platby za poistencov štátu, ktorá oproti schválenému rozpočtu rastie o 147,4 mil. eur vrátane ročného zúčtovania. Uvedené sa prejavuje v náraste výdavkov poistenia v</w:t>
      </w:r>
      <w:r w:rsidR="00377C95">
        <w:rPr>
          <w:szCs w:val="22"/>
        </w:rPr>
        <w:t>o výške 172,9 </w:t>
      </w:r>
      <w:r>
        <w:rPr>
          <w:szCs w:val="22"/>
        </w:rPr>
        <w:t>mil. eur, náraste prevádzkových výdavkov zdravotných poisťovní o 8,8 mil. eur</w:t>
      </w:r>
      <w:r w:rsidR="006336EE">
        <w:rPr>
          <w:szCs w:val="22"/>
        </w:rPr>
        <w:t>,</w:t>
      </w:r>
      <w:r>
        <w:rPr>
          <w:szCs w:val="22"/>
        </w:rPr>
        <w:t xml:space="preserve"> a okrem uvedeného sa počíta aj so splácaním úveru od ZP Dôvera v objeme 10,4 mil. eur. NKÚ SR upozorňuje, že suma 10,4 mil. eur takto predstavuje odlev finančných prostriedkov zo systému VZP akcionárom ZP Dôvera, investičnej spoločnosti Penta. </w:t>
      </w:r>
    </w:p>
    <w:p w14:paraId="549D2D36" w14:textId="53306534" w:rsidR="00BE3D14" w:rsidRDefault="00BE3D14" w:rsidP="00714481">
      <w:pPr>
        <w:pStyle w:val="Zkladntext"/>
        <w:spacing w:before="120"/>
        <w:ind w:firstLine="709"/>
        <w:jc w:val="both"/>
        <w:rPr>
          <w:szCs w:val="22"/>
        </w:rPr>
      </w:pPr>
      <w:r>
        <w:rPr>
          <w:szCs w:val="22"/>
        </w:rPr>
        <w:t>Neefektívna alokácia zdrojov sa prejavuje aj v ambulantnej starostlivosti. S</w:t>
      </w:r>
      <w:r w:rsidR="00B94357">
        <w:rPr>
          <w:szCs w:val="22"/>
        </w:rPr>
        <w:t>R</w:t>
      </w:r>
      <w:r>
        <w:rPr>
          <w:szCs w:val="22"/>
        </w:rPr>
        <w:t xml:space="preserve"> má v porovnaní s inými krajinami vysoké výdavky na vyšetrenia u</w:t>
      </w:r>
      <w:r w:rsidR="006336EE">
        <w:rPr>
          <w:szCs w:val="22"/>
        </w:rPr>
        <w:t> </w:t>
      </w:r>
      <w:r>
        <w:rPr>
          <w:szCs w:val="22"/>
        </w:rPr>
        <w:t>špecialistov</w:t>
      </w:r>
      <w:r w:rsidR="006336EE">
        <w:rPr>
          <w:szCs w:val="22"/>
        </w:rPr>
        <w:t>,</w:t>
      </w:r>
      <w:r>
        <w:rPr>
          <w:szCs w:val="22"/>
        </w:rPr>
        <w:t xml:space="preserve"> spôsobené nadmerným počtom návštev. Dôvodom je zdrojovo podhodnotená primárna starostlivosť. Špecializovaná ambulantná starostlivosť </w:t>
      </w:r>
      <w:r w:rsidR="00B94357">
        <w:rPr>
          <w:szCs w:val="22"/>
        </w:rPr>
        <w:t>v SR</w:t>
      </w:r>
      <w:r>
        <w:rPr>
          <w:szCs w:val="22"/>
        </w:rPr>
        <w:t xml:space="preserve"> je využívaná aj na výkony, ktoré vo vyspelých krajinách robia všeobecní lekári. Je to spôsobené vysokou mierou predpisovania vyšetrení u špecialistov všeobecnými lekármi vplyvom ich obmedzených kompetencií, nízkych počtov a vysokého priemerného veku. Na jedného všeobecného lekára pripadajú traja špecialisti, kým v západných krajinách je špecialistov o 60 % viac ako všeobecných lekárov. Priemerný vek všeobecných lekárov pre dospelých podľa údajov NCZI dosiahol </w:t>
      </w:r>
      <w:r w:rsidR="006336EE">
        <w:rPr>
          <w:szCs w:val="22"/>
        </w:rPr>
        <w:t>v roku 2018</w:t>
      </w:r>
      <w:r w:rsidR="001C284A">
        <w:rPr>
          <w:szCs w:val="22"/>
        </w:rPr>
        <w:t xml:space="preserve"> v </w:t>
      </w:r>
      <w:r w:rsidR="00B94357">
        <w:rPr>
          <w:szCs w:val="22"/>
        </w:rPr>
        <w:t>SR</w:t>
      </w:r>
      <w:r w:rsidR="00FF7A8E">
        <w:rPr>
          <w:szCs w:val="22"/>
        </w:rPr>
        <w:t xml:space="preserve"> 55 rokov.</w:t>
      </w:r>
    </w:p>
    <w:p w14:paraId="1CDE9C9F" w14:textId="7CF85404" w:rsidR="00BE3D14" w:rsidRDefault="00BE3D14" w:rsidP="00245744">
      <w:pPr>
        <w:pStyle w:val="Zkladntext"/>
        <w:spacing w:before="120"/>
        <w:ind w:firstLine="709"/>
        <w:jc w:val="both"/>
        <w:rPr>
          <w:szCs w:val="22"/>
        </w:rPr>
      </w:pPr>
      <w:r>
        <w:rPr>
          <w:szCs w:val="22"/>
        </w:rPr>
        <w:t>NKÚ SR poukazuje na rozdiel od revízie na nepriaznivé rozmiestnenie všeobecných lekárov na Slovensku. Z</w:t>
      </w:r>
      <w:r w:rsidR="00B94357">
        <w:rPr>
          <w:szCs w:val="22"/>
        </w:rPr>
        <w:t xml:space="preserve"> nasledujúcej </w:t>
      </w:r>
      <w:r>
        <w:rPr>
          <w:szCs w:val="22"/>
        </w:rPr>
        <w:t xml:space="preserve">tabuľky vyplýva, že v rámci krajov </w:t>
      </w:r>
      <w:r w:rsidR="00B94357">
        <w:rPr>
          <w:szCs w:val="22"/>
        </w:rPr>
        <w:t xml:space="preserve">v roku 2018 </w:t>
      </w:r>
      <w:r>
        <w:rPr>
          <w:szCs w:val="22"/>
        </w:rPr>
        <w:t>dominuje Bratislavský kraj s</w:t>
      </w:r>
      <w:r w:rsidR="0030141E">
        <w:rPr>
          <w:szCs w:val="22"/>
        </w:rPr>
        <w:t xml:space="preserve"> počtom </w:t>
      </w:r>
      <w:r>
        <w:rPr>
          <w:szCs w:val="22"/>
        </w:rPr>
        <w:t>8,</w:t>
      </w:r>
      <w:r w:rsidR="00081484">
        <w:rPr>
          <w:szCs w:val="22"/>
        </w:rPr>
        <w:t>7 všeobecných lekárov na 10 </w:t>
      </w:r>
      <w:r w:rsidR="00B94357">
        <w:rPr>
          <w:szCs w:val="22"/>
        </w:rPr>
        <w:t>tis.</w:t>
      </w:r>
      <w:r w:rsidR="00081484">
        <w:rPr>
          <w:szCs w:val="22"/>
        </w:rPr>
        <w:t> </w:t>
      </w:r>
      <w:r>
        <w:rPr>
          <w:szCs w:val="22"/>
        </w:rPr>
        <w:t xml:space="preserve">obyvateľov </w:t>
      </w:r>
      <w:r w:rsidR="006336EE">
        <w:rPr>
          <w:szCs w:val="22"/>
        </w:rPr>
        <w:t>v porovnaní s takmer o tretinu menším počtom</w:t>
      </w:r>
      <w:r>
        <w:rPr>
          <w:szCs w:val="22"/>
        </w:rPr>
        <w:t xml:space="preserve"> lekárov v Banskobystrickom kraji. Počet </w:t>
      </w:r>
      <w:r>
        <w:rPr>
          <w:szCs w:val="22"/>
        </w:rPr>
        <w:lastRenderedPageBreak/>
        <w:t xml:space="preserve">všeobecných lekárov síce za roky 2016 </w:t>
      </w:r>
      <w:r w:rsidR="0030141E">
        <w:rPr>
          <w:szCs w:val="22"/>
        </w:rPr>
        <w:t>až</w:t>
      </w:r>
      <w:r>
        <w:rPr>
          <w:szCs w:val="22"/>
        </w:rPr>
        <w:t xml:space="preserve"> 2018 medziročne nepatrne rástol, ale závažný bol medziročný pokles ambulancií všeobecných lekárov v roku 2017 vo všetkých krajoch Slovenska. </w:t>
      </w:r>
    </w:p>
    <w:tbl>
      <w:tblPr>
        <w:tblW w:w="5005" w:type="pct"/>
        <w:tblInd w:w="-5" w:type="dxa"/>
        <w:tblCellMar>
          <w:left w:w="70" w:type="dxa"/>
          <w:right w:w="70" w:type="dxa"/>
        </w:tblCellMar>
        <w:tblLook w:val="04A0" w:firstRow="1" w:lastRow="0" w:firstColumn="1" w:lastColumn="0" w:noHBand="0" w:noVBand="1"/>
      </w:tblPr>
      <w:tblGrid>
        <w:gridCol w:w="4536"/>
        <w:gridCol w:w="1606"/>
        <w:gridCol w:w="1606"/>
        <w:gridCol w:w="1607"/>
      </w:tblGrid>
      <w:tr w:rsidR="00BE3D14" w:rsidRPr="00E02DC9" w14:paraId="056D3552" w14:textId="77777777" w:rsidTr="00A66AFC">
        <w:trPr>
          <w:trHeight w:val="20"/>
        </w:trPr>
        <w:tc>
          <w:tcPr>
            <w:tcW w:w="2424" w:type="pct"/>
            <w:tcBorders>
              <w:top w:val="single" w:sz="4" w:space="0" w:color="auto"/>
              <w:left w:val="single" w:sz="4" w:space="0" w:color="auto"/>
              <w:bottom w:val="nil"/>
              <w:right w:val="single" w:sz="4" w:space="0" w:color="FFFFFF"/>
            </w:tcBorders>
            <w:shd w:val="clear" w:color="000000" w:fill="0070C0"/>
            <w:noWrap/>
            <w:vAlign w:val="bottom"/>
            <w:hideMark/>
          </w:tcPr>
          <w:p w14:paraId="4FD1895C" w14:textId="1F07A9EF" w:rsidR="00BE3D14" w:rsidRPr="00AE303F" w:rsidRDefault="00FF7A8E" w:rsidP="00CB3AA1">
            <w:pPr>
              <w:rPr>
                <w:rFonts w:eastAsia="Times New Roman" w:cs="Calibri"/>
                <w:b/>
                <w:color w:val="FFFFFF"/>
                <w:sz w:val="20"/>
                <w:szCs w:val="20"/>
              </w:rPr>
            </w:pPr>
            <w:r>
              <w:rPr>
                <w:rFonts w:eastAsia="Times New Roman" w:cs="Calibri"/>
                <w:b/>
                <w:color w:val="FFFFFF"/>
                <w:sz w:val="20"/>
                <w:szCs w:val="20"/>
              </w:rPr>
              <w:t>Počet všeobecných lekárov* (na 10 tis. obyv.)</w:t>
            </w:r>
          </w:p>
        </w:tc>
        <w:tc>
          <w:tcPr>
            <w:tcW w:w="858" w:type="pct"/>
            <w:tcBorders>
              <w:top w:val="single" w:sz="4" w:space="0" w:color="auto"/>
              <w:left w:val="single" w:sz="4" w:space="0" w:color="FFFFFF"/>
              <w:bottom w:val="nil"/>
              <w:right w:val="single" w:sz="4" w:space="0" w:color="FFFFFF"/>
            </w:tcBorders>
            <w:shd w:val="clear" w:color="000000" w:fill="0070C0"/>
            <w:noWrap/>
            <w:vAlign w:val="bottom"/>
            <w:hideMark/>
          </w:tcPr>
          <w:p w14:paraId="348F7141" w14:textId="77777777" w:rsidR="00BE3D14" w:rsidRPr="00AE303F" w:rsidRDefault="00BE3D14" w:rsidP="00BE3D14">
            <w:pPr>
              <w:jc w:val="center"/>
              <w:rPr>
                <w:rFonts w:eastAsia="Times New Roman" w:cs="Calibri"/>
                <w:b/>
                <w:color w:val="FFFFFF"/>
                <w:sz w:val="20"/>
                <w:szCs w:val="20"/>
              </w:rPr>
            </w:pPr>
            <w:r w:rsidRPr="00AE303F">
              <w:rPr>
                <w:rFonts w:eastAsia="Times New Roman" w:cs="Calibri"/>
                <w:b/>
                <w:color w:val="FFFFFF"/>
                <w:sz w:val="20"/>
                <w:szCs w:val="20"/>
              </w:rPr>
              <w:t>2016</w:t>
            </w:r>
          </w:p>
        </w:tc>
        <w:tc>
          <w:tcPr>
            <w:tcW w:w="858" w:type="pct"/>
            <w:tcBorders>
              <w:top w:val="single" w:sz="4" w:space="0" w:color="auto"/>
              <w:left w:val="single" w:sz="4" w:space="0" w:color="FFFFFF"/>
              <w:bottom w:val="nil"/>
              <w:right w:val="single" w:sz="4" w:space="0" w:color="FFFFFF"/>
            </w:tcBorders>
            <w:shd w:val="clear" w:color="000000" w:fill="0070C0"/>
            <w:noWrap/>
            <w:vAlign w:val="bottom"/>
            <w:hideMark/>
          </w:tcPr>
          <w:p w14:paraId="7DF8947D" w14:textId="77777777" w:rsidR="00BE3D14" w:rsidRPr="00AE303F" w:rsidRDefault="00BE3D14" w:rsidP="00BE3D14">
            <w:pPr>
              <w:jc w:val="center"/>
              <w:rPr>
                <w:rFonts w:eastAsia="Times New Roman" w:cs="Calibri"/>
                <w:b/>
                <w:color w:val="FFFFFF"/>
                <w:sz w:val="20"/>
                <w:szCs w:val="20"/>
              </w:rPr>
            </w:pPr>
            <w:r w:rsidRPr="00AE303F">
              <w:rPr>
                <w:rFonts w:eastAsia="Times New Roman" w:cs="Calibri"/>
                <w:b/>
                <w:color w:val="FFFFFF"/>
                <w:sz w:val="20"/>
                <w:szCs w:val="20"/>
              </w:rPr>
              <w:t>2017</w:t>
            </w:r>
          </w:p>
        </w:tc>
        <w:tc>
          <w:tcPr>
            <w:tcW w:w="859" w:type="pct"/>
            <w:tcBorders>
              <w:top w:val="single" w:sz="4" w:space="0" w:color="auto"/>
              <w:left w:val="single" w:sz="4" w:space="0" w:color="FFFFFF"/>
              <w:bottom w:val="nil"/>
              <w:right w:val="single" w:sz="4" w:space="0" w:color="auto"/>
            </w:tcBorders>
            <w:shd w:val="clear" w:color="000000" w:fill="0070C0"/>
            <w:noWrap/>
            <w:vAlign w:val="bottom"/>
            <w:hideMark/>
          </w:tcPr>
          <w:p w14:paraId="4465835C" w14:textId="77777777" w:rsidR="00BE3D14" w:rsidRPr="00AE303F" w:rsidRDefault="00BE3D14" w:rsidP="00BE3D14">
            <w:pPr>
              <w:jc w:val="center"/>
              <w:rPr>
                <w:rFonts w:eastAsia="Times New Roman" w:cs="Calibri"/>
                <w:b/>
                <w:color w:val="FFFFFF"/>
                <w:sz w:val="20"/>
                <w:szCs w:val="20"/>
              </w:rPr>
            </w:pPr>
            <w:r w:rsidRPr="00AE303F">
              <w:rPr>
                <w:rFonts w:eastAsia="Times New Roman" w:cs="Calibri"/>
                <w:b/>
                <w:color w:val="FFFFFF"/>
                <w:sz w:val="20"/>
                <w:szCs w:val="20"/>
              </w:rPr>
              <w:t>2018</w:t>
            </w:r>
          </w:p>
        </w:tc>
      </w:tr>
      <w:tr w:rsidR="00BE3D14" w:rsidRPr="00E02DC9" w14:paraId="0C70D936" w14:textId="77777777" w:rsidTr="00A66AFC">
        <w:trPr>
          <w:trHeight w:val="20"/>
        </w:trPr>
        <w:tc>
          <w:tcPr>
            <w:tcW w:w="24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68C" w14:textId="6AAA1D00"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Bratislavský</w:t>
            </w:r>
            <w:r w:rsidR="00FF7A8E">
              <w:rPr>
                <w:rFonts w:eastAsia="Times New Roman" w:cs="Calibri"/>
                <w:color w:val="000000"/>
                <w:sz w:val="20"/>
                <w:szCs w:val="20"/>
              </w:rPr>
              <w:t xml:space="preserve"> kraj</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57075B3"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7,6</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6600987"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8,0</w:t>
            </w:r>
          </w:p>
        </w:tc>
        <w:tc>
          <w:tcPr>
            <w:tcW w:w="859" w:type="pct"/>
            <w:tcBorders>
              <w:top w:val="single" w:sz="4" w:space="0" w:color="auto"/>
              <w:left w:val="nil"/>
              <w:bottom w:val="single" w:sz="4" w:space="0" w:color="auto"/>
              <w:right w:val="single" w:sz="4" w:space="0" w:color="auto"/>
            </w:tcBorders>
            <w:shd w:val="clear" w:color="auto" w:fill="auto"/>
            <w:noWrap/>
            <w:vAlign w:val="center"/>
            <w:hideMark/>
          </w:tcPr>
          <w:p w14:paraId="7D5A4E0A"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8,7</w:t>
            </w:r>
          </w:p>
        </w:tc>
      </w:tr>
      <w:tr w:rsidR="00BE3D14" w:rsidRPr="00E02DC9" w14:paraId="2648D6EA"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60499E98" w14:textId="5BBBE533"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Trnavský</w:t>
            </w:r>
            <w:r w:rsidR="00FF7A8E">
              <w:rPr>
                <w:rFonts w:eastAsia="Times New Roman" w:cs="Calibri"/>
                <w:color w:val="000000"/>
                <w:sz w:val="20"/>
                <w:szCs w:val="20"/>
              </w:rPr>
              <w:t xml:space="preserve"> kraj</w:t>
            </w:r>
          </w:p>
        </w:tc>
        <w:tc>
          <w:tcPr>
            <w:tcW w:w="858" w:type="pct"/>
            <w:tcBorders>
              <w:top w:val="nil"/>
              <w:left w:val="nil"/>
              <w:bottom w:val="single" w:sz="4" w:space="0" w:color="auto"/>
              <w:right w:val="single" w:sz="4" w:space="0" w:color="auto"/>
            </w:tcBorders>
            <w:shd w:val="clear" w:color="auto" w:fill="auto"/>
            <w:noWrap/>
            <w:vAlign w:val="center"/>
            <w:hideMark/>
          </w:tcPr>
          <w:p w14:paraId="03560CFB"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5,3</w:t>
            </w:r>
          </w:p>
        </w:tc>
        <w:tc>
          <w:tcPr>
            <w:tcW w:w="858" w:type="pct"/>
            <w:tcBorders>
              <w:top w:val="nil"/>
              <w:left w:val="nil"/>
              <w:bottom w:val="single" w:sz="4" w:space="0" w:color="auto"/>
              <w:right w:val="single" w:sz="4" w:space="0" w:color="auto"/>
            </w:tcBorders>
            <w:shd w:val="clear" w:color="auto" w:fill="auto"/>
            <w:noWrap/>
            <w:vAlign w:val="center"/>
            <w:hideMark/>
          </w:tcPr>
          <w:p w14:paraId="173CB1E8"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5,5</w:t>
            </w:r>
          </w:p>
        </w:tc>
        <w:tc>
          <w:tcPr>
            <w:tcW w:w="859" w:type="pct"/>
            <w:tcBorders>
              <w:top w:val="nil"/>
              <w:left w:val="nil"/>
              <w:bottom w:val="single" w:sz="4" w:space="0" w:color="auto"/>
              <w:right w:val="single" w:sz="4" w:space="0" w:color="auto"/>
            </w:tcBorders>
            <w:shd w:val="clear" w:color="auto" w:fill="auto"/>
            <w:noWrap/>
            <w:vAlign w:val="center"/>
            <w:hideMark/>
          </w:tcPr>
          <w:p w14:paraId="0E81D804"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5,9</w:t>
            </w:r>
          </w:p>
        </w:tc>
      </w:tr>
      <w:tr w:rsidR="00BE3D14" w:rsidRPr="00E02DC9" w14:paraId="66FBC6F6"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53699118" w14:textId="0E3D0378"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Trenčiansky</w:t>
            </w:r>
            <w:r w:rsidR="00FF7A8E">
              <w:rPr>
                <w:rFonts w:eastAsia="Times New Roman" w:cs="Calibri"/>
                <w:color w:val="000000"/>
                <w:sz w:val="20"/>
                <w:szCs w:val="20"/>
              </w:rPr>
              <w:t xml:space="preserve"> kraj</w:t>
            </w:r>
          </w:p>
        </w:tc>
        <w:tc>
          <w:tcPr>
            <w:tcW w:w="858" w:type="pct"/>
            <w:tcBorders>
              <w:top w:val="nil"/>
              <w:left w:val="nil"/>
              <w:bottom w:val="single" w:sz="4" w:space="0" w:color="auto"/>
              <w:right w:val="single" w:sz="4" w:space="0" w:color="auto"/>
            </w:tcBorders>
            <w:shd w:val="clear" w:color="auto" w:fill="auto"/>
            <w:noWrap/>
            <w:vAlign w:val="center"/>
            <w:hideMark/>
          </w:tcPr>
          <w:p w14:paraId="13F02781"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6,3</w:t>
            </w:r>
          </w:p>
        </w:tc>
        <w:tc>
          <w:tcPr>
            <w:tcW w:w="858" w:type="pct"/>
            <w:tcBorders>
              <w:top w:val="nil"/>
              <w:left w:val="nil"/>
              <w:bottom w:val="single" w:sz="4" w:space="0" w:color="auto"/>
              <w:right w:val="single" w:sz="4" w:space="0" w:color="auto"/>
            </w:tcBorders>
            <w:shd w:val="clear" w:color="auto" w:fill="auto"/>
            <w:noWrap/>
            <w:vAlign w:val="center"/>
            <w:hideMark/>
          </w:tcPr>
          <w:p w14:paraId="7F2834E9"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6,3</w:t>
            </w:r>
          </w:p>
        </w:tc>
        <w:tc>
          <w:tcPr>
            <w:tcW w:w="859" w:type="pct"/>
            <w:tcBorders>
              <w:top w:val="nil"/>
              <w:left w:val="nil"/>
              <w:bottom w:val="single" w:sz="4" w:space="0" w:color="auto"/>
              <w:right w:val="single" w:sz="4" w:space="0" w:color="auto"/>
            </w:tcBorders>
            <w:shd w:val="clear" w:color="auto" w:fill="auto"/>
            <w:noWrap/>
            <w:vAlign w:val="center"/>
            <w:hideMark/>
          </w:tcPr>
          <w:p w14:paraId="4482BF90"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6,5</w:t>
            </w:r>
          </w:p>
        </w:tc>
      </w:tr>
      <w:tr w:rsidR="00BE3D14" w:rsidRPr="00E02DC9" w14:paraId="3B43AED6"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640CA86D" w14:textId="0E7462B7"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Nitriansky</w:t>
            </w:r>
            <w:r w:rsidR="00FF7A8E">
              <w:rPr>
                <w:rFonts w:eastAsia="Times New Roman" w:cs="Calibri"/>
                <w:color w:val="000000"/>
                <w:sz w:val="20"/>
                <w:szCs w:val="20"/>
              </w:rPr>
              <w:t xml:space="preserve"> kraj</w:t>
            </w:r>
          </w:p>
        </w:tc>
        <w:tc>
          <w:tcPr>
            <w:tcW w:w="858" w:type="pct"/>
            <w:tcBorders>
              <w:top w:val="nil"/>
              <w:left w:val="nil"/>
              <w:bottom w:val="single" w:sz="4" w:space="0" w:color="auto"/>
              <w:right w:val="single" w:sz="4" w:space="0" w:color="auto"/>
            </w:tcBorders>
            <w:shd w:val="clear" w:color="auto" w:fill="auto"/>
            <w:noWrap/>
            <w:vAlign w:val="center"/>
            <w:hideMark/>
          </w:tcPr>
          <w:p w14:paraId="54A64E5D"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5,6</w:t>
            </w:r>
          </w:p>
        </w:tc>
        <w:tc>
          <w:tcPr>
            <w:tcW w:w="858" w:type="pct"/>
            <w:tcBorders>
              <w:top w:val="nil"/>
              <w:left w:val="nil"/>
              <w:bottom w:val="single" w:sz="4" w:space="0" w:color="auto"/>
              <w:right w:val="single" w:sz="4" w:space="0" w:color="auto"/>
            </w:tcBorders>
            <w:shd w:val="clear" w:color="auto" w:fill="auto"/>
            <w:noWrap/>
            <w:vAlign w:val="center"/>
            <w:hideMark/>
          </w:tcPr>
          <w:p w14:paraId="0B192DCA"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5,7</w:t>
            </w:r>
          </w:p>
        </w:tc>
        <w:tc>
          <w:tcPr>
            <w:tcW w:w="859" w:type="pct"/>
            <w:tcBorders>
              <w:top w:val="nil"/>
              <w:left w:val="nil"/>
              <w:bottom w:val="single" w:sz="4" w:space="0" w:color="auto"/>
              <w:right w:val="single" w:sz="4" w:space="0" w:color="auto"/>
            </w:tcBorders>
            <w:shd w:val="clear" w:color="auto" w:fill="auto"/>
            <w:noWrap/>
            <w:vAlign w:val="center"/>
            <w:hideMark/>
          </w:tcPr>
          <w:p w14:paraId="5FFE565A"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5,7</w:t>
            </w:r>
          </w:p>
        </w:tc>
      </w:tr>
      <w:tr w:rsidR="00BE3D14" w:rsidRPr="00E02DC9" w14:paraId="5E57AFDE"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2E97100D" w14:textId="3AE6B5F0"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 xml:space="preserve">Žilinský </w:t>
            </w:r>
            <w:r w:rsidR="00FF7A8E">
              <w:rPr>
                <w:rFonts w:eastAsia="Times New Roman" w:cs="Calibri"/>
                <w:color w:val="000000"/>
                <w:sz w:val="20"/>
                <w:szCs w:val="20"/>
              </w:rPr>
              <w:t>kraj</w:t>
            </w:r>
          </w:p>
        </w:tc>
        <w:tc>
          <w:tcPr>
            <w:tcW w:w="858" w:type="pct"/>
            <w:tcBorders>
              <w:top w:val="nil"/>
              <w:left w:val="nil"/>
              <w:bottom w:val="single" w:sz="4" w:space="0" w:color="auto"/>
              <w:right w:val="single" w:sz="4" w:space="0" w:color="auto"/>
            </w:tcBorders>
            <w:shd w:val="clear" w:color="auto" w:fill="auto"/>
            <w:noWrap/>
            <w:vAlign w:val="center"/>
            <w:hideMark/>
          </w:tcPr>
          <w:p w14:paraId="744F810F"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5,3</w:t>
            </w:r>
          </w:p>
        </w:tc>
        <w:tc>
          <w:tcPr>
            <w:tcW w:w="858" w:type="pct"/>
            <w:tcBorders>
              <w:top w:val="nil"/>
              <w:left w:val="nil"/>
              <w:bottom w:val="single" w:sz="4" w:space="0" w:color="auto"/>
              <w:right w:val="single" w:sz="4" w:space="0" w:color="auto"/>
            </w:tcBorders>
            <w:shd w:val="clear" w:color="auto" w:fill="auto"/>
            <w:noWrap/>
            <w:vAlign w:val="center"/>
            <w:hideMark/>
          </w:tcPr>
          <w:p w14:paraId="29172173"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5,5</w:t>
            </w:r>
          </w:p>
        </w:tc>
        <w:tc>
          <w:tcPr>
            <w:tcW w:w="859" w:type="pct"/>
            <w:tcBorders>
              <w:top w:val="nil"/>
              <w:left w:val="nil"/>
              <w:bottom w:val="single" w:sz="4" w:space="0" w:color="auto"/>
              <w:right w:val="single" w:sz="4" w:space="0" w:color="auto"/>
            </w:tcBorders>
            <w:shd w:val="clear" w:color="auto" w:fill="auto"/>
            <w:noWrap/>
            <w:vAlign w:val="center"/>
            <w:hideMark/>
          </w:tcPr>
          <w:p w14:paraId="776AFC23"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5,7</w:t>
            </w:r>
          </w:p>
        </w:tc>
      </w:tr>
      <w:tr w:rsidR="00BE3D14" w:rsidRPr="00E02DC9" w14:paraId="396EBA14"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6502B9E1" w14:textId="68ACFD3B"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Banskobystrický</w:t>
            </w:r>
            <w:r w:rsidR="00FF7A8E">
              <w:rPr>
                <w:rFonts w:eastAsia="Times New Roman" w:cs="Calibri"/>
                <w:color w:val="000000"/>
                <w:sz w:val="20"/>
                <w:szCs w:val="20"/>
              </w:rPr>
              <w:t xml:space="preserve"> kraj</w:t>
            </w:r>
          </w:p>
        </w:tc>
        <w:tc>
          <w:tcPr>
            <w:tcW w:w="858" w:type="pct"/>
            <w:tcBorders>
              <w:top w:val="nil"/>
              <w:left w:val="nil"/>
              <w:bottom w:val="single" w:sz="4" w:space="0" w:color="auto"/>
              <w:right w:val="single" w:sz="4" w:space="0" w:color="auto"/>
            </w:tcBorders>
            <w:shd w:val="clear" w:color="auto" w:fill="auto"/>
            <w:noWrap/>
            <w:vAlign w:val="center"/>
            <w:hideMark/>
          </w:tcPr>
          <w:p w14:paraId="34A1CB99"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4,9</w:t>
            </w:r>
          </w:p>
        </w:tc>
        <w:tc>
          <w:tcPr>
            <w:tcW w:w="858" w:type="pct"/>
            <w:tcBorders>
              <w:top w:val="nil"/>
              <w:left w:val="nil"/>
              <w:bottom w:val="single" w:sz="4" w:space="0" w:color="auto"/>
              <w:right w:val="single" w:sz="4" w:space="0" w:color="auto"/>
            </w:tcBorders>
            <w:shd w:val="clear" w:color="auto" w:fill="auto"/>
            <w:noWrap/>
            <w:vAlign w:val="center"/>
            <w:hideMark/>
          </w:tcPr>
          <w:p w14:paraId="3E0C84C6"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4,9</w:t>
            </w:r>
          </w:p>
        </w:tc>
        <w:tc>
          <w:tcPr>
            <w:tcW w:w="859" w:type="pct"/>
            <w:tcBorders>
              <w:top w:val="nil"/>
              <w:left w:val="nil"/>
              <w:bottom w:val="single" w:sz="4" w:space="0" w:color="auto"/>
              <w:right w:val="single" w:sz="4" w:space="0" w:color="auto"/>
            </w:tcBorders>
            <w:shd w:val="clear" w:color="auto" w:fill="auto"/>
            <w:noWrap/>
            <w:vAlign w:val="center"/>
            <w:hideMark/>
          </w:tcPr>
          <w:p w14:paraId="014E71C1"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5,4</w:t>
            </w:r>
          </w:p>
        </w:tc>
      </w:tr>
      <w:tr w:rsidR="00BE3D14" w:rsidRPr="00E02DC9" w14:paraId="55B59AFB"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67E5573F" w14:textId="7B0C4E2A"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Prešovský</w:t>
            </w:r>
            <w:r w:rsidR="00FF7A8E">
              <w:rPr>
                <w:rFonts w:eastAsia="Times New Roman" w:cs="Calibri"/>
                <w:color w:val="000000"/>
                <w:sz w:val="20"/>
                <w:szCs w:val="20"/>
              </w:rPr>
              <w:t xml:space="preserve"> kraj</w:t>
            </w:r>
          </w:p>
        </w:tc>
        <w:tc>
          <w:tcPr>
            <w:tcW w:w="858" w:type="pct"/>
            <w:tcBorders>
              <w:top w:val="nil"/>
              <w:left w:val="nil"/>
              <w:bottom w:val="single" w:sz="4" w:space="0" w:color="auto"/>
              <w:right w:val="single" w:sz="4" w:space="0" w:color="auto"/>
            </w:tcBorders>
            <w:shd w:val="clear" w:color="auto" w:fill="auto"/>
            <w:noWrap/>
            <w:vAlign w:val="center"/>
            <w:hideMark/>
          </w:tcPr>
          <w:p w14:paraId="64510A37"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4,9</w:t>
            </w:r>
          </w:p>
        </w:tc>
        <w:tc>
          <w:tcPr>
            <w:tcW w:w="858" w:type="pct"/>
            <w:tcBorders>
              <w:top w:val="nil"/>
              <w:left w:val="nil"/>
              <w:bottom w:val="single" w:sz="4" w:space="0" w:color="auto"/>
              <w:right w:val="single" w:sz="4" w:space="0" w:color="auto"/>
            </w:tcBorders>
            <w:shd w:val="clear" w:color="auto" w:fill="auto"/>
            <w:noWrap/>
            <w:vAlign w:val="center"/>
            <w:hideMark/>
          </w:tcPr>
          <w:p w14:paraId="1401C343"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5,2</w:t>
            </w:r>
          </w:p>
        </w:tc>
        <w:tc>
          <w:tcPr>
            <w:tcW w:w="859" w:type="pct"/>
            <w:tcBorders>
              <w:top w:val="nil"/>
              <w:left w:val="nil"/>
              <w:bottom w:val="single" w:sz="4" w:space="0" w:color="auto"/>
              <w:right w:val="single" w:sz="4" w:space="0" w:color="auto"/>
            </w:tcBorders>
            <w:shd w:val="clear" w:color="auto" w:fill="auto"/>
            <w:noWrap/>
            <w:vAlign w:val="center"/>
            <w:hideMark/>
          </w:tcPr>
          <w:p w14:paraId="22ACAEAB"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5,9</w:t>
            </w:r>
          </w:p>
        </w:tc>
      </w:tr>
      <w:tr w:rsidR="00BE3D14" w:rsidRPr="00E02DC9" w14:paraId="032355F3"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33076640" w14:textId="1392C276"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Košický</w:t>
            </w:r>
            <w:r w:rsidR="00FF7A8E">
              <w:rPr>
                <w:rFonts w:eastAsia="Times New Roman" w:cs="Calibri"/>
                <w:color w:val="000000"/>
                <w:sz w:val="20"/>
                <w:szCs w:val="20"/>
              </w:rPr>
              <w:t xml:space="preserve"> kraj</w:t>
            </w:r>
          </w:p>
        </w:tc>
        <w:tc>
          <w:tcPr>
            <w:tcW w:w="858" w:type="pct"/>
            <w:tcBorders>
              <w:top w:val="nil"/>
              <w:left w:val="nil"/>
              <w:bottom w:val="single" w:sz="4" w:space="0" w:color="auto"/>
              <w:right w:val="single" w:sz="4" w:space="0" w:color="auto"/>
            </w:tcBorders>
            <w:shd w:val="clear" w:color="auto" w:fill="auto"/>
            <w:noWrap/>
            <w:vAlign w:val="center"/>
            <w:hideMark/>
          </w:tcPr>
          <w:p w14:paraId="3DEA81A3"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6,4</w:t>
            </w:r>
          </w:p>
        </w:tc>
        <w:tc>
          <w:tcPr>
            <w:tcW w:w="858" w:type="pct"/>
            <w:tcBorders>
              <w:top w:val="nil"/>
              <w:left w:val="nil"/>
              <w:bottom w:val="single" w:sz="4" w:space="0" w:color="auto"/>
              <w:right w:val="single" w:sz="4" w:space="0" w:color="auto"/>
            </w:tcBorders>
            <w:shd w:val="clear" w:color="auto" w:fill="auto"/>
            <w:noWrap/>
            <w:vAlign w:val="center"/>
            <w:hideMark/>
          </w:tcPr>
          <w:p w14:paraId="687C22A1"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7,3</w:t>
            </w:r>
          </w:p>
        </w:tc>
        <w:tc>
          <w:tcPr>
            <w:tcW w:w="859" w:type="pct"/>
            <w:tcBorders>
              <w:top w:val="nil"/>
              <w:left w:val="nil"/>
              <w:bottom w:val="single" w:sz="4" w:space="0" w:color="auto"/>
              <w:right w:val="single" w:sz="4" w:space="0" w:color="auto"/>
            </w:tcBorders>
            <w:shd w:val="clear" w:color="auto" w:fill="auto"/>
            <w:noWrap/>
            <w:vAlign w:val="center"/>
            <w:hideMark/>
          </w:tcPr>
          <w:p w14:paraId="7D496136"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6,6</w:t>
            </w:r>
          </w:p>
        </w:tc>
      </w:tr>
      <w:tr w:rsidR="00BE3D14" w:rsidRPr="00E02DC9" w14:paraId="280EB414" w14:textId="77777777" w:rsidTr="00A66AFC">
        <w:trPr>
          <w:trHeight w:val="20"/>
        </w:trPr>
        <w:tc>
          <w:tcPr>
            <w:tcW w:w="2424" w:type="pct"/>
            <w:tcBorders>
              <w:top w:val="nil"/>
              <w:left w:val="single" w:sz="4" w:space="0" w:color="auto"/>
              <w:bottom w:val="single" w:sz="4" w:space="0" w:color="auto"/>
              <w:right w:val="single" w:sz="4" w:space="0" w:color="auto"/>
            </w:tcBorders>
            <w:shd w:val="clear" w:color="auto" w:fill="auto"/>
            <w:noWrap/>
            <w:vAlign w:val="bottom"/>
            <w:hideMark/>
          </w:tcPr>
          <w:p w14:paraId="7DA4EC2B" w14:textId="77777777" w:rsidR="00BE3D14" w:rsidRPr="00E02DC9" w:rsidRDefault="00BE3D14" w:rsidP="00BE3D14">
            <w:pPr>
              <w:rPr>
                <w:rFonts w:eastAsia="Times New Roman" w:cs="Calibri"/>
                <w:color w:val="000000"/>
                <w:sz w:val="20"/>
                <w:szCs w:val="20"/>
              </w:rPr>
            </w:pPr>
            <w:r w:rsidRPr="00E02DC9">
              <w:rPr>
                <w:rFonts w:eastAsia="Times New Roman" w:cs="Calibri"/>
                <w:color w:val="000000"/>
                <w:sz w:val="20"/>
                <w:szCs w:val="20"/>
              </w:rPr>
              <w:t>SR</w:t>
            </w:r>
          </w:p>
        </w:tc>
        <w:tc>
          <w:tcPr>
            <w:tcW w:w="858" w:type="pct"/>
            <w:tcBorders>
              <w:top w:val="nil"/>
              <w:left w:val="nil"/>
              <w:bottom w:val="single" w:sz="4" w:space="0" w:color="auto"/>
              <w:right w:val="single" w:sz="4" w:space="0" w:color="auto"/>
            </w:tcBorders>
            <w:shd w:val="clear" w:color="auto" w:fill="auto"/>
            <w:noWrap/>
            <w:vAlign w:val="center"/>
            <w:hideMark/>
          </w:tcPr>
          <w:p w14:paraId="3B0523DC"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5,7</w:t>
            </w:r>
          </w:p>
        </w:tc>
        <w:tc>
          <w:tcPr>
            <w:tcW w:w="858" w:type="pct"/>
            <w:tcBorders>
              <w:top w:val="nil"/>
              <w:left w:val="nil"/>
              <w:bottom w:val="single" w:sz="4" w:space="0" w:color="auto"/>
              <w:right w:val="single" w:sz="4" w:space="0" w:color="auto"/>
            </w:tcBorders>
            <w:shd w:val="clear" w:color="auto" w:fill="auto"/>
            <w:noWrap/>
            <w:vAlign w:val="center"/>
            <w:hideMark/>
          </w:tcPr>
          <w:p w14:paraId="4F3D919A"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6,0</w:t>
            </w:r>
          </w:p>
        </w:tc>
        <w:tc>
          <w:tcPr>
            <w:tcW w:w="859" w:type="pct"/>
            <w:tcBorders>
              <w:top w:val="nil"/>
              <w:left w:val="nil"/>
              <w:bottom w:val="single" w:sz="4" w:space="0" w:color="auto"/>
              <w:right w:val="single" w:sz="4" w:space="0" w:color="auto"/>
            </w:tcBorders>
            <w:shd w:val="clear" w:color="auto" w:fill="auto"/>
            <w:noWrap/>
            <w:vAlign w:val="center"/>
            <w:hideMark/>
          </w:tcPr>
          <w:p w14:paraId="0807A341" w14:textId="77777777" w:rsidR="00BE3D14" w:rsidRPr="00E02DC9" w:rsidRDefault="00BE3D14" w:rsidP="00BE3D14">
            <w:pPr>
              <w:jc w:val="right"/>
              <w:rPr>
                <w:rFonts w:eastAsia="Times New Roman" w:cs="Calibri"/>
                <w:color w:val="000000"/>
                <w:sz w:val="20"/>
                <w:szCs w:val="20"/>
              </w:rPr>
            </w:pPr>
            <w:r w:rsidRPr="00E02DC9">
              <w:rPr>
                <w:rFonts w:eastAsia="Times New Roman" w:cs="Calibri"/>
                <w:color w:val="000000"/>
                <w:sz w:val="20"/>
                <w:szCs w:val="20"/>
              </w:rPr>
              <w:t>6,2</w:t>
            </w:r>
          </w:p>
        </w:tc>
      </w:tr>
    </w:tbl>
    <w:p w14:paraId="571F3756" w14:textId="7EC1284A" w:rsidR="00714481" w:rsidRPr="00245744" w:rsidRDefault="00CB3AA1" w:rsidP="00714481">
      <w:pPr>
        <w:rPr>
          <w:rFonts w:eastAsia="Times New Roman" w:cs="Calibri"/>
          <w:i/>
          <w:color w:val="000000"/>
          <w:sz w:val="18"/>
          <w:szCs w:val="20"/>
        </w:rPr>
      </w:pPr>
      <w:r>
        <w:rPr>
          <w:rFonts w:eastAsia="Times New Roman" w:cs="Calibri"/>
          <w:i/>
          <w:color w:val="000000"/>
          <w:sz w:val="18"/>
          <w:szCs w:val="20"/>
        </w:rPr>
        <w:t>Zdroj: NCZI;</w:t>
      </w:r>
      <w:r w:rsidR="00714481" w:rsidRPr="00245744">
        <w:rPr>
          <w:rFonts w:eastAsia="Times New Roman" w:cs="Calibri"/>
          <w:i/>
          <w:color w:val="000000"/>
          <w:sz w:val="18"/>
          <w:szCs w:val="20"/>
        </w:rPr>
        <w:t xml:space="preserve"> ŠÚ SR</w:t>
      </w:r>
      <w:r>
        <w:rPr>
          <w:rFonts w:eastAsia="Times New Roman" w:cs="Calibri"/>
          <w:i/>
          <w:color w:val="000000"/>
          <w:sz w:val="18"/>
          <w:szCs w:val="20"/>
        </w:rPr>
        <w:t>;</w:t>
      </w:r>
      <w:r w:rsidR="00714481" w:rsidRPr="00245744">
        <w:rPr>
          <w:rFonts w:eastAsia="Times New Roman" w:cs="Calibri"/>
          <w:i/>
          <w:color w:val="000000"/>
          <w:sz w:val="18"/>
          <w:szCs w:val="20"/>
        </w:rPr>
        <w:t xml:space="preserve"> </w:t>
      </w:r>
      <w:r>
        <w:rPr>
          <w:rFonts w:eastAsia="Times New Roman" w:cs="Calibri"/>
          <w:i/>
          <w:color w:val="000000"/>
          <w:sz w:val="18"/>
          <w:szCs w:val="20"/>
        </w:rPr>
        <w:t>vlastné výpočty</w:t>
      </w:r>
    </w:p>
    <w:p w14:paraId="639AB070" w14:textId="77777777" w:rsidR="00714481" w:rsidRPr="00245744" w:rsidRDefault="00714481" w:rsidP="006413CC">
      <w:pPr>
        <w:spacing w:after="120"/>
        <w:rPr>
          <w:rFonts w:eastAsia="Times New Roman" w:cs="Times New Roman"/>
          <w:b/>
          <w:i/>
          <w:sz w:val="20"/>
        </w:rPr>
      </w:pPr>
      <w:r w:rsidRPr="00245744">
        <w:rPr>
          <w:rFonts w:eastAsia="Times New Roman" w:cs="Calibri"/>
          <w:i/>
          <w:color w:val="000000"/>
          <w:sz w:val="18"/>
          <w:szCs w:val="20"/>
        </w:rPr>
        <w:t>*  spolu pre dospelých a pre deti a dorast</w:t>
      </w:r>
    </w:p>
    <w:tbl>
      <w:tblPr>
        <w:tblW w:w="5000" w:type="pct"/>
        <w:jc w:val="center"/>
        <w:tblLayout w:type="fixed"/>
        <w:tblCellMar>
          <w:left w:w="70" w:type="dxa"/>
          <w:right w:w="70" w:type="dxa"/>
        </w:tblCellMar>
        <w:tblLook w:val="04A0" w:firstRow="1" w:lastRow="0" w:firstColumn="1" w:lastColumn="0" w:noHBand="0" w:noVBand="1"/>
      </w:tblPr>
      <w:tblGrid>
        <w:gridCol w:w="4529"/>
        <w:gridCol w:w="963"/>
        <w:gridCol w:w="963"/>
        <w:gridCol w:w="963"/>
        <w:gridCol w:w="963"/>
        <w:gridCol w:w="965"/>
      </w:tblGrid>
      <w:tr w:rsidR="00CB3AA1" w:rsidRPr="002F4599" w14:paraId="72F3B266" w14:textId="77777777" w:rsidTr="00A66AFC">
        <w:trPr>
          <w:trHeight w:val="227"/>
          <w:jc w:val="center"/>
        </w:trPr>
        <w:tc>
          <w:tcPr>
            <w:tcW w:w="2423" w:type="pct"/>
            <w:tcBorders>
              <w:top w:val="single" w:sz="4" w:space="0" w:color="auto"/>
              <w:left w:val="single" w:sz="4" w:space="0" w:color="auto"/>
              <w:bottom w:val="single" w:sz="4" w:space="0" w:color="auto"/>
              <w:right w:val="single" w:sz="4" w:space="0" w:color="FFFFFF"/>
            </w:tcBorders>
            <w:shd w:val="clear" w:color="000000" w:fill="0070C0"/>
            <w:noWrap/>
            <w:vAlign w:val="bottom"/>
            <w:hideMark/>
          </w:tcPr>
          <w:p w14:paraId="14D36584" w14:textId="7D30B05C" w:rsidR="00BE3D14" w:rsidRPr="002F4599" w:rsidRDefault="00CB3AA1" w:rsidP="00CB3AA1">
            <w:pPr>
              <w:jc w:val="center"/>
              <w:rPr>
                <w:rFonts w:eastAsia="Times New Roman" w:cs="Calibri"/>
                <w:b/>
                <w:bCs/>
                <w:color w:val="FFFFFF"/>
                <w:sz w:val="20"/>
                <w:szCs w:val="20"/>
              </w:rPr>
            </w:pPr>
            <w:r>
              <w:rPr>
                <w:rFonts w:eastAsia="Times New Roman" w:cs="Calibri"/>
                <w:b/>
                <w:bCs/>
                <w:color w:val="FFFFFF"/>
                <w:sz w:val="20"/>
                <w:szCs w:val="20"/>
              </w:rPr>
              <w:t>Počet ambulancií všeobecných lekárov pre dospelých podľa územia</w:t>
            </w:r>
            <w:r w:rsidR="00BE3D14" w:rsidRPr="002F4599">
              <w:rPr>
                <w:rFonts w:eastAsia="Times New Roman" w:cs="Calibri"/>
                <w:b/>
                <w:bCs/>
                <w:color w:val="FFFFFF"/>
                <w:sz w:val="20"/>
                <w:szCs w:val="20"/>
              </w:rPr>
              <w:t xml:space="preserve"> sídla PZS*</w:t>
            </w:r>
          </w:p>
        </w:tc>
        <w:tc>
          <w:tcPr>
            <w:tcW w:w="515" w:type="pct"/>
            <w:tcBorders>
              <w:top w:val="single" w:sz="4" w:space="0" w:color="auto"/>
              <w:left w:val="single" w:sz="4" w:space="0" w:color="FFFFFF"/>
              <w:bottom w:val="single" w:sz="4" w:space="0" w:color="auto"/>
              <w:right w:val="single" w:sz="4" w:space="0" w:color="FFFFFF"/>
            </w:tcBorders>
            <w:shd w:val="clear" w:color="000000" w:fill="0070C0"/>
            <w:noWrap/>
            <w:vAlign w:val="center"/>
            <w:hideMark/>
          </w:tcPr>
          <w:p w14:paraId="0CEA4755" w14:textId="77777777" w:rsidR="00BE3D14" w:rsidRPr="002F4599" w:rsidRDefault="00BE3D14" w:rsidP="00BE3D14">
            <w:pPr>
              <w:jc w:val="center"/>
              <w:rPr>
                <w:rFonts w:eastAsia="Times New Roman" w:cs="Calibri"/>
                <w:b/>
                <w:bCs/>
                <w:color w:val="FFFFFF"/>
                <w:sz w:val="20"/>
                <w:szCs w:val="20"/>
              </w:rPr>
            </w:pPr>
            <w:r w:rsidRPr="002F4599">
              <w:rPr>
                <w:rFonts w:eastAsia="Times New Roman" w:cs="Calibri"/>
                <w:b/>
                <w:bCs/>
                <w:color w:val="FFFFFF"/>
                <w:sz w:val="20"/>
                <w:szCs w:val="20"/>
              </w:rPr>
              <w:t>2013</w:t>
            </w:r>
          </w:p>
        </w:tc>
        <w:tc>
          <w:tcPr>
            <w:tcW w:w="515" w:type="pct"/>
            <w:tcBorders>
              <w:top w:val="single" w:sz="4" w:space="0" w:color="auto"/>
              <w:left w:val="single" w:sz="4" w:space="0" w:color="FFFFFF"/>
              <w:bottom w:val="single" w:sz="4" w:space="0" w:color="auto"/>
              <w:right w:val="single" w:sz="4" w:space="0" w:color="FFFFFF"/>
            </w:tcBorders>
            <w:shd w:val="clear" w:color="000000" w:fill="0070C0"/>
            <w:noWrap/>
            <w:vAlign w:val="center"/>
            <w:hideMark/>
          </w:tcPr>
          <w:p w14:paraId="12BF3B35" w14:textId="77777777" w:rsidR="00BE3D14" w:rsidRPr="002F4599" w:rsidRDefault="00BE3D14" w:rsidP="00BE3D14">
            <w:pPr>
              <w:jc w:val="center"/>
              <w:rPr>
                <w:rFonts w:eastAsia="Times New Roman" w:cs="Calibri"/>
                <w:b/>
                <w:bCs/>
                <w:color w:val="FFFFFF"/>
                <w:sz w:val="20"/>
                <w:szCs w:val="20"/>
              </w:rPr>
            </w:pPr>
            <w:r w:rsidRPr="002F4599">
              <w:rPr>
                <w:rFonts w:eastAsia="Times New Roman" w:cs="Calibri"/>
                <w:b/>
                <w:bCs/>
                <w:color w:val="FFFFFF"/>
                <w:sz w:val="20"/>
                <w:szCs w:val="20"/>
              </w:rPr>
              <w:t>2014</w:t>
            </w:r>
          </w:p>
        </w:tc>
        <w:tc>
          <w:tcPr>
            <w:tcW w:w="515" w:type="pct"/>
            <w:tcBorders>
              <w:top w:val="single" w:sz="4" w:space="0" w:color="auto"/>
              <w:left w:val="single" w:sz="4" w:space="0" w:color="FFFFFF"/>
              <w:bottom w:val="single" w:sz="4" w:space="0" w:color="auto"/>
              <w:right w:val="single" w:sz="4" w:space="0" w:color="FFFFFF"/>
            </w:tcBorders>
            <w:shd w:val="clear" w:color="000000" w:fill="0070C0"/>
            <w:noWrap/>
            <w:vAlign w:val="center"/>
            <w:hideMark/>
          </w:tcPr>
          <w:p w14:paraId="4D4F23FD" w14:textId="77777777" w:rsidR="00BE3D14" w:rsidRPr="002F4599" w:rsidRDefault="00BE3D14" w:rsidP="00BE3D14">
            <w:pPr>
              <w:jc w:val="center"/>
              <w:rPr>
                <w:rFonts w:eastAsia="Times New Roman" w:cs="Calibri"/>
                <w:b/>
                <w:bCs/>
                <w:color w:val="FFFFFF"/>
                <w:sz w:val="20"/>
                <w:szCs w:val="20"/>
              </w:rPr>
            </w:pPr>
            <w:r w:rsidRPr="002F4599">
              <w:rPr>
                <w:rFonts w:eastAsia="Times New Roman" w:cs="Calibri"/>
                <w:b/>
                <w:bCs/>
                <w:color w:val="FFFFFF"/>
                <w:sz w:val="20"/>
                <w:szCs w:val="20"/>
              </w:rPr>
              <w:t>2015</w:t>
            </w:r>
          </w:p>
        </w:tc>
        <w:tc>
          <w:tcPr>
            <w:tcW w:w="515" w:type="pct"/>
            <w:tcBorders>
              <w:top w:val="single" w:sz="4" w:space="0" w:color="auto"/>
              <w:left w:val="single" w:sz="4" w:space="0" w:color="FFFFFF"/>
              <w:bottom w:val="single" w:sz="4" w:space="0" w:color="auto"/>
              <w:right w:val="single" w:sz="4" w:space="0" w:color="FFFFFF"/>
            </w:tcBorders>
            <w:shd w:val="clear" w:color="000000" w:fill="0070C0"/>
            <w:noWrap/>
            <w:vAlign w:val="center"/>
            <w:hideMark/>
          </w:tcPr>
          <w:p w14:paraId="7024828A" w14:textId="77777777" w:rsidR="00BE3D14" w:rsidRPr="002F4599" w:rsidRDefault="00BE3D14" w:rsidP="00BE3D14">
            <w:pPr>
              <w:jc w:val="center"/>
              <w:rPr>
                <w:rFonts w:eastAsia="Times New Roman" w:cs="Calibri"/>
                <w:b/>
                <w:bCs/>
                <w:color w:val="FFFFFF"/>
                <w:sz w:val="20"/>
                <w:szCs w:val="20"/>
              </w:rPr>
            </w:pPr>
            <w:r w:rsidRPr="002F4599">
              <w:rPr>
                <w:rFonts w:eastAsia="Times New Roman" w:cs="Calibri"/>
                <w:b/>
                <w:bCs/>
                <w:color w:val="FFFFFF"/>
                <w:sz w:val="20"/>
                <w:szCs w:val="20"/>
              </w:rPr>
              <w:t>2016</w:t>
            </w:r>
          </w:p>
        </w:tc>
        <w:tc>
          <w:tcPr>
            <w:tcW w:w="516" w:type="pct"/>
            <w:tcBorders>
              <w:top w:val="single" w:sz="4" w:space="0" w:color="auto"/>
              <w:left w:val="single" w:sz="4" w:space="0" w:color="FFFFFF"/>
              <w:bottom w:val="single" w:sz="4" w:space="0" w:color="auto"/>
              <w:right w:val="single" w:sz="4" w:space="0" w:color="auto"/>
            </w:tcBorders>
            <w:shd w:val="clear" w:color="000000" w:fill="0070C0"/>
            <w:noWrap/>
            <w:vAlign w:val="center"/>
            <w:hideMark/>
          </w:tcPr>
          <w:p w14:paraId="43B0DBF9" w14:textId="77777777" w:rsidR="00BE3D14" w:rsidRPr="002F4599" w:rsidRDefault="00BE3D14" w:rsidP="00BE3D14">
            <w:pPr>
              <w:jc w:val="center"/>
              <w:rPr>
                <w:rFonts w:eastAsia="Times New Roman" w:cs="Calibri"/>
                <w:b/>
                <w:bCs/>
                <w:color w:val="FFFFFF"/>
                <w:sz w:val="20"/>
                <w:szCs w:val="20"/>
              </w:rPr>
            </w:pPr>
            <w:r w:rsidRPr="002F4599">
              <w:rPr>
                <w:rFonts w:eastAsia="Times New Roman" w:cs="Calibri"/>
                <w:b/>
                <w:bCs/>
                <w:color w:val="FFFFFF"/>
                <w:sz w:val="20"/>
                <w:szCs w:val="20"/>
              </w:rPr>
              <w:t>2017</w:t>
            </w:r>
          </w:p>
        </w:tc>
      </w:tr>
      <w:tr w:rsidR="00CB3AA1" w:rsidRPr="002F4599" w14:paraId="67473587"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0A0FF62F"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Bratislavský kraj</w:t>
            </w:r>
          </w:p>
        </w:tc>
        <w:tc>
          <w:tcPr>
            <w:tcW w:w="515" w:type="pct"/>
            <w:tcBorders>
              <w:top w:val="nil"/>
              <w:left w:val="nil"/>
              <w:bottom w:val="single" w:sz="4" w:space="0" w:color="auto"/>
              <w:right w:val="single" w:sz="4" w:space="0" w:color="auto"/>
            </w:tcBorders>
            <w:shd w:val="clear" w:color="auto" w:fill="auto"/>
            <w:noWrap/>
            <w:vAlign w:val="bottom"/>
            <w:hideMark/>
          </w:tcPr>
          <w:p w14:paraId="216417C2"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283</w:t>
            </w:r>
          </w:p>
        </w:tc>
        <w:tc>
          <w:tcPr>
            <w:tcW w:w="515" w:type="pct"/>
            <w:tcBorders>
              <w:top w:val="nil"/>
              <w:left w:val="nil"/>
              <w:bottom w:val="single" w:sz="4" w:space="0" w:color="auto"/>
              <w:right w:val="single" w:sz="4" w:space="0" w:color="auto"/>
            </w:tcBorders>
            <w:shd w:val="clear" w:color="auto" w:fill="auto"/>
            <w:noWrap/>
            <w:vAlign w:val="bottom"/>
            <w:hideMark/>
          </w:tcPr>
          <w:p w14:paraId="17F0272D"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281</w:t>
            </w:r>
          </w:p>
        </w:tc>
        <w:tc>
          <w:tcPr>
            <w:tcW w:w="515" w:type="pct"/>
            <w:tcBorders>
              <w:top w:val="nil"/>
              <w:left w:val="nil"/>
              <w:bottom w:val="single" w:sz="4" w:space="0" w:color="auto"/>
              <w:right w:val="single" w:sz="4" w:space="0" w:color="auto"/>
            </w:tcBorders>
            <w:shd w:val="clear" w:color="auto" w:fill="auto"/>
            <w:noWrap/>
            <w:vAlign w:val="bottom"/>
            <w:hideMark/>
          </w:tcPr>
          <w:p w14:paraId="731B9793"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287</w:t>
            </w:r>
          </w:p>
        </w:tc>
        <w:tc>
          <w:tcPr>
            <w:tcW w:w="515" w:type="pct"/>
            <w:tcBorders>
              <w:top w:val="nil"/>
              <w:left w:val="nil"/>
              <w:bottom w:val="single" w:sz="4" w:space="0" w:color="auto"/>
              <w:right w:val="single" w:sz="4" w:space="0" w:color="auto"/>
            </w:tcBorders>
            <w:shd w:val="clear" w:color="auto" w:fill="auto"/>
            <w:noWrap/>
            <w:vAlign w:val="bottom"/>
            <w:hideMark/>
          </w:tcPr>
          <w:p w14:paraId="0492E562"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276</w:t>
            </w:r>
          </w:p>
        </w:tc>
        <w:tc>
          <w:tcPr>
            <w:tcW w:w="516" w:type="pct"/>
            <w:tcBorders>
              <w:top w:val="nil"/>
              <w:left w:val="nil"/>
              <w:bottom w:val="single" w:sz="4" w:space="0" w:color="auto"/>
              <w:right w:val="single" w:sz="4" w:space="0" w:color="auto"/>
            </w:tcBorders>
            <w:shd w:val="clear" w:color="auto" w:fill="auto"/>
            <w:noWrap/>
            <w:vAlign w:val="bottom"/>
            <w:hideMark/>
          </w:tcPr>
          <w:p w14:paraId="12768133"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255</w:t>
            </w:r>
          </w:p>
        </w:tc>
      </w:tr>
      <w:tr w:rsidR="00CB3AA1" w:rsidRPr="002F4599" w14:paraId="03136FD3"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31DD5822"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Trnavský kraj</w:t>
            </w:r>
          </w:p>
        </w:tc>
        <w:tc>
          <w:tcPr>
            <w:tcW w:w="515" w:type="pct"/>
            <w:tcBorders>
              <w:top w:val="nil"/>
              <w:left w:val="nil"/>
              <w:bottom w:val="single" w:sz="4" w:space="0" w:color="auto"/>
              <w:right w:val="single" w:sz="4" w:space="0" w:color="auto"/>
            </w:tcBorders>
            <w:shd w:val="clear" w:color="auto" w:fill="auto"/>
            <w:noWrap/>
            <w:vAlign w:val="bottom"/>
            <w:hideMark/>
          </w:tcPr>
          <w:p w14:paraId="138ACCE6"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201</w:t>
            </w:r>
          </w:p>
        </w:tc>
        <w:tc>
          <w:tcPr>
            <w:tcW w:w="515" w:type="pct"/>
            <w:tcBorders>
              <w:top w:val="nil"/>
              <w:left w:val="nil"/>
              <w:bottom w:val="single" w:sz="4" w:space="0" w:color="auto"/>
              <w:right w:val="single" w:sz="4" w:space="0" w:color="auto"/>
            </w:tcBorders>
            <w:shd w:val="clear" w:color="auto" w:fill="auto"/>
            <w:noWrap/>
            <w:vAlign w:val="bottom"/>
            <w:hideMark/>
          </w:tcPr>
          <w:p w14:paraId="4EE33E0A"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195</w:t>
            </w:r>
          </w:p>
        </w:tc>
        <w:tc>
          <w:tcPr>
            <w:tcW w:w="515" w:type="pct"/>
            <w:tcBorders>
              <w:top w:val="nil"/>
              <w:left w:val="nil"/>
              <w:bottom w:val="single" w:sz="4" w:space="0" w:color="auto"/>
              <w:right w:val="single" w:sz="4" w:space="0" w:color="auto"/>
            </w:tcBorders>
            <w:shd w:val="clear" w:color="auto" w:fill="auto"/>
            <w:noWrap/>
            <w:vAlign w:val="bottom"/>
            <w:hideMark/>
          </w:tcPr>
          <w:p w14:paraId="7ECFDF18"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196</w:t>
            </w:r>
          </w:p>
        </w:tc>
        <w:tc>
          <w:tcPr>
            <w:tcW w:w="515" w:type="pct"/>
            <w:tcBorders>
              <w:top w:val="nil"/>
              <w:left w:val="nil"/>
              <w:bottom w:val="single" w:sz="4" w:space="0" w:color="auto"/>
              <w:right w:val="single" w:sz="4" w:space="0" w:color="auto"/>
            </w:tcBorders>
            <w:shd w:val="clear" w:color="auto" w:fill="auto"/>
            <w:noWrap/>
            <w:vAlign w:val="bottom"/>
            <w:hideMark/>
          </w:tcPr>
          <w:p w14:paraId="07AE9747"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204</w:t>
            </w:r>
          </w:p>
        </w:tc>
        <w:tc>
          <w:tcPr>
            <w:tcW w:w="516" w:type="pct"/>
            <w:tcBorders>
              <w:top w:val="nil"/>
              <w:left w:val="nil"/>
              <w:bottom w:val="single" w:sz="4" w:space="0" w:color="auto"/>
              <w:right w:val="single" w:sz="4" w:space="0" w:color="auto"/>
            </w:tcBorders>
            <w:shd w:val="clear" w:color="auto" w:fill="auto"/>
            <w:noWrap/>
            <w:vAlign w:val="bottom"/>
            <w:hideMark/>
          </w:tcPr>
          <w:p w14:paraId="4FEE4680"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194</w:t>
            </w:r>
          </w:p>
        </w:tc>
      </w:tr>
      <w:tr w:rsidR="00CB3AA1" w:rsidRPr="002F4599" w14:paraId="271C3D84"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1BB5A488"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Trenčiansky kraj</w:t>
            </w:r>
          </w:p>
        </w:tc>
        <w:tc>
          <w:tcPr>
            <w:tcW w:w="515" w:type="pct"/>
            <w:tcBorders>
              <w:top w:val="nil"/>
              <w:left w:val="nil"/>
              <w:bottom w:val="single" w:sz="4" w:space="0" w:color="auto"/>
              <w:right w:val="single" w:sz="4" w:space="0" w:color="auto"/>
            </w:tcBorders>
            <w:shd w:val="clear" w:color="auto" w:fill="auto"/>
            <w:noWrap/>
            <w:vAlign w:val="bottom"/>
            <w:hideMark/>
          </w:tcPr>
          <w:p w14:paraId="2275B5B3"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234</w:t>
            </w:r>
          </w:p>
        </w:tc>
        <w:tc>
          <w:tcPr>
            <w:tcW w:w="515" w:type="pct"/>
            <w:tcBorders>
              <w:top w:val="nil"/>
              <w:left w:val="nil"/>
              <w:bottom w:val="single" w:sz="4" w:space="0" w:color="auto"/>
              <w:right w:val="single" w:sz="4" w:space="0" w:color="auto"/>
            </w:tcBorders>
            <w:shd w:val="clear" w:color="auto" w:fill="auto"/>
            <w:noWrap/>
            <w:vAlign w:val="bottom"/>
            <w:hideMark/>
          </w:tcPr>
          <w:p w14:paraId="18C858AA"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224</w:t>
            </w:r>
          </w:p>
        </w:tc>
        <w:tc>
          <w:tcPr>
            <w:tcW w:w="515" w:type="pct"/>
            <w:tcBorders>
              <w:top w:val="nil"/>
              <w:left w:val="nil"/>
              <w:bottom w:val="single" w:sz="4" w:space="0" w:color="auto"/>
              <w:right w:val="single" w:sz="4" w:space="0" w:color="auto"/>
            </w:tcBorders>
            <w:shd w:val="clear" w:color="auto" w:fill="auto"/>
            <w:noWrap/>
            <w:vAlign w:val="bottom"/>
            <w:hideMark/>
          </w:tcPr>
          <w:p w14:paraId="58FE33EB"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216</w:t>
            </w:r>
          </w:p>
        </w:tc>
        <w:tc>
          <w:tcPr>
            <w:tcW w:w="515" w:type="pct"/>
            <w:tcBorders>
              <w:top w:val="nil"/>
              <w:left w:val="nil"/>
              <w:bottom w:val="single" w:sz="4" w:space="0" w:color="auto"/>
              <w:right w:val="single" w:sz="4" w:space="0" w:color="auto"/>
            </w:tcBorders>
            <w:shd w:val="clear" w:color="auto" w:fill="auto"/>
            <w:noWrap/>
            <w:vAlign w:val="bottom"/>
            <w:hideMark/>
          </w:tcPr>
          <w:p w14:paraId="2B1AA71F"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219</w:t>
            </w:r>
          </w:p>
        </w:tc>
        <w:tc>
          <w:tcPr>
            <w:tcW w:w="516" w:type="pct"/>
            <w:tcBorders>
              <w:top w:val="nil"/>
              <w:left w:val="nil"/>
              <w:bottom w:val="single" w:sz="4" w:space="0" w:color="auto"/>
              <w:right w:val="single" w:sz="4" w:space="0" w:color="auto"/>
            </w:tcBorders>
            <w:shd w:val="clear" w:color="auto" w:fill="auto"/>
            <w:noWrap/>
            <w:vAlign w:val="bottom"/>
            <w:hideMark/>
          </w:tcPr>
          <w:p w14:paraId="388A278E"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206</w:t>
            </w:r>
          </w:p>
        </w:tc>
      </w:tr>
      <w:tr w:rsidR="00CB3AA1" w:rsidRPr="002F4599" w14:paraId="15C498AD"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0170BD02"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Nitriansky kraj</w:t>
            </w:r>
          </w:p>
        </w:tc>
        <w:tc>
          <w:tcPr>
            <w:tcW w:w="515" w:type="pct"/>
            <w:tcBorders>
              <w:top w:val="nil"/>
              <w:left w:val="nil"/>
              <w:bottom w:val="single" w:sz="4" w:space="0" w:color="auto"/>
              <w:right w:val="single" w:sz="4" w:space="0" w:color="auto"/>
            </w:tcBorders>
            <w:shd w:val="clear" w:color="auto" w:fill="auto"/>
            <w:noWrap/>
            <w:vAlign w:val="bottom"/>
            <w:hideMark/>
          </w:tcPr>
          <w:p w14:paraId="5D0FB736"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275</w:t>
            </w:r>
          </w:p>
        </w:tc>
        <w:tc>
          <w:tcPr>
            <w:tcW w:w="515" w:type="pct"/>
            <w:tcBorders>
              <w:top w:val="nil"/>
              <w:left w:val="nil"/>
              <w:bottom w:val="single" w:sz="4" w:space="0" w:color="auto"/>
              <w:right w:val="single" w:sz="4" w:space="0" w:color="auto"/>
            </w:tcBorders>
            <w:shd w:val="clear" w:color="auto" w:fill="auto"/>
            <w:noWrap/>
            <w:vAlign w:val="bottom"/>
            <w:hideMark/>
          </w:tcPr>
          <w:p w14:paraId="3EF48961"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271</w:t>
            </w:r>
          </w:p>
        </w:tc>
        <w:tc>
          <w:tcPr>
            <w:tcW w:w="515" w:type="pct"/>
            <w:tcBorders>
              <w:top w:val="nil"/>
              <w:left w:val="nil"/>
              <w:bottom w:val="single" w:sz="4" w:space="0" w:color="auto"/>
              <w:right w:val="single" w:sz="4" w:space="0" w:color="auto"/>
            </w:tcBorders>
            <w:shd w:val="clear" w:color="auto" w:fill="auto"/>
            <w:noWrap/>
            <w:vAlign w:val="bottom"/>
            <w:hideMark/>
          </w:tcPr>
          <w:p w14:paraId="46472FB8"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269</w:t>
            </w:r>
          </w:p>
        </w:tc>
        <w:tc>
          <w:tcPr>
            <w:tcW w:w="515" w:type="pct"/>
            <w:tcBorders>
              <w:top w:val="nil"/>
              <w:left w:val="nil"/>
              <w:bottom w:val="single" w:sz="4" w:space="0" w:color="auto"/>
              <w:right w:val="single" w:sz="4" w:space="0" w:color="auto"/>
            </w:tcBorders>
            <w:shd w:val="clear" w:color="auto" w:fill="auto"/>
            <w:noWrap/>
            <w:vAlign w:val="bottom"/>
            <w:hideMark/>
          </w:tcPr>
          <w:p w14:paraId="33FE8BBF"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258</w:t>
            </w:r>
          </w:p>
        </w:tc>
        <w:tc>
          <w:tcPr>
            <w:tcW w:w="516" w:type="pct"/>
            <w:tcBorders>
              <w:top w:val="nil"/>
              <w:left w:val="nil"/>
              <w:bottom w:val="single" w:sz="4" w:space="0" w:color="auto"/>
              <w:right w:val="single" w:sz="4" w:space="0" w:color="auto"/>
            </w:tcBorders>
            <w:shd w:val="clear" w:color="auto" w:fill="auto"/>
            <w:noWrap/>
            <w:vAlign w:val="bottom"/>
            <w:hideMark/>
          </w:tcPr>
          <w:p w14:paraId="4743F96D"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245</w:t>
            </w:r>
          </w:p>
        </w:tc>
      </w:tr>
      <w:tr w:rsidR="00CB3AA1" w:rsidRPr="002F4599" w14:paraId="71332DAA"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3221E2AA"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 xml:space="preserve">Žilinský kraj </w:t>
            </w:r>
          </w:p>
        </w:tc>
        <w:tc>
          <w:tcPr>
            <w:tcW w:w="515" w:type="pct"/>
            <w:tcBorders>
              <w:top w:val="nil"/>
              <w:left w:val="nil"/>
              <w:bottom w:val="single" w:sz="4" w:space="0" w:color="auto"/>
              <w:right w:val="single" w:sz="4" w:space="0" w:color="auto"/>
            </w:tcBorders>
            <w:shd w:val="clear" w:color="auto" w:fill="auto"/>
            <w:noWrap/>
            <w:vAlign w:val="bottom"/>
            <w:hideMark/>
          </w:tcPr>
          <w:p w14:paraId="590167FA"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254</w:t>
            </w:r>
          </w:p>
        </w:tc>
        <w:tc>
          <w:tcPr>
            <w:tcW w:w="515" w:type="pct"/>
            <w:tcBorders>
              <w:top w:val="nil"/>
              <w:left w:val="nil"/>
              <w:bottom w:val="single" w:sz="4" w:space="0" w:color="auto"/>
              <w:right w:val="single" w:sz="4" w:space="0" w:color="auto"/>
            </w:tcBorders>
            <w:shd w:val="clear" w:color="auto" w:fill="auto"/>
            <w:noWrap/>
            <w:vAlign w:val="bottom"/>
            <w:hideMark/>
          </w:tcPr>
          <w:p w14:paraId="25FEC1F5"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251</w:t>
            </w:r>
          </w:p>
        </w:tc>
        <w:tc>
          <w:tcPr>
            <w:tcW w:w="515" w:type="pct"/>
            <w:tcBorders>
              <w:top w:val="nil"/>
              <w:left w:val="nil"/>
              <w:bottom w:val="single" w:sz="4" w:space="0" w:color="auto"/>
              <w:right w:val="single" w:sz="4" w:space="0" w:color="auto"/>
            </w:tcBorders>
            <w:shd w:val="clear" w:color="auto" w:fill="auto"/>
            <w:noWrap/>
            <w:vAlign w:val="bottom"/>
            <w:hideMark/>
          </w:tcPr>
          <w:p w14:paraId="39638934"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241</w:t>
            </w:r>
          </w:p>
        </w:tc>
        <w:tc>
          <w:tcPr>
            <w:tcW w:w="515" w:type="pct"/>
            <w:tcBorders>
              <w:top w:val="nil"/>
              <w:left w:val="nil"/>
              <w:bottom w:val="single" w:sz="4" w:space="0" w:color="auto"/>
              <w:right w:val="single" w:sz="4" w:space="0" w:color="auto"/>
            </w:tcBorders>
            <w:shd w:val="clear" w:color="auto" w:fill="auto"/>
            <w:noWrap/>
            <w:vAlign w:val="bottom"/>
            <w:hideMark/>
          </w:tcPr>
          <w:p w14:paraId="3A936862"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246</w:t>
            </w:r>
          </w:p>
        </w:tc>
        <w:tc>
          <w:tcPr>
            <w:tcW w:w="516" w:type="pct"/>
            <w:tcBorders>
              <w:top w:val="nil"/>
              <w:left w:val="nil"/>
              <w:bottom w:val="single" w:sz="4" w:space="0" w:color="auto"/>
              <w:right w:val="single" w:sz="4" w:space="0" w:color="auto"/>
            </w:tcBorders>
            <w:shd w:val="clear" w:color="auto" w:fill="auto"/>
            <w:noWrap/>
            <w:vAlign w:val="bottom"/>
            <w:hideMark/>
          </w:tcPr>
          <w:p w14:paraId="44183EEF"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230</w:t>
            </w:r>
          </w:p>
        </w:tc>
      </w:tr>
      <w:tr w:rsidR="00CB3AA1" w:rsidRPr="002F4599" w14:paraId="5481223D"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536BC09A"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Banskobystrický kraj</w:t>
            </w:r>
          </w:p>
        </w:tc>
        <w:tc>
          <w:tcPr>
            <w:tcW w:w="515" w:type="pct"/>
            <w:tcBorders>
              <w:top w:val="nil"/>
              <w:left w:val="nil"/>
              <w:bottom w:val="single" w:sz="4" w:space="0" w:color="auto"/>
              <w:right w:val="single" w:sz="4" w:space="0" w:color="auto"/>
            </w:tcBorders>
            <w:shd w:val="clear" w:color="auto" w:fill="auto"/>
            <w:noWrap/>
            <w:vAlign w:val="bottom"/>
            <w:hideMark/>
          </w:tcPr>
          <w:p w14:paraId="67C8B8DF"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249</w:t>
            </w:r>
          </w:p>
        </w:tc>
        <w:tc>
          <w:tcPr>
            <w:tcW w:w="515" w:type="pct"/>
            <w:tcBorders>
              <w:top w:val="nil"/>
              <w:left w:val="nil"/>
              <w:bottom w:val="single" w:sz="4" w:space="0" w:color="auto"/>
              <w:right w:val="single" w:sz="4" w:space="0" w:color="auto"/>
            </w:tcBorders>
            <w:shd w:val="clear" w:color="auto" w:fill="auto"/>
            <w:noWrap/>
            <w:vAlign w:val="bottom"/>
            <w:hideMark/>
          </w:tcPr>
          <w:p w14:paraId="1A69368E"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238</w:t>
            </w:r>
          </w:p>
        </w:tc>
        <w:tc>
          <w:tcPr>
            <w:tcW w:w="515" w:type="pct"/>
            <w:tcBorders>
              <w:top w:val="nil"/>
              <w:left w:val="nil"/>
              <w:bottom w:val="single" w:sz="4" w:space="0" w:color="auto"/>
              <w:right w:val="single" w:sz="4" w:space="0" w:color="auto"/>
            </w:tcBorders>
            <w:shd w:val="clear" w:color="auto" w:fill="auto"/>
            <w:noWrap/>
            <w:vAlign w:val="bottom"/>
            <w:hideMark/>
          </w:tcPr>
          <w:p w14:paraId="515E9C82"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239</w:t>
            </w:r>
          </w:p>
        </w:tc>
        <w:tc>
          <w:tcPr>
            <w:tcW w:w="515" w:type="pct"/>
            <w:tcBorders>
              <w:top w:val="nil"/>
              <w:left w:val="nil"/>
              <w:bottom w:val="single" w:sz="4" w:space="0" w:color="auto"/>
              <w:right w:val="single" w:sz="4" w:space="0" w:color="auto"/>
            </w:tcBorders>
            <w:shd w:val="clear" w:color="auto" w:fill="auto"/>
            <w:noWrap/>
            <w:vAlign w:val="bottom"/>
            <w:hideMark/>
          </w:tcPr>
          <w:p w14:paraId="35A70689"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245</w:t>
            </w:r>
          </w:p>
        </w:tc>
        <w:tc>
          <w:tcPr>
            <w:tcW w:w="516" w:type="pct"/>
            <w:tcBorders>
              <w:top w:val="nil"/>
              <w:left w:val="nil"/>
              <w:bottom w:val="single" w:sz="4" w:space="0" w:color="auto"/>
              <w:right w:val="single" w:sz="4" w:space="0" w:color="auto"/>
            </w:tcBorders>
            <w:shd w:val="clear" w:color="auto" w:fill="auto"/>
            <w:noWrap/>
            <w:vAlign w:val="bottom"/>
            <w:hideMark/>
          </w:tcPr>
          <w:p w14:paraId="63B29168"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236</w:t>
            </w:r>
          </w:p>
        </w:tc>
      </w:tr>
      <w:tr w:rsidR="00CB3AA1" w:rsidRPr="002F4599" w14:paraId="647440AE"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790B67BB"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Prešovský kraj</w:t>
            </w:r>
          </w:p>
        </w:tc>
        <w:tc>
          <w:tcPr>
            <w:tcW w:w="515" w:type="pct"/>
            <w:tcBorders>
              <w:top w:val="nil"/>
              <w:left w:val="nil"/>
              <w:bottom w:val="single" w:sz="4" w:space="0" w:color="auto"/>
              <w:right w:val="single" w:sz="4" w:space="0" w:color="auto"/>
            </w:tcBorders>
            <w:shd w:val="clear" w:color="auto" w:fill="auto"/>
            <w:noWrap/>
            <w:vAlign w:val="bottom"/>
            <w:hideMark/>
          </w:tcPr>
          <w:p w14:paraId="45976E83"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304</w:t>
            </w:r>
          </w:p>
        </w:tc>
        <w:tc>
          <w:tcPr>
            <w:tcW w:w="515" w:type="pct"/>
            <w:tcBorders>
              <w:top w:val="nil"/>
              <w:left w:val="nil"/>
              <w:bottom w:val="single" w:sz="4" w:space="0" w:color="auto"/>
              <w:right w:val="single" w:sz="4" w:space="0" w:color="auto"/>
            </w:tcBorders>
            <w:shd w:val="clear" w:color="auto" w:fill="auto"/>
            <w:noWrap/>
            <w:vAlign w:val="bottom"/>
            <w:hideMark/>
          </w:tcPr>
          <w:p w14:paraId="5D7781E9"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312</w:t>
            </w:r>
          </w:p>
        </w:tc>
        <w:tc>
          <w:tcPr>
            <w:tcW w:w="515" w:type="pct"/>
            <w:tcBorders>
              <w:top w:val="nil"/>
              <w:left w:val="nil"/>
              <w:bottom w:val="single" w:sz="4" w:space="0" w:color="auto"/>
              <w:right w:val="single" w:sz="4" w:space="0" w:color="auto"/>
            </w:tcBorders>
            <w:shd w:val="clear" w:color="auto" w:fill="auto"/>
            <w:noWrap/>
            <w:vAlign w:val="bottom"/>
            <w:hideMark/>
          </w:tcPr>
          <w:p w14:paraId="4CBFBE2E"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312</w:t>
            </w:r>
          </w:p>
        </w:tc>
        <w:tc>
          <w:tcPr>
            <w:tcW w:w="515" w:type="pct"/>
            <w:tcBorders>
              <w:top w:val="nil"/>
              <w:left w:val="nil"/>
              <w:bottom w:val="single" w:sz="4" w:space="0" w:color="auto"/>
              <w:right w:val="single" w:sz="4" w:space="0" w:color="auto"/>
            </w:tcBorders>
            <w:shd w:val="clear" w:color="auto" w:fill="auto"/>
            <w:noWrap/>
            <w:vAlign w:val="bottom"/>
            <w:hideMark/>
          </w:tcPr>
          <w:p w14:paraId="72EFD22F"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319</w:t>
            </w:r>
          </w:p>
        </w:tc>
        <w:tc>
          <w:tcPr>
            <w:tcW w:w="516" w:type="pct"/>
            <w:tcBorders>
              <w:top w:val="nil"/>
              <w:left w:val="nil"/>
              <w:bottom w:val="single" w:sz="4" w:space="0" w:color="auto"/>
              <w:right w:val="single" w:sz="4" w:space="0" w:color="auto"/>
            </w:tcBorders>
            <w:shd w:val="clear" w:color="auto" w:fill="auto"/>
            <w:noWrap/>
            <w:vAlign w:val="bottom"/>
            <w:hideMark/>
          </w:tcPr>
          <w:p w14:paraId="755F4F5B"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280</w:t>
            </w:r>
          </w:p>
        </w:tc>
      </w:tr>
      <w:tr w:rsidR="00CB3AA1" w:rsidRPr="002F4599" w14:paraId="640C2433"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5AE23F55"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Košický kraj</w:t>
            </w:r>
          </w:p>
        </w:tc>
        <w:tc>
          <w:tcPr>
            <w:tcW w:w="515" w:type="pct"/>
            <w:tcBorders>
              <w:top w:val="nil"/>
              <w:left w:val="nil"/>
              <w:bottom w:val="single" w:sz="4" w:space="0" w:color="auto"/>
              <w:right w:val="single" w:sz="4" w:space="0" w:color="auto"/>
            </w:tcBorders>
            <w:shd w:val="clear" w:color="auto" w:fill="auto"/>
            <w:noWrap/>
            <w:vAlign w:val="bottom"/>
            <w:hideMark/>
          </w:tcPr>
          <w:p w14:paraId="34A47DD7"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288</w:t>
            </w:r>
          </w:p>
        </w:tc>
        <w:tc>
          <w:tcPr>
            <w:tcW w:w="515" w:type="pct"/>
            <w:tcBorders>
              <w:top w:val="nil"/>
              <w:left w:val="nil"/>
              <w:bottom w:val="single" w:sz="4" w:space="0" w:color="auto"/>
              <w:right w:val="single" w:sz="4" w:space="0" w:color="auto"/>
            </w:tcBorders>
            <w:shd w:val="clear" w:color="auto" w:fill="auto"/>
            <w:noWrap/>
            <w:vAlign w:val="bottom"/>
            <w:hideMark/>
          </w:tcPr>
          <w:p w14:paraId="257C7268"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276</w:t>
            </w:r>
          </w:p>
        </w:tc>
        <w:tc>
          <w:tcPr>
            <w:tcW w:w="515" w:type="pct"/>
            <w:tcBorders>
              <w:top w:val="nil"/>
              <w:left w:val="nil"/>
              <w:bottom w:val="single" w:sz="4" w:space="0" w:color="auto"/>
              <w:right w:val="single" w:sz="4" w:space="0" w:color="auto"/>
            </w:tcBorders>
            <w:shd w:val="clear" w:color="auto" w:fill="auto"/>
            <w:noWrap/>
            <w:vAlign w:val="bottom"/>
            <w:hideMark/>
          </w:tcPr>
          <w:p w14:paraId="323DB655"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289</w:t>
            </w:r>
          </w:p>
        </w:tc>
        <w:tc>
          <w:tcPr>
            <w:tcW w:w="515" w:type="pct"/>
            <w:tcBorders>
              <w:top w:val="nil"/>
              <w:left w:val="nil"/>
              <w:bottom w:val="single" w:sz="4" w:space="0" w:color="auto"/>
              <w:right w:val="single" w:sz="4" w:space="0" w:color="auto"/>
            </w:tcBorders>
            <w:shd w:val="clear" w:color="auto" w:fill="auto"/>
            <w:noWrap/>
            <w:vAlign w:val="bottom"/>
            <w:hideMark/>
          </w:tcPr>
          <w:p w14:paraId="0488975A"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295</w:t>
            </w:r>
          </w:p>
        </w:tc>
        <w:tc>
          <w:tcPr>
            <w:tcW w:w="516" w:type="pct"/>
            <w:tcBorders>
              <w:top w:val="nil"/>
              <w:left w:val="nil"/>
              <w:bottom w:val="single" w:sz="4" w:space="0" w:color="auto"/>
              <w:right w:val="single" w:sz="4" w:space="0" w:color="auto"/>
            </w:tcBorders>
            <w:shd w:val="clear" w:color="auto" w:fill="auto"/>
            <w:noWrap/>
            <w:vAlign w:val="bottom"/>
            <w:hideMark/>
          </w:tcPr>
          <w:p w14:paraId="0722FB37" w14:textId="77777777"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301</w:t>
            </w:r>
          </w:p>
        </w:tc>
      </w:tr>
      <w:tr w:rsidR="00CB3AA1" w:rsidRPr="002F4599" w14:paraId="6D82B828" w14:textId="77777777" w:rsidTr="00A66AFC">
        <w:trPr>
          <w:trHeight w:val="227"/>
          <w:jc w:val="center"/>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40D5B3B6" w14:textId="77777777" w:rsidR="00BE3D14" w:rsidRPr="002F4599" w:rsidRDefault="00BE3D14" w:rsidP="00BE3D14">
            <w:pPr>
              <w:rPr>
                <w:rFonts w:eastAsia="Times New Roman" w:cs="Calibri"/>
                <w:color w:val="000000"/>
                <w:sz w:val="20"/>
                <w:szCs w:val="20"/>
              </w:rPr>
            </w:pPr>
            <w:r w:rsidRPr="002F4599">
              <w:rPr>
                <w:rFonts w:eastAsia="Times New Roman" w:cs="Calibri"/>
                <w:color w:val="000000"/>
                <w:sz w:val="20"/>
                <w:szCs w:val="20"/>
              </w:rPr>
              <w:t xml:space="preserve">SR </w:t>
            </w:r>
          </w:p>
        </w:tc>
        <w:tc>
          <w:tcPr>
            <w:tcW w:w="515" w:type="pct"/>
            <w:tcBorders>
              <w:top w:val="nil"/>
              <w:left w:val="nil"/>
              <w:bottom w:val="single" w:sz="4" w:space="0" w:color="auto"/>
              <w:right w:val="single" w:sz="4" w:space="0" w:color="auto"/>
            </w:tcBorders>
            <w:shd w:val="clear" w:color="auto" w:fill="auto"/>
            <w:noWrap/>
            <w:vAlign w:val="bottom"/>
            <w:hideMark/>
          </w:tcPr>
          <w:p w14:paraId="615C1845" w14:textId="4ECE8450"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w:t>
            </w:r>
            <w:r w:rsidR="00CB3AA1">
              <w:rPr>
                <w:rFonts w:eastAsia="Times New Roman" w:cs="Calibri"/>
                <w:color w:val="000000"/>
                <w:sz w:val="20"/>
                <w:szCs w:val="20"/>
              </w:rPr>
              <w:t xml:space="preserve"> </w:t>
            </w:r>
            <w:r w:rsidRPr="002F4599">
              <w:rPr>
                <w:rFonts w:eastAsia="Times New Roman" w:cs="Calibri"/>
                <w:color w:val="000000"/>
                <w:sz w:val="20"/>
                <w:szCs w:val="20"/>
              </w:rPr>
              <w:t>088</w:t>
            </w:r>
          </w:p>
        </w:tc>
        <w:tc>
          <w:tcPr>
            <w:tcW w:w="515" w:type="pct"/>
            <w:tcBorders>
              <w:top w:val="nil"/>
              <w:left w:val="nil"/>
              <w:bottom w:val="single" w:sz="4" w:space="0" w:color="auto"/>
              <w:right w:val="single" w:sz="4" w:space="0" w:color="auto"/>
            </w:tcBorders>
            <w:shd w:val="clear" w:color="auto" w:fill="auto"/>
            <w:noWrap/>
            <w:vAlign w:val="bottom"/>
            <w:hideMark/>
          </w:tcPr>
          <w:p w14:paraId="251BF007" w14:textId="34DED5CD"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w:t>
            </w:r>
            <w:r w:rsidR="00CB3AA1">
              <w:rPr>
                <w:rFonts w:eastAsia="Times New Roman" w:cs="Calibri"/>
                <w:color w:val="000000"/>
                <w:sz w:val="20"/>
                <w:szCs w:val="20"/>
              </w:rPr>
              <w:t xml:space="preserve"> </w:t>
            </w:r>
            <w:r w:rsidRPr="002F4599">
              <w:rPr>
                <w:rFonts w:eastAsia="Times New Roman" w:cs="Calibri"/>
                <w:color w:val="000000"/>
                <w:sz w:val="20"/>
                <w:szCs w:val="20"/>
              </w:rPr>
              <w:t>048</w:t>
            </w:r>
          </w:p>
        </w:tc>
        <w:tc>
          <w:tcPr>
            <w:tcW w:w="515" w:type="pct"/>
            <w:tcBorders>
              <w:top w:val="nil"/>
              <w:left w:val="nil"/>
              <w:bottom w:val="single" w:sz="4" w:space="0" w:color="auto"/>
              <w:right w:val="single" w:sz="4" w:space="0" w:color="auto"/>
            </w:tcBorders>
            <w:shd w:val="clear" w:color="auto" w:fill="auto"/>
            <w:noWrap/>
            <w:vAlign w:val="bottom"/>
            <w:hideMark/>
          </w:tcPr>
          <w:p w14:paraId="3BD3F1AB" w14:textId="7EE86E9E"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w:t>
            </w:r>
            <w:r w:rsidR="00CB3AA1">
              <w:rPr>
                <w:rFonts w:eastAsia="Times New Roman" w:cs="Calibri"/>
                <w:color w:val="000000"/>
                <w:sz w:val="20"/>
                <w:szCs w:val="20"/>
              </w:rPr>
              <w:t xml:space="preserve"> </w:t>
            </w:r>
            <w:r w:rsidRPr="002F4599">
              <w:rPr>
                <w:rFonts w:eastAsia="Times New Roman" w:cs="Calibri"/>
                <w:color w:val="000000"/>
                <w:sz w:val="20"/>
                <w:szCs w:val="20"/>
              </w:rPr>
              <w:t>049</w:t>
            </w:r>
          </w:p>
        </w:tc>
        <w:tc>
          <w:tcPr>
            <w:tcW w:w="515" w:type="pct"/>
            <w:tcBorders>
              <w:top w:val="nil"/>
              <w:left w:val="nil"/>
              <w:bottom w:val="single" w:sz="4" w:space="0" w:color="auto"/>
              <w:right w:val="single" w:sz="4" w:space="0" w:color="auto"/>
            </w:tcBorders>
            <w:shd w:val="clear" w:color="auto" w:fill="auto"/>
            <w:noWrap/>
            <w:vAlign w:val="bottom"/>
            <w:hideMark/>
          </w:tcPr>
          <w:p w14:paraId="4CEAFEA5" w14:textId="570DC474" w:rsidR="00BE3D14" w:rsidRPr="002F4599" w:rsidRDefault="00BE3D14" w:rsidP="00BE3D14">
            <w:pPr>
              <w:jc w:val="right"/>
              <w:rPr>
                <w:rFonts w:eastAsia="Times New Roman" w:cs="Calibri"/>
                <w:color w:val="000000"/>
                <w:sz w:val="20"/>
                <w:szCs w:val="20"/>
              </w:rPr>
            </w:pPr>
            <w:r w:rsidRPr="002F4599">
              <w:rPr>
                <w:rFonts w:eastAsia="Times New Roman" w:cs="Calibri"/>
                <w:color w:val="000000"/>
                <w:sz w:val="20"/>
                <w:szCs w:val="20"/>
              </w:rPr>
              <w:t>2</w:t>
            </w:r>
            <w:r w:rsidR="00CB3AA1">
              <w:rPr>
                <w:rFonts w:eastAsia="Times New Roman" w:cs="Calibri"/>
                <w:color w:val="000000"/>
                <w:sz w:val="20"/>
                <w:szCs w:val="20"/>
              </w:rPr>
              <w:t xml:space="preserve"> </w:t>
            </w:r>
            <w:r w:rsidRPr="002F4599">
              <w:rPr>
                <w:rFonts w:eastAsia="Times New Roman" w:cs="Calibri"/>
                <w:color w:val="000000"/>
                <w:sz w:val="20"/>
                <w:szCs w:val="20"/>
              </w:rPr>
              <w:t>062</w:t>
            </w:r>
          </w:p>
        </w:tc>
        <w:tc>
          <w:tcPr>
            <w:tcW w:w="516" w:type="pct"/>
            <w:tcBorders>
              <w:top w:val="nil"/>
              <w:left w:val="nil"/>
              <w:bottom w:val="single" w:sz="4" w:space="0" w:color="auto"/>
              <w:right w:val="single" w:sz="4" w:space="0" w:color="auto"/>
            </w:tcBorders>
            <w:shd w:val="clear" w:color="auto" w:fill="auto"/>
            <w:noWrap/>
            <w:vAlign w:val="bottom"/>
            <w:hideMark/>
          </w:tcPr>
          <w:p w14:paraId="6E37CB64" w14:textId="77777777" w:rsidR="00BE3D14" w:rsidRPr="002F4599" w:rsidRDefault="00BE3D14" w:rsidP="00BE3D14">
            <w:pPr>
              <w:jc w:val="right"/>
              <w:rPr>
                <w:rFonts w:eastAsia="Times New Roman" w:cs="Calibri"/>
                <w:sz w:val="20"/>
                <w:szCs w:val="20"/>
              </w:rPr>
            </w:pPr>
            <w:r w:rsidRPr="002F4599">
              <w:rPr>
                <w:rFonts w:eastAsia="Times New Roman" w:cs="Calibri"/>
                <w:sz w:val="20"/>
                <w:szCs w:val="20"/>
              </w:rPr>
              <w:t>1 947</w:t>
            </w:r>
          </w:p>
        </w:tc>
      </w:tr>
    </w:tbl>
    <w:p w14:paraId="4ADFC80C" w14:textId="77777777" w:rsidR="006413CC" w:rsidRPr="00CB3AA1" w:rsidRDefault="006413CC" w:rsidP="00BE3D14">
      <w:pPr>
        <w:jc w:val="both"/>
        <w:rPr>
          <w:rFonts w:cs="Times New Roman"/>
          <w:i/>
          <w:sz w:val="20"/>
        </w:rPr>
      </w:pPr>
      <w:r w:rsidRPr="00CB3AA1">
        <w:rPr>
          <w:rFonts w:eastAsia="Times New Roman" w:cs="Calibri"/>
          <w:i/>
          <w:color w:val="000000"/>
          <w:sz w:val="18"/>
          <w:szCs w:val="20"/>
        </w:rPr>
        <w:t>Zdroj: NCZI</w:t>
      </w:r>
    </w:p>
    <w:p w14:paraId="060A5565" w14:textId="77777777" w:rsidR="006413CC" w:rsidRPr="00CB3AA1" w:rsidRDefault="006413CC" w:rsidP="00140EC7">
      <w:pPr>
        <w:spacing w:after="120"/>
        <w:jc w:val="both"/>
        <w:rPr>
          <w:rFonts w:cs="Times New Roman"/>
          <w:i/>
          <w:sz w:val="20"/>
        </w:rPr>
      </w:pPr>
      <w:r w:rsidRPr="00CB3AA1">
        <w:rPr>
          <w:rFonts w:eastAsia="Times New Roman" w:cs="Calibri"/>
          <w:i/>
          <w:color w:val="000000"/>
          <w:sz w:val="18"/>
          <w:szCs w:val="20"/>
        </w:rPr>
        <w:t>* PZS - poskytovateľ zdravotnej starostlivosti</w:t>
      </w:r>
    </w:p>
    <w:tbl>
      <w:tblPr>
        <w:tblStyle w:val="Mriekatabuky"/>
        <w:tblW w:w="5000" w:type="pct"/>
        <w:shd w:val="clear" w:color="auto" w:fill="B8CCE4" w:themeFill="accent1" w:themeFillTint="66"/>
        <w:tblLook w:val="04A0" w:firstRow="1" w:lastRow="0" w:firstColumn="1" w:lastColumn="0" w:noHBand="0" w:noVBand="1"/>
      </w:tblPr>
      <w:tblGrid>
        <w:gridCol w:w="9346"/>
      </w:tblGrid>
      <w:tr w:rsidR="00140EC7" w:rsidRPr="00140EC7" w14:paraId="46C42A28" w14:textId="77777777" w:rsidTr="00140EC7">
        <w:tc>
          <w:tcPr>
            <w:tcW w:w="5000" w:type="pct"/>
            <w:shd w:val="clear" w:color="auto" w:fill="B8CCE4" w:themeFill="accent1" w:themeFillTint="66"/>
          </w:tcPr>
          <w:p w14:paraId="53F37F16" w14:textId="77777777" w:rsidR="00140EC7" w:rsidRPr="00140EC7" w:rsidRDefault="00140EC7" w:rsidP="00140EC7">
            <w:pPr>
              <w:spacing w:after="120"/>
              <w:ind w:firstLine="709"/>
              <w:jc w:val="both"/>
              <w:rPr>
                <w:sz w:val="20"/>
                <w:szCs w:val="20"/>
              </w:rPr>
            </w:pPr>
            <w:r w:rsidRPr="00140EC7">
              <w:rPr>
                <w:sz w:val="20"/>
                <w:szCs w:val="20"/>
              </w:rPr>
              <w:t>Ako reakcia na nedostatok všeobecných lekárov pre dospelých a všeobecných lekárov pre deti a dorast, aj na ich zvyšujúci sa vekový priemer a postupnú kompetenčnú degradáciu oboch odborov, vznikol v roku 2012 Rezidentský program z iniciatívy hlavnej odborníčky MZ SR pre všeobecné lekárstvo. NKÚ SR sa zameral na vyhodnotenie jeho nastavenia a realizácie.</w:t>
            </w:r>
          </w:p>
          <w:p w14:paraId="3F5F49BB" w14:textId="4061F3F9" w:rsidR="00140EC7" w:rsidRPr="00140EC7" w:rsidRDefault="00140EC7" w:rsidP="00140EC7">
            <w:pPr>
              <w:spacing w:before="120" w:after="120"/>
              <w:ind w:firstLine="708"/>
              <w:jc w:val="both"/>
              <w:rPr>
                <w:sz w:val="20"/>
                <w:szCs w:val="20"/>
              </w:rPr>
            </w:pPr>
            <w:r w:rsidRPr="00140EC7">
              <w:rPr>
                <w:sz w:val="20"/>
                <w:szCs w:val="20"/>
              </w:rPr>
              <w:t>Rezidentský program naštartoval pozitívne, čo sa prejavilo na počte zaradených rezidentov. K 1. 10. 2014 bolo na univerzity, ktoré sa na projekte zúčastňujú, prijatých 72 rezidentov. Ako vyplýva z nasledujúcej tabuľky, rozhodujúci podiel na počte zaradených rezidentov predstavovala Slovenská zdravotnícka univerzita. Jej počty v ďalších rokoch</w:t>
            </w:r>
            <w:r w:rsidR="00EA571A">
              <w:rPr>
                <w:sz w:val="20"/>
                <w:szCs w:val="20"/>
              </w:rPr>
              <w:t>,</w:t>
            </w:r>
            <w:r w:rsidRPr="00140EC7">
              <w:rPr>
                <w:sz w:val="20"/>
                <w:szCs w:val="20"/>
              </w:rPr>
              <w:t xml:space="preserve"> </w:t>
            </w:r>
            <w:r w:rsidR="00EA571A">
              <w:rPr>
                <w:sz w:val="20"/>
                <w:szCs w:val="20"/>
              </w:rPr>
              <w:t>s výnimkou roku 2016 klesali –</w:t>
            </w:r>
            <w:r w:rsidRPr="00140EC7">
              <w:rPr>
                <w:sz w:val="20"/>
                <w:szCs w:val="20"/>
              </w:rPr>
              <w:t xml:space="preserve"> 61 v roku 2014 na 18 rezidentov v roku 2018. Celkový výrazný pokles počtu zaradených rezidentov, zo 72 v roku 2014 na 36 v roku 2018, bol čiastočne korigovaný prírastkom rezidentov na lekárskej fakulte v Košiciach v rokoch 2017 a 2018.</w:t>
            </w:r>
          </w:p>
          <w:tbl>
            <w:tblPr>
              <w:tblStyle w:val="Mriekatabuky"/>
              <w:tblW w:w="5000" w:type="pct"/>
              <w:tblLook w:val="04A0" w:firstRow="1" w:lastRow="0" w:firstColumn="1" w:lastColumn="0" w:noHBand="0" w:noVBand="1"/>
            </w:tblPr>
            <w:tblGrid>
              <w:gridCol w:w="4236"/>
              <w:gridCol w:w="699"/>
              <w:gridCol w:w="679"/>
              <w:gridCol w:w="679"/>
              <w:gridCol w:w="679"/>
              <w:gridCol w:w="679"/>
              <w:gridCol w:w="679"/>
              <w:gridCol w:w="790"/>
            </w:tblGrid>
            <w:tr w:rsidR="00140EC7" w:rsidRPr="00140EC7" w14:paraId="636DA460" w14:textId="77777777" w:rsidTr="00140EC7">
              <w:trPr>
                <w:tblHeader/>
              </w:trPr>
              <w:tc>
                <w:tcPr>
                  <w:tcW w:w="2323" w:type="pct"/>
                  <w:tcBorders>
                    <w:right w:val="single" w:sz="4" w:space="0" w:color="FFFFFF" w:themeColor="background1"/>
                  </w:tcBorders>
                  <w:shd w:val="clear" w:color="auto" w:fill="0070C0"/>
                </w:tcPr>
                <w:p w14:paraId="459C6380" w14:textId="77777777" w:rsidR="00140EC7" w:rsidRPr="00140EC7" w:rsidRDefault="00140EC7" w:rsidP="00140EC7">
                  <w:pPr>
                    <w:rPr>
                      <w:b/>
                      <w:color w:val="FFFFFF" w:themeColor="background1"/>
                      <w:sz w:val="20"/>
                      <w:szCs w:val="20"/>
                    </w:rPr>
                  </w:pPr>
                  <w:r w:rsidRPr="00140EC7">
                    <w:rPr>
                      <w:b/>
                      <w:color w:val="FFFFFF" w:themeColor="background1"/>
                      <w:sz w:val="20"/>
                      <w:szCs w:val="20"/>
                    </w:rPr>
                    <w:t>Počet rezidentov zaradených na univerzity</w:t>
                  </w:r>
                </w:p>
              </w:tc>
              <w:tc>
                <w:tcPr>
                  <w:tcW w:w="383" w:type="pct"/>
                  <w:tcBorders>
                    <w:left w:val="single" w:sz="4" w:space="0" w:color="FFFFFF" w:themeColor="background1"/>
                    <w:right w:val="single" w:sz="4" w:space="0" w:color="FFFFFF" w:themeColor="background1"/>
                  </w:tcBorders>
                  <w:shd w:val="clear" w:color="auto" w:fill="0070C0"/>
                  <w:vAlign w:val="center"/>
                </w:tcPr>
                <w:p w14:paraId="1BA1F3CD" w14:textId="77777777" w:rsidR="00140EC7" w:rsidRPr="00140EC7" w:rsidRDefault="00140EC7" w:rsidP="00140EC7">
                  <w:pPr>
                    <w:rPr>
                      <w:b/>
                      <w:color w:val="FFFFFF" w:themeColor="background1"/>
                      <w:sz w:val="20"/>
                      <w:szCs w:val="20"/>
                    </w:rPr>
                  </w:pPr>
                  <w:r w:rsidRPr="00140EC7">
                    <w:rPr>
                      <w:b/>
                      <w:color w:val="FFFFFF" w:themeColor="background1"/>
                      <w:sz w:val="20"/>
                      <w:szCs w:val="20"/>
                    </w:rPr>
                    <w:t>SŠO</w:t>
                  </w:r>
                </w:p>
              </w:tc>
              <w:tc>
                <w:tcPr>
                  <w:tcW w:w="372" w:type="pct"/>
                  <w:tcBorders>
                    <w:left w:val="single" w:sz="4" w:space="0" w:color="FFFFFF" w:themeColor="background1"/>
                    <w:right w:val="single" w:sz="4" w:space="0" w:color="FFFFFF" w:themeColor="background1"/>
                  </w:tcBorders>
                  <w:shd w:val="clear" w:color="auto" w:fill="0070C0"/>
                  <w:vAlign w:val="center"/>
                </w:tcPr>
                <w:p w14:paraId="2F12D232" w14:textId="77777777" w:rsidR="00140EC7" w:rsidRPr="00140EC7" w:rsidRDefault="00140EC7" w:rsidP="00140EC7">
                  <w:pPr>
                    <w:rPr>
                      <w:b/>
                      <w:color w:val="FFFFFF" w:themeColor="background1"/>
                      <w:sz w:val="20"/>
                      <w:szCs w:val="20"/>
                    </w:rPr>
                  </w:pPr>
                  <w:r w:rsidRPr="00140EC7">
                    <w:rPr>
                      <w:b/>
                      <w:color w:val="FFFFFF" w:themeColor="background1"/>
                      <w:sz w:val="20"/>
                      <w:szCs w:val="20"/>
                    </w:rPr>
                    <w:t>2014</w:t>
                  </w:r>
                </w:p>
              </w:tc>
              <w:tc>
                <w:tcPr>
                  <w:tcW w:w="372" w:type="pct"/>
                  <w:tcBorders>
                    <w:left w:val="single" w:sz="4" w:space="0" w:color="FFFFFF" w:themeColor="background1"/>
                    <w:right w:val="single" w:sz="4" w:space="0" w:color="FFFFFF" w:themeColor="background1"/>
                  </w:tcBorders>
                  <w:shd w:val="clear" w:color="auto" w:fill="0070C0"/>
                  <w:vAlign w:val="center"/>
                </w:tcPr>
                <w:p w14:paraId="00169006" w14:textId="77777777" w:rsidR="00140EC7" w:rsidRPr="00140EC7" w:rsidRDefault="00140EC7" w:rsidP="00140EC7">
                  <w:pPr>
                    <w:rPr>
                      <w:b/>
                      <w:color w:val="FFFFFF" w:themeColor="background1"/>
                      <w:sz w:val="20"/>
                      <w:szCs w:val="20"/>
                    </w:rPr>
                  </w:pPr>
                  <w:r w:rsidRPr="00140EC7">
                    <w:rPr>
                      <w:b/>
                      <w:color w:val="FFFFFF" w:themeColor="background1"/>
                      <w:sz w:val="20"/>
                      <w:szCs w:val="20"/>
                    </w:rPr>
                    <w:t>2015</w:t>
                  </w:r>
                </w:p>
              </w:tc>
              <w:tc>
                <w:tcPr>
                  <w:tcW w:w="372" w:type="pct"/>
                  <w:tcBorders>
                    <w:left w:val="single" w:sz="4" w:space="0" w:color="FFFFFF" w:themeColor="background1"/>
                    <w:right w:val="single" w:sz="4" w:space="0" w:color="FFFFFF" w:themeColor="background1"/>
                  </w:tcBorders>
                  <w:shd w:val="clear" w:color="auto" w:fill="0070C0"/>
                  <w:vAlign w:val="center"/>
                </w:tcPr>
                <w:p w14:paraId="7C9FF112" w14:textId="77777777" w:rsidR="00140EC7" w:rsidRPr="00140EC7" w:rsidRDefault="00140EC7" w:rsidP="00140EC7">
                  <w:pPr>
                    <w:rPr>
                      <w:b/>
                      <w:color w:val="FFFFFF" w:themeColor="background1"/>
                      <w:sz w:val="20"/>
                      <w:szCs w:val="20"/>
                    </w:rPr>
                  </w:pPr>
                  <w:r w:rsidRPr="00140EC7">
                    <w:rPr>
                      <w:b/>
                      <w:color w:val="FFFFFF" w:themeColor="background1"/>
                      <w:sz w:val="20"/>
                      <w:szCs w:val="20"/>
                    </w:rPr>
                    <w:t>2016</w:t>
                  </w:r>
                </w:p>
              </w:tc>
              <w:tc>
                <w:tcPr>
                  <w:tcW w:w="372" w:type="pct"/>
                  <w:tcBorders>
                    <w:left w:val="single" w:sz="4" w:space="0" w:color="FFFFFF" w:themeColor="background1"/>
                    <w:right w:val="single" w:sz="4" w:space="0" w:color="FFFFFF" w:themeColor="background1"/>
                  </w:tcBorders>
                  <w:shd w:val="clear" w:color="auto" w:fill="0070C0"/>
                  <w:vAlign w:val="center"/>
                </w:tcPr>
                <w:p w14:paraId="1EF036E7" w14:textId="77777777" w:rsidR="00140EC7" w:rsidRPr="00140EC7" w:rsidRDefault="00140EC7" w:rsidP="00140EC7">
                  <w:pPr>
                    <w:rPr>
                      <w:b/>
                      <w:color w:val="FFFFFF" w:themeColor="background1"/>
                      <w:sz w:val="20"/>
                      <w:szCs w:val="20"/>
                    </w:rPr>
                  </w:pPr>
                  <w:r w:rsidRPr="00140EC7">
                    <w:rPr>
                      <w:b/>
                      <w:color w:val="FFFFFF" w:themeColor="background1"/>
                      <w:sz w:val="20"/>
                      <w:szCs w:val="20"/>
                    </w:rPr>
                    <w:t>2017</w:t>
                  </w:r>
                </w:p>
              </w:tc>
              <w:tc>
                <w:tcPr>
                  <w:tcW w:w="372" w:type="pct"/>
                  <w:tcBorders>
                    <w:left w:val="single" w:sz="4" w:space="0" w:color="FFFFFF" w:themeColor="background1"/>
                    <w:right w:val="single" w:sz="4" w:space="0" w:color="FFFFFF" w:themeColor="background1"/>
                  </w:tcBorders>
                  <w:shd w:val="clear" w:color="auto" w:fill="0070C0"/>
                  <w:vAlign w:val="center"/>
                </w:tcPr>
                <w:p w14:paraId="00770AAC" w14:textId="77777777" w:rsidR="00140EC7" w:rsidRPr="00140EC7" w:rsidRDefault="00140EC7" w:rsidP="00140EC7">
                  <w:pPr>
                    <w:rPr>
                      <w:b/>
                      <w:color w:val="FFFFFF" w:themeColor="background1"/>
                      <w:sz w:val="20"/>
                      <w:szCs w:val="20"/>
                    </w:rPr>
                  </w:pPr>
                  <w:r w:rsidRPr="00140EC7">
                    <w:rPr>
                      <w:b/>
                      <w:color w:val="FFFFFF" w:themeColor="background1"/>
                      <w:sz w:val="20"/>
                      <w:szCs w:val="20"/>
                    </w:rPr>
                    <w:t>2018</w:t>
                  </w:r>
                </w:p>
              </w:tc>
              <w:tc>
                <w:tcPr>
                  <w:tcW w:w="433" w:type="pct"/>
                  <w:tcBorders>
                    <w:left w:val="single" w:sz="4" w:space="0" w:color="FFFFFF" w:themeColor="background1"/>
                  </w:tcBorders>
                  <w:shd w:val="clear" w:color="auto" w:fill="0070C0"/>
                  <w:vAlign w:val="center"/>
                </w:tcPr>
                <w:p w14:paraId="71E11849" w14:textId="77777777" w:rsidR="00140EC7" w:rsidRPr="00140EC7" w:rsidRDefault="00140EC7" w:rsidP="00140EC7">
                  <w:pPr>
                    <w:rPr>
                      <w:b/>
                      <w:color w:val="FFFFFF" w:themeColor="background1"/>
                      <w:sz w:val="20"/>
                      <w:szCs w:val="20"/>
                    </w:rPr>
                  </w:pPr>
                  <w:r w:rsidRPr="00140EC7">
                    <w:rPr>
                      <w:b/>
                      <w:color w:val="FFFFFF" w:themeColor="background1"/>
                      <w:sz w:val="20"/>
                      <w:szCs w:val="20"/>
                    </w:rPr>
                    <w:t>Spolu</w:t>
                  </w:r>
                </w:p>
              </w:tc>
            </w:tr>
            <w:tr w:rsidR="00140EC7" w:rsidRPr="00140EC7" w14:paraId="3FAF8C22" w14:textId="77777777" w:rsidTr="00140EC7">
              <w:tc>
                <w:tcPr>
                  <w:tcW w:w="2323" w:type="pct"/>
                  <w:vMerge w:val="restart"/>
                  <w:vAlign w:val="center"/>
                </w:tcPr>
                <w:p w14:paraId="0047E5FF" w14:textId="77777777" w:rsidR="00140EC7" w:rsidRPr="00140EC7" w:rsidRDefault="00140EC7" w:rsidP="00140EC7">
                  <w:pPr>
                    <w:rPr>
                      <w:sz w:val="20"/>
                      <w:szCs w:val="20"/>
                    </w:rPr>
                  </w:pPr>
                  <w:r w:rsidRPr="00140EC7">
                    <w:rPr>
                      <w:rFonts w:eastAsia="Times New Roman" w:cs="Times New Roman"/>
                      <w:color w:val="000000"/>
                      <w:sz w:val="20"/>
                      <w:szCs w:val="20"/>
                    </w:rPr>
                    <w:t xml:space="preserve">LF SZU Bratislava  </w:t>
                  </w:r>
                </w:p>
              </w:tc>
              <w:tc>
                <w:tcPr>
                  <w:tcW w:w="383" w:type="pct"/>
                  <w:vAlign w:val="center"/>
                </w:tcPr>
                <w:p w14:paraId="614F296C"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VL</w:t>
                  </w:r>
                </w:p>
              </w:tc>
              <w:tc>
                <w:tcPr>
                  <w:tcW w:w="372" w:type="pct"/>
                  <w:vAlign w:val="bottom"/>
                </w:tcPr>
                <w:p w14:paraId="34F50082"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39</w:t>
                  </w:r>
                </w:p>
              </w:tc>
              <w:tc>
                <w:tcPr>
                  <w:tcW w:w="372" w:type="pct"/>
                  <w:vAlign w:val="bottom"/>
                </w:tcPr>
                <w:p w14:paraId="36214F26"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36</w:t>
                  </w:r>
                </w:p>
              </w:tc>
              <w:tc>
                <w:tcPr>
                  <w:tcW w:w="372" w:type="pct"/>
                  <w:vAlign w:val="bottom"/>
                </w:tcPr>
                <w:p w14:paraId="36E62911"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28</w:t>
                  </w:r>
                </w:p>
              </w:tc>
              <w:tc>
                <w:tcPr>
                  <w:tcW w:w="372" w:type="pct"/>
                  <w:vAlign w:val="bottom"/>
                </w:tcPr>
                <w:p w14:paraId="36C236DC"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33</w:t>
                  </w:r>
                </w:p>
              </w:tc>
              <w:tc>
                <w:tcPr>
                  <w:tcW w:w="372" w:type="pct"/>
                  <w:vAlign w:val="bottom"/>
                </w:tcPr>
                <w:p w14:paraId="53BF6CEA"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13</w:t>
                  </w:r>
                </w:p>
              </w:tc>
              <w:tc>
                <w:tcPr>
                  <w:tcW w:w="433" w:type="pct"/>
                  <w:vAlign w:val="bottom"/>
                </w:tcPr>
                <w:p w14:paraId="71C2226C"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149</w:t>
                  </w:r>
                </w:p>
              </w:tc>
            </w:tr>
            <w:tr w:rsidR="00140EC7" w:rsidRPr="00140EC7" w14:paraId="0F849747" w14:textId="77777777" w:rsidTr="00140EC7">
              <w:tc>
                <w:tcPr>
                  <w:tcW w:w="2323" w:type="pct"/>
                  <w:vMerge/>
                  <w:vAlign w:val="center"/>
                </w:tcPr>
                <w:p w14:paraId="4C9FDAC7" w14:textId="77777777" w:rsidR="00140EC7" w:rsidRPr="00140EC7" w:rsidRDefault="00140EC7" w:rsidP="00140EC7">
                  <w:pPr>
                    <w:rPr>
                      <w:sz w:val="20"/>
                      <w:szCs w:val="20"/>
                    </w:rPr>
                  </w:pPr>
                </w:p>
              </w:tc>
              <w:tc>
                <w:tcPr>
                  <w:tcW w:w="383" w:type="pct"/>
                  <w:vAlign w:val="center"/>
                </w:tcPr>
                <w:p w14:paraId="2B98E9BF"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P</w:t>
                  </w:r>
                </w:p>
              </w:tc>
              <w:tc>
                <w:tcPr>
                  <w:tcW w:w="372" w:type="pct"/>
                  <w:vAlign w:val="bottom"/>
                </w:tcPr>
                <w:p w14:paraId="244C1BFB"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22</w:t>
                  </w:r>
                </w:p>
              </w:tc>
              <w:tc>
                <w:tcPr>
                  <w:tcW w:w="372" w:type="pct"/>
                  <w:vAlign w:val="bottom"/>
                </w:tcPr>
                <w:p w14:paraId="16DA2CA0"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13</w:t>
                  </w:r>
                </w:p>
              </w:tc>
              <w:tc>
                <w:tcPr>
                  <w:tcW w:w="372" w:type="pct"/>
                  <w:vAlign w:val="bottom"/>
                </w:tcPr>
                <w:p w14:paraId="4AEEB1B1"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29</w:t>
                  </w:r>
                </w:p>
              </w:tc>
              <w:tc>
                <w:tcPr>
                  <w:tcW w:w="372" w:type="pct"/>
                  <w:vAlign w:val="bottom"/>
                </w:tcPr>
                <w:p w14:paraId="4223BCA6"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9</w:t>
                  </w:r>
                </w:p>
              </w:tc>
              <w:tc>
                <w:tcPr>
                  <w:tcW w:w="372" w:type="pct"/>
                  <w:vAlign w:val="bottom"/>
                </w:tcPr>
                <w:p w14:paraId="700914FA"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5</w:t>
                  </w:r>
                </w:p>
              </w:tc>
              <w:tc>
                <w:tcPr>
                  <w:tcW w:w="433" w:type="pct"/>
                  <w:vAlign w:val="bottom"/>
                </w:tcPr>
                <w:p w14:paraId="2776B182"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78</w:t>
                  </w:r>
                </w:p>
              </w:tc>
            </w:tr>
            <w:tr w:rsidR="00140EC7" w:rsidRPr="00140EC7" w14:paraId="1E0B2A8C" w14:textId="77777777" w:rsidTr="00140EC7">
              <w:tc>
                <w:tcPr>
                  <w:tcW w:w="2323" w:type="pct"/>
                  <w:vMerge/>
                  <w:vAlign w:val="center"/>
                </w:tcPr>
                <w:p w14:paraId="6CAC4A78" w14:textId="77777777" w:rsidR="00140EC7" w:rsidRPr="00140EC7" w:rsidRDefault="00140EC7" w:rsidP="00140EC7">
                  <w:pPr>
                    <w:rPr>
                      <w:sz w:val="20"/>
                      <w:szCs w:val="20"/>
                    </w:rPr>
                  </w:pPr>
                </w:p>
              </w:tc>
              <w:tc>
                <w:tcPr>
                  <w:tcW w:w="383" w:type="pct"/>
                  <w:vAlign w:val="center"/>
                </w:tcPr>
                <w:p w14:paraId="28B1C8F8"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Spolu</w:t>
                  </w:r>
                </w:p>
              </w:tc>
              <w:tc>
                <w:tcPr>
                  <w:tcW w:w="372" w:type="pct"/>
                  <w:vAlign w:val="bottom"/>
                </w:tcPr>
                <w:p w14:paraId="477790CF"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61</w:t>
                  </w:r>
                </w:p>
              </w:tc>
              <w:tc>
                <w:tcPr>
                  <w:tcW w:w="372" w:type="pct"/>
                  <w:vAlign w:val="bottom"/>
                </w:tcPr>
                <w:p w14:paraId="50FB3050"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49</w:t>
                  </w:r>
                </w:p>
              </w:tc>
              <w:tc>
                <w:tcPr>
                  <w:tcW w:w="372" w:type="pct"/>
                  <w:vAlign w:val="bottom"/>
                </w:tcPr>
                <w:p w14:paraId="4F79421B"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57</w:t>
                  </w:r>
                </w:p>
              </w:tc>
              <w:tc>
                <w:tcPr>
                  <w:tcW w:w="372" w:type="pct"/>
                  <w:vAlign w:val="bottom"/>
                </w:tcPr>
                <w:p w14:paraId="79E9E5DD"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42</w:t>
                  </w:r>
                </w:p>
              </w:tc>
              <w:tc>
                <w:tcPr>
                  <w:tcW w:w="372" w:type="pct"/>
                  <w:vAlign w:val="bottom"/>
                </w:tcPr>
                <w:p w14:paraId="1D244A3F"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18</w:t>
                  </w:r>
                </w:p>
              </w:tc>
              <w:tc>
                <w:tcPr>
                  <w:tcW w:w="433" w:type="pct"/>
                  <w:vAlign w:val="bottom"/>
                </w:tcPr>
                <w:p w14:paraId="14410936"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227</w:t>
                  </w:r>
                </w:p>
              </w:tc>
            </w:tr>
            <w:tr w:rsidR="00140EC7" w:rsidRPr="00140EC7" w14:paraId="3273EB47" w14:textId="77777777" w:rsidTr="00140EC7">
              <w:tc>
                <w:tcPr>
                  <w:tcW w:w="2323" w:type="pct"/>
                  <w:vMerge w:val="restart"/>
                  <w:vAlign w:val="center"/>
                </w:tcPr>
                <w:p w14:paraId="2D6BECBD" w14:textId="77777777" w:rsidR="00140EC7" w:rsidRPr="00140EC7" w:rsidRDefault="00140EC7" w:rsidP="00140EC7">
                  <w:pPr>
                    <w:rPr>
                      <w:sz w:val="20"/>
                      <w:szCs w:val="20"/>
                    </w:rPr>
                  </w:pPr>
                  <w:r w:rsidRPr="00140EC7">
                    <w:rPr>
                      <w:rFonts w:eastAsia="Times New Roman" w:cs="Times New Roman"/>
                      <w:color w:val="000000"/>
                      <w:sz w:val="20"/>
                      <w:szCs w:val="20"/>
                    </w:rPr>
                    <w:t>JLF UK Martin</w:t>
                  </w:r>
                </w:p>
              </w:tc>
              <w:tc>
                <w:tcPr>
                  <w:tcW w:w="383" w:type="pct"/>
                  <w:vAlign w:val="center"/>
                </w:tcPr>
                <w:p w14:paraId="2065EB20"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VL</w:t>
                  </w:r>
                </w:p>
              </w:tc>
              <w:tc>
                <w:tcPr>
                  <w:tcW w:w="372" w:type="pct"/>
                  <w:vAlign w:val="bottom"/>
                </w:tcPr>
                <w:p w14:paraId="00F9E3A6"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6</w:t>
                  </w:r>
                </w:p>
              </w:tc>
              <w:tc>
                <w:tcPr>
                  <w:tcW w:w="372" w:type="pct"/>
                  <w:vAlign w:val="bottom"/>
                </w:tcPr>
                <w:p w14:paraId="0D9F138D"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7</w:t>
                  </w:r>
                </w:p>
              </w:tc>
              <w:tc>
                <w:tcPr>
                  <w:tcW w:w="372" w:type="pct"/>
                  <w:vAlign w:val="bottom"/>
                </w:tcPr>
                <w:p w14:paraId="2ABDBD33"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10</w:t>
                  </w:r>
                </w:p>
              </w:tc>
              <w:tc>
                <w:tcPr>
                  <w:tcW w:w="372" w:type="pct"/>
                  <w:vAlign w:val="bottom"/>
                </w:tcPr>
                <w:p w14:paraId="4C101C9D"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5</w:t>
                  </w:r>
                </w:p>
              </w:tc>
              <w:tc>
                <w:tcPr>
                  <w:tcW w:w="372" w:type="pct"/>
                  <w:vAlign w:val="bottom"/>
                </w:tcPr>
                <w:p w14:paraId="21269561"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w:t>
                  </w:r>
                </w:p>
              </w:tc>
              <w:tc>
                <w:tcPr>
                  <w:tcW w:w="433" w:type="pct"/>
                  <w:vAlign w:val="bottom"/>
                </w:tcPr>
                <w:p w14:paraId="603D8067"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31</w:t>
                  </w:r>
                </w:p>
              </w:tc>
            </w:tr>
            <w:tr w:rsidR="00140EC7" w:rsidRPr="00140EC7" w14:paraId="0215EF8E" w14:textId="77777777" w:rsidTr="00140EC7">
              <w:tc>
                <w:tcPr>
                  <w:tcW w:w="2323" w:type="pct"/>
                  <w:vMerge/>
                  <w:vAlign w:val="center"/>
                </w:tcPr>
                <w:p w14:paraId="2415BFF0" w14:textId="77777777" w:rsidR="00140EC7" w:rsidRPr="00140EC7" w:rsidRDefault="00140EC7" w:rsidP="00140EC7">
                  <w:pPr>
                    <w:rPr>
                      <w:sz w:val="20"/>
                      <w:szCs w:val="20"/>
                    </w:rPr>
                  </w:pPr>
                </w:p>
              </w:tc>
              <w:tc>
                <w:tcPr>
                  <w:tcW w:w="383" w:type="pct"/>
                  <w:vAlign w:val="center"/>
                </w:tcPr>
                <w:p w14:paraId="7171160D"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P</w:t>
                  </w:r>
                </w:p>
              </w:tc>
              <w:tc>
                <w:tcPr>
                  <w:tcW w:w="372" w:type="pct"/>
                  <w:vAlign w:val="bottom"/>
                </w:tcPr>
                <w:p w14:paraId="1A67F5F3"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w:t>
                  </w:r>
                </w:p>
              </w:tc>
              <w:tc>
                <w:tcPr>
                  <w:tcW w:w="372" w:type="pct"/>
                  <w:vAlign w:val="bottom"/>
                </w:tcPr>
                <w:p w14:paraId="21531D42"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w:t>
                  </w:r>
                </w:p>
              </w:tc>
              <w:tc>
                <w:tcPr>
                  <w:tcW w:w="372" w:type="pct"/>
                  <w:vAlign w:val="bottom"/>
                </w:tcPr>
                <w:p w14:paraId="0C962660"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w:t>
                  </w:r>
                </w:p>
              </w:tc>
              <w:tc>
                <w:tcPr>
                  <w:tcW w:w="372" w:type="pct"/>
                  <w:vAlign w:val="bottom"/>
                </w:tcPr>
                <w:p w14:paraId="774AE998"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w:t>
                  </w:r>
                </w:p>
              </w:tc>
              <w:tc>
                <w:tcPr>
                  <w:tcW w:w="372" w:type="pct"/>
                  <w:vAlign w:val="bottom"/>
                </w:tcPr>
                <w:p w14:paraId="0FF05951"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0</w:t>
                  </w:r>
                </w:p>
              </w:tc>
              <w:tc>
                <w:tcPr>
                  <w:tcW w:w="433" w:type="pct"/>
                  <w:vAlign w:val="bottom"/>
                </w:tcPr>
                <w:p w14:paraId="129F3DE3"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8</w:t>
                  </w:r>
                </w:p>
              </w:tc>
            </w:tr>
            <w:tr w:rsidR="00140EC7" w:rsidRPr="00140EC7" w14:paraId="22C6728D" w14:textId="77777777" w:rsidTr="00140EC7">
              <w:tc>
                <w:tcPr>
                  <w:tcW w:w="2323" w:type="pct"/>
                  <w:vMerge/>
                  <w:vAlign w:val="center"/>
                </w:tcPr>
                <w:p w14:paraId="1E93D602" w14:textId="77777777" w:rsidR="00140EC7" w:rsidRPr="00140EC7" w:rsidRDefault="00140EC7" w:rsidP="00140EC7">
                  <w:pPr>
                    <w:rPr>
                      <w:sz w:val="20"/>
                      <w:szCs w:val="20"/>
                    </w:rPr>
                  </w:pPr>
                </w:p>
              </w:tc>
              <w:tc>
                <w:tcPr>
                  <w:tcW w:w="383" w:type="pct"/>
                  <w:vAlign w:val="center"/>
                </w:tcPr>
                <w:p w14:paraId="2885BFC8"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Spolu</w:t>
                  </w:r>
                </w:p>
              </w:tc>
              <w:tc>
                <w:tcPr>
                  <w:tcW w:w="372" w:type="pct"/>
                  <w:vAlign w:val="bottom"/>
                </w:tcPr>
                <w:p w14:paraId="2E1B16DA"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8</w:t>
                  </w:r>
                </w:p>
              </w:tc>
              <w:tc>
                <w:tcPr>
                  <w:tcW w:w="372" w:type="pct"/>
                  <w:vAlign w:val="bottom"/>
                </w:tcPr>
                <w:p w14:paraId="60486FB4"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8</w:t>
                  </w:r>
                </w:p>
              </w:tc>
              <w:tc>
                <w:tcPr>
                  <w:tcW w:w="372" w:type="pct"/>
                  <w:vAlign w:val="bottom"/>
                </w:tcPr>
                <w:p w14:paraId="55F2234E"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12</w:t>
                  </w:r>
                </w:p>
              </w:tc>
              <w:tc>
                <w:tcPr>
                  <w:tcW w:w="372" w:type="pct"/>
                  <w:vAlign w:val="bottom"/>
                </w:tcPr>
                <w:p w14:paraId="45415C26"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8</w:t>
                  </w:r>
                </w:p>
              </w:tc>
              <w:tc>
                <w:tcPr>
                  <w:tcW w:w="372" w:type="pct"/>
                  <w:vAlign w:val="bottom"/>
                </w:tcPr>
                <w:p w14:paraId="7778FE76"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w:t>
                  </w:r>
                </w:p>
              </w:tc>
              <w:tc>
                <w:tcPr>
                  <w:tcW w:w="433" w:type="pct"/>
                  <w:vAlign w:val="bottom"/>
                </w:tcPr>
                <w:p w14:paraId="77C6DAD7"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39</w:t>
                  </w:r>
                </w:p>
              </w:tc>
            </w:tr>
            <w:tr w:rsidR="00140EC7" w:rsidRPr="00140EC7" w14:paraId="5C92E77E" w14:textId="77777777" w:rsidTr="00140EC7">
              <w:tc>
                <w:tcPr>
                  <w:tcW w:w="2323" w:type="pct"/>
                  <w:vMerge w:val="restart"/>
                  <w:vAlign w:val="center"/>
                </w:tcPr>
                <w:p w14:paraId="32255C39" w14:textId="77777777" w:rsidR="00140EC7" w:rsidRPr="00140EC7" w:rsidRDefault="00140EC7" w:rsidP="00140EC7">
                  <w:pPr>
                    <w:rPr>
                      <w:sz w:val="20"/>
                      <w:szCs w:val="20"/>
                    </w:rPr>
                  </w:pPr>
                  <w:r w:rsidRPr="00140EC7">
                    <w:rPr>
                      <w:rFonts w:eastAsia="Times New Roman" w:cs="Times New Roman"/>
                      <w:color w:val="000000"/>
                      <w:sz w:val="20"/>
                      <w:szCs w:val="20"/>
                    </w:rPr>
                    <w:t>LF UPJŠ Košice</w:t>
                  </w:r>
                </w:p>
              </w:tc>
              <w:tc>
                <w:tcPr>
                  <w:tcW w:w="383" w:type="pct"/>
                  <w:vAlign w:val="center"/>
                </w:tcPr>
                <w:p w14:paraId="5E4FB7BE"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VL</w:t>
                  </w:r>
                </w:p>
              </w:tc>
              <w:tc>
                <w:tcPr>
                  <w:tcW w:w="372" w:type="pct"/>
                  <w:vAlign w:val="bottom"/>
                </w:tcPr>
                <w:p w14:paraId="3348E757"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w:t>
                  </w:r>
                </w:p>
              </w:tc>
              <w:tc>
                <w:tcPr>
                  <w:tcW w:w="372" w:type="pct"/>
                  <w:vAlign w:val="bottom"/>
                </w:tcPr>
                <w:p w14:paraId="0EDFBCFD"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w:t>
                  </w:r>
                </w:p>
              </w:tc>
              <w:tc>
                <w:tcPr>
                  <w:tcW w:w="372" w:type="pct"/>
                  <w:vAlign w:val="bottom"/>
                </w:tcPr>
                <w:p w14:paraId="3861FB38"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6</w:t>
                  </w:r>
                </w:p>
              </w:tc>
              <w:tc>
                <w:tcPr>
                  <w:tcW w:w="372" w:type="pct"/>
                  <w:vAlign w:val="bottom"/>
                </w:tcPr>
                <w:p w14:paraId="21EF6DDC"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12</w:t>
                  </w:r>
                </w:p>
              </w:tc>
              <w:tc>
                <w:tcPr>
                  <w:tcW w:w="372" w:type="pct"/>
                  <w:vAlign w:val="bottom"/>
                </w:tcPr>
                <w:p w14:paraId="79565494"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11</w:t>
                  </w:r>
                </w:p>
              </w:tc>
              <w:tc>
                <w:tcPr>
                  <w:tcW w:w="433" w:type="pct"/>
                  <w:vAlign w:val="bottom"/>
                </w:tcPr>
                <w:p w14:paraId="7FF7B2CA"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33</w:t>
                  </w:r>
                </w:p>
              </w:tc>
            </w:tr>
            <w:tr w:rsidR="00140EC7" w:rsidRPr="00140EC7" w14:paraId="79B5E350" w14:textId="77777777" w:rsidTr="00140EC7">
              <w:tc>
                <w:tcPr>
                  <w:tcW w:w="2323" w:type="pct"/>
                  <w:vMerge/>
                </w:tcPr>
                <w:p w14:paraId="0AC7AD36" w14:textId="77777777" w:rsidR="00140EC7" w:rsidRPr="00140EC7" w:rsidRDefault="00140EC7" w:rsidP="00140EC7">
                  <w:pPr>
                    <w:rPr>
                      <w:sz w:val="20"/>
                      <w:szCs w:val="20"/>
                    </w:rPr>
                  </w:pPr>
                </w:p>
              </w:tc>
              <w:tc>
                <w:tcPr>
                  <w:tcW w:w="383" w:type="pct"/>
                  <w:vAlign w:val="center"/>
                </w:tcPr>
                <w:p w14:paraId="294C9B54"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P</w:t>
                  </w:r>
                </w:p>
              </w:tc>
              <w:tc>
                <w:tcPr>
                  <w:tcW w:w="372" w:type="pct"/>
                  <w:vAlign w:val="bottom"/>
                </w:tcPr>
                <w:p w14:paraId="7AEFAD85"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0</w:t>
                  </w:r>
                </w:p>
              </w:tc>
              <w:tc>
                <w:tcPr>
                  <w:tcW w:w="372" w:type="pct"/>
                  <w:vAlign w:val="bottom"/>
                </w:tcPr>
                <w:p w14:paraId="57E0B682"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w:t>
                  </w:r>
                </w:p>
              </w:tc>
              <w:tc>
                <w:tcPr>
                  <w:tcW w:w="372" w:type="pct"/>
                  <w:vAlign w:val="bottom"/>
                </w:tcPr>
                <w:p w14:paraId="62C68858"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w:t>
                  </w:r>
                </w:p>
              </w:tc>
              <w:tc>
                <w:tcPr>
                  <w:tcW w:w="372" w:type="pct"/>
                  <w:vAlign w:val="bottom"/>
                </w:tcPr>
                <w:p w14:paraId="7569801E"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w:t>
                  </w:r>
                </w:p>
              </w:tc>
              <w:tc>
                <w:tcPr>
                  <w:tcW w:w="372" w:type="pct"/>
                  <w:vAlign w:val="bottom"/>
                </w:tcPr>
                <w:p w14:paraId="6B64EB2B"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w:t>
                  </w:r>
                </w:p>
              </w:tc>
              <w:tc>
                <w:tcPr>
                  <w:tcW w:w="433" w:type="pct"/>
                  <w:vAlign w:val="bottom"/>
                </w:tcPr>
                <w:p w14:paraId="199EBC98"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11</w:t>
                  </w:r>
                </w:p>
              </w:tc>
            </w:tr>
            <w:tr w:rsidR="00140EC7" w:rsidRPr="00140EC7" w14:paraId="3D00E6F0" w14:textId="77777777" w:rsidTr="00140EC7">
              <w:tc>
                <w:tcPr>
                  <w:tcW w:w="2323" w:type="pct"/>
                  <w:vMerge/>
                </w:tcPr>
                <w:p w14:paraId="51DE7AEF" w14:textId="77777777" w:rsidR="00140EC7" w:rsidRPr="00140EC7" w:rsidRDefault="00140EC7" w:rsidP="00140EC7">
                  <w:pPr>
                    <w:rPr>
                      <w:sz w:val="20"/>
                      <w:szCs w:val="20"/>
                    </w:rPr>
                  </w:pPr>
                </w:p>
              </w:tc>
              <w:tc>
                <w:tcPr>
                  <w:tcW w:w="383" w:type="pct"/>
                  <w:vAlign w:val="center"/>
                </w:tcPr>
                <w:p w14:paraId="5F1EFADD"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Spolu</w:t>
                  </w:r>
                </w:p>
              </w:tc>
              <w:tc>
                <w:tcPr>
                  <w:tcW w:w="372" w:type="pct"/>
                  <w:vAlign w:val="bottom"/>
                </w:tcPr>
                <w:p w14:paraId="428ADA89"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w:t>
                  </w:r>
                </w:p>
              </w:tc>
              <w:tc>
                <w:tcPr>
                  <w:tcW w:w="372" w:type="pct"/>
                  <w:vAlign w:val="bottom"/>
                </w:tcPr>
                <w:p w14:paraId="63EE82F9"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w:t>
                  </w:r>
                </w:p>
              </w:tc>
              <w:tc>
                <w:tcPr>
                  <w:tcW w:w="372" w:type="pct"/>
                  <w:vAlign w:val="bottom"/>
                </w:tcPr>
                <w:p w14:paraId="5023760E"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8</w:t>
                  </w:r>
                </w:p>
              </w:tc>
              <w:tc>
                <w:tcPr>
                  <w:tcW w:w="372" w:type="pct"/>
                  <w:vAlign w:val="bottom"/>
                </w:tcPr>
                <w:p w14:paraId="7B74CAA1"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16</w:t>
                  </w:r>
                </w:p>
              </w:tc>
              <w:tc>
                <w:tcPr>
                  <w:tcW w:w="372" w:type="pct"/>
                  <w:vAlign w:val="bottom"/>
                </w:tcPr>
                <w:p w14:paraId="4A8E70A2"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15</w:t>
                  </w:r>
                </w:p>
              </w:tc>
              <w:tc>
                <w:tcPr>
                  <w:tcW w:w="433" w:type="pct"/>
                  <w:vAlign w:val="bottom"/>
                </w:tcPr>
                <w:p w14:paraId="5583D14A"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44</w:t>
                  </w:r>
                </w:p>
              </w:tc>
            </w:tr>
            <w:tr w:rsidR="00140EC7" w:rsidRPr="00140EC7" w14:paraId="387EAE7C" w14:textId="77777777" w:rsidTr="00140EC7">
              <w:tc>
                <w:tcPr>
                  <w:tcW w:w="2323" w:type="pct"/>
                </w:tcPr>
                <w:p w14:paraId="66A863F8" w14:textId="77777777" w:rsidR="00140EC7" w:rsidRPr="00140EC7" w:rsidRDefault="00140EC7" w:rsidP="00140EC7">
                  <w:pPr>
                    <w:rPr>
                      <w:sz w:val="20"/>
                      <w:szCs w:val="20"/>
                    </w:rPr>
                  </w:pPr>
                </w:p>
              </w:tc>
              <w:tc>
                <w:tcPr>
                  <w:tcW w:w="383" w:type="pct"/>
                  <w:vAlign w:val="center"/>
                </w:tcPr>
                <w:p w14:paraId="651018AD"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VL</w:t>
                  </w:r>
                </w:p>
              </w:tc>
              <w:tc>
                <w:tcPr>
                  <w:tcW w:w="372" w:type="pct"/>
                  <w:vAlign w:val="bottom"/>
                </w:tcPr>
                <w:p w14:paraId="358FA128"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48</w:t>
                  </w:r>
                </w:p>
              </w:tc>
              <w:tc>
                <w:tcPr>
                  <w:tcW w:w="372" w:type="pct"/>
                  <w:vAlign w:val="bottom"/>
                </w:tcPr>
                <w:p w14:paraId="62263C1E"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44</w:t>
                  </w:r>
                </w:p>
              </w:tc>
              <w:tc>
                <w:tcPr>
                  <w:tcW w:w="372" w:type="pct"/>
                  <w:vAlign w:val="bottom"/>
                </w:tcPr>
                <w:p w14:paraId="6FDD3AC4"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44</w:t>
                  </w:r>
                </w:p>
              </w:tc>
              <w:tc>
                <w:tcPr>
                  <w:tcW w:w="372" w:type="pct"/>
                  <w:vAlign w:val="bottom"/>
                </w:tcPr>
                <w:p w14:paraId="15245250"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50</w:t>
                  </w:r>
                </w:p>
              </w:tc>
              <w:tc>
                <w:tcPr>
                  <w:tcW w:w="372" w:type="pct"/>
                  <w:vAlign w:val="bottom"/>
                </w:tcPr>
                <w:p w14:paraId="2D768A20"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27</w:t>
                  </w:r>
                </w:p>
              </w:tc>
              <w:tc>
                <w:tcPr>
                  <w:tcW w:w="433" w:type="pct"/>
                  <w:vAlign w:val="bottom"/>
                </w:tcPr>
                <w:p w14:paraId="379DB6E8"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213</w:t>
                  </w:r>
                </w:p>
              </w:tc>
            </w:tr>
            <w:tr w:rsidR="00140EC7" w:rsidRPr="00140EC7" w14:paraId="40D05FC4" w14:textId="77777777" w:rsidTr="00140EC7">
              <w:tc>
                <w:tcPr>
                  <w:tcW w:w="2323" w:type="pct"/>
                </w:tcPr>
                <w:p w14:paraId="6EF89A78" w14:textId="77777777" w:rsidR="00140EC7" w:rsidRPr="00140EC7" w:rsidRDefault="00140EC7" w:rsidP="00140EC7">
                  <w:pPr>
                    <w:rPr>
                      <w:sz w:val="20"/>
                      <w:szCs w:val="20"/>
                    </w:rPr>
                  </w:pPr>
                  <w:r w:rsidRPr="00140EC7">
                    <w:rPr>
                      <w:sz w:val="20"/>
                      <w:szCs w:val="20"/>
                    </w:rPr>
                    <w:t>SR</w:t>
                  </w:r>
                </w:p>
              </w:tc>
              <w:tc>
                <w:tcPr>
                  <w:tcW w:w="383" w:type="pct"/>
                  <w:vAlign w:val="center"/>
                </w:tcPr>
                <w:p w14:paraId="524ADC1D"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P</w:t>
                  </w:r>
                </w:p>
              </w:tc>
              <w:tc>
                <w:tcPr>
                  <w:tcW w:w="372" w:type="pct"/>
                  <w:vAlign w:val="bottom"/>
                </w:tcPr>
                <w:p w14:paraId="1CEB1B61"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24</w:t>
                  </w:r>
                </w:p>
              </w:tc>
              <w:tc>
                <w:tcPr>
                  <w:tcW w:w="372" w:type="pct"/>
                  <w:vAlign w:val="bottom"/>
                </w:tcPr>
                <w:p w14:paraId="02861FB9"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15</w:t>
                  </w:r>
                </w:p>
              </w:tc>
              <w:tc>
                <w:tcPr>
                  <w:tcW w:w="372" w:type="pct"/>
                  <w:vAlign w:val="bottom"/>
                </w:tcPr>
                <w:p w14:paraId="6E7BBA9F"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33</w:t>
                  </w:r>
                </w:p>
              </w:tc>
              <w:tc>
                <w:tcPr>
                  <w:tcW w:w="372" w:type="pct"/>
                  <w:vAlign w:val="bottom"/>
                </w:tcPr>
                <w:p w14:paraId="1BB34B5F"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16</w:t>
                  </w:r>
                </w:p>
              </w:tc>
              <w:tc>
                <w:tcPr>
                  <w:tcW w:w="372" w:type="pct"/>
                  <w:vAlign w:val="bottom"/>
                </w:tcPr>
                <w:p w14:paraId="485F2B64"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9</w:t>
                  </w:r>
                </w:p>
              </w:tc>
              <w:tc>
                <w:tcPr>
                  <w:tcW w:w="433" w:type="pct"/>
                  <w:vAlign w:val="bottom"/>
                </w:tcPr>
                <w:p w14:paraId="061077CB"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97</w:t>
                  </w:r>
                </w:p>
              </w:tc>
            </w:tr>
            <w:tr w:rsidR="00140EC7" w:rsidRPr="00140EC7" w14:paraId="232855B1" w14:textId="77777777" w:rsidTr="00140EC7">
              <w:tc>
                <w:tcPr>
                  <w:tcW w:w="2323" w:type="pct"/>
                </w:tcPr>
                <w:p w14:paraId="14F6C4D0" w14:textId="77777777" w:rsidR="00140EC7" w:rsidRPr="00140EC7" w:rsidRDefault="00140EC7" w:rsidP="00140EC7">
                  <w:pPr>
                    <w:rPr>
                      <w:sz w:val="20"/>
                      <w:szCs w:val="20"/>
                    </w:rPr>
                  </w:pPr>
                </w:p>
              </w:tc>
              <w:tc>
                <w:tcPr>
                  <w:tcW w:w="383" w:type="pct"/>
                  <w:vAlign w:val="center"/>
                </w:tcPr>
                <w:p w14:paraId="59E91489" w14:textId="77777777" w:rsidR="00140EC7" w:rsidRPr="00140EC7" w:rsidRDefault="00140EC7" w:rsidP="00140EC7">
                  <w:pPr>
                    <w:jc w:val="center"/>
                    <w:rPr>
                      <w:rFonts w:eastAsia="Times New Roman" w:cs="Times New Roman"/>
                      <w:color w:val="000000"/>
                      <w:sz w:val="20"/>
                      <w:szCs w:val="20"/>
                    </w:rPr>
                  </w:pPr>
                  <w:r w:rsidRPr="00140EC7">
                    <w:rPr>
                      <w:rFonts w:eastAsia="Times New Roman" w:cs="Times New Roman"/>
                      <w:color w:val="000000"/>
                      <w:sz w:val="20"/>
                      <w:szCs w:val="20"/>
                    </w:rPr>
                    <w:t>Spolu</w:t>
                  </w:r>
                </w:p>
              </w:tc>
              <w:tc>
                <w:tcPr>
                  <w:tcW w:w="372" w:type="pct"/>
                  <w:vAlign w:val="bottom"/>
                </w:tcPr>
                <w:p w14:paraId="5DC5B5B7"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72</w:t>
                  </w:r>
                </w:p>
              </w:tc>
              <w:tc>
                <w:tcPr>
                  <w:tcW w:w="372" w:type="pct"/>
                  <w:vAlign w:val="bottom"/>
                </w:tcPr>
                <w:p w14:paraId="04D9278B"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59</w:t>
                  </w:r>
                </w:p>
              </w:tc>
              <w:tc>
                <w:tcPr>
                  <w:tcW w:w="372" w:type="pct"/>
                  <w:vAlign w:val="bottom"/>
                </w:tcPr>
                <w:p w14:paraId="19CEAEDA"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77</w:t>
                  </w:r>
                </w:p>
              </w:tc>
              <w:tc>
                <w:tcPr>
                  <w:tcW w:w="372" w:type="pct"/>
                  <w:vAlign w:val="bottom"/>
                </w:tcPr>
                <w:p w14:paraId="2916B33E"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66</w:t>
                  </w:r>
                </w:p>
              </w:tc>
              <w:tc>
                <w:tcPr>
                  <w:tcW w:w="372" w:type="pct"/>
                  <w:vAlign w:val="bottom"/>
                </w:tcPr>
                <w:p w14:paraId="66E72764"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36</w:t>
                  </w:r>
                </w:p>
              </w:tc>
              <w:tc>
                <w:tcPr>
                  <w:tcW w:w="433" w:type="pct"/>
                  <w:vAlign w:val="bottom"/>
                </w:tcPr>
                <w:p w14:paraId="4CDF0750" w14:textId="77777777" w:rsidR="00140EC7" w:rsidRPr="00140EC7" w:rsidRDefault="00140EC7" w:rsidP="00140EC7">
                  <w:pPr>
                    <w:jc w:val="right"/>
                    <w:rPr>
                      <w:rFonts w:eastAsia="Times New Roman" w:cs="Times New Roman"/>
                      <w:color w:val="000000"/>
                      <w:sz w:val="20"/>
                      <w:szCs w:val="20"/>
                    </w:rPr>
                  </w:pPr>
                  <w:r w:rsidRPr="00140EC7">
                    <w:rPr>
                      <w:rFonts w:eastAsia="Times New Roman" w:cs="Times New Roman"/>
                      <w:color w:val="000000"/>
                      <w:sz w:val="20"/>
                      <w:szCs w:val="20"/>
                    </w:rPr>
                    <w:t>310</w:t>
                  </w:r>
                </w:p>
              </w:tc>
            </w:tr>
          </w:tbl>
          <w:p w14:paraId="5D6C21AB" w14:textId="77777777" w:rsidR="00140EC7" w:rsidRPr="00140EC7" w:rsidRDefault="00140EC7" w:rsidP="00140EC7">
            <w:pPr>
              <w:rPr>
                <w:i/>
                <w:sz w:val="20"/>
                <w:szCs w:val="20"/>
              </w:rPr>
            </w:pPr>
            <w:r w:rsidRPr="00140EC7">
              <w:rPr>
                <w:rFonts w:eastAsia="Times New Roman" w:cs="Times New Roman"/>
                <w:i/>
                <w:color w:val="000000"/>
                <w:sz w:val="20"/>
                <w:szCs w:val="20"/>
              </w:rPr>
              <w:t>Zdroj: MZ SR</w:t>
            </w:r>
          </w:p>
          <w:p w14:paraId="18548A12" w14:textId="77777777" w:rsidR="00140EC7" w:rsidRPr="00140EC7" w:rsidRDefault="00140EC7" w:rsidP="00140EC7">
            <w:pPr>
              <w:rPr>
                <w:i/>
                <w:sz w:val="20"/>
                <w:szCs w:val="20"/>
              </w:rPr>
            </w:pPr>
            <w:r w:rsidRPr="00140EC7">
              <w:rPr>
                <w:rFonts w:eastAsia="Times New Roman" w:cs="Times New Roman"/>
                <w:i/>
                <w:color w:val="000000"/>
                <w:sz w:val="20"/>
                <w:szCs w:val="20"/>
              </w:rPr>
              <w:t>ŠŠO - špecializačný študijný odbor, VL - všeobecné lekárstvo, P - pediatria</w:t>
            </w:r>
          </w:p>
          <w:p w14:paraId="7E418C0F" w14:textId="25C455D7" w:rsidR="00140EC7" w:rsidRPr="00140EC7" w:rsidRDefault="00140EC7" w:rsidP="00140EC7">
            <w:pPr>
              <w:pStyle w:val="Zkladntext"/>
              <w:spacing w:before="120"/>
              <w:ind w:right="109" w:firstLine="708"/>
              <w:jc w:val="both"/>
              <w:rPr>
                <w:sz w:val="20"/>
                <w:szCs w:val="20"/>
              </w:rPr>
            </w:pPr>
            <w:r w:rsidRPr="00140EC7">
              <w:rPr>
                <w:sz w:val="20"/>
                <w:szCs w:val="20"/>
              </w:rPr>
              <w:t xml:space="preserve">NKÚ SR vyhodnotil tieto faktory, ktoré sa v rokoch 2014 - 2018 podieľali na klesajúcom záujme lekárov o Rezidentský program a v súčasnosti ovplyvňujú Rezidentské </w:t>
            </w:r>
            <w:r w:rsidR="00EA571A">
              <w:rPr>
                <w:sz w:val="20"/>
                <w:szCs w:val="20"/>
              </w:rPr>
              <w:t>štúdium.</w:t>
            </w:r>
          </w:p>
          <w:p w14:paraId="33A70C24" w14:textId="77777777" w:rsidR="00140EC7" w:rsidRPr="00140EC7" w:rsidRDefault="00140EC7" w:rsidP="00140EC7">
            <w:pPr>
              <w:pStyle w:val="Odsekzoznamu"/>
              <w:numPr>
                <w:ilvl w:val="0"/>
                <w:numId w:val="11"/>
              </w:numPr>
              <w:spacing w:before="120" w:after="120"/>
              <w:ind w:right="115"/>
              <w:jc w:val="both"/>
              <w:rPr>
                <w:sz w:val="20"/>
                <w:szCs w:val="20"/>
              </w:rPr>
            </w:pPr>
            <w:r w:rsidRPr="00140EC7">
              <w:rPr>
                <w:sz w:val="20"/>
                <w:szCs w:val="20"/>
              </w:rPr>
              <w:lastRenderedPageBreak/>
              <w:t xml:space="preserve">Nezvládnutý prechod financovania RP z fondov EÚ na financovanie </w:t>
            </w:r>
            <w:r w:rsidRPr="00140EC7">
              <w:rPr>
                <w:spacing w:val="-3"/>
                <w:sz w:val="20"/>
                <w:szCs w:val="20"/>
              </w:rPr>
              <w:t xml:space="preserve">zo ŠR </w:t>
            </w:r>
            <w:r w:rsidRPr="00140EC7">
              <w:rPr>
                <w:sz w:val="20"/>
                <w:szCs w:val="20"/>
              </w:rPr>
              <w:t xml:space="preserve">– neschopnosť vedenia  MZ </w:t>
            </w:r>
            <w:r w:rsidRPr="00140EC7">
              <w:rPr>
                <w:spacing w:val="2"/>
                <w:sz w:val="20"/>
                <w:szCs w:val="20"/>
              </w:rPr>
              <w:t xml:space="preserve">SR </w:t>
            </w:r>
            <w:r w:rsidRPr="00140EC7">
              <w:rPr>
                <w:sz w:val="20"/>
                <w:szCs w:val="20"/>
              </w:rPr>
              <w:t xml:space="preserve">komunikovať význam RP </w:t>
            </w:r>
            <w:r w:rsidRPr="00140EC7">
              <w:rPr>
                <w:spacing w:val="-3"/>
                <w:sz w:val="20"/>
                <w:szCs w:val="20"/>
              </w:rPr>
              <w:t xml:space="preserve">na </w:t>
            </w:r>
            <w:r w:rsidRPr="00140EC7">
              <w:rPr>
                <w:sz w:val="20"/>
                <w:szCs w:val="20"/>
              </w:rPr>
              <w:t xml:space="preserve">MF SR v predstihu pred ukončením financovania z fondov EÚ a zabezpečiť tak hladký prechod </w:t>
            </w:r>
            <w:r w:rsidRPr="00140EC7">
              <w:rPr>
                <w:spacing w:val="-3"/>
                <w:sz w:val="20"/>
                <w:szCs w:val="20"/>
              </w:rPr>
              <w:t xml:space="preserve">na </w:t>
            </w:r>
            <w:r w:rsidRPr="00140EC7">
              <w:rPr>
                <w:sz w:val="20"/>
                <w:szCs w:val="20"/>
              </w:rPr>
              <w:t>financovanie zo ŠR.</w:t>
            </w:r>
          </w:p>
          <w:p w14:paraId="2A89A21D" w14:textId="77777777" w:rsidR="00140EC7" w:rsidRPr="00140EC7" w:rsidRDefault="00140EC7" w:rsidP="00140EC7">
            <w:pPr>
              <w:pStyle w:val="Odsekzoznamu"/>
              <w:numPr>
                <w:ilvl w:val="0"/>
                <w:numId w:val="11"/>
              </w:numPr>
              <w:spacing w:before="120" w:after="120"/>
              <w:ind w:right="115"/>
              <w:jc w:val="both"/>
              <w:rPr>
                <w:sz w:val="20"/>
                <w:szCs w:val="20"/>
              </w:rPr>
            </w:pPr>
            <w:r w:rsidRPr="00140EC7">
              <w:rPr>
                <w:sz w:val="20"/>
                <w:szCs w:val="20"/>
              </w:rPr>
              <w:t>Opakované pochybenia MZ SR pri nastavovaní zmlúv</w:t>
            </w:r>
            <w:r w:rsidRPr="00140EC7">
              <w:rPr>
                <w:b/>
                <w:sz w:val="20"/>
                <w:szCs w:val="20"/>
              </w:rPr>
              <w:t xml:space="preserve"> </w:t>
            </w:r>
            <w:r w:rsidRPr="00140EC7">
              <w:rPr>
                <w:sz w:val="20"/>
                <w:szCs w:val="20"/>
              </w:rPr>
              <w:t>súvisiacich s realizáciou RP/RŠ (univerzity, zamestnávatelia, školitelia). Výsledkom bola právna neistota rezidentov aj zamestnávateľov.</w:t>
            </w:r>
          </w:p>
          <w:p w14:paraId="59FB63E3" w14:textId="1BFB1668" w:rsidR="00140EC7" w:rsidRPr="00140EC7" w:rsidRDefault="003A30E9" w:rsidP="00140EC7">
            <w:pPr>
              <w:pStyle w:val="Odsekzoznamu"/>
              <w:numPr>
                <w:ilvl w:val="0"/>
                <w:numId w:val="11"/>
              </w:numPr>
              <w:spacing w:before="120" w:after="120"/>
              <w:ind w:right="115"/>
              <w:jc w:val="both"/>
              <w:rPr>
                <w:sz w:val="20"/>
                <w:szCs w:val="20"/>
              </w:rPr>
            </w:pPr>
            <w:r>
              <w:rPr>
                <w:sz w:val="20"/>
                <w:szCs w:val="20"/>
              </w:rPr>
              <w:t xml:space="preserve">Zo strany </w:t>
            </w:r>
            <w:r w:rsidR="00140EC7" w:rsidRPr="00140EC7">
              <w:rPr>
                <w:sz w:val="20"/>
                <w:szCs w:val="20"/>
              </w:rPr>
              <w:t>SZU</w:t>
            </w:r>
            <w:r w:rsidR="00140EC7" w:rsidRPr="00140EC7">
              <w:rPr>
                <w:b/>
                <w:sz w:val="20"/>
                <w:szCs w:val="20"/>
              </w:rPr>
              <w:t xml:space="preserve"> </w:t>
            </w:r>
            <w:proofErr w:type="spellStart"/>
            <w:r w:rsidR="00140EC7" w:rsidRPr="00140EC7">
              <w:rPr>
                <w:sz w:val="20"/>
                <w:szCs w:val="20"/>
              </w:rPr>
              <w:t>nezazmluvňovanie</w:t>
            </w:r>
            <w:proofErr w:type="spellEnd"/>
            <w:r w:rsidR="00140EC7" w:rsidRPr="00140EC7">
              <w:rPr>
                <w:sz w:val="20"/>
                <w:szCs w:val="20"/>
              </w:rPr>
              <w:t xml:space="preserve"> školiteľov v špecializačnom odbore všeobecné</w:t>
            </w:r>
            <w:r w:rsidR="004539A4">
              <w:rPr>
                <w:sz w:val="20"/>
                <w:szCs w:val="20"/>
              </w:rPr>
              <w:t xml:space="preserve"> lekárstvo</w:t>
            </w:r>
            <w:r w:rsidR="00EA571A">
              <w:rPr>
                <w:sz w:val="20"/>
                <w:szCs w:val="20"/>
              </w:rPr>
              <w:t>, a to</w:t>
            </w:r>
            <w:r w:rsidR="004539A4">
              <w:rPr>
                <w:sz w:val="20"/>
                <w:szCs w:val="20"/>
              </w:rPr>
              <w:t xml:space="preserve"> kladením podmienok v </w:t>
            </w:r>
            <w:r w:rsidR="00140EC7" w:rsidRPr="00140EC7">
              <w:rPr>
                <w:sz w:val="20"/>
                <w:szCs w:val="20"/>
              </w:rPr>
              <w:t>rozpore s platnou legislatívou, nevypisovanie riadnych termínov špecializač</w:t>
            </w:r>
            <w:r>
              <w:rPr>
                <w:sz w:val="20"/>
                <w:szCs w:val="20"/>
              </w:rPr>
              <w:t>ných skúšok, čím rezidenti museli</w:t>
            </w:r>
            <w:r w:rsidR="00140EC7" w:rsidRPr="00140EC7">
              <w:rPr>
                <w:sz w:val="20"/>
                <w:szCs w:val="20"/>
              </w:rPr>
              <w:t xml:space="preserve"> celé mesiace čakať na vyk</w:t>
            </w:r>
            <w:r>
              <w:rPr>
                <w:sz w:val="20"/>
                <w:szCs w:val="20"/>
              </w:rPr>
              <w:t>onanie skúšky a nástup do praxe.</w:t>
            </w:r>
            <w:r w:rsidR="00140EC7" w:rsidRPr="00140EC7">
              <w:rPr>
                <w:sz w:val="20"/>
                <w:szCs w:val="20"/>
              </w:rPr>
              <w:t xml:space="preserve"> </w:t>
            </w:r>
          </w:p>
          <w:p w14:paraId="1C33EDBC" w14:textId="77777777" w:rsidR="00140EC7" w:rsidRPr="00140EC7" w:rsidRDefault="00140EC7" w:rsidP="00140EC7">
            <w:pPr>
              <w:pStyle w:val="Odsekzoznamu"/>
              <w:numPr>
                <w:ilvl w:val="0"/>
                <w:numId w:val="11"/>
              </w:numPr>
              <w:spacing w:before="120" w:after="120"/>
              <w:ind w:right="115"/>
              <w:jc w:val="both"/>
              <w:rPr>
                <w:sz w:val="20"/>
                <w:szCs w:val="20"/>
              </w:rPr>
            </w:pPr>
            <w:r w:rsidRPr="00140EC7">
              <w:rPr>
                <w:sz w:val="20"/>
                <w:szCs w:val="20"/>
              </w:rPr>
              <w:t>Nevhodne nastavená legislatíva v RŠ</w:t>
            </w:r>
            <w:r w:rsidRPr="00140EC7">
              <w:rPr>
                <w:b/>
                <w:sz w:val="20"/>
                <w:szCs w:val="20"/>
              </w:rPr>
              <w:t xml:space="preserve"> </w:t>
            </w:r>
            <w:r w:rsidRPr="00140EC7">
              <w:rPr>
                <w:sz w:val="20"/>
                <w:szCs w:val="20"/>
              </w:rPr>
              <w:t>– produkcia „nekonečne“ študujúcich rezidentov, bez časového obmedzenia podpory ich štúdia zo ŠR, absencia účinného mechanizmu vrátenia finančných prostriedkov a ich motivačná výška, ak rezident neukončí RŠ z iných dôvodov, než vymedzuje platná</w:t>
            </w:r>
            <w:r w:rsidRPr="00140EC7">
              <w:rPr>
                <w:spacing w:val="9"/>
                <w:sz w:val="20"/>
                <w:szCs w:val="20"/>
              </w:rPr>
              <w:t xml:space="preserve"> </w:t>
            </w:r>
            <w:r w:rsidRPr="00140EC7">
              <w:rPr>
                <w:sz w:val="20"/>
                <w:szCs w:val="20"/>
              </w:rPr>
              <w:t>legislatíva.</w:t>
            </w:r>
            <w:r w:rsidRPr="00140EC7">
              <w:rPr>
                <w:b/>
                <w:sz w:val="20"/>
                <w:szCs w:val="20"/>
              </w:rPr>
              <w:t xml:space="preserve"> </w:t>
            </w:r>
          </w:p>
          <w:p w14:paraId="0F33F8DA" w14:textId="77777777" w:rsidR="00140EC7" w:rsidRPr="00140EC7" w:rsidRDefault="00140EC7" w:rsidP="00140EC7">
            <w:pPr>
              <w:pStyle w:val="Odsekzoznamu"/>
              <w:numPr>
                <w:ilvl w:val="0"/>
                <w:numId w:val="11"/>
              </w:numPr>
              <w:spacing w:before="120" w:after="120"/>
              <w:ind w:right="115"/>
              <w:jc w:val="both"/>
              <w:rPr>
                <w:sz w:val="20"/>
                <w:szCs w:val="20"/>
              </w:rPr>
            </w:pPr>
            <w:r w:rsidRPr="00140EC7">
              <w:rPr>
                <w:sz w:val="20"/>
                <w:szCs w:val="20"/>
              </w:rPr>
              <w:t>Zrušenie odmien pre školiteľov v RŠ</w:t>
            </w:r>
            <w:r w:rsidRPr="00140EC7">
              <w:rPr>
                <w:b/>
                <w:sz w:val="20"/>
                <w:szCs w:val="20"/>
              </w:rPr>
              <w:t xml:space="preserve"> </w:t>
            </w:r>
            <w:r w:rsidRPr="00140EC7">
              <w:rPr>
                <w:sz w:val="20"/>
                <w:szCs w:val="20"/>
              </w:rPr>
              <w:t>v iných špecializačných odboroch s výnimkou</w:t>
            </w:r>
            <w:r w:rsidRPr="00140EC7">
              <w:rPr>
                <w:b/>
                <w:sz w:val="20"/>
                <w:szCs w:val="20"/>
              </w:rPr>
              <w:t xml:space="preserve"> </w:t>
            </w:r>
            <w:r w:rsidRPr="00140EC7">
              <w:rPr>
                <w:sz w:val="20"/>
                <w:szCs w:val="20"/>
              </w:rPr>
              <w:t xml:space="preserve">všeobecného lekárstva a pediatrie napriek dostatku finančných prostriedkov vyčlenených z rozpočtovej kapitoly MZ SR, </w:t>
            </w:r>
            <w:r w:rsidRPr="00140EC7">
              <w:rPr>
                <w:spacing w:val="-3"/>
                <w:sz w:val="20"/>
                <w:szCs w:val="20"/>
              </w:rPr>
              <w:t xml:space="preserve">čo </w:t>
            </w:r>
            <w:r w:rsidRPr="00140EC7">
              <w:rPr>
                <w:spacing w:val="-5"/>
                <w:sz w:val="20"/>
                <w:szCs w:val="20"/>
              </w:rPr>
              <w:t xml:space="preserve">má </w:t>
            </w:r>
            <w:r w:rsidRPr="00140EC7">
              <w:rPr>
                <w:sz w:val="20"/>
                <w:szCs w:val="20"/>
              </w:rPr>
              <w:t>za následok nedostatok školiteľov v</w:t>
            </w:r>
            <w:r w:rsidRPr="00140EC7">
              <w:rPr>
                <w:spacing w:val="11"/>
                <w:sz w:val="20"/>
                <w:szCs w:val="20"/>
              </w:rPr>
              <w:t xml:space="preserve"> </w:t>
            </w:r>
            <w:r w:rsidRPr="00140EC7">
              <w:rPr>
                <w:spacing w:val="3"/>
                <w:sz w:val="20"/>
                <w:szCs w:val="20"/>
              </w:rPr>
              <w:t xml:space="preserve">RŠ. </w:t>
            </w:r>
          </w:p>
          <w:p w14:paraId="57DE7579" w14:textId="31CF9EC1" w:rsidR="00140EC7" w:rsidRPr="00140EC7" w:rsidRDefault="00140EC7" w:rsidP="00140EC7">
            <w:pPr>
              <w:pStyle w:val="Odsekzoznamu"/>
              <w:numPr>
                <w:ilvl w:val="0"/>
                <w:numId w:val="11"/>
              </w:numPr>
              <w:spacing w:before="120" w:after="120"/>
              <w:ind w:right="115"/>
              <w:jc w:val="both"/>
              <w:rPr>
                <w:sz w:val="20"/>
                <w:szCs w:val="20"/>
              </w:rPr>
            </w:pPr>
            <w:r w:rsidRPr="00140EC7">
              <w:rPr>
                <w:sz w:val="20"/>
                <w:szCs w:val="20"/>
              </w:rPr>
              <w:t>Zrušenie nástrojov na umiestnenie absolventov RŠ do systému poskytovania zdravotnej starostli</w:t>
            </w:r>
            <w:r w:rsidR="00EA571A">
              <w:rPr>
                <w:sz w:val="20"/>
                <w:szCs w:val="20"/>
              </w:rPr>
              <w:t>vosti, ktorý bol v rokoch 2014 a</w:t>
            </w:r>
            <w:r w:rsidRPr="00140EC7">
              <w:rPr>
                <w:sz w:val="20"/>
                <w:szCs w:val="20"/>
              </w:rPr>
              <w:t xml:space="preserve"> 2015 vhodne nastavený. </w:t>
            </w:r>
          </w:p>
          <w:p w14:paraId="0C4D783B" w14:textId="77777777" w:rsidR="00140EC7" w:rsidRPr="00140EC7" w:rsidRDefault="00140EC7" w:rsidP="00140EC7">
            <w:pPr>
              <w:pStyle w:val="Odsekzoznamu"/>
              <w:numPr>
                <w:ilvl w:val="0"/>
                <w:numId w:val="11"/>
              </w:numPr>
              <w:spacing w:before="120" w:after="120"/>
              <w:ind w:right="115"/>
              <w:jc w:val="both"/>
              <w:rPr>
                <w:sz w:val="20"/>
                <w:szCs w:val="20"/>
              </w:rPr>
            </w:pPr>
            <w:r w:rsidRPr="00140EC7">
              <w:rPr>
                <w:sz w:val="20"/>
                <w:szCs w:val="20"/>
              </w:rPr>
              <w:t>Od roku 2018 sa zaraďovali do RŠ aj iné špecializácie napriek tomu, že legislatíva štátom finančne podporované štúdium v iných špecializačných odboroch neuvádza.</w:t>
            </w:r>
          </w:p>
          <w:p w14:paraId="39D1F581" w14:textId="472EFEA8" w:rsidR="00140EC7" w:rsidRPr="00140EC7" w:rsidRDefault="00140EC7" w:rsidP="00140EC7">
            <w:pPr>
              <w:spacing w:before="120"/>
              <w:ind w:right="113" w:firstLine="709"/>
              <w:jc w:val="both"/>
              <w:rPr>
                <w:sz w:val="20"/>
                <w:szCs w:val="20"/>
              </w:rPr>
            </w:pPr>
            <w:r w:rsidRPr="00140EC7">
              <w:rPr>
                <w:sz w:val="20"/>
                <w:szCs w:val="20"/>
              </w:rPr>
              <w:t>Zo súhrnného prehľadu faktorov realizácie Rezidentského programu NKÚ SR poukazuje na riziko možného nehospodárneho nakladania s finančnými prostriedkami štátu. V rozpočte na rok 2020 je v </w:t>
            </w:r>
            <w:r w:rsidR="004539A4">
              <w:rPr>
                <w:sz w:val="20"/>
                <w:szCs w:val="20"/>
              </w:rPr>
              <w:t>kapitole MZ SR rozpočtovaných 5 </w:t>
            </w:r>
            <w:r w:rsidRPr="00140EC7">
              <w:rPr>
                <w:sz w:val="20"/>
                <w:szCs w:val="20"/>
              </w:rPr>
              <w:t>mil. eur na Rezidentské štúdium. J</w:t>
            </w:r>
            <w:r w:rsidRPr="00140EC7">
              <w:rPr>
                <w:spacing w:val="-3"/>
                <w:sz w:val="20"/>
                <w:szCs w:val="20"/>
              </w:rPr>
              <w:t xml:space="preserve">e </w:t>
            </w:r>
            <w:r w:rsidRPr="00140EC7">
              <w:rPr>
                <w:sz w:val="20"/>
                <w:szCs w:val="20"/>
              </w:rPr>
              <w:t>nehospodárne finančne podporovať špecializačné štúdium v odboroch, ktoré financujú zamestnávatelia s cieľom získať kvalifikovanú pracovnú silu pre vlastné zdravotnícke zariadenie. Lôžkové zdravotnícke zariadenia si vychovávajú lekárov – špecialistov v rámci ich pracovných činností na materskom pracovisku. Pokiaľ zamestnávateľ umožní vzdelanie rezidenta a súčasne mu je uhrádzaná odmena za prácu vrátane odvodov, niet dôvodu, aby bola takáto činnosť uhrádzaná ešte aj z rozpočtovej kapitoly MZ SR.</w:t>
            </w:r>
          </w:p>
        </w:tc>
      </w:tr>
    </w:tbl>
    <w:p w14:paraId="01087325" w14:textId="77777777" w:rsidR="006926C2" w:rsidRDefault="006926C2" w:rsidP="006926C2">
      <w:pPr>
        <w:pStyle w:val="Nadpis2"/>
      </w:pPr>
      <w:bookmarkStart w:id="34" w:name="_Toc24098451"/>
      <w:r>
        <w:lastRenderedPageBreak/>
        <w:t>4.3</w:t>
      </w:r>
      <w:r>
        <w:tab/>
        <w:t xml:space="preserve"> Doprava</w:t>
      </w:r>
      <w:bookmarkEnd w:id="34"/>
    </w:p>
    <w:p w14:paraId="3C35F55C" w14:textId="2EDC67D9" w:rsidR="003844C2" w:rsidRDefault="003844C2" w:rsidP="003844C2">
      <w:pPr>
        <w:spacing w:after="120"/>
        <w:ind w:firstLine="708"/>
        <w:jc w:val="both"/>
        <w:rPr>
          <w:color w:val="000000"/>
        </w:rPr>
      </w:pPr>
      <w:r>
        <w:rPr>
          <w:color w:val="000000"/>
        </w:rPr>
        <w:t xml:space="preserve">Navrhovaný rozpočet rezortu dopravy </w:t>
      </w:r>
      <w:r w:rsidR="00BA4FD5">
        <w:rPr>
          <w:color w:val="000000"/>
        </w:rPr>
        <w:t>opakovane</w:t>
      </w:r>
      <w:r>
        <w:rPr>
          <w:color w:val="000000"/>
        </w:rPr>
        <w:t xml:space="preserve"> neodráža realitu, ktorá nastane v</w:t>
      </w:r>
      <w:r w:rsidR="00BA4FD5">
        <w:rPr>
          <w:color w:val="000000"/>
        </w:rPr>
        <w:t xml:space="preserve"> nasledujúcom </w:t>
      </w:r>
      <w:r>
        <w:rPr>
          <w:color w:val="000000"/>
        </w:rPr>
        <w:t>roku. Na základe minulosti vzniká vysoký predpoklad, že aj do roku 2020 sa bude presúvať veľký balík nevyčerpaných prostriedkov, ktoré výr</w:t>
      </w:r>
      <w:r w:rsidR="00BA4FD5">
        <w:rPr>
          <w:color w:val="000000"/>
        </w:rPr>
        <w:t>azne navýšia rozpočet kapitoly.</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844C2" w14:paraId="4D295303" w14:textId="77777777" w:rsidTr="003844C2">
        <w:trPr>
          <w:trHeight w:val="189"/>
        </w:trPr>
        <w:tc>
          <w:tcPr>
            <w:tcW w:w="5000" w:type="pct"/>
            <w:tcBorders>
              <w:top w:val="single" w:sz="4" w:space="0" w:color="auto"/>
              <w:left w:val="nil"/>
              <w:bottom w:val="single" w:sz="4" w:space="0" w:color="auto"/>
              <w:right w:val="nil"/>
            </w:tcBorders>
            <w:shd w:val="clear" w:color="auto" w:fill="0070C0"/>
            <w:hideMark/>
          </w:tcPr>
          <w:p w14:paraId="7D12969F" w14:textId="60F5B00C" w:rsidR="003844C2" w:rsidRDefault="003844C2" w:rsidP="003844C2">
            <w:pPr>
              <w:jc w:val="both"/>
              <w:rPr>
                <w:b/>
                <w:color w:val="FFFFFF" w:themeColor="background1"/>
              </w:rPr>
            </w:pPr>
            <w:r>
              <w:rPr>
                <w:b/>
                <w:color w:val="FFFFFF" w:themeColor="background1"/>
              </w:rPr>
              <w:t>Porovnanie schválenýc</w:t>
            </w:r>
            <w:r w:rsidR="00A2285C">
              <w:rPr>
                <w:b/>
                <w:color w:val="FFFFFF" w:themeColor="background1"/>
              </w:rPr>
              <w:t>h a upravených rozpočtov MDV SR</w:t>
            </w:r>
            <w:r>
              <w:rPr>
                <w:b/>
                <w:color w:val="FFFFFF" w:themeColor="background1"/>
              </w:rPr>
              <w:t xml:space="preserve"> </w:t>
            </w:r>
            <w:r w:rsidR="00A2285C">
              <w:rPr>
                <w:b/>
                <w:color w:val="FFFFFF" w:themeColor="background1"/>
              </w:rPr>
              <w:t>(</w:t>
            </w:r>
            <w:r>
              <w:rPr>
                <w:b/>
                <w:color w:val="FFFFFF" w:themeColor="background1"/>
              </w:rPr>
              <w:t>v tis eur</w:t>
            </w:r>
            <w:r w:rsidR="00A2285C">
              <w:rPr>
                <w:b/>
                <w:color w:val="FFFFFF" w:themeColor="background1"/>
              </w:rPr>
              <w:t>)</w:t>
            </w:r>
          </w:p>
        </w:tc>
      </w:tr>
      <w:tr w:rsidR="003844C2" w14:paraId="6EEEED25" w14:textId="77777777" w:rsidTr="003844C2">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14:paraId="456280AB" w14:textId="77777777" w:rsidR="003844C2" w:rsidRDefault="003844C2" w:rsidP="003844C2">
            <w:pPr>
              <w:jc w:val="both"/>
            </w:pPr>
            <w:r>
              <w:rPr>
                <w:noProof/>
                <w:lang w:eastAsia="sk-SK"/>
              </w:rPr>
              <w:drawing>
                <wp:inline distT="0" distB="0" distL="0" distR="0" wp14:anchorId="4E3B70B5" wp14:editId="5CF7B950">
                  <wp:extent cx="5760720" cy="1958340"/>
                  <wp:effectExtent l="0" t="0" r="0" b="381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5F0C9A27" w14:textId="77777777" w:rsidR="003844C2" w:rsidRPr="00A2285C" w:rsidRDefault="003844C2" w:rsidP="003844C2">
      <w:pPr>
        <w:spacing w:after="120"/>
        <w:jc w:val="both"/>
        <w:rPr>
          <w:i/>
          <w:color w:val="000000"/>
          <w:sz w:val="18"/>
          <w:szCs w:val="20"/>
        </w:rPr>
      </w:pPr>
      <w:r w:rsidRPr="00A2285C">
        <w:rPr>
          <w:i/>
          <w:color w:val="000000"/>
          <w:sz w:val="18"/>
          <w:szCs w:val="20"/>
        </w:rPr>
        <w:t>Zdroj: RIS</w:t>
      </w:r>
    </w:p>
    <w:p w14:paraId="0182B1CC" w14:textId="78C9C6F3" w:rsidR="003844C2" w:rsidRDefault="00BA4FD5" w:rsidP="003844C2">
      <w:pPr>
        <w:spacing w:after="120"/>
        <w:ind w:firstLine="708"/>
        <w:jc w:val="both"/>
        <w:rPr>
          <w:color w:val="000000"/>
        </w:rPr>
      </w:pPr>
      <w:r>
        <w:rPr>
          <w:color w:val="000000"/>
        </w:rPr>
        <w:t>N</w:t>
      </w:r>
      <w:r w:rsidR="003844C2">
        <w:rPr>
          <w:color w:val="000000"/>
        </w:rPr>
        <w:t xml:space="preserve">avyšovanie rozpočtov </w:t>
      </w:r>
      <w:r>
        <w:rPr>
          <w:color w:val="000000"/>
        </w:rPr>
        <w:t xml:space="preserve">v rezorte dopravy </w:t>
      </w:r>
      <w:r w:rsidR="003844C2">
        <w:rPr>
          <w:color w:val="000000"/>
        </w:rPr>
        <w:t xml:space="preserve">sa </w:t>
      </w:r>
      <w:r>
        <w:rPr>
          <w:color w:val="000000"/>
        </w:rPr>
        <w:t>opakuj</w:t>
      </w:r>
      <w:r w:rsidR="003844C2">
        <w:rPr>
          <w:color w:val="000000"/>
        </w:rPr>
        <w:t xml:space="preserve">e pravidelne. Napr. v roku 2018 sa rozpočet navýšil </w:t>
      </w:r>
      <w:r w:rsidR="00EA571A">
        <w:rPr>
          <w:color w:val="000000"/>
        </w:rPr>
        <w:t>v porovnaní so schváleným variantom</w:t>
      </w:r>
      <w:r w:rsidR="003844C2">
        <w:rPr>
          <w:color w:val="000000"/>
        </w:rPr>
        <w:t xml:space="preserve"> o 145 %. </w:t>
      </w:r>
      <w:r w:rsidR="003844C2" w:rsidRPr="00973462">
        <w:rPr>
          <w:b/>
          <w:color w:val="000000"/>
        </w:rPr>
        <w:t>Scenár s čerpaním výdavkov v roku 2019 naznačuje, že MDV SR nestihne minúť všetky výdavky a budú sa opäť presúvať</w:t>
      </w:r>
      <w:r w:rsidR="003844C2">
        <w:rPr>
          <w:color w:val="000000"/>
        </w:rPr>
        <w:t xml:space="preserve"> (MDV SR disponuje k </w:t>
      </w:r>
      <w:r w:rsidR="00C230F3">
        <w:rPr>
          <w:color w:val="000000"/>
        </w:rPr>
        <w:t>3</w:t>
      </w:r>
      <w:r w:rsidR="003844C2">
        <w:rPr>
          <w:color w:val="000000"/>
        </w:rPr>
        <w:t>1.</w:t>
      </w:r>
      <w:r>
        <w:rPr>
          <w:color w:val="000000"/>
        </w:rPr>
        <w:t xml:space="preserve"> </w:t>
      </w:r>
      <w:r w:rsidR="00C230F3">
        <w:rPr>
          <w:color w:val="000000"/>
        </w:rPr>
        <w:t>10</w:t>
      </w:r>
      <w:r w:rsidR="003844C2">
        <w:rPr>
          <w:color w:val="000000"/>
        </w:rPr>
        <w:t>.</w:t>
      </w:r>
      <w:r>
        <w:rPr>
          <w:color w:val="000000"/>
        </w:rPr>
        <w:t xml:space="preserve"> </w:t>
      </w:r>
      <w:r w:rsidR="003844C2">
        <w:rPr>
          <w:color w:val="000000"/>
        </w:rPr>
        <w:t>2019 nevyčerpanými výdavkami vo výške</w:t>
      </w:r>
      <w:r w:rsidR="003844C2" w:rsidRPr="00EA571A">
        <w:rPr>
          <w:color w:val="000000"/>
        </w:rPr>
        <w:t xml:space="preserve"> </w:t>
      </w:r>
      <w:r w:rsidR="00C230F3">
        <w:rPr>
          <w:color w:val="000000"/>
        </w:rPr>
        <w:t>1 080 mil.</w:t>
      </w:r>
      <w:r w:rsidR="003844C2">
        <w:rPr>
          <w:color w:val="000000"/>
        </w:rPr>
        <w:t xml:space="preserve"> eur). </w:t>
      </w:r>
      <w:r w:rsidR="00C230F3">
        <w:rPr>
          <w:color w:val="000000"/>
        </w:rPr>
        <w:t xml:space="preserve">V 2. a 3. programovom období </w:t>
      </w:r>
      <w:r w:rsidR="003844C2" w:rsidRPr="00973462">
        <w:rPr>
          <w:b/>
          <w:color w:val="000000"/>
        </w:rPr>
        <w:t>tvori</w:t>
      </w:r>
      <w:r>
        <w:rPr>
          <w:b/>
          <w:color w:val="000000"/>
        </w:rPr>
        <w:t>li</w:t>
      </w:r>
      <w:r w:rsidR="00C230F3">
        <w:rPr>
          <w:b/>
          <w:color w:val="000000"/>
        </w:rPr>
        <w:t xml:space="preserve"> najväčšiu časť presúvaných výdavkov </w:t>
      </w:r>
      <w:r w:rsidR="003844C2" w:rsidRPr="00973462">
        <w:rPr>
          <w:b/>
          <w:color w:val="000000"/>
        </w:rPr>
        <w:t>prostriedky z fondov EÚ.</w:t>
      </w:r>
    </w:p>
    <w:p w14:paraId="0DEB9A9B" w14:textId="3257C942" w:rsidR="003844C2" w:rsidRDefault="003844C2" w:rsidP="003844C2">
      <w:pPr>
        <w:spacing w:after="120"/>
        <w:ind w:firstLine="708"/>
        <w:jc w:val="both"/>
        <w:rPr>
          <w:b/>
          <w:color w:val="000000"/>
        </w:rPr>
      </w:pPr>
      <w:r>
        <w:rPr>
          <w:color w:val="000000"/>
        </w:rPr>
        <w:t xml:space="preserve">Celkové výdavky by mali oproti RVS </w:t>
      </w:r>
      <w:r w:rsidR="00BA4FD5">
        <w:rPr>
          <w:color w:val="000000"/>
        </w:rPr>
        <w:t xml:space="preserve">na rok </w:t>
      </w:r>
      <w:r>
        <w:rPr>
          <w:color w:val="000000"/>
        </w:rPr>
        <w:t xml:space="preserve">2019 narásť o 5 393 tis. eur, </w:t>
      </w:r>
      <w:r w:rsidR="00BA4FD5">
        <w:rPr>
          <w:color w:val="000000"/>
        </w:rPr>
        <w:t>avšak</w:t>
      </w:r>
      <w:r>
        <w:rPr>
          <w:color w:val="000000"/>
        </w:rPr>
        <w:t xml:space="preserve"> iba vďaka eurofondom. Pri poh</w:t>
      </w:r>
      <w:r w:rsidR="00C230F3">
        <w:rPr>
          <w:color w:val="000000"/>
        </w:rPr>
        <w:t>ľade na výdavky pochádzajúce</w:t>
      </w:r>
      <w:r>
        <w:rPr>
          <w:color w:val="000000"/>
        </w:rPr>
        <w:t xml:space="preserve"> zo </w:t>
      </w:r>
      <w:r w:rsidR="00C230F3">
        <w:rPr>
          <w:color w:val="000000"/>
        </w:rPr>
        <w:t xml:space="preserve">ŠR </w:t>
      </w:r>
      <w:r>
        <w:rPr>
          <w:color w:val="000000"/>
        </w:rPr>
        <w:t xml:space="preserve">dochádza k medziročnému poklesu </w:t>
      </w:r>
      <w:r w:rsidR="00EA571A">
        <w:rPr>
          <w:color w:val="000000"/>
        </w:rPr>
        <w:t>o 72 421 tis. eur. P</w:t>
      </w:r>
      <w:r>
        <w:rPr>
          <w:color w:val="000000"/>
        </w:rPr>
        <w:t xml:space="preserve">odpíšu </w:t>
      </w:r>
      <w:r w:rsidR="00EA571A">
        <w:rPr>
          <w:color w:val="000000"/>
        </w:rPr>
        <w:t xml:space="preserve">sa pod to </w:t>
      </w:r>
      <w:r>
        <w:rPr>
          <w:color w:val="000000"/>
        </w:rPr>
        <w:t xml:space="preserve">predovšetkým </w:t>
      </w:r>
      <w:r w:rsidRPr="00973462">
        <w:rPr>
          <w:b/>
          <w:color w:val="000000"/>
        </w:rPr>
        <w:t>kapitálové výdavky, ktoré medziročne klesnú o 43 %.</w:t>
      </w:r>
      <w:r>
        <w:rPr>
          <w:color w:val="000000"/>
        </w:rPr>
        <w:t xml:space="preserve"> Paradoxne, </w:t>
      </w:r>
      <w:r w:rsidRPr="00973462">
        <w:rPr>
          <w:b/>
          <w:color w:val="000000"/>
        </w:rPr>
        <w:t>pri množstve naplánovaných cieľov a projektov financovaných zo ŠR, ktoré rezort dopravy avizuje splniť, by mali rásť niekoľkonásobne oproti roku 2019. Riziko nenaplnenia týchto cieľov sa preto zvyšuje.</w:t>
      </w:r>
    </w:p>
    <w:p w14:paraId="243F32FB" w14:textId="77777777" w:rsidR="00980D89" w:rsidRDefault="00980D89" w:rsidP="003844C2">
      <w:pPr>
        <w:spacing w:after="120"/>
        <w:ind w:firstLine="708"/>
        <w:jc w:val="both"/>
        <w:rPr>
          <w:color w:val="00000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844C2" w14:paraId="125BB074" w14:textId="77777777" w:rsidTr="003844C2">
        <w:trPr>
          <w:trHeight w:val="189"/>
        </w:trPr>
        <w:tc>
          <w:tcPr>
            <w:tcW w:w="5000" w:type="pct"/>
            <w:tcBorders>
              <w:top w:val="single" w:sz="4" w:space="0" w:color="auto"/>
              <w:left w:val="nil"/>
              <w:bottom w:val="single" w:sz="4" w:space="0" w:color="auto"/>
              <w:right w:val="nil"/>
            </w:tcBorders>
            <w:shd w:val="clear" w:color="auto" w:fill="0070C0"/>
            <w:hideMark/>
          </w:tcPr>
          <w:p w14:paraId="2296E854" w14:textId="675BF91C" w:rsidR="003844C2" w:rsidRDefault="003844C2" w:rsidP="00BA4FD5">
            <w:pPr>
              <w:jc w:val="both"/>
              <w:rPr>
                <w:b/>
                <w:color w:val="FFFFFF" w:themeColor="background1"/>
              </w:rPr>
            </w:pPr>
            <w:r>
              <w:rPr>
                <w:b/>
                <w:color w:val="FFFFFF" w:themeColor="background1"/>
              </w:rPr>
              <w:lastRenderedPageBreak/>
              <w:t xml:space="preserve">Rozdelenie výdavkov MDV SR na rok 2020 podľa oblastí </w:t>
            </w:r>
            <w:r w:rsidR="00BA4FD5">
              <w:rPr>
                <w:b/>
                <w:color w:val="FFFFFF" w:themeColor="background1"/>
              </w:rPr>
              <w:t>(</w:t>
            </w:r>
            <w:r>
              <w:rPr>
                <w:b/>
                <w:color w:val="FFFFFF" w:themeColor="background1"/>
              </w:rPr>
              <w:t>v tis. eur</w:t>
            </w:r>
            <w:r w:rsidR="00BA4FD5">
              <w:rPr>
                <w:b/>
                <w:color w:val="FFFFFF" w:themeColor="background1"/>
              </w:rPr>
              <w:t>)</w:t>
            </w:r>
          </w:p>
        </w:tc>
      </w:tr>
      <w:tr w:rsidR="003844C2" w14:paraId="57D3D7DB" w14:textId="77777777" w:rsidTr="003844C2">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14:paraId="628D0A5F" w14:textId="77777777" w:rsidR="003844C2" w:rsidRDefault="003844C2" w:rsidP="003844C2">
            <w:pPr>
              <w:jc w:val="both"/>
            </w:pPr>
            <w:r>
              <w:rPr>
                <w:noProof/>
                <w:lang w:eastAsia="sk-SK"/>
              </w:rPr>
              <w:drawing>
                <wp:inline distT="0" distB="0" distL="0" distR="0" wp14:anchorId="4408B444" wp14:editId="1CF85E23">
                  <wp:extent cx="5760720" cy="1765190"/>
                  <wp:effectExtent l="0" t="0" r="0" b="698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750CDFF2" w14:textId="6E6827A9" w:rsidR="003844C2" w:rsidRPr="00BA4FD5" w:rsidRDefault="003844C2" w:rsidP="003844C2">
      <w:pPr>
        <w:spacing w:after="120"/>
        <w:jc w:val="both"/>
        <w:rPr>
          <w:i/>
          <w:color w:val="000000"/>
          <w:sz w:val="18"/>
          <w:szCs w:val="20"/>
        </w:rPr>
      </w:pPr>
      <w:r w:rsidRPr="00BA4FD5">
        <w:rPr>
          <w:i/>
          <w:color w:val="000000"/>
          <w:sz w:val="18"/>
          <w:szCs w:val="20"/>
        </w:rPr>
        <w:t xml:space="preserve">Zdroj: Návrh RVS </w:t>
      </w:r>
      <w:r w:rsidR="00BA4FD5">
        <w:rPr>
          <w:i/>
          <w:color w:val="000000"/>
          <w:sz w:val="18"/>
          <w:szCs w:val="20"/>
        </w:rPr>
        <w:t xml:space="preserve">na roky </w:t>
      </w:r>
      <w:r w:rsidRPr="00BA4FD5">
        <w:rPr>
          <w:i/>
          <w:color w:val="000000"/>
          <w:sz w:val="18"/>
          <w:szCs w:val="20"/>
        </w:rPr>
        <w:t xml:space="preserve">2020 </w:t>
      </w:r>
      <w:r w:rsidR="008464AA">
        <w:rPr>
          <w:i/>
          <w:color w:val="000000"/>
          <w:sz w:val="18"/>
          <w:szCs w:val="20"/>
        </w:rPr>
        <w:t>až</w:t>
      </w:r>
      <w:r w:rsidRPr="00BA4FD5">
        <w:rPr>
          <w:i/>
          <w:color w:val="000000"/>
          <w:sz w:val="18"/>
          <w:szCs w:val="20"/>
        </w:rPr>
        <w:t xml:space="preserve"> 2022</w:t>
      </w:r>
    </w:p>
    <w:p w14:paraId="09F83CA1" w14:textId="77777777" w:rsidR="003844C2" w:rsidRPr="003844C2" w:rsidRDefault="003844C2" w:rsidP="003844C2">
      <w:pPr>
        <w:spacing w:after="120"/>
        <w:jc w:val="both"/>
        <w:rPr>
          <w:b/>
          <w:color w:val="0070C0"/>
        </w:rPr>
      </w:pPr>
      <w:r w:rsidRPr="003844C2">
        <w:rPr>
          <w:b/>
          <w:color w:val="0070C0"/>
        </w:rPr>
        <w:t>Cestná infraštruktúra</w:t>
      </w:r>
    </w:p>
    <w:p w14:paraId="33C8E2D7" w14:textId="19D3EA23" w:rsidR="00EE6CA8" w:rsidRDefault="003844C2" w:rsidP="00EE6CA8">
      <w:pPr>
        <w:ind w:firstLine="708"/>
        <w:jc w:val="both"/>
      </w:pPr>
      <w:r w:rsidRPr="00973462">
        <w:rPr>
          <w:b/>
          <w:color w:val="000000"/>
        </w:rPr>
        <w:t>Na cestnú infraštruktúru je na rok 2020 vyčlenených 325 758 tis. eur.</w:t>
      </w:r>
      <w:r>
        <w:rPr>
          <w:color w:val="000000"/>
        </w:rPr>
        <w:t xml:space="preserve"> Oproti návrhu rozpočtu na rok 2019 to predstavuje pokles o 15 681 tis. eur. </w:t>
      </w:r>
      <w:r w:rsidR="00EE6CA8">
        <w:rPr>
          <w:b/>
          <w:bCs/>
        </w:rPr>
        <w:t>Najväčšiu položku v rozpočte na cestnú infraštruktúru tvoria výdavky vo výške 156 450 ti</w:t>
      </w:r>
      <w:r w:rsidR="008464AA">
        <w:rPr>
          <w:b/>
          <w:bCs/>
        </w:rPr>
        <w:t>s. eur, súvisiace s PPP projekt</w:t>
      </w:r>
      <w:r w:rsidR="00EE6CA8">
        <w:rPr>
          <w:b/>
          <w:bCs/>
        </w:rPr>
        <w:t>mi v oblasti cestnej infraštruktúry</w:t>
      </w:r>
      <w:r w:rsidR="00EE6CA8">
        <w:t xml:space="preserve"> (platba za dostupnosť PPP projektov R1 a prvýkrát od roku 2020 aj časť za diaľnicu D4/R7, príprava a ukončenie PPP projektov a na poradenské služby týkajúce sa sporu za kompenzačné udalosti a prípadné vysporiadanie kompenzačných udalostí v súvislosti s projektom D4/R7).</w:t>
      </w:r>
    </w:p>
    <w:p w14:paraId="4D28809B" w14:textId="5DAAFD8F" w:rsidR="003844C2" w:rsidRDefault="003844C2" w:rsidP="003844C2">
      <w:pPr>
        <w:spacing w:after="120"/>
        <w:ind w:firstLine="708"/>
        <w:jc w:val="both"/>
        <w:rPr>
          <w:color w:val="000000"/>
        </w:rPr>
      </w:pPr>
      <w:r>
        <w:rPr>
          <w:color w:val="000000"/>
        </w:rPr>
        <w:t>V rámci svojho portfólia projektov by malo MDV SR ísť príkladom ostatným rezortom pri zostavovaní plánov v programovom rozpočte a v aplikovaní myšlienky hodnot</w:t>
      </w:r>
      <w:r w:rsidR="00787F8E">
        <w:rPr>
          <w:color w:val="000000"/>
        </w:rPr>
        <w:t>y</w:t>
      </w:r>
      <w:r>
        <w:rPr>
          <w:color w:val="000000"/>
        </w:rPr>
        <w:t xml:space="preserve"> za peniaze. Opak je však pravdou. </w:t>
      </w:r>
      <w:r w:rsidRPr="00973462">
        <w:rPr>
          <w:b/>
          <w:color w:val="000000"/>
        </w:rPr>
        <w:t>Nereálnosť naplánovaného rozpočtu v cestnej infraštruktúre vystihuje prvok Diaľnice a rýchlostné cesty</w:t>
      </w:r>
      <w:r>
        <w:rPr>
          <w:color w:val="000000"/>
        </w:rPr>
        <w:t xml:space="preserve"> (financovaný výlučne zo ŠR), </w:t>
      </w:r>
      <w:r w:rsidRPr="00973462">
        <w:rPr>
          <w:b/>
          <w:color w:val="000000"/>
        </w:rPr>
        <w:t>podľa ktorého by MDV SR malo v roku 2020 začať stavať 44,6 km a do užívania odovzdať 5,67</w:t>
      </w:r>
      <w:r>
        <w:rPr>
          <w:b/>
          <w:color w:val="000000"/>
        </w:rPr>
        <w:t> </w:t>
      </w:r>
      <w:r w:rsidRPr="00973462">
        <w:rPr>
          <w:b/>
          <w:color w:val="000000"/>
        </w:rPr>
        <w:t>km D a RC</w:t>
      </w:r>
      <w:r>
        <w:rPr>
          <w:rStyle w:val="Odkaznapoznmkupodiarou"/>
          <w:color w:val="000000"/>
        </w:rPr>
        <w:footnoteReference w:id="6"/>
      </w:r>
      <w:r>
        <w:rPr>
          <w:color w:val="000000"/>
        </w:rPr>
        <w:t xml:space="preserve">. Na tento prvok sa pritom </w:t>
      </w:r>
      <w:r w:rsidRPr="00082BF7">
        <w:rPr>
          <w:b/>
          <w:color w:val="000000"/>
        </w:rPr>
        <w:t>rozpočtuje 31 400 tis. eur</w:t>
      </w:r>
      <w:r>
        <w:rPr>
          <w:color w:val="000000"/>
        </w:rPr>
        <w:t xml:space="preserve">. Pre ilustráciu, </w:t>
      </w:r>
      <w:r w:rsidR="008464AA">
        <w:rPr>
          <w:color w:val="000000"/>
        </w:rPr>
        <w:t>pri rovnakej výške</w:t>
      </w:r>
      <w:r>
        <w:rPr>
          <w:color w:val="000000"/>
        </w:rPr>
        <w:t xml:space="preserve"> výdavkov plánoval rezort dopravy na rok 2019 začať výstavbu 14,1 km a odovzdať 28,79 km D a RC.</w:t>
      </w:r>
    </w:p>
    <w:p w14:paraId="25DA9CB1" w14:textId="5CB7476F" w:rsidR="003844C2" w:rsidRDefault="003844C2" w:rsidP="009A6366">
      <w:pPr>
        <w:spacing w:after="120"/>
        <w:jc w:val="both"/>
        <w:rPr>
          <w:color w:val="000000"/>
        </w:rPr>
      </w:pPr>
      <w:r>
        <w:rPr>
          <w:color w:val="000000"/>
        </w:rPr>
        <w:t>Z tejto sumy by mali byť v roku 2020 financované</w:t>
      </w:r>
      <w:r w:rsidR="008464AA">
        <w:rPr>
          <w:color w:val="000000"/>
        </w:rPr>
        <w:t>,</w:t>
      </w:r>
      <w:r>
        <w:rPr>
          <w:color w:val="000000"/>
        </w:rPr>
        <w:t xml:space="preserve"> o</w:t>
      </w:r>
      <w:r w:rsidR="00787F8E">
        <w:rPr>
          <w:color w:val="000000"/>
        </w:rPr>
        <w:t>krem</w:t>
      </w:r>
      <w:r>
        <w:rPr>
          <w:color w:val="000000"/>
        </w:rPr>
        <w:t xml:space="preserve"> i</w:t>
      </w:r>
      <w:r w:rsidR="00787F8E">
        <w:rPr>
          <w:color w:val="000000"/>
        </w:rPr>
        <w:t>ného</w:t>
      </w:r>
      <w:r w:rsidR="008464AA">
        <w:rPr>
          <w:color w:val="000000"/>
        </w:rPr>
        <w:t>,</w:t>
      </w:r>
      <w:r>
        <w:rPr>
          <w:color w:val="000000"/>
        </w:rPr>
        <w:t xml:space="preserve"> aj niektoré veľké projekty</w:t>
      </w:r>
      <w:r w:rsidR="009A6366">
        <w:rPr>
          <w:color w:val="000000"/>
        </w:rPr>
        <w:t xml:space="preserve">, na ktoré výdavky predstavujú </w:t>
      </w:r>
      <w:r w:rsidR="009A6366" w:rsidRPr="00082BF7">
        <w:rPr>
          <w:b/>
          <w:color w:val="000000"/>
        </w:rPr>
        <w:t>na rok 2</w:t>
      </w:r>
      <w:r w:rsidR="009A6366">
        <w:rPr>
          <w:b/>
          <w:color w:val="000000"/>
        </w:rPr>
        <w:t>020 sumu p</w:t>
      </w:r>
      <w:r w:rsidR="005369DE">
        <w:rPr>
          <w:b/>
          <w:color w:val="000000"/>
        </w:rPr>
        <w:t>ribližne 135 mil. eur</w:t>
      </w:r>
      <w:r w:rsidR="008464AA">
        <w:rPr>
          <w:color w:val="000000"/>
        </w:rPr>
        <w:t>.</w:t>
      </w:r>
    </w:p>
    <w:p w14:paraId="4EB9F8BC" w14:textId="0C18D466" w:rsidR="003844C2" w:rsidRDefault="003844C2" w:rsidP="000A2429">
      <w:pPr>
        <w:pStyle w:val="Odsekzoznamu"/>
        <w:numPr>
          <w:ilvl w:val="0"/>
          <w:numId w:val="9"/>
        </w:numPr>
        <w:spacing w:after="120"/>
        <w:jc w:val="both"/>
        <w:rPr>
          <w:color w:val="000000"/>
        </w:rPr>
      </w:pPr>
      <w:r>
        <w:rPr>
          <w:color w:val="000000"/>
        </w:rPr>
        <w:t>D1 P</w:t>
      </w:r>
      <w:r w:rsidR="008464AA">
        <w:rPr>
          <w:color w:val="000000"/>
        </w:rPr>
        <w:t>rešov Severný obchvat, I. etapa</w:t>
      </w:r>
    </w:p>
    <w:p w14:paraId="4F88143F" w14:textId="5ACA5428" w:rsidR="003844C2" w:rsidRDefault="003844C2" w:rsidP="000A2429">
      <w:pPr>
        <w:pStyle w:val="Odsekzoznamu"/>
        <w:numPr>
          <w:ilvl w:val="0"/>
          <w:numId w:val="9"/>
        </w:numPr>
        <w:spacing w:after="120"/>
        <w:jc w:val="both"/>
        <w:rPr>
          <w:color w:val="000000"/>
        </w:rPr>
      </w:pPr>
      <w:r>
        <w:rPr>
          <w:color w:val="000000"/>
        </w:rPr>
        <w:t>R2 Mýtna – Lovin</w:t>
      </w:r>
      <w:r w:rsidR="008464AA">
        <w:rPr>
          <w:color w:val="000000"/>
        </w:rPr>
        <w:t>obaňa</w:t>
      </w:r>
    </w:p>
    <w:p w14:paraId="327D8775" w14:textId="1C647E38" w:rsidR="003844C2" w:rsidRDefault="008464AA" w:rsidP="000A2429">
      <w:pPr>
        <w:pStyle w:val="Odsekzoznamu"/>
        <w:numPr>
          <w:ilvl w:val="0"/>
          <w:numId w:val="9"/>
        </w:numPr>
        <w:spacing w:after="120"/>
        <w:jc w:val="both"/>
        <w:rPr>
          <w:color w:val="000000"/>
        </w:rPr>
      </w:pPr>
      <w:r>
        <w:rPr>
          <w:color w:val="000000"/>
        </w:rPr>
        <w:t>R2 Kriváň – Mýtna</w:t>
      </w:r>
    </w:p>
    <w:p w14:paraId="14C273CA" w14:textId="25F01A6B" w:rsidR="003844C2" w:rsidRDefault="003844C2" w:rsidP="000A2429">
      <w:pPr>
        <w:pStyle w:val="Odsekzoznamu"/>
        <w:numPr>
          <w:ilvl w:val="0"/>
          <w:numId w:val="9"/>
        </w:numPr>
        <w:spacing w:after="120"/>
        <w:jc w:val="both"/>
        <w:rPr>
          <w:color w:val="000000"/>
        </w:rPr>
      </w:pPr>
      <w:r>
        <w:rPr>
          <w:color w:val="000000"/>
        </w:rPr>
        <w:t>D1 Bratislava – Sene</w:t>
      </w:r>
      <w:r w:rsidR="008464AA">
        <w:rPr>
          <w:color w:val="000000"/>
        </w:rPr>
        <w:t>c, I. a II. etapa – rozšírenie</w:t>
      </w:r>
    </w:p>
    <w:p w14:paraId="0585F192" w14:textId="6C825FE7" w:rsidR="003844C2" w:rsidRDefault="003844C2" w:rsidP="003844C2">
      <w:pPr>
        <w:spacing w:after="120"/>
        <w:jc w:val="both"/>
        <w:rPr>
          <w:color w:val="000000"/>
        </w:rPr>
      </w:pPr>
      <w:r>
        <w:rPr>
          <w:color w:val="000000"/>
        </w:rPr>
        <w:tab/>
        <w:t>Plánovanie a plnenie cieľov tak často ostáva iba na papieri. NKÚ SR zastáva názor, že nielen v prípade výstavby D a RC</w:t>
      </w:r>
      <w:r w:rsidRPr="000979D7">
        <w:rPr>
          <w:color w:val="000000"/>
        </w:rPr>
        <w:t xml:space="preserve"> </w:t>
      </w:r>
      <w:r>
        <w:rPr>
          <w:color w:val="000000"/>
        </w:rPr>
        <w:t>je nevyhnutné nastaviť reálne ciele, ktoré plne korešpondujú s myšlienkami hodnoty za peniaze. Bez stratégie výstavby, kde budú zadefinované úseky, ktoré sú z pohľadu intenzít dopravy a nehodovosti najkritickejšie, dochádza iba k živelnej výstavbe. T</w:t>
      </w:r>
      <w:r w:rsidR="008464AA">
        <w:rPr>
          <w:color w:val="000000"/>
        </w:rPr>
        <w:t>o má za následok, že sa priori</w:t>
      </w:r>
      <w:r>
        <w:rPr>
          <w:color w:val="000000"/>
        </w:rPr>
        <w:t>zujú menej náročné, ale aj menej</w:t>
      </w:r>
      <w:r w:rsidR="008464AA">
        <w:rPr>
          <w:color w:val="000000"/>
        </w:rPr>
        <w:t xml:space="preserve"> dôležité úseky, no </w:t>
      </w:r>
      <w:r>
        <w:rPr>
          <w:color w:val="000000"/>
        </w:rPr>
        <w:t>náročnejšie úseky, ktoré sú nevyhnutné na odľahčenie intenzít dopravy</w:t>
      </w:r>
      <w:r w:rsidR="008464AA">
        <w:rPr>
          <w:color w:val="000000"/>
        </w:rPr>
        <w:t>,</w:t>
      </w:r>
      <w:r>
        <w:rPr>
          <w:color w:val="000000"/>
        </w:rPr>
        <w:t xml:space="preserve"> naberajú veľké meškania, prípadne sa nebudujú. </w:t>
      </w:r>
    </w:p>
    <w:p w14:paraId="7E910FC1" w14:textId="091FF558" w:rsidR="003844C2" w:rsidRDefault="003844C2" w:rsidP="003844C2">
      <w:pPr>
        <w:spacing w:after="120"/>
        <w:ind w:firstLine="708"/>
        <w:jc w:val="both"/>
        <w:rPr>
          <w:color w:val="000000"/>
        </w:rPr>
      </w:pPr>
      <w:r>
        <w:rPr>
          <w:color w:val="000000"/>
        </w:rPr>
        <w:t xml:space="preserve">Príkladom je úsek R2 Kriváň – Mýtna, ktorého výstavba sa spustí v roku 2020. </w:t>
      </w:r>
      <w:r w:rsidRPr="00D83262">
        <w:rPr>
          <w:b/>
          <w:color w:val="000000"/>
        </w:rPr>
        <w:t>NKÚ SR upozorňuje, že úsek neprešiel hodnotením ÚHP.</w:t>
      </w:r>
      <w:r>
        <w:rPr>
          <w:color w:val="000000"/>
        </w:rPr>
        <w:t xml:space="preserve"> Tento silný nástroj na výber najvhodnejšieho variantu MDV SR spolu s NDS obišli. </w:t>
      </w:r>
      <w:r w:rsidRPr="00D83262">
        <w:rPr>
          <w:b/>
          <w:color w:val="000000"/>
        </w:rPr>
        <w:t>Zodpovedať otázku, či zvolený variant predstavuje najlepšiu hodnotu pre občana tak nie je možné.</w:t>
      </w:r>
      <w:r>
        <w:rPr>
          <w:color w:val="000000"/>
        </w:rPr>
        <w:t xml:space="preserve"> </w:t>
      </w:r>
      <w:r w:rsidRPr="00D83262">
        <w:rPr>
          <w:b/>
          <w:color w:val="000000"/>
        </w:rPr>
        <w:t>Uvedeným konaním MDV SR postupovalo v rozpore s uznesením vlády č. 300/2017 (Rámec na hodnotenie verejných investícií). Navyše</w:t>
      </w:r>
      <w:r w:rsidR="009A6366">
        <w:rPr>
          <w:b/>
          <w:color w:val="000000"/>
        </w:rPr>
        <w:t>,</w:t>
      </w:r>
      <w:r w:rsidRPr="00D83262">
        <w:rPr>
          <w:b/>
          <w:color w:val="000000"/>
        </w:rPr>
        <w:t xml:space="preserve"> v rozpočte na rok 2020 nie sú alokované dostatočné výdavky, aby tento projekt mohol byť financovaný. Vzniká tak riziko dodatočného zvyšovania výdavkov počas roka, prípadne presun prostriedkov z iných projektov.</w:t>
      </w:r>
      <w:r>
        <w:rPr>
          <w:color w:val="000000"/>
        </w:rPr>
        <w:t xml:space="preserve">  </w:t>
      </w:r>
    </w:p>
    <w:p w14:paraId="1E166C45" w14:textId="39D4EC33" w:rsidR="003844C2" w:rsidRDefault="003844C2" w:rsidP="003844C2">
      <w:pPr>
        <w:spacing w:after="120"/>
        <w:jc w:val="both"/>
        <w:rPr>
          <w:color w:val="000000"/>
        </w:rPr>
      </w:pPr>
      <w:r>
        <w:rPr>
          <w:color w:val="000000"/>
        </w:rPr>
        <w:tab/>
      </w:r>
      <w:r w:rsidRPr="00CE5846">
        <w:rPr>
          <w:color w:val="000000"/>
        </w:rPr>
        <w:t>Podľa policajných štatistík bolo v roku 2018 najviac dopravných nehôd v Prešovskom (2</w:t>
      </w:r>
      <w:r>
        <w:rPr>
          <w:color w:val="000000"/>
        </w:rPr>
        <w:t xml:space="preserve"> </w:t>
      </w:r>
      <w:r w:rsidRPr="00CE5846">
        <w:rPr>
          <w:color w:val="000000"/>
        </w:rPr>
        <w:t>239 nehôd) a Žilinskom kraji (2</w:t>
      </w:r>
      <w:r>
        <w:rPr>
          <w:color w:val="000000"/>
        </w:rPr>
        <w:t xml:space="preserve"> </w:t>
      </w:r>
      <w:r w:rsidRPr="00CE5846">
        <w:rPr>
          <w:color w:val="000000"/>
        </w:rPr>
        <w:t>094 nehôd), pričom v okrese Žilina bolo najviac smrteľných dopravných nehôd. Za tieto nelichotivé štatistiky sa podpisuje najmä</w:t>
      </w:r>
      <w:r>
        <w:rPr>
          <w:color w:val="000000"/>
        </w:rPr>
        <w:t xml:space="preserve"> preťažený</w:t>
      </w:r>
      <w:r w:rsidRPr="00CE5846">
        <w:rPr>
          <w:color w:val="000000"/>
        </w:rPr>
        <w:t xml:space="preserve"> úsek pod Strečnom.</w:t>
      </w:r>
      <w:r>
        <w:rPr>
          <w:color w:val="000000"/>
        </w:rPr>
        <w:t xml:space="preserve"> Výstavba diaľnice D1 v </w:t>
      </w:r>
      <w:r w:rsidR="00C230F3">
        <w:rPr>
          <w:color w:val="000000"/>
        </w:rPr>
        <w:t>Žilinskom</w:t>
      </w:r>
      <w:r>
        <w:rPr>
          <w:color w:val="000000"/>
        </w:rPr>
        <w:t xml:space="preserve"> regióne je kľúčová na odľahčenie dopravy a zníženie nehodovosti. Všetky doposiaľ nepostavené úseky na tejto diaľnici vykazujú </w:t>
      </w:r>
      <w:r>
        <w:rPr>
          <w:color w:val="000000"/>
        </w:rPr>
        <w:lastRenderedPageBreak/>
        <w:t>niekoľkomesačné až niekoľkoročné meškania. Navyše</w:t>
      </w:r>
      <w:r w:rsidR="009A6366">
        <w:rPr>
          <w:color w:val="000000"/>
        </w:rPr>
        <w:t>,</w:t>
      </w:r>
      <w:r>
        <w:rPr>
          <w:color w:val="000000"/>
        </w:rPr>
        <w:t xml:space="preserve"> riziko </w:t>
      </w:r>
      <w:r w:rsidRPr="00A61DD1">
        <w:rPr>
          <w:b/>
          <w:color w:val="000000"/>
        </w:rPr>
        <w:t xml:space="preserve">prenosu ťarchy financovania úseku Lietavská Lúčka – </w:t>
      </w:r>
      <w:proofErr w:type="spellStart"/>
      <w:r w:rsidRPr="00A61DD1">
        <w:rPr>
          <w:b/>
          <w:color w:val="000000"/>
        </w:rPr>
        <w:t>Dubná</w:t>
      </w:r>
      <w:proofErr w:type="spellEnd"/>
      <w:r w:rsidRPr="00A61DD1">
        <w:rPr>
          <w:b/>
          <w:color w:val="000000"/>
        </w:rPr>
        <w:t xml:space="preserve"> Skala (s tunelom Višňové) na štátny rozpočet</w:t>
      </w:r>
      <w:r>
        <w:rPr>
          <w:color w:val="000000"/>
        </w:rPr>
        <w:t xml:space="preserve"> z dôvodu, že sa nestihne stavba dokončiť do roku 2023, </w:t>
      </w:r>
      <w:r w:rsidRPr="00A61DD1">
        <w:rPr>
          <w:b/>
          <w:color w:val="000000"/>
        </w:rPr>
        <w:t>stále pretrváva</w:t>
      </w:r>
      <w:r>
        <w:rPr>
          <w:color w:val="000000"/>
        </w:rPr>
        <w:t xml:space="preserve">. Podobné riziko vzniká aj pri úseku Hubová – Ivachnová (s tunelom </w:t>
      </w:r>
      <w:proofErr w:type="spellStart"/>
      <w:r>
        <w:rPr>
          <w:color w:val="000000"/>
        </w:rPr>
        <w:t>Čebrať</w:t>
      </w:r>
      <w:proofErr w:type="spellEnd"/>
      <w:r>
        <w:rPr>
          <w:color w:val="000000"/>
        </w:rPr>
        <w:t xml:space="preserve">), kde sa postupne množia komplikácie (predlžovanie termínov výstavby, komplikácie s výstavbou tunela, právne spory a iné). V prípade, že by tieto dva projekty neboli </w:t>
      </w:r>
      <w:proofErr w:type="spellStart"/>
      <w:r>
        <w:rPr>
          <w:color w:val="000000"/>
        </w:rPr>
        <w:t>prefinancované</w:t>
      </w:r>
      <w:proofErr w:type="spellEnd"/>
      <w:r>
        <w:rPr>
          <w:color w:val="000000"/>
        </w:rPr>
        <w:t xml:space="preserve"> z prostriedkov EÚ, </w:t>
      </w:r>
      <w:r w:rsidRPr="00A61DD1">
        <w:rPr>
          <w:b/>
          <w:color w:val="000000"/>
        </w:rPr>
        <w:t>vzniklo by vysoké negatívne zaťaženie na výdavkovú časť a schodok ŠR na ďalšie roky.</w:t>
      </w:r>
      <w:r>
        <w:rPr>
          <w:color w:val="000000"/>
        </w:rPr>
        <w:t xml:space="preserve"> Zmluvná cena oboch úsekov je spolu takmer 700 mil. eur, pričom cena sa ešte zvýši z dôvodu navyšovania sumy za úsek Lietavská Lúčka – </w:t>
      </w:r>
      <w:proofErr w:type="spellStart"/>
      <w:r>
        <w:rPr>
          <w:color w:val="000000"/>
        </w:rPr>
        <w:t>Dubná</w:t>
      </w:r>
      <w:proofErr w:type="spellEnd"/>
      <w:r>
        <w:rPr>
          <w:color w:val="000000"/>
        </w:rPr>
        <w:t xml:space="preserve"> Skala.</w:t>
      </w:r>
    </w:p>
    <w:p w14:paraId="5D4465DC" w14:textId="242385DB" w:rsidR="003844C2" w:rsidRDefault="003844C2" w:rsidP="003844C2">
      <w:pPr>
        <w:spacing w:after="120"/>
        <w:ind w:firstLine="708"/>
        <w:jc w:val="both"/>
        <w:rPr>
          <w:color w:val="000000"/>
        </w:rPr>
      </w:pPr>
      <w:r w:rsidRPr="00A61DD1">
        <w:rPr>
          <w:b/>
          <w:color w:val="000000"/>
        </w:rPr>
        <w:t>V prvom polroku 2019 pripadalo na 1 km ciest I. triedy vo veľmi dobrom stave približne 0,8 km ciest v nevyhovujúcom a havarijnom stave.</w:t>
      </w:r>
      <w:r>
        <w:rPr>
          <w:color w:val="000000"/>
        </w:rPr>
        <w:t xml:space="preserve"> Táto štatistika je už štvrtý rok </w:t>
      </w:r>
      <w:r w:rsidR="009A6366">
        <w:rPr>
          <w:color w:val="000000"/>
        </w:rPr>
        <w:t xml:space="preserve">po sebe </w:t>
      </w:r>
      <w:r>
        <w:rPr>
          <w:color w:val="000000"/>
        </w:rPr>
        <w:t xml:space="preserve">veľmi podobná, pričom sa zlepšuje iba minimálne. </w:t>
      </w:r>
      <w:r w:rsidRPr="00A61DD1">
        <w:rPr>
          <w:b/>
          <w:color w:val="000000"/>
        </w:rPr>
        <w:t>Od roku 2016 sú rovnaké aj rozpočtované výdavky, ktoré plynú z MDV SR na údržbu a opravu ciest I. triedy.</w:t>
      </w:r>
      <w:r>
        <w:rPr>
          <w:color w:val="000000"/>
        </w:rPr>
        <w:t xml:space="preserve"> Aj plánované výdavky na rok 2020 zostávajú na rovnakej úrovni – 40 529 tis. eur.</w:t>
      </w:r>
      <w:r w:rsidRPr="00A61DD1">
        <w:rPr>
          <w:b/>
          <w:color w:val="000000"/>
        </w:rPr>
        <w:t xml:space="preserve"> Navrhovaným rozpočtom preto nie je možné zabezpečiť dostatočný štandard údržby a opráv ciest I. triedy, čo bude mať negatívny dopad na udržanie prevádzkyschopnosti ciest a bezpečnosť na cestách.</w:t>
      </w:r>
      <w:r>
        <w:rPr>
          <w:color w:val="000000"/>
        </w:rPr>
        <w:t xml:space="preserve"> Odhadovaná optimálna výška výdavkov na tento účel sa pohybuje v rozmedzí 64 až 75 mil. eur. </w:t>
      </w:r>
    </w:p>
    <w:p w14:paraId="24049E1D" w14:textId="2C6FFC35" w:rsidR="003844C2" w:rsidRDefault="003844C2" w:rsidP="003844C2">
      <w:pPr>
        <w:spacing w:after="120"/>
        <w:ind w:firstLine="708"/>
        <w:jc w:val="both"/>
        <w:rPr>
          <w:color w:val="000000"/>
        </w:rPr>
      </w:pPr>
      <w:r>
        <w:rPr>
          <w:color w:val="000000"/>
        </w:rPr>
        <w:t xml:space="preserve">Ani ďalší prvok súvisiaci s cestami I. triedy v rámci programovej štruktúry rezortu dopravy, ktorý je financovaný z prostriedkov ŠR – </w:t>
      </w:r>
      <w:r w:rsidRPr="00A61DD1">
        <w:rPr>
          <w:b/>
          <w:color w:val="000000"/>
        </w:rPr>
        <w:t>výstavba cestnej siete</w:t>
      </w:r>
      <w:r>
        <w:rPr>
          <w:color w:val="000000"/>
        </w:rPr>
        <w:t xml:space="preserve">, negarantuje zlepšenie na týchto komunikáciách. </w:t>
      </w:r>
      <w:r w:rsidRPr="00A61DD1">
        <w:rPr>
          <w:b/>
          <w:color w:val="000000"/>
        </w:rPr>
        <w:t>Cieľom je v roku 2020 odovzdať iba jeden kilometer nových, resp. zrekonštruovaných ciest I. triedy.</w:t>
      </w:r>
      <w:r>
        <w:rPr>
          <w:color w:val="000000"/>
        </w:rPr>
        <w:t xml:space="preserve"> Na tento účel sú alokované výdavky vo výške 2 969 tis. eur.</w:t>
      </w:r>
    </w:p>
    <w:p w14:paraId="6032754E" w14:textId="77777777" w:rsidR="003844C2" w:rsidRDefault="003844C2" w:rsidP="003844C2">
      <w:pPr>
        <w:spacing w:after="120"/>
        <w:ind w:firstLine="708"/>
        <w:jc w:val="both"/>
        <w:rPr>
          <w:color w:val="000000"/>
        </w:rPr>
      </w:pPr>
      <w:r>
        <w:rPr>
          <w:color w:val="000000"/>
        </w:rPr>
        <w:t xml:space="preserve">V návrhu rozpočtu rezortu dopravy na rok 2020 chýbajú aj sľúbené prostriedky na opravu vozoviek I. triedy </w:t>
      </w:r>
      <w:r w:rsidRPr="00A61DD1">
        <w:rPr>
          <w:b/>
          <w:color w:val="000000"/>
        </w:rPr>
        <w:t>vo výške 50 000 tis. eur</w:t>
      </w:r>
      <w:r>
        <w:rPr>
          <w:color w:val="000000"/>
        </w:rPr>
        <w:t xml:space="preserve">. Táto suma je súčasťou medializovaného balíka v hodnote 200 mil. eur, ktorý by mal byť použitý nad rámec plánovaných zdrojov do pravidelnej údržby ciest v rokoch 2019 – 2022 (každoročne po 50 mil. eur). </w:t>
      </w:r>
    </w:p>
    <w:p w14:paraId="0ACB2913" w14:textId="27D60566" w:rsidR="003844C2" w:rsidRPr="003844C2" w:rsidRDefault="003844C2" w:rsidP="003844C2">
      <w:pPr>
        <w:spacing w:after="120"/>
        <w:ind w:firstLine="708"/>
        <w:jc w:val="both"/>
        <w:rPr>
          <w:b/>
          <w:color w:val="000000"/>
        </w:rPr>
      </w:pPr>
      <w:r w:rsidRPr="00A61DD1">
        <w:rPr>
          <w:b/>
          <w:color w:val="000000"/>
        </w:rPr>
        <w:t>Jedinú výraznejšiu finančnú injekciu tak predstavujú prostriedky z</w:t>
      </w:r>
      <w:r>
        <w:rPr>
          <w:b/>
          <w:color w:val="000000"/>
        </w:rPr>
        <w:t> </w:t>
      </w:r>
      <w:r w:rsidRPr="00A61DD1">
        <w:rPr>
          <w:b/>
          <w:color w:val="000000"/>
        </w:rPr>
        <w:t xml:space="preserve">OPII. Pri súčasnom zanedbanom stave ciest však ani vďaka týmto prostriedkom </w:t>
      </w:r>
      <w:r w:rsidR="008464AA">
        <w:rPr>
          <w:b/>
          <w:color w:val="000000"/>
        </w:rPr>
        <w:t>nemožno</w:t>
      </w:r>
      <w:r w:rsidRPr="00A61DD1">
        <w:rPr>
          <w:b/>
          <w:color w:val="000000"/>
        </w:rPr>
        <w:t xml:space="preserve"> dosiahnuť výraznejšie zlepšenie.    </w:t>
      </w:r>
    </w:p>
    <w:p w14:paraId="2EF37B6B" w14:textId="77777777" w:rsidR="003844C2" w:rsidRPr="003844C2" w:rsidRDefault="003844C2" w:rsidP="003844C2">
      <w:pPr>
        <w:spacing w:after="120"/>
        <w:jc w:val="both"/>
        <w:rPr>
          <w:b/>
          <w:color w:val="0070C0"/>
        </w:rPr>
      </w:pPr>
      <w:r w:rsidRPr="003844C2">
        <w:rPr>
          <w:b/>
          <w:color w:val="0070C0"/>
        </w:rPr>
        <w:t>Železničná infraštruktúra</w:t>
      </w:r>
    </w:p>
    <w:p w14:paraId="4DD29694" w14:textId="7F56D4E4" w:rsidR="003844C2" w:rsidRDefault="003844C2" w:rsidP="003844C2">
      <w:pPr>
        <w:spacing w:after="120"/>
        <w:jc w:val="both"/>
        <w:rPr>
          <w:color w:val="000000"/>
        </w:rPr>
      </w:pPr>
      <w:r>
        <w:rPr>
          <w:color w:val="000000"/>
        </w:rPr>
        <w:tab/>
        <w:t xml:space="preserve">Výdavky </w:t>
      </w:r>
      <w:r w:rsidR="009A6366">
        <w:rPr>
          <w:color w:val="000000"/>
        </w:rPr>
        <w:t xml:space="preserve">na železničnú infraštruktúru </w:t>
      </w:r>
      <w:r>
        <w:rPr>
          <w:color w:val="000000"/>
        </w:rPr>
        <w:t>sa rozpočtujú vo výške 656 091 tis. eur, pričom až 50,3 % týchto prostriedkov je určených</w:t>
      </w:r>
      <w:r w:rsidRPr="001E3487">
        <w:rPr>
          <w:color w:val="000000"/>
        </w:rPr>
        <w:t xml:space="preserve"> </w:t>
      </w:r>
      <w:r>
        <w:rPr>
          <w:color w:val="000000"/>
        </w:rPr>
        <w:t xml:space="preserve">pre ZSSK, pre ŽSR 48,4 % a zvyšok pre spoločnosť </w:t>
      </w:r>
      <w:proofErr w:type="spellStart"/>
      <w:r>
        <w:rPr>
          <w:color w:val="000000"/>
        </w:rPr>
        <w:t>RegioJet</w:t>
      </w:r>
      <w:proofErr w:type="spellEnd"/>
      <w:r>
        <w:rPr>
          <w:color w:val="000000"/>
        </w:rPr>
        <w:t xml:space="preserve">. </w:t>
      </w:r>
    </w:p>
    <w:p w14:paraId="22E79C63" w14:textId="073E2F15" w:rsidR="003844C2" w:rsidRPr="004647DA" w:rsidRDefault="003844C2" w:rsidP="003844C2">
      <w:pPr>
        <w:spacing w:after="120"/>
        <w:ind w:firstLine="708"/>
        <w:jc w:val="both"/>
        <w:rPr>
          <w:color w:val="000000"/>
        </w:rPr>
      </w:pPr>
      <w:r w:rsidRPr="00444193">
        <w:rPr>
          <w:b/>
          <w:color w:val="000000"/>
        </w:rPr>
        <w:t>Pri definovaných par</w:t>
      </w:r>
      <w:r w:rsidR="008464AA">
        <w:rPr>
          <w:b/>
          <w:color w:val="000000"/>
        </w:rPr>
        <w:t>ametroch rozpočtu na roky 2020 až</w:t>
      </w:r>
      <w:r w:rsidRPr="00444193">
        <w:rPr>
          <w:b/>
          <w:color w:val="000000"/>
        </w:rPr>
        <w:t xml:space="preserve"> 2022 vníma NKÚ SR dosiahnutie ambicióznych vízií a plánov v oblasti železničnej infraštruktúry do roku 2030</w:t>
      </w:r>
      <w:r w:rsidRPr="00444193">
        <w:rPr>
          <w:rStyle w:val="Odkaznapoznmkupodiarou"/>
          <w:b/>
          <w:color w:val="000000"/>
        </w:rPr>
        <w:footnoteReference w:id="7"/>
      </w:r>
      <w:r w:rsidRPr="00444193">
        <w:rPr>
          <w:b/>
          <w:color w:val="000000"/>
        </w:rPr>
        <w:t xml:space="preserve"> za veľmi ťažko dosiahnuteľné.</w:t>
      </w:r>
      <w:r>
        <w:rPr>
          <w:color w:val="000000"/>
        </w:rPr>
        <w:t xml:space="preserve"> Aj po zefektívnení procesov v jednotlivých spoločnostiach (ŽSR, ZSSK), ktoré prines</w:t>
      </w:r>
      <w:r w:rsidR="001C284A">
        <w:rPr>
          <w:color w:val="000000"/>
        </w:rPr>
        <w:t>ú úspory, bude tlak na zdroje z </w:t>
      </w:r>
      <w:r>
        <w:rPr>
          <w:color w:val="000000"/>
        </w:rPr>
        <w:t xml:space="preserve">verejných financií veľký. Napríklad na prvku </w:t>
      </w:r>
      <w:r w:rsidRPr="005E538E">
        <w:rPr>
          <w:b/>
          <w:color w:val="000000"/>
        </w:rPr>
        <w:t>Výstavba a obnova železničnej siete</w:t>
      </w:r>
      <w:r w:rsidR="00A83F8C">
        <w:rPr>
          <w:b/>
          <w:color w:val="000000"/>
        </w:rPr>
        <w:t>,</w:t>
      </w:r>
      <w:r w:rsidRPr="005E538E">
        <w:rPr>
          <w:b/>
          <w:color w:val="000000"/>
        </w:rPr>
        <w:t xml:space="preserve"> financovaného zo ŠR</w:t>
      </w:r>
      <w:r w:rsidR="00A83F8C">
        <w:rPr>
          <w:b/>
          <w:color w:val="000000"/>
        </w:rPr>
        <w:t>,</w:t>
      </w:r>
      <w:r>
        <w:rPr>
          <w:color w:val="000000"/>
        </w:rPr>
        <w:t xml:space="preserve"> </w:t>
      </w:r>
      <w:r w:rsidRPr="005E538E">
        <w:rPr>
          <w:b/>
          <w:color w:val="000000"/>
        </w:rPr>
        <w:t>plánuje rezort dopravy podporiť iba jeden projekt pri rozpočtovaných výdavkoch 8 320 tis. eur.</w:t>
      </w:r>
      <w:r>
        <w:rPr>
          <w:color w:val="000000"/>
        </w:rPr>
        <w:t xml:space="preserve"> Pritom Stratégia 2030 MDV SR počíta s modernizáciou všetkých 3 železničných tratí nachádzajúcich sa na základnej sieti TEN-T</w:t>
      </w:r>
      <w:r>
        <w:rPr>
          <w:rStyle w:val="Odkaznapoznmkupodiarou"/>
          <w:color w:val="000000"/>
        </w:rPr>
        <w:footnoteReference w:id="8"/>
      </w:r>
      <w:r>
        <w:rPr>
          <w:color w:val="000000"/>
        </w:rPr>
        <w:t>. A ani prostriedky z</w:t>
      </w:r>
      <w:r w:rsidR="00140EC7">
        <w:rPr>
          <w:color w:val="000000"/>
        </w:rPr>
        <w:t> </w:t>
      </w:r>
      <w:r>
        <w:rPr>
          <w:color w:val="000000"/>
        </w:rPr>
        <w:t>OP</w:t>
      </w:r>
      <w:r w:rsidR="00140EC7">
        <w:rPr>
          <w:color w:val="000000"/>
        </w:rPr>
        <w:t xml:space="preserve"> </w:t>
      </w:r>
      <w:r>
        <w:rPr>
          <w:color w:val="000000"/>
        </w:rPr>
        <w:t>II a CEF, k</w:t>
      </w:r>
      <w:r w:rsidR="009A6366">
        <w:rPr>
          <w:color w:val="000000"/>
        </w:rPr>
        <w:t>toré má ešte MDV SR k dispozícii</w:t>
      </w:r>
      <w:r>
        <w:rPr>
          <w:color w:val="000000"/>
        </w:rPr>
        <w:t>, nebudú na tento účel postačovať.</w:t>
      </w:r>
    </w:p>
    <w:p w14:paraId="5482A155" w14:textId="5F313F73" w:rsidR="003844C2" w:rsidRPr="00EE434E" w:rsidRDefault="003844C2" w:rsidP="003844C2">
      <w:pPr>
        <w:spacing w:after="120"/>
        <w:ind w:firstLine="708"/>
        <w:jc w:val="both"/>
        <w:rPr>
          <w:color w:val="000000"/>
        </w:rPr>
      </w:pPr>
      <w:r w:rsidRPr="00EE434E">
        <w:rPr>
          <w:color w:val="000000"/>
        </w:rPr>
        <w:t>Úhrada nekrytej straty za realizované výkony vo verejnom záujme, dlhodobo kritizovaná oblasť aj zo strany NKÚ SR</w:t>
      </w:r>
      <w:r w:rsidR="00A83F8C">
        <w:rPr>
          <w:color w:val="000000"/>
        </w:rPr>
        <w:t>, bude</w:t>
      </w:r>
      <w:r w:rsidRPr="00EE434E">
        <w:rPr>
          <w:color w:val="000000"/>
        </w:rPr>
        <w:t xml:space="preserve"> prvýkrát </w:t>
      </w:r>
      <w:r>
        <w:rPr>
          <w:color w:val="000000"/>
        </w:rPr>
        <w:t>zahrnutá priamo v rozpočtovanej čiastke</w:t>
      </w:r>
      <w:r w:rsidRPr="00EE434E">
        <w:rPr>
          <w:color w:val="000000"/>
        </w:rPr>
        <w:t xml:space="preserve"> určenej pre ZSSK. To znamená, že už nebude dochádzať k presunom výdavkov prostredníctvom RO z kapitoly VPS počas roka.</w:t>
      </w:r>
      <w:r w:rsidR="00525BB2">
        <w:rPr>
          <w:color w:val="000000"/>
        </w:rPr>
        <w:t xml:space="preserve"> </w:t>
      </w:r>
      <w:r w:rsidRPr="005E538E">
        <w:rPr>
          <w:b/>
          <w:color w:val="000000"/>
        </w:rPr>
        <w:t>Problémom však ostáva každoročne sa zvyšujúca suma tejto straty.</w:t>
      </w:r>
      <w:r w:rsidRPr="00EE434E">
        <w:rPr>
          <w:color w:val="000000"/>
        </w:rPr>
        <w:t xml:space="preserve"> </w:t>
      </w:r>
      <w:r>
        <w:rPr>
          <w:color w:val="000000"/>
        </w:rPr>
        <w:t xml:space="preserve">V roku 2020 </w:t>
      </w:r>
      <w:r w:rsidRPr="00EE434E">
        <w:rPr>
          <w:color w:val="000000"/>
        </w:rPr>
        <w:t>bude MDV SR platiť už 38 500 tis. eur za stratu z roku 2018.</w:t>
      </w:r>
      <w:r w:rsidRPr="00EE434E">
        <w:rPr>
          <w:rStyle w:val="Odkaznapoznmkupodiarou"/>
          <w:color w:val="000000"/>
        </w:rPr>
        <w:footnoteReference w:id="9"/>
      </w:r>
      <w:r w:rsidRPr="00EE434E">
        <w:rPr>
          <w:color w:val="000000"/>
        </w:rPr>
        <w:t xml:space="preserve"> </w:t>
      </w:r>
      <w:r w:rsidRPr="005E538E">
        <w:rPr>
          <w:b/>
          <w:color w:val="000000"/>
        </w:rPr>
        <w:t>Výška straty rastie od roku 2013 a v roku 2020 dosiahne súčet všetkých strát hodnotu 215 480 tis. eur.</w:t>
      </w:r>
      <w:r w:rsidRPr="00EE434E">
        <w:rPr>
          <w:color w:val="000000"/>
        </w:rPr>
        <w:t xml:space="preserve"> </w:t>
      </w:r>
      <w:r>
        <w:rPr>
          <w:color w:val="000000"/>
        </w:rPr>
        <w:t>S</w:t>
      </w:r>
      <w:r w:rsidRPr="00EE434E">
        <w:rPr>
          <w:color w:val="000000"/>
        </w:rPr>
        <w:t xml:space="preserve">trata rastie nepriamoúmerne k počtu cestujúcich, ktoré ZSSK prepravia. </w:t>
      </w:r>
      <w:r w:rsidRPr="00A466BC">
        <w:rPr>
          <w:b/>
          <w:color w:val="000000"/>
        </w:rPr>
        <w:t>Kým v r</w:t>
      </w:r>
      <w:r w:rsidR="00140EC7">
        <w:rPr>
          <w:b/>
          <w:color w:val="000000"/>
        </w:rPr>
        <w:t>oku 2013 predstavovala strata v </w:t>
      </w:r>
      <w:r w:rsidRPr="00A466BC">
        <w:rPr>
          <w:b/>
          <w:color w:val="000000"/>
        </w:rPr>
        <w:t>prepočte na jedného cestujúceho 0,343 eur, v rok</w:t>
      </w:r>
      <w:r w:rsidR="00840D58">
        <w:rPr>
          <w:b/>
          <w:color w:val="000000"/>
        </w:rPr>
        <w:t>u 2020 dosiahne táto suma 0,522 </w:t>
      </w:r>
      <w:r w:rsidRPr="00A466BC">
        <w:rPr>
          <w:b/>
          <w:color w:val="000000"/>
        </w:rPr>
        <w:t>eur.</w:t>
      </w:r>
      <w:r w:rsidRPr="00EE434E">
        <w:rPr>
          <w:color w:val="000000"/>
        </w:rPr>
        <w:t xml:space="preserve"> </w:t>
      </w:r>
      <w:r w:rsidRPr="00A466BC">
        <w:rPr>
          <w:b/>
          <w:color w:val="000000"/>
        </w:rPr>
        <w:t xml:space="preserve">Tento systém financovania je podľa NKÚ SR málo efektívny. </w:t>
      </w:r>
      <w:r w:rsidRPr="00A466BC">
        <w:rPr>
          <w:color w:val="000000"/>
        </w:rPr>
        <w:t>Nevytvára totiž dostatočný tlak na ZSSK hľadať účinnejšie riešenia, ktoré budú menej zaťažovať ŠR.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1955"/>
        <w:gridCol w:w="1880"/>
        <w:gridCol w:w="1643"/>
        <w:gridCol w:w="1643"/>
        <w:gridCol w:w="1701"/>
      </w:tblGrid>
      <w:tr w:rsidR="003844C2" w:rsidRPr="00EE434E" w14:paraId="1F6FCA27" w14:textId="77777777" w:rsidTr="00840D58">
        <w:trPr>
          <w:trHeight w:val="57"/>
          <w:tblHeader/>
        </w:trPr>
        <w:tc>
          <w:tcPr>
            <w:tcW w:w="280" w:type="pct"/>
            <w:tcBorders>
              <w:right w:val="single" w:sz="4" w:space="0" w:color="FFFFFF"/>
            </w:tcBorders>
            <w:shd w:val="clear" w:color="auto" w:fill="0070C0"/>
            <w:vAlign w:val="center"/>
          </w:tcPr>
          <w:p w14:paraId="32742D45" w14:textId="77777777" w:rsidR="003844C2" w:rsidRPr="00EE434E" w:rsidRDefault="003844C2" w:rsidP="003844C2">
            <w:pPr>
              <w:jc w:val="center"/>
              <w:rPr>
                <w:rFonts w:eastAsia="Calibri"/>
                <w:b/>
                <w:bCs/>
                <w:color w:val="FFFFFF"/>
                <w:sz w:val="20"/>
                <w:szCs w:val="20"/>
              </w:rPr>
            </w:pPr>
            <w:r w:rsidRPr="00EE434E">
              <w:rPr>
                <w:rFonts w:eastAsia="Calibri"/>
                <w:b/>
                <w:bCs/>
                <w:color w:val="FFFFFF"/>
                <w:sz w:val="20"/>
                <w:szCs w:val="20"/>
              </w:rPr>
              <w:lastRenderedPageBreak/>
              <w:t>Rok</w:t>
            </w:r>
          </w:p>
        </w:tc>
        <w:tc>
          <w:tcPr>
            <w:tcW w:w="1046" w:type="pct"/>
            <w:tcBorders>
              <w:left w:val="single" w:sz="4" w:space="0" w:color="FFFFFF"/>
              <w:right w:val="single" w:sz="4" w:space="0" w:color="FFFFFF"/>
            </w:tcBorders>
            <w:shd w:val="clear" w:color="auto" w:fill="0070C0"/>
            <w:vAlign w:val="center"/>
          </w:tcPr>
          <w:p w14:paraId="3082299A" w14:textId="77777777" w:rsidR="00525BB2" w:rsidRDefault="00525BB2" w:rsidP="003844C2">
            <w:pPr>
              <w:jc w:val="center"/>
              <w:rPr>
                <w:rFonts w:eastAsia="Calibri"/>
                <w:b/>
                <w:bCs/>
                <w:color w:val="FFFFFF"/>
                <w:sz w:val="20"/>
                <w:szCs w:val="20"/>
              </w:rPr>
            </w:pPr>
            <w:r>
              <w:rPr>
                <w:rFonts w:eastAsia="Calibri"/>
                <w:b/>
                <w:bCs/>
                <w:color w:val="FFFFFF"/>
                <w:sz w:val="20"/>
                <w:szCs w:val="20"/>
              </w:rPr>
              <w:t>Objednané vlakové kilometre</w:t>
            </w:r>
          </w:p>
          <w:p w14:paraId="2DF97F6B" w14:textId="3609C974" w:rsidR="003844C2" w:rsidRPr="00EE434E" w:rsidRDefault="003844C2" w:rsidP="003844C2">
            <w:pPr>
              <w:jc w:val="center"/>
              <w:rPr>
                <w:rFonts w:eastAsia="Calibri"/>
                <w:b/>
                <w:bCs/>
                <w:color w:val="FFFFFF"/>
                <w:sz w:val="20"/>
                <w:szCs w:val="20"/>
              </w:rPr>
            </w:pPr>
            <w:r w:rsidRPr="00EE434E">
              <w:rPr>
                <w:rFonts w:eastAsia="Calibri"/>
                <w:b/>
                <w:bCs/>
                <w:color w:val="FFFFFF"/>
                <w:sz w:val="20"/>
                <w:szCs w:val="20"/>
              </w:rPr>
              <w:t>(v mil. km)</w:t>
            </w:r>
          </w:p>
        </w:tc>
        <w:tc>
          <w:tcPr>
            <w:tcW w:w="1006" w:type="pct"/>
            <w:tcBorders>
              <w:left w:val="single" w:sz="4" w:space="0" w:color="FFFFFF"/>
              <w:right w:val="single" w:sz="4" w:space="0" w:color="FFFFFF"/>
            </w:tcBorders>
            <w:shd w:val="clear" w:color="auto" w:fill="0070C0"/>
            <w:vAlign w:val="center"/>
          </w:tcPr>
          <w:p w14:paraId="19D834A7" w14:textId="77777777" w:rsidR="00525BB2" w:rsidRDefault="003844C2" w:rsidP="00525BB2">
            <w:pPr>
              <w:jc w:val="center"/>
              <w:rPr>
                <w:rFonts w:eastAsia="Calibri"/>
                <w:b/>
                <w:bCs/>
                <w:color w:val="FFFFFF"/>
                <w:sz w:val="20"/>
                <w:szCs w:val="20"/>
              </w:rPr>
            </w:pPr>
            <w:r w:rsidRPr="00EE434E">
              <w:rPr>
                <w:rFonts w:eastAsia="Calibri"/>
                <w:b/>
                <w:bCs/>
                <w:color w:val="FFFFFF"/>
                <w:sz w:val="20"/>
                <w:szCs w:val="20"/>
              </w:rPr>
              <w:t>Skutočné vlakové kilometre</w:t>
            </w:r>
          </w:p>
          <w:p w14:paraId="5799ED0F" w14:textId="1A2BB555" w:rsidR="003844C2" w:rsidRPr="00EE434E" w:rsidRDefault="003844C2" w:rsidP="00525BB2">
            <w:pPr>
              <w:jc w:val="center"/>
              <w:rPr>
                <w:rFonts w:eastAsia="Calibri"/>
                <w:b/>
                <w:bCs/>
                <w:color w:val="FFFFFF"/>
                <w:sz w:val="20"/>
                <w:szCs w:val="20"/>
              </w:rPr>
            </w:pPr>
            <w:r w:rsidRPr="00EE434E">
              <w:rPr>
                <w:rFonts w:eastAsia="Calibri"/>
                <w:b/>
                <w:bCs/>
                <w:color w:val="FFFFFF"/>
                <w:sz w:val="20"/>
                <w:szCs w:val="20"/>
              </w:rPr>
              <w:t>(v mil. km)</w:t>
            </w:r>
          </w:p>
        </w:tc>
        <w:tc>
          <w:tcPr>
            <w:tcW w:w="879" w:type="pct"/>
            <w:tcBorders>
              <w:left w:val="single" w:sz="4" w:space="0" w:color="FFFFFF"/>
              <w:right w:val="single" w:sz="4" w:space="0" w:color="FFFFFF"/>
            </w:tcBorders>
            <w:shd w:val="clear" w:color="auto" w:fill="0070C0"/>
            <w:vAlign w:val="center"/>
          </w:tcPr>
          <w:p w14:paraId="47283356" w14:textId="77777777" w:rsidR="003844C2" w:rsidRPr="00EE434E" w:rsidRDefault="003844C2" w:rsidP="003844C2">
            <w:pPr>
              <w:jc w:val="center"/>
              <w:rPr>
                <w:rFonts w:eastAsia="Calibri"/>
                <w:b/>
                <w:bCs/>
                <w:color w:val="FFFFFF"/>
                <w:sz w:val="20"/>
                <w:szCs w:val="20"/>
              </w:rPr>
            </w:pPr>
            <w:r w:rsidRPr="00EE434E">
              <w:rPr>
                <w:rFonts w:eastAsia="Calibri"/>
                <w:b/>
                <w:bCs/>
                <w:color w:val="FFFFFF"/>
                <w:sz w:val="20"/>
                <w:szCs w:val="20"/>
              </w:rPr>
              <w:t>Cestujúci</w:t>
            </w:r>
          </w:p>
          <w:p w14:paraId="6C4650BE" w14:textId="77777777" w:rsidR="003844C2" w:rsidRPr="00EE434E" w:rsidRDefault="003844C2" w:rsidP="003844C2">
            <w:pPr>
              <w:jc w:val="center"/>
              <w:rPr>
                <w:rFonts w:eastAsia="Calibri"/>
                <w:b/>
                <w:bCs/>
                <w:color w:val="FFFFFF"/>
                <w:sz w:val="20"/>
                <w:szCs w:val="20"/>
              </w:rPr>
            </w:pPr>
            <w:r w:rsidRPr="00EE434E">
              <w:rPr>
                <w:rFonts w:eastAsia="Calibri"/>
                <w:b/>
                <w:bCs/>
                <w:color w:val="FFFFFF"/>
                <w:sz w:val="20"/>
                <w:szCs w:val="20"/>
              </w:rPr>
              <w:t>(v mil. osôb)</w:t>
            </w:r>
          </w:p>
        </w:tc>
        <w:tc>
          <w:tcPr>
            <w:tcW w:w="879" w:type="pct"/>
            <w:tcBorders>
              <w:left w:val="single" w:sz="4" w:space="0" w:color="FFFFFF"/>
              <w:right w:val="single" w:sz="4" w:space="0" w:color="FFFFFF"/>
            </w:tcBorders>
            <w:shd w:val="clear" w:color="auto" w:fill="0070C0"/>
            <w:vAlign w:val="center"/>
          </w:tcPr>
          <w:p w14:paraId="60947571" w14:textId="77777777" w:rsidR="003844C2" w:rsidRPr="00EE434E" w:rsidRDefault="003844C2" w:rsidP="003844C2">
            <w:pPr>
              <w:jc w:val="center"/>
              <w:rPr>
                <w:rFonts w:eastAsia="Calibri"/>
                <w:b/>
                <w:bCs/>
                <w:color w:val="FFFFFF"/>
                <w:sz w:val="20"/>
                <w:szCs w:val="20"/>
              </w:rPr>
            </w:pPr>
            <w:r w:rsidRPr="00EE434E">
              <w:rPr>
                <w:rFonts w:eastAsia="Calibri"/>
                <w:b/>
                <w:bCs/>
                <w:color w:val="FFFFFF"/>
                <w:sz w:val="20"/>
                <w:szCs w:val="20"/>
              </w:rPr>
              <w:t xml:space="preserve">Výška úhrady </w:t>
            </w:r>
            <w:r w:rsidRPr="00EE434E">
              <w:rPr>
                <w:rFonts w:eastAsia="Calibri"/>
                <w:b/>
                <w:bCs/>
                <w:color w:val="FFFFFF"/>
                <w:sz w:val="20"/>
                <w:szCs w:val="20"/>
              </w:rPr>
              <w:br/>
              <w:t>(v tis. eur)</w:t>
            </w:r>
          </w:p>
        </w:tc>
        <w:tc>
          <w:tcPr>
            <w:tcW w:w="910" w:type="pct"/>
            <w:tcBorders>
              <w:left w:val="single" w:sz="4" w:space="0" w:color="FFFFFF"/>
            </w:tcBorders>
            <w:shd w:val="clear" w:color="auto" w:fill="0070C0"/>
            <w:vAlign w:val="center"/>
          </w:tcPr>
          <w:p w14:paraId="6E105FE6" w14:textId="77777777" w:rsidR="00525BB2" w:rsidRDefault="003844C2" w:rsidP="00525BB2">
            <w:pPr>
              <w:jc w:val="center"/>
              <w:rPr>
                <w:rFonts w:eastAsia="Calibri"/>
                <w:b/>
                <w:bCs/>
                <w:color w:val="FFFFFF"/>
                <w:sz w:val="20"/>
                <w:szCs w:val="20"/>
              </w:rPr>
            </w:pPr>
            <w:r w:rsidRPr="00EE434E">
              <w:rPr>
                <w:rFonts w:eastAsia="Calibri"/>
                <w:b/>
                <w:bCs/>
                <w:color w:val="FFFFFF"/>
                <w:sz w:val="20"/>
                <w:szCs w:val="20"/>
              </w:rPr>
              <w:t>Výška nekrytej straty</w:t>
            </w:r>
          </w:p>
          <w:p w14:paraId="3A6A69F6" w14:textId="29EFC2C9" w:rsidR="003844C2" w:rsidRPr="00EE434E" w:rsidRDefault="003844C2" w:rsidP="00525BB2">
            <w:pPr>
              <w:jc w:val="center"/>
              <w:rPr>
                <w:rFonts w:eastAsia="Calibri"/>
                <w:b/>
                <w:bCs/>
                <w:color w:val="FFFFFF"/>
                <w:sz w:val="20"/>
                <w:szCs w:val="20"/>
              </w:rPr>
            </w:pPr>
            <w:r w:rsidRPr="00EE434E">
              <w:rPr>
                <w:rFonts w:eastAsia="Calibri"/>
                <w:b/>
                <w:bCs/>
                <w:color w:val="FFFFFF"/>
                <w:sz w:val="20"/>
                <w:szCs w:val="20"/>
              </w:rPr>
              <w:t>(v tis. eur)</w:t>
            </w:r>
          </w:p>
        </w:tc>
      </w:tr>
      <w:tr w:rsidR="003844C2" w:rsidRPr="00EE434E" w14:paraId="60CFCE49" w14:textId="77777777" w:rsidTr="00840D58">
        <w:trPr>
          <w:trHeight w:val="57"/>
        </w:trPr>
        <w:tc>
          <w:tcPr>
            <w:tcW w:w="280" w:type="pct"/>
            <w:shd w:val="clear" w:color="000000" w:fill="FFFFFF"/>
            <w:vAlign w:val="center"/>
          </w:tcPr>
          <w:p w14:paraId="1EAAEE18" w14:textId="77777777" w:rsidR="003844C2" w:rsidRPr="00EE434E" w:rsidRDefault="003844C2" w:rsidP="003844C2">
            <w:pPr>
              <w:jc w:val="both"/>
              <w:rPr>
                <w:rFonts w:eastAsia="Calibri"/>
                <w:color w:val="000000"/>
                <w:sz w:val="20"/>
                <w:szCs w:val="20"/>
              </w:rPr>
            </w:pPr>
            <w:r w:rsidRPr="00EE434E">
              <w:rPr>
                <w:rFonts w:eastAsia="Calibri"/>
                <w:bCs/>
                <w:color w:val="000000"/>
                <w:sz w:val="20"/>
                <w:szCs w:val="20"/>
              </w:rPr>
              <w:t>2011</w:t>
            </w:r>
          </w:p>
        </w:tc>
        <w:tc>
          <w:tcPr>
            <w:tcW w:w="1046" w:type="pct"/>
            <w:shd w:val="clear" w:color="000000" w:fill="FFFFFF"/>
            <w:vAlign w:val="center"/>
          </w:tcPr>
          <w:p w14:paraId="1E7CE3D7"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31,4</w:t>
            </w:r>
          </w:p>
        </w:tc>
        <w:tc>
          <w:tcPr>
            <w:tcW w:w="1006" w:type="pct"/>
            <w:shd w:val="clear" w:color="000000" w:fill="FFFFFF"/>
            <w:vAlign w:val="center"/>
          </w:tcPr>
          <w:p w14:paraId="383D6FC5"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31,331</w:t>
            </w:r>
          </w:p>
        </w:tc>
        <w:tc>
          <w:tcPr>
            <w:tcW w:w="879" w:type="pct"/>
            <w:shd w:val="clear" w:color="000000" w:fill="FFFFFF"/>
          </w:tcPr>
          <w:p w14:paraId="27F5A90B"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45,959</w:t>
            </w:r>
          </w:p>
        </w:tc>
        <w:tc>
          <w:tcPr>
            <w:tcW w:w="879" w:type="pct"/>
            <w:shd w:val="clear" w:color="000000" w:fill="FFFFFF"/>
            <w:vAlign w:val="center"/>
          </w:tcPr>
          <w:p w14:paraId="1662C19F"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204 999</w:t>
            </w:r>
          </w:p>
        </w:tc>
        <w:tc>
          <w:tcPr>
            <w:tcW w:w="910" w:type="pct"/>
            <w:shd w:val="clear" w:color="000000" w:fill="FFFFFF"/>
            <w:vAlign w:val="center"/>
          </w:tcPr>
          <w:p w14:paraId="65AAB432" w14:textId="6AE9F4F4" w:rsidR="003844C2" w:rsidRPr="00EE434E" w:rsidRDefault="00525BB2" w:rsidP="00525BB2">
            <w:pPr>
              <w:jc w:val="center"/>
              <w:rPr>
                <w:rFonts w:eastAsia="Calibri"/>
                <w:color w:val="000000"/>
                <w:sz w:val="20"/>
                <w:szCs w:val="20"/>
              </w:rPr>
            </w:pPr>
            <w:r>
              <w:rPr>
                <w:rFonts w:eastAsia="Calibri"/>
                <w:color w:val="000000"/>
                <w:sz w:val="20"/>
                <w:szCs w:val="20"/>
              </w:rPr>
              <w:t>-</w:t>
            </w:r>
          </w:p>
        </w:tc>
      </w:tr>
      <w:tr w:rsidR="003844C2" w:rsidRPr="00EE434E" w14:paraId="1A6FB9BA" w14:textId="77777777" w:rsidTr="00840D58">
        <w:trPr>
          <w:trHeight w:val="57"/>
        </w:trPr>
        <w:tc>
          <w:tcPr>
            <w:tcW w:w="280" w:type="pct"/>
            <w:shd w:val="clear" w:color="000000" w:fill="FFFFFF"/>
            <w:vAlign w:val="center"/>
          </w:tcPr>
          <w:p w14:paraId="1F29A47B" w14:textId="77777777" w:rsidR="003844C2" w:rsidRPr="00EE434E" w:rsidRDefault="003844C2" w:rsidP="003844C2">
            <w:pPr>
              <w:jc w:val="both"/>
              <w:rPr>
                <w:rFonts w:eastAsia="Calibri"/>
                <w:color w:val="000000"/>
                <w:sz w:val="20"/>
                <w:szCs w:val="20"/>
              </w:rPr>
            </w:pPr>
            <w:r w:rsidRPr="00EE434E">
              <w:rPr>
                <w:rFonts w:eastAsia="Calibri"/>
                <w:bCs/>
                <w:color w:val="000000"/>
                <w:sz w:val="20"/>
                <w:szCs w:val="20"/>
              </w:rPr>
              <w:t>2012</w:t>
            </w:r>
          </w:p>
        </w:tc>
        <w:tc>
          <w:tcPr>
            <w:tcW w:w="1046" w:type="pct"/>
            <w:shd w:val="clear" w:color="000000" w:fill="FFFFFF"/>
            <w:vAlign w:val="center"/>
          </w:tcPr>
          <w:p w14:paraId="1B97D3FC"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29,35</w:t>
            </w:r>
          </w:p>
        </w:tc>
        <w:tc>
          <w:tcPr>
            <w:tcW w:w="1006" w:type="pct"/>
            <w:shd w:val="clear" w:color="000000" w:fill="FFFFFF"/>
            <w:vAlign w:val="center"/>
          </w:tcPr>
          <w:p w14:paraId="2AAC2119"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30,559</w:t>
            </w:r>
          </w:p>
        </w:tc>
        <w:tc>
          <w:tcPr>
            <w:tcW w:w="879" w:type="pct"/>
            <w:shd w:val="clear" w:color="000000" w:fill="FFFFFF"/>
          </w:tcPr>
          <w:p w14:paraId="287E788D"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43,445</w:t>
            </w:r>
          </w:p>
        </w:tc>
        <w:tc>
          <w:tcPr>
            <w:tcW w:w="879" w:type="pct"/>
            <w:shd w:val="clear" w:color="000000" w:fill="FFFFFF"/>
            <w:vAlign w:val="center"/>
          </w:tcPr>
          <w:p w14:paraId="16E3831B"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199 342</w:t>
            </w:r>
          </w:p>
        </w:tc>
        <w:tc>
          <w:tcPr>
            <w:tcW w:w="910" w:type="pct"/>
            <w:shd w:val="clear" w:color="000000" w:fill="FFFFFF"/>
            <w:vAlign w:val="center"/>
          </w:tcPr>
          <w:p w14:paraId="31295A08" w14:textId="3B26803B" w:rsidR="003844C2" w:rsidRPr="00EE434E" w:rsidRDefault="00525BB2" w:rsidP="00525BB2">
            <w:pPr>
              <w:jc w:val="center"/>
              <w:rPr>
                <w:rFonts w:eastAsia="Calibri"/>
                <w:color w:val="000000"/>
                <w:sz w:val="20"/>
                <w:szCs w:val="20"/>
              </w:rPr>
            </w:pPr>
            <w:r>
              <w:rPr>
                <w:rFonts w:eastAsia="Calibri"/>
                <w:color w:val="000000"/>
                <w:sz w:val="20"/>
                <w:szCs w:val="20"/>
              </w:rPr>
              <w:t>-</w:t>
            </w:r>
          </w:p>
        </w:tc>
      </w:tr>
      <w:tr w:rsidR="003844C2" w:rsidRPr="00EE434E" w14:paraId="525D823A" w14:textId="77777777" w:rsidTr="00840D58">
        <w:trPr>
          <w:trHeight w:val="57"/>
        </w:trPr>
        <w:tc>
          <w:tcPr>
            <w:tcW w:w="280" w:type="pct"/>
            <w:shd w:val="clear" w:color="000000" w:fill="FFFFFF"/>
            <w:vAlign w:val="center"/>
          </w:tcPr>
          <w:p w14:paraId="4B34DFB9" w14:textId="77777777" w:rsidR="003844C2" w:rsidRPr="00EE434E" w:rsidRDefault="003844C2" w:rsidP="003844C2">
            <w:pPr>
              <w:jc w:val="both"/>
              <w:rPr>
                <w:rFonts w:eastAsia="Calibri"/>
                <w:color w:val="000000"/>
                <w:sz w:val="20"/>
                <w:szCs w:val="20"/>
              </w:rPr>
            </w:pPr>
            <w:r w:rsidRPr="00EE434E">
              <w:rPr>
                <w:rFonts w:eastAsia="Calibri"/>
                <w:color w:val="000000"/>
                <w:sz w:val="20"/>
                <w:szCs w:val="20"/>
              </w:rPr>
              <w:t>2013</w:t>
            </w:r>
          </w:p>
        </w:tc>
        <w:tc>
          <w:tcPr>
            <w:tcW w:w="1046" w:type="pct"/>
            <w:shd w:val="clear" w:color="000000" w:fill="FFFFFF"/>
            <w:vAlign w:val="center"/>
          </w:tcPr>
          <w:p w14:paraId="46779D2A"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29,104</w:t>
            </w:r>
          </w:p>
        </w:tc>
        <w:tc>
          <w:tcPr>
            <w:tcW w:w="1006" w:type="pct"/>
            <w:shd w:val="clear" w:color="000000" w:fill="FFFFFF"/>
            <w:vAlign w:val="center"/>
          </w:tcPr>
          <w:p w14:paraId="75D52FBE"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30,438</w:t>
            </w:r>
          </w:p>
        </w:tc>
        <w:tc>
          <w:tcPr>
            <w:tcW w:w="879" w:type="pct"/>
            <w:shd w:val="clear" w:color="000000" w:fill="FFFFFF"/>
          </w:tcPr>
          <w:p w14:paraId="0E9583E9"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44,287</w:t>
            </w:r>
          </w:p>
        </w:tc>
        <w:tc>
          <w:tcPr>
            <w:tcW w:w="879" w:type="pct"/>
            <w:shd w:val="clear" w:color="000000" w:fill="FFFFFF"/>
            <w:vAlign w:val="center"/>
          </w:tcPr>
          <w:p w14:paraId="18F24D1A"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197 559</w:t>
            </w:r>
          </w:p>
        </w:tc>
        <w:tc>
          <w:tcPr>
            <w:tcW w:w="910" w:type="pct"/>
            <w:shd w:val="clear" w:color="000000" w:fill="FFFFFF"/>
            <w:vAlign w:val="center"/>
          </w:tcPr>
          <w:p w14:paraId="22848E8D"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15 741</w:t>
            </w:r>
          </w:p>
        </w:tc>
      </w:tr>
      <w:tr w:rsidR="003844C2" w:rsidRPr="00EE434E" w14:paraId="05414506" w14:textId="77777777" w:rsidTr="00840D58">
        <w:trPr>
          <w:trHeight w:val="57"/>
        </w:trPr>
        <w:tc>
          <w:tcPr>
            <w:tcW w:w="280" w:type="pct"/>
            <w:shd w:val="clear" w:color="000000" w:fill="FFFFFF"/>
            <w:vAlign w:val="center"/>
          </w:tcPr>
          <w:p w14:paraId="6859BE17" w14:textId="77777777" w:rsidR="003844C2" w:rsidRPr="00EE434E" w:rsidRDefault="003844C2" w:rsidP="003844C2">
            <w:pPr>
              <w:jc w:val="both"/>
              <w:rPr>
                <w:rFonts w:eastAsia="Calibri"/>
                <w:color w:val="000000"/>
                <w:sz w:val="20"/>
                <w:szCs w:val="20"/>
              </w:rPr>
            </w:pPr>
            <w:r w:rsidRPr="00EE434E">
              <w:rPr>
                <w:rFonts w:eastAsia="Calibri"/>
                <w:bCs/>
                <w:color w:val="000000"/>
                <w:sz w:val="20"/>
                <w:szCs w:val="20"/>
              </w:rPr>
              <w:t>2014</w:t>
            </w:r>
          </w:p>
        </w:tc>
        <w:tc>
          <w:tcPr>
            <w:tcW w:w="1046" w:type="pct"/>
            <w:shd w:val="clear" w:color="000000" w:fill="FFFFFF"/>
            <w:vAlign w:val="center"/>
          </w:tcPr>
          <w:p w14:paraId="55DE5C16"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29,604</w:t>
            </w:r>
          </w:p>
        </w:tc>
        <w:tc>
          <w:tcPr>
            <w:tcW w:w="1006" w:type="pct"/>
            <w:shd w:val="clear" w:color="000000" w:fill="FFFFFF"/>
            <w:vAlign w:val="center"/>
          </w:tcPr>
          <w:p w14:paraId="4E7F88C4"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30,791</w:t>
            </w:r>
          </w:p>
        </w:tc>
        <w:tc>
          <w:tcPr>
            <w:tcW w:w="879" w:type="pct"/>
            <w:shd w:val="clear" w:color="000000" w:fill="FFFFFF"/>
          </w:tcPr>
          <w:p w14:paraId="0DAE99B4"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47,286</w:t>
            </w:r>
          </w:p>
        </w:tc>
        <w:tc>
          <w:tcPr>
            <w:tcW w:w="879" w:type="pct"/>
            <w:shd w:val="clear" w:color="000000" w:fill="FFFFFF"/>
            <w:vAlign w:val="center"/>
          </w:tcPr>
          <w:p w14:paraId="7E4B4157"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197 559</w:t>
            </w:r>
          </w:p>
        </w:tc>
        <w:tc>
          <w:tcPr>
            <w:tcW w:w="910" w:type="pct"/>
            <w:shd w:val="clear" w:color="000000" w:fill="FFFFFF"/>
            <w:vAlign w:val="center"/>
          </w:tcPr>
          <w:p w14:paraId="2816943A"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29 296</w:t>
            </w:r>
          </w:p>
        </w:tc>
      </w:tr>
      <w:tr w:rsidR="003844C2" w:rsidRPr="00EE434E" w14:paraId="0116236A" w14:textId="77777777" w:rsidTr="00840D58">
        <w:trPr>
          <w:trHeight w:val="57"/>
        </w:trPr>
        <w:tc>
          <w:tcPr>
            <w:tcW w:w="280" w:type="pct"/>
            <w:shd w:val="clear" w:color="000000" w:fill="FFFFFF"/>
            <w:vAlign w:val="center"/>
          </w:tcPr>
          <w:p w14:paraId="3401A363" w14:textId="77777777" w:rsidR="003844C2" w:rsidRPr="00EE434E" w:rsidRDefault="003844C2" w:rsidP="003844C2">
            <w:pPr>
              <w:jc w:val="both"/>
              <w:rPr>
                <w:rFonts w:eastAsia="Calibri"/>
                <w:bCs/>
                <w:color w:val="000000"/>
                <w:sz w:val="20"/>
                <w:szCs w:val="20"/>
              </w:rPr>
            </w:pPr>
            <w:r w:rsidRPr="00EE434E">
              <w:rPr>
                <w:rFonts w:eastAsia="Calibri"/>
                <w:bCs/>
                <w:color w:val="000000"/>
                <w:sz w:val="20"/>
                <w:szCs w:val="20"/>
              </w:rPr>
              <w:t>2015</w:t>
            </w:r>
          </w:p>
        </w:tc>
        <w:tc>
          <w:tcPr>
            <w:tcW w:w="1046" w:type="pct"/>
            <w:shd w:val="clear" w:color="000000" w:fill="FFFFFF"/>
            <w:vAlign w:val="center"/>
          </w:tcPr>
          <w:p w14:paraId="3DE5ED40"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31,304</w:t>
            </w:r>
          </w:p>
        </w:tc>
        <w:tc>
          <w:tcPr>
            <w:tcW w:w="1006" w:type="pct"/>
            <w:shd w:val="clear" w:color="000000" w:fill="FFFFFF"/>
            <w:vAlign w:val="center"/>
          </w:tcPr>
          <w:p w14:paraId="38CB7363"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31,856</w:t>
            </w:r>
          </w:p>
        </w:tc>
        <w:tc>
          <w:tcPr>
            <w:tcW w:w="879" w:type="pct"/>
            <w:shd w:val="clear" w:color="000000" w:fill="FFFFFF"/>
          </w:tcPr>
          <w:p w14:paraId="70166D36"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57,275</w:t>
            </w:r>
          </w:p>
        </w:tc>
        <w:tc>
          <w:tcPr>
            <w:tcW w:w="879" w:type="pct"/>
            <w:shd w:val="clear" w:color="000000" w:fill="FFFFFF"/>
            <w:vAlign w:val="center"/>
          </w:tcPr>
          <w:p w14:paraId="27689F10"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210 169</w:t>
            </w:r>
          </w:p>
        </w:tc>
        <w:tc>
          <w:tcPr>
            <w:tcW w:w="910" w:type="pct"/>
            <w:shd w:val="clear" w:color="000000" w:fill="FFFFFF"/>
            <w:vAlign w:val="center"/>
          </w:tcPr>
          <w:p w14:paraId="73AAF8C2"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15 070</w:t>
            </w:r>
          </w:p>
        </w:tc>
      </w:tr>
      <w:tr w:rsidR="003844C2" w:rsidRPr="00EE434E" w14:paraId="36BAEE35" w14:textId="77777777" w:rsidTr="00840D58">
        <w:trPr>
          <w:trHeight w:val="57"/>
        </w:trPr>
        <w:tc>
          <w:tcPr>
            <w:tcW w:w="280" w:type="pct"/>
            <w:shd w:val="clear" w:color="000000" w:fill="FFFFFF"/>
            <w:vAlign w:val="center"/>
          </w:tcPr>
          <w:p w14:paraId="49595394" w14:textId="77777777" w:rsidR="003844C2" w:rsidRPr="00EE434E" w:rsidRDefault="003844C2" w:rsidP="003844C2">
            <w:pPr>
              <w:jc w:val="both"/>
              <w:rPr>
                <w:rFonts w:eastAsia="Calibri"/>
                <w:bCs/>
                <w:color w:val="000000"/>
                <w:sz w:val="20"/>
                <w:szCs w:val="20"/>
              </w:rPr>
            </w:pPr>
            <w:r w:rsidRPr="00EE434E">
              <w:rPr>
                <w:rFonts w:eastAsia="Calibri"/>
                <w:bCs/>
                <w:color w:val="000000"/>
                <w:sz w:val="20"/>
                <w:szCs w:val="20"/>
              </w:rPr>
              <w:t>2016</w:t>
            </w:r>
          </w:p>
        </w:tc>
        <w:tc>
          <w:tcPr>
            <w:tcW w:w="1046" w:type="pct"/>
            <w:shd w:val="clear" w:color="000000" w:fill="FFFFFF"/>
            <w:vAlign w:val="center"/>
          </w:tcPr>
          <w:p w14:paraId="02E825D8"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31,304</w:t>
            </w:r>
          </w:p>
        </w:tc>
        <w:tc>
          <w:tcPr>
            <w:tcW w:w="1006" w:type="pct"/>
            <w:shd w:val="clear" w:color="000000" w:fill="FFFFFF"/>
            <w:vAlign w:val="center"/>
          </w:tcPr>
          <w:p w14:paraId="1F007C94"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31,418</w:t>
            </w:r>
          </w:p>
        </w:tc>
        <w:tc>
          <w:tcPr>
            <w:tcW w:w="879" w:type="pct"/>
            <w:shd w:val="clear" w:color="000000" w:fill="FFFFFF"/>
          </w:tcPr>
          <w:p w14:paraId="70B7FA94"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65,606</w:t>
            </w:r>
          </w:p>
        </w:tc>
        <w:tc>
          <w:tcPr>
            <w:tcW w:w="879" w:type="pct"/>
            <w:shd w:val="clear" w:color="000000" w:fill="FFFFFF"/>
            <w:vAlign w:val="center"/>
          </w:tcPr>
          <w:p w14:paraId="5D14F52D"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209 559</w:t>
            </w:r>
          </w:p>
        </w:tc>
        <w:tc>
          <w:tcPr>
            <w:tcW w:w="910" w:type="pct"/>
            <w:shd w:val="clear" w:color="000000" w:fill="FFFFFF"/>
            <w:vAlign w:val="center"/>
          </w:tcPr>
          <w:p w14:paraId="080EB178"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15 620</w:t>
            </w:r>
          </w:p>
        </w:tc>
      </w:tr>
      <w:tr w:rsidR="003844C2" w:rsidRPr="00EE434E" w14:paraId="37BF520E" w14:textId="77777777" w:rsidTr="00840D58">
        <w:trPr>
          <w:trHeight w:val="57"/>
        </w:trPr>
        <w:tc>
          <w:tcPr>
            <w:tcW w:w="280" w:type="pct"/>
            <w:shd w:val="clear" w:color="000000" w:fill="FFFFFF"/>
            <w:vAlign w:val="center"/>
          </w:tcPr>
          <w:p w14:paraId="3C514823" w14:textId="77777777" w:rsidR="003844C2" w:rsidRPr="00EE434E" w:rsidRDefault="003844C2" w:rsidP="003844C2">
            <w:pPr>
              <w:jc w:val="both"/>
              <w:rPr>
                <w:rFonts w:eastAsia="Calibri"/>
                <w:bCs/>
                <w:color w:val="000000"/>
                <w:sz w:val="20"/>
                <w:szCs w:val="20"/>
              </w:rPr>
            </w:pPr>
            <w:r w:rsidRPr="00EE434E">
              <w:rPr>
                <w:rFonts w:eastAsia="Calibri"/>
                <w:bCs/>
                <w:color w:val="000000"/>
                <w:sz w:val="20"/>
                <w:szCs w:val="20"/>
              </w:rPr>
              <w:t>2017</w:t>
            </w:r>
          </w:p>
        </w:tc>
        <w:tc>
          <w:tcPr>
            <w:tcW w:w="1046" w:type="pct"/>
            <w:shd w:val="clear" w:color="000000" w:fill="FFFFFF"/>
            <w:vAlign w:val="center"/>
          </w:tcPr>
          <w:p w14:paraId="15493B3D"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31,304</w:t>
            </w:r>
          </w:p>
        </w:tc>
        <w:tc>
          <w:tcPr>
            <w:tcW w:w="1006" w:type="pct"/>
            <w:shd w:val="clear" w:color="000000" w:fill="FFFFFF"/>
            <w:vAlign w:val="center"/>
          </w:tcPr>
          <w:p w14:paraId="35724271" w14:textId="77777777" w:rsidR="003844C2" w:rsidRPr="00EE434E" w:rsidRDefault="003844C2" w:rsidP="003844C2">
            <w:pPr>
              <w:jc w:val="right"/>
              <w:rPr>
                <w:rFonts w:eastAsia="Calibri"/>
                <w:sz w:val="20"/>
                <w:szCs w:val="20"/>
              </w:rPr>
            </w:pPr>
            <w:r w:rsidRPr="00EE434E">
              <w:rPr>
                <w:rFonts w:eastAsia="Calibri"/>
                <w:sz w:val="20"/>
                <w:szCs w:val="20"/>
              </w:rPr>
              <w:t>31,399</w:t>
            </w:r>
          </w:p>
        </w:tc>
        <w:tc>
          <w:tcPr>
            <w:tcW w:w="879" w:type="pct"/>
            <w:shd w:val="clear" w:color="000000" w:fill="FFFFFF"/>
          </w:tcPr>
          <w:p w14:paraId="7B6BB420"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72,473</w:t>
            </w:r>
          </w:p>
        </w:tc>
        <w:tc>
          <w:tcPr>
            <w:tcW w:w="879" w:type="pct"/>
            <w:shd w:val="clear" w:color="000000" w:fill="FFFFFF"/>
            <w:vAlign w:val="center"/>
          </w:tcPr>
          <w:p w14:paraId="6DEA2FFA"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209 559</w:t>
            </w:r>
          </w:p>
        </w:tc>
        <w:tc>
          <w:tcPr>
            <w:tcW w:w="910" w:type="pct"/>
            <w:shd w:val="clear" w:color="000000" w:fill="FFFFFF"/>
            <w:vAlign w:val="center"/>
          </w:tcPr>
          <w:p w14:paraId="4C3F6981"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28 747</w:t>
            </w:r>
          </w:p>
        </w:tc>
      </w:tr>
      <w:tr w:rsidR="003844C2" w:rsidRPr="00EE434E" w14:paraId="321DBADD" w14:textId="77777777" w:rsidTr="00840D58">
        <w:trPr>
          <w:trHeight w:val="57"/>
        </w:trPr>
        <w:tc>
          <w:tcPr>
            <w:tcW w:w="280" w:type="pct"/>
            <w:shd w:val="clear" w:color="000000" w:fill="FFFFFF"/>
            <w:vAlign w:val="center"/>
          </w:tcPr>
          <w:p w14:paraId="41BBB4E8" w14:textId="77777777" w:rsidR="003844C2" w:rsidRPr="00EE434E" w:rsidRDefault="003844C2" w:rsidP="003844C2">
            <w:pPr>
              <w:jc w:val="both"/>
              <w:rPr>
                <w:rFonts w:eastAsia="Calibri"/>
                <w:bCs/>
                <w:color w:val="000000"/>
                <w:sz w:val="20"/>
                <w:szCs w:val="20"/>
              </w:rPr>
            </w:pPr>
            <w:r w:rsidRPr="00EE434E">
              <w:rPr>
                <w:rFonts w:eastAsia="Calibri"/>
                <w:bCs/>
                <w:color w:val="000000"/>
                <w:sz w:val="20"/>
                <w:szCs w:val="20"/>
              </w:rPr>
              <w:t>2018</w:t>
            </w:r>
          </w:p>
        </w:tc>
        <w:tc>
          <w:tcPr>
            <w:tcW w:w="1046" w:type="pct"/>
            <w:shd w:val="clear" w:color="000000" w:fill="FFFFFF"/>
            <w:vAlign w:val="center"/>
          </w:tcPr>
          <w:p w14:paraId="59180F9B"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31,304</w:t>
            </w:r>
          </w:p>
        </w:tc>
        <w:tc>
          <w:tcPr>
            <w:tcW w:w="1006" w:type="pct"/>
            <w:shd w:val="clear" w:color="000000" w:fill="FFFFFF"/>
            <w:vAlign w:val="center"/>
          </w:tcPr>
          <w:p w14:paraId="0B1B99A9" w14:textId="77777777" w:rsidR="003844C2" w:rsidRPr="00EE434E" w:rsidRDefault="003844C2" w:rsidP="003844C2">
            <w:pPr>
              <w:jc w:val="right"/>
              <w:rPr>
                <w:rFonts w:eastAsia="Calibri"/>
                <w:sz w:val="20"/>
                <w:szCs w:val="20"/>
              </w:rPr>
            </w:pPr>
            <w:r w:rsidRPr="00EE434E">
              <w:rPr>
                <w:rFonts w:eastAsia="Calibri"/>
                <w:sz w:val="20"/>
                <w:szCs w:val="20"/>
              </w:rPr>
              <w:t>32,347</w:t>
            </w:r>
          </w:p>
        </w:tc>
        <w:tc>
          <w:tcPr>
            <w:tcW w:w="879" w:type="pct"/>
            <w:shd w:val="clear" w:color="000000" w:fill="FFFFFF"/>
            <w:vAlign w:val="center"/>
          </w:tcPr>
          <w:p w14:paraId="3CE28E89"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73,808</w:t>
            </w:r>
          </w:p>
        </w:tc>
        <w:tc>
          <w:tcPr>
            <w:tcW w:w="879" w:type="pct"/>
            <w:shd w:val="clear" w:color="000000" w:fill="FFFFFF"/>
            <w:vAlign w:val="center"/>
          </w:tcPr>
          <w:p w14:paraId="5A82E2B4"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209 559</w:t>
            </w:r>
          </w:p>
        </w:tc>
        <w:tc>
          <w:tcPr>
            <w:tcW w:w="910" w:type="pct"/>
            <w:shd w:val="clear" w:color="000000" w:fill="FFFFFF"/>
            <w:vAlign w:val="center"/>
          </w:tcPr>
          <w:p w14:paraId="6A3FF16C"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34 390</w:t>
            </w:r>
          </w:p>
        </w:tc>
      </w:tr>
      <w:tr w:rsidR="003844C2" w:rsidRPr="00EE434E" w14:paraId="233E0336" w14:textId="77777777" w:rsidTr="00840D58">
        <w:trPr>
          <w:trHeight w:val="57"/>
        </w:trPr>
        <w:tc>
          <w:tcPr>
            <w:tcW w:w="280" w:type="pct"/>
            <w:shd w:val="clear" w:color="000000" w:fill="FFFFFF"/>
            <w:vAlign w:val="center"/>
          </w:tcPr>
          <w:p w14:paraId="39968913" w14:textId="77777777" w:rsidR="003844C2" w:rsidRPr="00EE434E" w:rsidRDefault="003844C2" w:rsidP="003844C2">
            <w:pPr>
              <w:jc w:val="both"/>
              <w:rPr>
                <w:rFonts w:eastAsia="Calibri"/>
                <w:bCs/>
                <w:color w:val="000000"/>
                <w:sz w:val="20"/>
                <w:szCs w:val="20"/>
              </w:rPr>
            </w:pPr>
            <w:r w:rsidRPr="00EE434E">
              <w:rPr>
                <w:rFonts w:eastAsia="Calibri"/>
                <w:bCs/>
                <w:color w:val="000000"/>
                <w:sz w:val="20"/>
                <w:szCs w:val="20"/>
              </w:rPr>
              <w:t>2019</w:t>
            </w:r>
          </w:p>
        </w:tc>
        <w:tc>
          <w:tcPr>
            <w:tcW w:w="1046" w:type="pct"/>
            <w:shd w:val="clear" w:color="000000" w:fill="FFFFFF"/>
            <w:vAlign w:val="center"/>
          </w:tcPr>
          <w:p w14:paraId="5F15811B"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31,304</w:t>
            </w:r>
          </w:p>
        </w:tc>
        <w:tc>
          <w:tcPr>
            <w:tcW w:w="1006" w:type="pct"/>
            <w:shd w:val="clear" w:color="000000" w:fill="FFFFFF"/>
            <w:vAlign w:val="center"/>
          </w:tcPr>
          <w:p w14:paraId="5706D587" w14:textId="77777777" w:rsidR="003844C2" w:rsidRPr="00EE434E" w:rsidRDefault="003844C2" w:rsidP="003844C2">
            <w:pPr>
              <w:jc w:val="center"/>
              <w:rPr>
                <w:rFonts w:eastAsia="Calibri"/>
                <w:color w:val="000000"/>
                <w:sz w:val="20"/>
                <w:szCs w:val="20"/>
              </w:rPr>
            </w:pPr>
            <w:r w:rsidRPr="00EE434E">
              <w:rPr>
                <w:rFonts w:eastAsia="Calibri"/>
                <w:color w:val="000000"/>
                <w:sz w:val="20"/>
                <w:szCs w:val="20"/>
              </w:rPr>
              <w:t>-</w:t>
            </w:r>
          </w:p>
        </w:tc>
        <w:tc>
          <w:tcPr>
            <w:tcW w:w="879" w:type="pct"/>
            <w:shd w:val="clear" w:color="000000" w:fill="FFFFFF"/>
            <w:vAlign w:val="center"/>
          </w:tcPr>
          <w:p w14:paraId="3C3A8B63" w14:textId="77777777" w:rsidR="003844C2" w:rsidRPr="00EE434E" w:rsidRDefault="003844C2" w:rsidP="003844C2">
            <w:pPr>
              <w:jc w:val="center"/>
              <w:rPr>
                <w:rFonts w:eastAsia="Calibri"/>
                <w:color w:val="000000"/>
                <w:sz w:val="20"/>
                <w:szCs w:val="20"/>
              </w:rPr>
            </w:pPr>
            <w:r w:rsidRPr="00EE434E">
              <w:rPr>
                <w:rFonts w:eastAsia="Calibri"/>
                <w:color w:val="000000"/>
                <w:sz w:val="20"/>
                <w:szCs w:val="20"/>
              </w:rPr>
              <w:t>-</w:t>
            </w:r>
          </w:p>
        </w:tc>
        <w:tc>
          <w:tcPr>
            <w:tcW w:w="879" w:type="pct"/>
            <w:shd w:val="clear" w:color="000000" w:fill="FFFFFF"/>
            <w:vAlign w:val="center"/>
          </w:tcPr>
          <w:p w14:paraId="2D022BA9"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218 709</w:t>
            </w:r>
          </w:p>
        </w:tc>
        <w:tc>
          <w:tcPr>
            <w:tcW w:w="910" w:type="pct"/>
            <w:shd w:val="clear" w:color="000000" w:fill="FFFFFF"/>
            <w:vAlign w:val="center"/>
          </w:tcPr>
          <w:p w14:paraId="4751ABF0"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38 116</w:t>
            </w:r>
          </w:p>
        </w:tc>
      </w:tr>
      <w:tr w:rsidR="003844C2" w:rsidRPr="00EE434E" w14:paraId="0D43F34C" w14:textId="77777777" w:rsidTr="00840D58">
        <w:trPr>
          <w:trHeight w:val="57"/>
        </w:trPr>
        <w:tc>
          <w:tcPr>
            <w:tcW w:w="280" w:type="pct"/>
            <w:shd w:val="clear" w:color="000000" w:fill="FFFFFF"/>
            <w:vAlign w:val="center"/>
          </w:tcPr>
          <w:p w14:paraId="1D0DED1C" w14:textId="77777777" w:rsidR="003844C2" w:rsidRPr="00EE434E" w:rsidRDefault="003844C2" w:rsidP="003844C2">
            <w:pPr>
              <w:jc w:val="both"/>
              <w:rPr>
                <w:rFonts w:eastAsia="Calibri"/>
                <w:bCs/>
                <w:color w:val="000000"/>
                <w:sz w:val="20"/>
                <w:szCs w:val="20"/>
              </w:rPr>
            </w:pPr>
            <w:r w:rsidRPr="00EE434E">
              <w:rPr>
                <w:rFonts w:eastAsia="Calibri"/>
                <w:bCs/>
                <w:color w:val="000000"/>
                <w:sz w:val="20"/>
                <w:szCs w:val="20"/>
              </w:rPr>
              <w:t>2020</w:t>
            </w:r>
          </w:p>
        </w:tc>
        <w:tc>
          <w:tcPr>
            <w:tcW w:w="1046" w:type="pct"/>
            <w:shd w:val="clear" w:color="000000" w:fill="FFFFFF"/>
            <w:vAlign w:val="center"/>
          </w:tcPr>
          <w:p w14:paraId="3A4E1161"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32,5</w:t>
            </w:r>
          </w:p>
        </w:tc>
        <w:tc>
          <w:tcPr>
            <w:tcW w:w="1006" w:type="pct"/>
            <w:shd w:val="clear" w:color="000000" w:fill="FFFFFF"/>
            <w:vAlign w:val="center"/>
          </w:tcPr>
          <w:p w14:paraId="5FFD97A5" w14:textId="77777777" w:rsidR="003844C2" w:rsidRPr="00EE434E" w:rsidRDefault="003844C2" w:rsidP="003844C2">
            <w:pPr>
              <w:jc w:val="center"/>
              <w:rPr>
                <w:rFonts w:eastAsia="Calibri"/>
                <w:color w:val="000000"/>
                <w:sz w:val="20"/>
                <w:szCs w:val="20"/>
              </w:rPr>
            </w:pPr>
            <w:r w:rsidRPr="00EE434E">
              <w:rPr>
                <w:rFonts w:eastAsia="Calibri"/>
                <w:color w:val="000000"/>
                <w:sz w:val="20"/>
                <w:szCs w:val="20"/>
              </w:rPr>
              <w:t>-</w:t>
            </w:r>
          </w:p>
        </w:tc>
        <w:tc>
          <w:tcPr>
            <w:tcW w:w="879" w:type="pct"/>
            <w:shd w:val="clear" w:color="000000" w:fill="FFFFFF"/>
            <w:vAlign w:val="center"/>
          </w:tcPr>
          <w:p w14:paraId="1EAF73E1" w14:textId="77777777" w:rsidR="003844C2" w:rsidRPr="00EE434E" w:rsidRDefault="003844C2" w:rsidP="003844C2">
            <w:pPr>
              <w:jc w:val="center"/>
              <w:rPr>
                <w:rFonts w:eastAsia="Calibri"/>
                <w:color w:val="000000"/>
                <w:sz w:val="20"/>
                <w:szCs w:val="20"/>
              </w:rPr>
            </w:pPr>
            <w:r w:rsidRPr="00EE434E">
              <w:rPr>
                <w:rFonts w:eastAsia="Calibri"/>
                <w:color w:val="000000"/>
                <w:sz w:val="20"/>
                <w:szCs w:val="20"/>
              </w:rPr>
              <w:t>-</w:t>
            </w:r>
          </w:p>
        </w:tc>
        <w:tc>
          <w:tcPr>
            <w:tcW w:w="879" w:type="pct"/>
            <w:shd w:val="clear" w:color="000000" w:fill="FFFFFF"/>
            <w:vAlign w:val="center"/>
          </w:tcPr>
          <w:p w14:paraId="4BFD3789"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257 247</w:t>
            </w:r>
          </w:p>
        </w:tc>
        <w:tc>
          <w:tcPr>
            <w:tcW w:w="910" w:type="pct"/>
            <w:shd w:val="clear" w:color="000000" w:fill="FFFFFF"/>
            <w:vAlign w:val="center"/>
          </w:tcPr>
          <w:p w14:paraId="4C485078" w14:textId="77777777" w:rsidR="003844C2" w:rsidRPr="00EE434E" w:rsidRDefault="003844C2" w:rsidP="003844C2">
            <w:pPr>
              <w:jc w:val="right"/>
              <w:rPr>
                <w:rFonts w:eastAsia="Calibri"/>
                <w:color w:val="000000"/>
                <w:sz w:val="20"/>
                <w:szCs w:val="20"/>
              </w:rPr>
            </w:pPr>
            <w:r w:rsidRPr="00EE434E">
              <w:rPr>
                <w:rFonts w:eastAsia="Calibri"/>
                <w:color w:val="000000"/>
                <w:sz w:val="20"/>
                <w:szCs w:val="20"/>
              </w:rPr>
              <w:t>38 500*</w:t>
            </w:r>
          </w:p>
        </w:tc>
      </w:tr>
    </w:tbl>
    <w:p w14:paraId="02D96D13" w14:textId="77777777" w:rsidR="003844C2" w:rsidRPr="00525BB2" w:rsidRDefault="003844C2" w:rsidP="003844C2">
      <w:pPr>
        <w:jc w:val="both"/>
        <w:rPr>
          <w:i/>
          <w:color w:val="000000"/>
          <w:sz w:val="18"/>
          <w:szCs w:val="20"/>
        </w:rPr>
      </w:pPr>
      <w:r w:rsidRPr="00525BB2">
        <w:rPr>
          <w:i/>
          <w:color w:val="000000"/>
          <w:sz w:val="18"/>
          <w:szCs w:val="20"/>
        </w:rPr>
        <w:t>Zdroj: CRZ, MDV SR, ZSSK</w:t>
      </w:r>
    </w:p>
    <w:p w14:paraId="6A3A29CC" w14:textId="77777777" w:rsidR="003844C2" w:rsidRPr="00525BB2" w:rsidRDefault="003844C2" w:rsidP="003844C2">
      <w:pPr>
        <w:jc w:val="both"/>
        <w:rPr>
          <w:i/>
          <w:color w:val="000000"/>
          <w:sz w:val="18"/>
          <w:szCs w:val="20"/>
        </w:rPr>
      </w:pPr>
      <w:r w:rsidRPr="00525BB2">
        <w:rPr>
          <w:i/>
          <w:color w:val="000000"/>
          <w:sz w:val="18"/>
          <w:szCs w:val="20"/>
        </w:rPr>
        <w:t>*suma je už zahrnutá vo výške úhrady na rok 2020</w:t>
      </w:r>
    </w:p>
    <w:p w14:paraId="1FAF3806" w14:textId="29D8E8D5" w:rsidR="00C230F3" w:rsidRPr="00C230F3" w:rsidRDefault="00C230F3" w:rsidP="00C230F3">
      <w:pPr>
        <w:spacing w:before="120" w:after="120"/>
        <w:jc w:val="both"/>
        <w:rPr>
          <w:b/>
          <w:color w:val="0070C0"/>
        </w:rPr>
      </w:pPr>
      <w:r w:rsidRPr="00C230F3">
        <w:rPr>
          <w:b/>
          <w:color w:val="0070C0"/>
        </w:rPr>
        <w:t>OP Integrovaná infraštruktúra</w:t>
      </w:r>
    </w:p>
    <w:p w14:paraId="54626448" w14:textId="1AF0B728" w:rsidR="003844C2" w:rsidRPr="00754944" w:rsidRDefault="003844C2" w:rsidP="00FC0C20">
      <w:pPr>
        <w:spacing w:before="120" w:after="120"/>
        <w:ind w:firstLine="709"/>
        <w:jc w:val="both"/>
        <w:rPr>
          <w:color w:val="000000"/>
        </w:rPr>
      </w:pPr>
      <w:r w:rsidRPr="00DD6F68">
        <w:rPr>
          <w:b/>
          <w:color w:val="000000"/>
        </w:rPr>
        <w:t>Medzi najrizikovejšie prioritné osi v rámci OP</w:t>
      </w:r>
      <w:r w:rsidR="00C230F3">
        <w:rPr>
          <w:b/>
          <w:color w:val="000000"/>
        </w:rPr>
        <w:t xml:space="preserve"> </w:t>
      </w:r>
      <w:r w:rsidRPr="00DD6F68">
        <w:rPr>
          <w:b/>
          <w:color w:val="000000"/>
        </w:rPr>
        <w:t>II</w:t>
      </w:r>
      <w:r w:rsidRPr="00754944">
        <w:rPr>
          <w:color w:val="000000"/>
        </w:rPr>
        <w:t xml:space="preserve"> z pohľadu výšky čerpania </w:t>
      </w:r>
      <w:r w:rsidRPr="00DD6F68">
        <w:rPr>
          <w:b/>
          <w:color w:val="000000"/>
        </w:rPr>
        <w:t>patrí PO 5 Železničná infraštruktúra (mimo TEN-T CORE) a PO 6 Infraštruktúra vodnej dopravy (TEN-T CORE).</w:t>
      </w:r>
      <w:r w:rsidRPr="00754944">
        <w:rPr>
          <w:color w:val="000000"/>
        </w:rPr>
        <w:t xml:space="preserve"> Podiel ich čerpania na alokácii</w:t>
      </w:r>
      <w:r>
        <w:rPr>
          <w:color w:val="000000"/>
        </w:rPr>
        <w:t xml:space="preserve"> k septembru 2019 dosiahol 0,51 % na PO 5 (alokovaná suma 332 038 tis. eur), resp. 0,09 % na PO 6 (alokovaná suma 128 006 tis. eur). Na rok 2020 sú na PO 5 rozpočtované výdavky vo výške 238 tis. eur. Na PO 6 nie sú alokované žiadne výdavky.</w:t>
      </w:r>
    </w:p>
    <w:p w14:paraId="5DAE0196" w14:textId="1CF909D9" w:rsidR="003844C2" w:rsidRDefault="003844C2" w:rsidP="00FC0C20">
      <w:pPr>
        <w:spacing w:before="120" w:after="120"/>
        <w:ind w:firstLine="708"/>
        <w:jc w:val="both"/>
        <w:rPr>
          <w:color w:val="000000"/>
        </w:rPr>
      </w:pPr>
      <w:r w:rsidRPr="00754944">
        <w:rPr>
          <w:color w:val="000000"/>
        </w:rPr>
        <w:t>Jedným z hlavných cieľov v rámci PO 5 Železničná infraštruktúra je</w:t>
      </w:r>
      <w:r w:rsidR="006B08A7">
        <w:rPr>
          <w:color w:val="000000"/>
        </w:rPr>
        <w:t>,</w:t>
      </w:r>
      <w:r w:rsidRPr="00754944">
        <w:rPr>
          <w:color w:val="000000"/>
        </w:rPr>
        <w:t xml:space="preserve"> o</w:t>
      </w:r>
      <w:r w:rsidR="00525BB2">
        <w:rPr>
          <w:color w:val="000000"/>
        </w:rPr>
        <w:t>krem</w:t>
      </w:r>
      <w:r w:rsidRPr="00754944">
        <w:rPr>
          <w:color w:val="000000"/>
        </w:rPr>
        <w:t xml:space="preserve"> i</w:t>
      </w:r>
      <w:r w:rsidR="00525BB2">
        <w:rPr>
          <w:color w:val="000000"/>
        </w:rPr>
        <w:t>ného</w:t>
      </w:r>
      <w:r w:rsidR="006B08A7">
        <w:rPr>
          <w:color w:val="000000"/>
        </w:rPr>
        <w:t>,</w:t>
      </w:r>
      <w:r w:rsidRPr="00754944">
        <w:rPr>
          <w:color w:val="000000"/>
        </w:rPr>
        <w:t xml:space="preserve"> zmodernizovať železničné trate a odstrániť lokality s environmentálnou záťažou spôsobenou prevádzkou železničnej dopravy. V oboch prípadoch si MDV SR stanovilo splniť tieto ciele do roku 2018</w:t>
      </w:r>
      <w:r w:rsidRPr="00754944">
        <w:rPr>
          <w:rStyle w:val="Odkaznapoznmkupodiarou"/>
          <w:color w:val="000000"/>
        </w:rPr>
        <w:footnoteReference w:id="10"/>
      </w:r>
      <w:r>
        <w:rPr>
          <w:color w:val="000000"/>
        </w:rPr>
        <w:t>. To sa však nepodarilo. A</w:t>
      </w:r>
      <w:r w:rsidRPr="00754944">
        <w:rPr>
          <w:color w:val="000000"/>
        </w:rPr>
        <w:t xml:space="preserve">ko naznačuje </w:t>
      </w:r>
      <w:r w:rsidRPr="00B70D82">
        <w:rPr>
          <w:b/>
          <w:color w:val="000000"/>
        </w:rPr>
        <w:t xml:space="preserve">čerpanie </w:t>
      </w:r>
      <w:r>
        <w:rPr>
          <w:b/>
          <w:color w:val="000000"/>
        </w:rPr>
        <w:t>počas roka</w:t>
      </w:r>
      <w:r w:rsidRPr="00B70D82">
        <w:rPr>
          <w:b/>
          <w:color w:val="000000"/>
        </w:rPr>
        <w:t xml:space="preserve"> 2019, tak</w:t>
      </w:r>
      <w:r w:rsidR="006B08A7">
        <w:rPr>
          <w:b/>
          <w:color w:val="000000"/>
        </w:rPr>
        <w:t>é</w:t>
      </w:r>
      <w:r w:rsidRPr="00B70D82">
        <w:rPr>
          <w:b/>
          <w:color w:val="000000"/>
        </w:rPr>
        <w:t xml:space="preserve"> plnenie cieľov sa ani v tomto období nenaštartovalo</w:t>
      </w:r>
      <w:r w:rsidRPr="00754944">
        <w:rPr>
          <w:color w:val="000000"/>
        </w:rPr>
        <w:t>.</w:t>
      </w:r>
      <w:r>
        <w:rPr>
          <w:color w:val="000000"/>
        </w:rPr>
        <w:t xml:space="preserve"> Riziko</w:t>
      </w:r>
      <w:r w:rsidR="00C230F3">
        <w:rPr>
          <w:color w:val="000000"/>
        </w:rPr>
        <w:t xml:space="preserve"> v podobe</w:t>
      </w:r>
      <w:r>
        <w:rPr>
          <w:color w:val="000000"/>
        </w:rPr>
        <w:t xml:space="preserve"> nedokončenia týchto projektov bude aj v roku 2020 vysoké.</w:t>
      </w:r>
    </w:p>
    <w:p w14:paraId="777FB2C0" w14:textId="3BBB5600" w:rsidR="003844C2" w:rsidRPr="005A2171" w:rsidRDefault="003844C2" w:rsidP="00FC0C20">
      <w:pPr>
        <w:spacing w:before="120" w:after="120"/>
        <w:ind w:firstLine="708"/>
        <w:jc w:val="both"/>
        <w:rPr>
          <w:color w:val="000000"/>
        </w:rPr>
      </w:pPr>
      <w:r w:rsidRPr="005A2171">
        <w:rPr>
          <w:b/>
          <w:color w:val="000000"/>
        </w:rPr>
        <w:t>Pri PO</w:t>
      </w:r>
      <w:r w:rsidRPr="00B70D82">
        <w:rPr>
          <w:b/>
          <w:color w:val="000000"/>
        </w:rPr>
        <w:t xml:space="preserve"> 6 Infraštruktúra vodnej dopravy je situácia s čerpaním ešte kritickejšia.</w:t>
      </w:r>
      <w:r w:rsidRPr="00754944">
        <w:rPr>
          <w:color w:val="000000"/>
        </w:rPr>
        <w:t xml:space="preserve"> V rámci nej patrí k hlavnému cieľu </w:t>
      </w:r>
      <w:r w:rsidRPr="00B70D82">
        <w:rPr>
          <w:b/>
          <w:color w:val="000000"/>
        </w:rPr>
        <w:t>zmodernizovať verejný prístav v Bratislave do roku 2020.</w:t>
      </w:r>
      <w:r w:rsidRPr="00754944">
        <w:rPr>
          <w:color w:val="000000"/>
        </w:rPr>
        <w:t xml:space="preserve"> </w:t>
      </w:r>
      <w:r>
        <w:rPr>
          <w:color w:val="000000"/>
        </w:rPr>
        <w:t>V súčasnosti sa projekt výraznejšie dopredu nepohol, pričom je stále iba v prípravnej fáze. Splnenie uvedeného cieľ</w:t>
      </w:r>
      <w:r w:rsidR="00525BB2">
        <w:rPr>
          <w:color w:val="000000"/>
        </w:rPr>
        <w:t>a</w:t>
      </w:r>
      <w:r>
        <w:rPr>
          <w:color w:val="000000"/>
        </w:rPr>
        <w:t xml:space="preserve"> je tak nereálne.</w:t>
      </w:r>
    </w:p>
    <w:p w14:paraId="78F97917" w14:textId="5762A83A" w:rsidR="00C575DF" w:rsidRPr="003844C2" w:rsidRDefault="003844C2" w:rsidP="00FC0C20">
      <w:pPr>
        <w:spacing w:before="120" w:after="120"/>
        <w:ind w:firstLine="708"/>
        <w:jc w:val="both"/>
        <w:rPr>
          <w:color w:val="000000"/>
        </w:rPr>
      </w:pPr>
      <w:r w:rsidRPr="005A2171">
        <w:rPr>
          <w:b/>
          <w:color w:val="000000"/>
        </w:rPr>
        <w:t>NKÚ</w:t>
      </w:r>
      <w:r w:rsidRPr="00A67840">
        <w:rPr>
          <w:b/>
          <w:color w:val="000000"/>
        </w:rPr>
        <w:t xml:space="preserve"> SR už v roku 2017 v rámci kontroly zameranej na nakladanie s finančnými pros</w:t>
      </w:r>
      <w:r w:rsidR="00C230F3">
        <w:rPr>
          <w:b/>
          <w:color w:val="000000"/>
        </w:rPr>
        <w:t>triedkami a </w:t>
      </w:r>
      <w:r w:rsidRPr="00A67840">
        <w:rPr>
          <w:b/>
          <w:color w:val="000000"/>
        </w:rPr>
        <w:t>majetkom spoločnosti Verejné prístavy</w:t>
      </w:r>
      <w:r w:rsidR="00C230F3">
        <w:rPr>
          <w:color w:val="000000"/>
        </w:rPr>
        <w:t>, a. s.</w:t>
      </w:r>
      <w:r w:rsidR="006B08A7">
        <w:rPr>
          <w:color w:val="000000"/>
        </w:rPr>
        <w:t>,</w:t>
      </w:r>
      <w:r>
        <w:rPr>
          <w:color w:val="000000"/>
        </w:rPr>
        <w:t xml:space="preserve"> poukázal</w:t>
      </w:r>
      <w:r w:rsidRPr="00754944">
        <w:rPr>
          <w:color w:val="000000"/>
        </w:rPr>
        <w:t xml:space="preserve"> na nedostatočné čerpanie prostriedkov z</w:t>
      </w:r>
      <w:r w:rsidR="00C230F3">
        <w:rPr>
          <w:color w:val="000000"/>
        </w:rPr>
        <w:t> </w:t>
      </w:r>
      <w:r w:rsidRPr="00754944">
        <w:rPr>
          <w:color w:val="000000"/>
        </w:rPr>
        <w:t>OP</w:t>
      </w:r>
      <w:r w:rsidR="00C230F3">
        <w:rPr>
          <w:color w:val="000000"/>
        </w:rPr>
        <w:t xml:space="preserve"> II</w:t>
      </w:r>
      <w:r w:rsidRPr="00754944">
        <w:rPr>
          <w:color w:val="000000"/>
        </w:rPr>
        <w:t xml:space="preserve"> na modernizáciu prístavu Bratislava a</w:t>
      </w:r>
      <w:r w:rsidR="006B08A7">
        <w:rPr>
          <w:color w:val="000000"/>
        </w:rPr>
        <w:t> na riziko</w:t>
      </w:r>
      <w:r w:rsidRPr="00754944">
        <w:rPr>
          <w:color w:val="000000"/>
        </w:rPr>
        <w:t>, že sa tieto prostriedky nestihnú v časovom horizonte vyčerpať. Problémom bola pomalosť a nepripravenosť pri príprave a využití finančných zdrojov. Vlastné výdavky na modernizáciu boli nízke a nepostačovali na rozsiahlejšie investičné akcie. NKÚ SR takisto spochybnil reálnosť dlhodobej koncepcie ro</w:t>
      </w:r>
      <w:r w:rsidR="006B08A7">
        <w:rPr>
          <w:color w:val="000000"/>
        </w:rPr>
        <w:t>zvoja spoločnosti na roky 2014 až</w:t>
      </w:r>
      <w:r w:rsidRPr="00754944">
        <w:rPr>
          <w:color w:val="000000"/>
        </w:rPr>
        <w:t xml:space="preserve"> 2022, pričom navrhnuté zdroje financovania boli nastavené iba v teoretickej rovine, nie však </w:t>
      </w:r>
      <w:r>
        <w:rPr>
          <w:color w:val="000000"/>
        </w:rPr>
        <w:t xml:space="preserve">v </w:t>
      </w:r>
      <w:r w:rsidRPr="00754944">
        <w:rPr>
          <w:color w:val="000000"/>
        </w:rPr>
        <w:t>reálnej.</w:t>
      </w:r>
    </w:p>
    <w:p w14:paraId="15A7659D" w14:textId="77777777" w:rsidR="006926C2" w:rsidRDefault="000F48CC" w:rsidP="006926C2">
      <w:pPr>
        <w:pStyle w:val="Nadpis2"/>
      </w:pPr>
      <w:bookmarkStart w:id="35" w:name="_Toc24098452"/>
      <w:r w:rsidRPr="00FB39AA">
        <w:t>4</w:t>
      </w:r>
      <w:r w:rsidR="003E5EA4" w:rsidRPr="00FB39AA">
        <w:t>.</w:t>
      </w:r>
      <w:r w:rsidRPr="00FB39AA">
        <w:t>4</w:t>
      </w:r>
      <w:r w:rsidR="003E5EA4" w:rsidRPr="00FB39AA">
        <w:tab/>
      </w:r>
      <w:r w:rsidR="00F6140E" w:rsidRPr="00FB39AA">
        <w:t xml:space="preserve"> </w:t>
      </w:r>
      <w:r w:rsidR="006926C2">
        <w:t>Sociálne politiky</w:t>
      </w:r>
      <w:bookmarkEnd w:id="35"/>
    </w:p>
    <w:p w14:paraId="51F1EE0F" w14:textId="7D9BA109" w:rsidR="00E343D8" w:rsidRPr="003323C5" w:rsidRDefault="00E343D8" w:rsidP="00E343D8">
      <w:pPr>
        <w:spacing w:before="120" w:after="120"/>
        <w:ind w:firstLine="708"/>
        <w:jc w:val="both"/>
      </w:pPr>
      <w:r w:rsidRPr="003323C5">
        <w:t xml:space="preserve">Podstatnú časť opatrení v sociálnej politike, zadefinovaných v </w:t>
      </w:r>
      <w:r w:rsidR="009D327F">
        <w:t>p</w:t>
      </w:r>
      <w:r w:rsidRPr="003323C5">
        <w:t xml:space="preserve">rogramovom vyhlásení </w:t>
      </w:r>
      <w:r w:rsidR="009D327F">
        <w:t xml:space="preserve">vlády, </w:t>
      </w:r>
      <w:r w:rsidRPr="003323C5">
        <w:t xml:space="preserve">ako sú napr. adresné sociálne opatrenia, zvýšenie príspevku na opatrovanie zdravotne postihnutých, zavedenie príspevku na sociálne služby podľa stupňa odkázanosti pre všetkých zriaďovateľov rovnako, podpora procesu </w:t>
      </w:r>
      <w:proofErr w:type="spellStart"/>
      <w:r w:rsidRPr="003323C5">
        <w:t>deinštitucionalizácie</w:t>
      </w:r>
      <w:proofErr w:type="spellEnd"/>
      <w:r w:rsidRPr="003323C5">
        <w:t xml:space="preserve"> sociálnych služieb, zvýšenie materského, úprava valorizácie dôchodkov, zvýšenie vianočného príspevku pre dôchodcov, a pod.</w:t>
      </w:r>
      <w:r w:rsidR="009D327F">
        <w:t>,</w:t>
      </w:r>
      <w:r w:rsidRPr="003323C5">
        <w:t xml:space="preserve"> sa vláde podarilo splniť. Ostala otázka odmeňovania pracovníkov v sociálnych službách, efektívne prepojenie zdravotníckych a sociálnych služieb pri starostlivosti o odkázaných, dôchodkové sporenie v II. a III. pilieri a s tým spojené informovanie o súčasných a budúcich nárokoch na dôchodok a pod.</w:t>
      </w:r>
    </w:p>
    <w:p w14:paraId="49468DDD" w14:textId="2F479F2F" w:rsidR="00E343D8" w:rsidRPr="003323C5" w:rsidRDefault="00E343D8" w:rsidP="00E343D8">
      <w:pPr>
        <w:spacing w:before="120" w:after="120"/>
        <w:ind w:firstLine="708"/>
        <w:jc w:val="both"/>
      </w:pPr>
      <w:r w:rsidRPr="003323C5">
        <w:t xml:space="preserve">Nové legislatívne zmeny v sociálnej oblasti, prijaté v posledných rokoch, priniesli zvýšené finančné nároky na </w:t>
      </w:r>
      <w:r w:rsidR="009D327F">
        <w:t>RVS</w:t>
      </w:r>
      <w:r w:rsidRPr="003323C5">
        <w:t xml:space="preserve"> na roky 2020 až 2022. Sústreďujú sa najmä na rodinnú politiku, kompenzácie pre ZŤP a dôchodcov.</w:t>
      </w:r>
    </w:p>
    <w:p w14:paraId="32BD3E03" w14:textId="149BD570" w:rsidR="00E343D8" w:rsidRPr="003323C5" w:rsidRDefault="00E343D8" w:rsidP="00E343D8">
      <w:pPr>
        <w:spacing w:before="120" w:after="120"/>
        <w:ind w:firstLine="708"/>
        <w:jc w:val="both"/>
      </w:pPr>
      <w:r w:rsidRPr="003323C5">
        <w:t xml:space="preserve">Na podporu rodinnej politiky (prídavok na dieťa, rodičovský príspevok, ostatné príspevky na podporu rodiny a príspevok na starostlivosť o dieťa) ide zo </w:t>
      </w:r>
      <w:r w:rsidR="009D327F">
        <w:t>ŠR</w:t>
      </w:r>
      <w:r w:rsidRPr="003323C5">
        <w:t xml:space="preserve"> ročne takmer jedna tretina objemu kapitoly MPSVR SR. Ak sa k tomu priráta aj štátom platené poistné, podprogram Podpora rodiny tvorí 40 až 45 % plánovaných výdavkov ministerstva. </w:t>
      </w:r>
      <w:r w:rsidRPr="003323C5">
        <w:lastRenderedPageBreak/>
        <w:t xml:space="preserve">Tieto výdavky sa zvyšujú, čo </w:t>
      </w:r>
      <w:r w:rsidR="006B08A7">
        <w:t>súvisí s každoročným zvyšovaním</w:t>
      </w:r>
      <w:r w:rsidRPr="003323C5">
        <w:t xml:space="preserve"> su</w:t>
      </w:r>
      <w:r w:rsidR="006B08A7">
        <w:t>my životného minima a prijímaním</w:t>
      </w:r>
      <w:r w:rsidRPr="003323C5">
        <w:t xml:space="preserve"> nových opatrení štátu </w:t>
      </w:r>
      <w:r w:rsidR="006B08A7">
        <w:t>v prospech rodiny</w:t>
      </w:r>
      <w:r w:rsidR="00966DBB">
        <w:t>,</w:t>
      </w:r>
      <w:r w:rsidRPr="003323C5">
        <w:t xml:space="preserve"> ako je napr. zvýšenie rodičovského príspevku od januára 2020 a pod.</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4"/>
      </w:tblGrid>
      <w:tr w:rsidR="00E343D8" w:rsidRPr="003323C5" w14:paraId="37D3E432" w14:textId="77777777" w:rsidTr="00236949">
        <w:tc>
          <w:tcPr>
            <w:tcW w:w="9062" w:type="dxa"/>
            <w:tcBorders>
              <w:top w:val="single" w:sz="4" w:space="0" w:color="auto"/>
              <w:bottom w:val="single" w:sz="4" w:space="0" w:color="auto"/>
            </w:tcBorders>
            <w:shd w:val="clear" w:color="auto" w:fill="0070C0"/>
          </w:tcPr>
          <w:p w14:paraId="2100D40E" w14:textId="091ADC97" w:rsidR="00E343D8" w:rsidRPr="003323C5" w:rsidRDefault="00E343D8" w:rsidP="00236949">
            <w:pPr>
              <w:rPr>
                <w:b/>
                <w:color w:val="FFFFFF" w:themeColor="background1"/>
                <w:sz w:val="20"/>
                <w:szCs w:val="20"/>
              </w:rPr>
            </w:pPr>
            <w:r w:rsidRPr="003323C5">
              <w:rPr>
                <w:b/>
                <w:color w:val="FFFFFF" w:themeColor="background1"/>
                <w:sz w:val="20"/>
                <w:szCs w:val="20"/>
              </w:rPr>
              <w:t>Skutočné čerpanie a návrh rozpočtu kapitoly MPSVR SR a podprogramu Podpora rodiny (</w:t>
            </w:r>
            <w:r w:rsidR="00966DBB">
              <w:rPr>
                <w:b/>
                <w:color w:val="FFFFFF" w:themeColor="background1"/>
                <w:sz w:val="20"/>
                <w:szCs w:val="20"/>
              </w:rPr>
              <w:t xml:space="preserve">v </w:t>
            </w:r>
            <w:r w:rsidRPr="003323C5">
              <w:rPr>
                <w:b/>
                <w:color w:val="FFFFFF" w:themeColor="background1"/>
                <w:sz w:val="20"/>
                <w:szCs w:val="20"/>
              </w:rPr>
              <w:t>tis. eur)</w:t>
            </w:r>
          </w:p>
        </w:tc>
      </w:tr>
      <w:tr w:rsidR="00E343D8" w:rsidRPr="003323C5" w14:paraId="539DFD4A" w14:textId="77777777" w:rsidTr="00236949">
        <w:tblPrEx>
          <w:tblCellMar>
            <w:left w:w="70" w:type="dxa"/>
            <w:right w:w="70" w:type="dxa"/>
          </w:tblCellMar>
        </w:tblPrEx>
        <w:tc>
          <w:tcPr>
            <w:tcW w:w="9062" w:type="dxa"/>
            <w:tcBorders>
              <w:top w:val="single" w:sz="4" w:space="0" w:color="auto"/>
              <w:bottom w:val="single" w:sz="4" w:space="0" w:color="auto"/>
            </w:tcBorders>
          </w:tcPr>
          <w:p w14:paraId="56E6141A" w14:textId="77777777" w:rsidR="00E343D8" w:rsidRPr="008F6DDA" w:rsidRDefault="00E343D8" w:rsidP="00236949">
            <w:r w:rsidRPr="003323C5">
              <w:rPr>
                <w:noProof/>
                <w:lang w:eastAsia="sk-SK"/>
              </w:rPr>
              <w:drawing>
                <wp:inline distT="0" distB="0" distL="0" distR="0" wp14:anchorId="7F40187D" wp14:editId="58F860F4">
                  <wp:extent cx="5723890" cy="2339439"/>
                  <wp:effectExtent l="0" t="0" r="0" b="381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6F0AE389" w14:textId="71ECCD41" w:rsidR="00E343D8" w:rsidRPr="00966DBB" w:rsidRDefault="00E343D8" w:rsidP="00E343D8">
      <w:pPr>
        <w:spacing w:after="120"/>
        <w:jc w:val="both"/>
        <w:rPr>
          <w:i/>
          <w:sz w:val="18"/>
          <w:szCs w:val="20"/>
        </w:rPr>
      </w:pPr>
      <w:r w:rsidRPr="00966DBB">
        <w:rPr>
          <w:i/>
          <w:sz w:val="18"/>
          <w:szCs w:val="20"/>
        </w:rPr>
        <w:t>Zdroj: Návrh R</w:t>
      </w:r>
      <w:r w:rsidR="00966DBB">
        <w:rPr>
          <w:i/>
          <w:sz w:val="18"/>
          <w:szCs w:val="20"/>
        </w:rPr>
        <w:t>VS na roky 2020 až 2022; RIS</w:t>
      </w:r>
    </w:p>
    <w:p w14:paraId="0FC7EEF1" w14:textId="77777777" w:rsidR="00E343D8" w:rsidRPr="003323C5" w:rsidRDefault="00E343D8" w:rsidP="00E343D8">
      <w:pPr>
        <w:spacing w:before="120" w:after="120"/>
        <w:ind w:firstLine="708"/>
        <w:jc w:val="both"/>
      </w:pPr>
      <w:r w:rsidRPr="003323C5">
        <w:t>Navrhované opatrenia spôsobia nárast výdavkov štátneho rozpočtu na podporu rodiny o 182,9 mil. eur (2019 R: 756,4 mil. eur, 2020 N: 939,3 mil. eur). Najväčšia časť zdrojov pôjde na rodičovs</w:t>
      </w:r>
      <w:r>
        <w:t>ký príspevok (551,3 mil. eur) a </w:t>
      </w:r>
      <w:r w:rsidRPr="003323C5">
        <w:t xml:space="preserve">prídavok na dieťa (334,5 mil. eur). Úpravou zákona sa rodičovský príspevok od 1. januára 2020 zvyšuje z pôvodnej sumy 226,20 eur na 270, resp. 370 eur, čo predstavuje nárast o 169 mil. eur oproti rozpočtu v roku 2019. </w:t>
      </w:r>
    </w:p>
    <w:p w14:paraId="042643E2" w14:textId="6F3A952E" w:rsidR="00E343D8" w:rsidRPr="003323C5" w:rsidRDefault="00E343D8" w:rsidP="00E343D8">
      <w:pPr>
        <w:spacing w:before="120" w:after="120"/>
        <w:ind w:firstLine="708"/>
        <w:jc w:val="both"/>
      </w:pPr>
      <w:r w:rsidRPr="003323C5">
        <w:t>Novela zákona o prídavku na dieťa priniesla od 1. septembra 2019 jednorazové zvýšenie prídavku na dieťa na čiastočnú úhradu školských potrieb na účely podpory plnenia školských povinností nezaopatreného dieťaťa, tzv. príspevok na školské pomôcky. Ide o priamu finančnú podporu štátu rodičom detí, ktoré nastúpia do prvého ročníka základnej školy. Príspevok je vyčíslený v návrhu rozpočtu kapitoly MPSVR SR v sume viac ako 6 mil. eur. Výdavky na implementáciu ďalšieho opatrenia</w:t>
      </w:r>
      <w:r w:rsidR="00966DBB">
        <w:t>,</w:t>
      </w:r>
      <w:r w:rsidRPr="003323C5">
        <w:t xml:space="preserve"> tzv. obedy zadarmo pre deti v predškolskej príprave a pre všetky deti navštevujúce základnú školu</w:t>
      </w:r>
      <w:r w:rsidR="00966DBB">
        <w:t>,</w:t>
      </w:r>
      <w:r w:rsidRPr="003323C5">
        <w:t xml:space="preserve"> sú vo výške viac ako 123 mil. eur ročne. Rozpaky vyvoláva tento nástroj v súvislosti s jeho zabezpečením v mestách a obciach,</w:t>
      </w:r>
      <w:r w:rsidR="006B08A7">
        <w:t xml:space="preserve"> s</w:t>
      </w:r>
      <w:r w:rsidRPr="003323C5">
        <w:t xml:space="preserve"> nárokmi na organizačné, priestorové a ľudské zdroje, čo následne vyvoláva tlak na rozpočet miestnej samosprávy. Vzhľadom na </w:t>
      </w:r>
      <w:r w:rsidR="00C230F3">
        <w:t xml:space="preserve">potrebu </w:t>
      </w:r>
      <w:r w:rsidRPr="003323C5">
        <w:t>značn</w:t>
      </w:r>
      <w:r w:rsidR="00C230F3">
        <w:t>ej sumy</w:t>
      </w:r>
      <w:r w:rsidR="006B08A7">
        <w:t xml:space="preserve"> peňazí</w:t>
      </w:r>
      <w:r w:rsidRPr="003323C5">
        <w:t xml:space="preserve"> sa vynára otázka lepšieho využitia týchto zdrojov. NKÚ SR preto odporúča v blízkej budúcnosti jeho prehodnotenie v zmysle princípov hodnoty za peniaze.</w:t>
      </w:r>
    </w:p>
    <w:p w14:paraId="4B06EEA5" w14:textId="440706EF" w:rsidR="00E343D8" w:rsidRPr="003323C5" w:rsidRDefault="00E343D8" w:rsidP="00E343D8">
      <w:pPr>
        <w:spacing w:before="120" w:after="120"/>
        <w:ind w:firstLine="708"/>
        <w:jc w:val="both"/>
      </w:pPr>
      <w:r w:rsidRPr="003323C5">
        <w:t>NKÚ SR pozitívne hodnotí zvýšenie výdavkov rozpočtovej kapitoly MPSVR SR na rok 2020 na kompenzáciu sociálnych dôsledkov ŤZP o 48 m</w:t>
      </w:r>
      <w:r w:rsidR="006B08A7">
        <w:t>il. eur (2019 R: 375,5 mil. eur;</w:t>
      </w:r>
      <w:r w:rsidRPr="003323C5">
        <w:t xml:space="preserve"> 2020 N: 423,5 mil. eur), ktoré je spojené predovšetkým so zvýšením sadzby za hodinu osobnej asistencie a peňažného príspevku na opatrovanie. Jeho zvýšením na úroveň čistej minimálnej mzdy vláda SR splnila svoj záväzok a umožnila opatrovať seniorov v domácom prostredí rodinnými príslušníkmi. </w:t>
      </w:r>
    </w:p>
    <w:p w14:paraId="63FE1CF6" w14:textId="5C2F9B20" w:rsidR="00E343D8" w:rsidRPr="003323C5" w:rsidRDefault="00E343D8" w:rsidP="00E343D8">
      <w:pPr>
        <w:spacing w:before="120" w:after="120"/>
        <w:ind w:firstLine="708"/>
        <w:jc w:val="both"/>
      </w:pPr>
      <w:r w:rsidRPr="003323C5">
        <w:t>Vianočný príspevok dôchodcom, plánovaný vo výške 152,7 mil. eur vychádza z novely zákona o jeho po</w:t>
      </w:r>
      <w:r w:rsidR="00F92BB1">
        <w:t>skytovaní, prijatej v júni 2019. Niektorým</w:t>
      </w:r>
      <w:r w:rsidRPr="003323C5">
        <w:t xml:space="preserve"> poberateľ</w:t>
      </w:r>
      <w:r w:rsidR="00F92BB1">
        <w:t>om</w:t>
      </w:r>
      <w:r w:rsidRPr="003323C5">
        <w:t xml:space="preserve"> sa jeho výška zvýši až na dvojnásobok a bude sa týkať širšieho okruhu dôchodcov. V porovnaní s rozpočtom na rok 2019 (61,3 mil. eur) sa predpokladá jeho takmer </w:t>
      </w:r>
      <w:r w:rsidR="00140EC7">
        <w:br/>
      </w:r>
      <w:r w:rsidRPr="003323C5">
        <w:t>2,5-násobné zvýšenie.</w:t>
      </w:r>
    </w:p>
    <w:p w14:paraId="26A9EE39" w14:textId="220C05BE" w:rsidR="00E343D8" w:rsidRPr="003323C5" w:rsidRDefault="00E343D8" w:rsidP="00E343D8">
      <w:pPr>
        <w:spacing w:before="120" w:after="120"/>
        <w:ind w:firstLine="708"/>
        <w:jc w:val="both"/>
      </w:pPr>
      <w:r w:rsidRPr="003323C5">
        <w:t>Opatrenia z revízie výdavkov na sociálne politiky sa neplnia dostatočne. Vzhľadom n</w:t>
      </w:r>
      <w:r w:rsidR="00F7243F">
        <w:t>a to, že  implementácia návrhov</w:t>
      </w:r>
      <w:r w:rsidRPr="003323C5">
        <w:t xml:space="preserve"> smerujúcich k efektívnejšiemu rozloženiu úspor v II. a III. pilieri v oblasti dôchodkového sporenia zaostáva, Implementačná jednotka pre MPSVR SR odporúča  pripraviť návrh úpravy aktuálnej legislatívy, ktorý bude reflektovať definované opatrenia, vedúce k zvýšeniu efektívnosti dôchodkového sporenia. V oblasti sociálnych služieb sa doposiaľ nepodarilo zjednotiť metodiku a výkazy pri zbere údajov o poskytovaných sociálnych službách a dokončiť posúdenie ich efektívnosti a nákladovosti. Taktiež revízia výdavkov na dlhodobú starostlivosť nie je </w:t>
      </w:r>
      <w:r w:rsidR="00966DBB">
        <w:t xml:space="preserve">ešte </w:t>
      </w:r>
      <w:r w:rsidRPr="003323C5">
        <w:t xml:space="preserve">hotová. Otázky vyvoláva aj rodinná politika, kde sa </w:t>
      </w:r>
      <w:r w:rsidR="00966DBB">
        <w:t xml:space="preserve">zatiaľ </w:t>
      </w:r>
      <w:r w:rsidRPr="003323C5">
        <w:t xml:space="preserve">nepodarilo preskúmať možnosti lepšieho cielenia rodinných dávok. </w:t>
      </w:r>
    </w:p>
    <w:p w14:paraId="6024C6EA" w14:textId="77777777" w:rsidR="00A76D0F" w:rsidRDefault="006926C2" w:rsidP="000A2429">
      <w:pPr>
        <w:pStyle w:val="Nadpis1"/>
        <w:numPr>
          <w:ilvl w:val="0"/>
          <w:numId w:val="1"/>
        </w:numPr>
        <w:spacing w:before="240" w:after="240"/>
        <w:ind w:left="714" w:hanging="357"/>
      </w:pPr>
      <w:bookmarkStart w:id="36" w:name="_Toc480788336"/>
      <w:bookmarkStart w:id="37" w:name="_Toc24098453"/>
      <w:r>
        <w:lastRenderedPageBreak/>
        <w:t>Rozpočtové v</w:t>
      </w:r>
      <w:r w:rsidR="005B3D19" w:rsidRPr="00757E44">
        <w:t>zťah</w:t>
      </w:r>
      <w:r>
        <w:t>y SR a </w:t>
      </w:r>
      <w:bookmarkEnd w:id="36"/>
      <w:r w:rsidR="00D80105" w:rsidRPr="00757E44">
        <w:t>E</w:t>
      </w:r>
      <w:r w:rsidR="004D712C" w:rsidRPr="00757E44">
        <w:t>Ú</w:t>
      </w:r>
      <w:r>
        <w:t xml:space="preserve"> v roku 2020</w:t>
      </w:r>
      <w:bookmarkEnd w:id="37"/>
    </w:p>
    <w:p w14:paraId="202138A7" w14:textId="6ACD1BCA" w:rsidR="00EE4B7A" w:rsidRDefault="00EE4B7A" w:rsidP="00EE4B7A">
      <w:pPr>
        <w:spacing w:before="120" w:after="120"/>
        <w:ind w:firstLine="709"/>
        <w:jc w:val="both"/>
        <w:rPr>
          <w:rFonts w:eastAsia="Calibri" w:cs="Times New Roman"/>
        </w:rPr>
      </w:pPr>
      <w:r w:rsidRPr="00EE4B7A">
        <w:rPr>
          <w:rFonts w:eastAsia="Calibri" w:cs="Times New Roman"/>
        </w:rPr>
        <w:t>Rozpočet EÚ slúži na financovanie všetkých priorít a politík E</w:t>
      </w:r>
      <w:r w:rsidR="005369DE">
        <w:rPr>
          <w:rFonts w:eastAsia="Calibri" w:cs="Times New Roman"/>
        </w:rPr>
        <w:t>Ú</w:t>
      </w:r>
      <w:r w:rsidRPr="00EE4B7A">
        <w:rPr>
          <w:rFonts w:eastAsia="Calibri" w:cs="Times New Roman"/>
        </w:rPr>
        <w:t>, ktorých základnou črtou je najmä vyrovnávanie regionálnych rozdielov medzi menej a viac rozvinutými regiónmi členských štátov.</w:t>
      </w:r>
      <w:r w:rsidR="000118D1">
        <w:rPr>
          <w:rFonts w:eastAsia="Calibri" w:cs="Times New Roman"/>
        </w:rPr>
        <w:t xml:space="preserve"> </w:t>
      </w:r>
      <w:r w:rsidR="000118D1" w:rsidRPr="00EE4B7A">
        <w:rPr>
          <w:rFonts w:eastAsia="Calibri" w:cs="Times New Roman"/>
        </w:rPr>
        <w:t>V rámci ročného rozpočtu EÚ musia byť vždy príjmy a výdavky vyrovnané, a teda deficitné hospodárenie nie je možné.</w:t>
      </w:r>
    </w:p>
    <w:p w14:paraId="343FA85C" w14:textId="1C87A15B" w:rsidR="00E1733A" w:rsidRPr="00EE4B7A" w:rsidRDefault="00E1733A" w:rsidP="00E1733A">
      <w:pPr>
        <w:spacing w:before="120" w:after="120"/>
        <w:ind w:firstLine="708"/>
        <w:jc w:val="both"/>
        <w:rPr>
          <w:rFonts w:eastAsia="Calibri" w:cs="Times New Roman"/>
        </w:rPr>
      </w:pPr>
      <w:r w:rsidRPr="00EE4B7A">
        <w:rPr>
          <w:rFonts w:eastAsia="Calibri" w:cs="Times New Roman"/>
        </w:rPr>
        <w:t>Príspevky členských štátov do rozpočtu EÚ sa spravidla určujú na základe ekonomických ukazovateľov a výkonu konkrétnej ekonomiky. Rozdiel medzi výškou odvodov do rozpočtu EÚ a výškou príjmov z neho sa nazýva čistá finančná pozícia. Medzi hlavné faktory, od ktorých sa odvíja, patrí hospodársky rast a objem vyčerpaných prostriedkov z rozpočtu EÚ. Objem finančných prostriedkov, ktoré SR posiela do rozpočtu EÚ</w:t>
      </w:r>
      <w:r w:rsidR="00F7243F">
        <w:rPr>
          <w:rFonts w:eastAsia="Calibri" w:cs="Times New Roman"/>
        </w:rPr>
        <w:t>,</w:t>
      </w:r>
      <w:r w:rsidRPr="00EE4B7A">
        <w:rPr>
          <w:rFonts w:eastAsia="Calibri" w:cs="Times New Roman"/>
        </w:rPr>
        <w:t xml:space="preserve"> sa zvyčajne zásadne nemení, avšak výška čerpaných prostriedkov z fondov EÚ závisí od viacerých faktorov – najmä od „absorpčných kapacít“ konkrétnych subjektov čerpať financie z fondov EÚ. Odvody a príspevky SR do rozpočtu EÚ za rok 2018, schválený rozpočet na rok 2019, návrh rozpočtu na ro</w:t>
      </w:r>
      <w:r>
        <w:rPr>
          <w:rFonts w:eastAsia="Calibri" w:cs="Times New Roman"/>
        </w:rPr>
        <w:t>k 2020 a čistá finančná pozícia sú uvedené v nasledujúcej tabuľke.</w:t>
      </w:r>
    </w:p>
    <w:tbl>
      <w:tblPr>
        <w:tblW w:w="5052" w:type="pct"/>
        <w:tblCellMar>
          <w:left w:w="70" w:type="dxa"/>
          <w:right w:w="70" w:type="dxa"/>
        </w:tblCellMar>
        <w:tblLook w:val="04A0" w:firstRow="1" w:lastRow="0" w:firstColumn="1" w:lastColumn="0" w:noHBand="0" w:noVBand="1"/>
      </w:tblPr>
      <w:tblGrid>
        <w:gridCol w:w="3357"/>
        <w:gridCol w:w="1235"/>
        <w:gridCol w:w="1203"/>
        <w:gridCol w:w="1218"/>
        <w:gridCol w:w="1218"/>
        <w:gridCol w:w="1212"/>
      </w:tblGrid>
      <w:tr w:rsidR="00E1733A" w:rsidRPr="00EE4B7A" w14:paraId="712AD6FE" w14:textId="77777777" w:rsidTr="00DA1D69">
        <w:trPr>
          <w:trHeight w:val="20"/>
          <w:tblHeader/>
        </w:trPr>
        <w:tc>
          <w:tcPr>
            <w:tcW w:w="1777" w:type="pct"/>
            <w:vMerge w:val="restart"/>
            <w:tcBorders>
              <w:top w:val="single" w:sz="4" w:space="0" w:color="auto"/>
              <w:left w:val="single" w:sz="4" w:space="0" w:color="auto"/>
              <w:bottom w:val="single" w:sz="4" w:space="0" w:color="FFFFFF"/>
              <w:right w:val="single" w:sz="4" w:space="0" w:color="FFFFFF"/>
            </w:tcBorders>
            <w:shd w:val="clear" w:color="000000" w:fill="2F75B5"/>
            <w:vAlign w:val="center"/>
            <w:hideMark/>
          </w:tcPr>
          <w:p w14:paraId="092A9011"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Ukazovateľ (v tis. eur)</w:t>
            </w:r>
          </w:p>
        </w:tc>
        <w:tc>
          <w:tcPr>
            <w:tcW w:w="654" w:type="pct"/>
            <w:vMerge w:val="restart"/>
            <w:tcBorders>
              <w:top w:val="single" w:sz="4" w:space="0" w:color="auto"/>
              <w:left w:val="single" w:sz="4" w:space="0" w:color="FFFFFF"/>
              <w:bottom w:val="single" w:sz="4" w:space="0" w:color="FFFFFF"/>
              <w:right w:val="single" w:sz="4" w:space="0" w:color="FFFFFF"/>
            </w:tcBorders>
            <w:shd w:val="clear" w:color="000000" w:fill="2F75B5"/>
            <w:vAlign w:val="center"/>
            <w:hideMark/>
          </w:tcPr>
          <w:p w14:paraId="40E589F5"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Skutočnosť 2018</w:t>
            </w:r>
          </w:p>
        </w:tc>
        <w:tc>
          <w:tcPr>
            <w:tcW w:w="1282" w:type="pct"/>
            <w:gridSpan w:val="2"/>
            <w:tcBorders>
              <w:top w:val="single" w:sz="4" w:space="0" w:color="auto"/>
              <w:left w:val="single" w:sz="4" w:space="0" w:color="FFFFFF"/>
              <w:bottom w:val="single" w:sz="4" w:space="0" w:color="FFFFFF"/>
              <w:right w:val="single" w:sz="4" w:space="0" w:color="FFFFFF"/>
            </w:tcBorders>
            <w:shd w:val="clear" w:color="000000" w:fill="2F75B5"/>
            <w:vAlign w:val="center"/>
            <w:hideMark/>
          </w:tcPr>
          <w:p w14:paraId="40EA552B"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 xml:space="preserve">Rozpočet </w:t>
            </w:r>
          </w:p>
        </w:tc>
        <w:tc>
          <w:tcPr>
            <w:tcW w:w="645" w:type="pct"/>
            <w:vMerge w:val="restart"/>
            <w:tcBorders>
              <w:top w:val="single" w:sz="4" w:space="0" w:color="auto"/>
              <w:left w:val="single" w:sz="4" w:space="0" w:color="FFFFFF"/>
              <w:bottom w:val="single" w:sz="4" w:space="0" w:color="FFFFFF"/>
              <w:right w:val="single" w:sz="4" w:space="0" w:color="FFFFFF"/>
            </w:tcBorders>
            <w:shd w:val="clear" w:color="000000" w:fill="2F75B5"/>
            <w:vAlign w:val="center"/>
            <w:hideMark/>
          </w:tcPr>
          <w:p w14:paraId="78D2324D"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Rozdiel</w:t>
            </w:r>
          </w:p>
        </w:tc>
        <w:tc>
          <w:tcPr>
            <w:tcW w:w="642" w:type="pct"/>
            <w:vMerge w:val="restart"/>
            <w:tcBorders>
              <w:top w:val="single" w:sz="4" w:space="0" w:color="auto"/>
              <w:left w:val="single" w:sz="4" w:space="0" w:color="FFFFFF"/>
              <w:bottom w:val="single" w:sz="4" w:space="0" w:color="FFFFFF"/>
              <w:right w:val="single" w:sz="4" w:space="0" w:color="auto"/>
            </w:tcBorders>
            <w:shd w:val="clear" w:color="000000" w:fill="2F75B5"/>
            <w:vAlign w:val="center"/>
            <w:hideMark/>
          </w:tcPr>
          <w:p w14:paraId="32E0B274"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Podiel                      (v  %)</w:t>
            </w:r>
          </w:p>
        </w:tc>
      </w:tr>
      <w:tr w:rsidR="00E1733A" w:rsidRPr="00EE4B7A" w14:paraId="7C7AED2F" w14:textId="77777777" w:rsidTr="00DA1D69">
        <w:trPr>
          <w:trHeight w:val="20"/>
          <w:tblHeader/>
        </w:trPr>
        <w:tc>
          <w:tcPr>
            <w:tcW w:w="1777" w:type="pct"/>
            <w:vMerge/>
            <w:tcBorders>
              <w:top w:val="single" w:sz="4" w:space="0" w:color="FFFFFF"/>
              <w:left w:val="single" w:sz="4" w:space="0" w:color="auto"/>
              <w:bottom w:val="single" w:sz="4" w:space="0" w:color="auto"/>
              <w:right w:val="single" w:sz="4" w:space="0" w:color="FFFFFF"/>
            </w:tcBorders>
            <w:vAlign w:val="center"/>
            <w:hideMark/>
          </w:tcPr>
          <w:p w14:paraId="1386B9B9" w14:textId="77777777" w:rsidR="00E1733A" w:rsidRPr="00EE4B7A" w:rsidRDefault="00E1733A" w:rsidP="00DA1D69">
            <w:pPr>
              <w:rPr>
                <w:rFonts w:eastAsia="Calibri" w:cs="Times New Roman"/>
                <w:b/>
                <w:bCs/>
                <w:color w:val="FFFFFF"/>
                <w:sz w:val="20"/>
                <w:szCs w:val="20"/>
              </w:rPr>
            </w:pPr>
          </w:p>
        </w:tc>
        <w:tc>
          <w:tcPr>
            <w:tcW w:w="654" w:type="pct"/>
            <w:vMerge/>
            <w:tcBorders>
              <w:top w:val="single" w:sz="4" w:space="0" w:color="FFFFFF"/>
              <w:left w:val="single" w:sz="4" w:space="0" w:color="FFFFFF"/>
              <w:bottom w:val="single" w:sz="4" w:space="0" w:color="auto"/>
              <w:right w:val="single" w:sz="4" w:space="0" w:color="FFFFFF"/>
            </w:tcBorders>
            <w:vAlign w:val="center"/>
            <w:hideMark/>
          </w:tcPr>
          <w:p w14:paraId="328FB3F7" w14:textId="77777777" w:rsidR="00E1733A" w:rsidRPr="00EE4B7A" w:rsidRDefault="00E1733A" w:rsidP="00DA1D69">
            <w:pPr>
              <w:rPr>
                <w:rFonts w:eastAsia="Calibri" w:cs="Times New Roman"/>
                <w:b/>
                <w:bCs/>
                <w:color w:val="FFFFFF"/>
                <w:sz w:val="20"/>
                <w:szCs w:val="20"/>
              </w:rPr>
            </w:pPr>
          </w:p>
        </w:tc>
        <w:tc>
          <w:tcPr>
            <w:tcW w:w="637" w:type="pct"/>
            <w:tcBorders>
              <w:top w:val="single" w:sz="4" w:space="0" w:color="FFFFFF"/>
              <w:left w:val="single" w:sz="4" w:space="0" w:color="FFFFFF"/>
              <w:bottom w:val="single" w:sz="4" w:space="0" w:color="auto"/>
              <w:right w:val="single" w:sz="4" w:space="0" w:color="FFFFFF"/>
            </w:tcBorders>
            <w:shd w:val="clear" w:color="000000" w:fill="2F75B5"/>
            <w:vAlign w:val="center"/>
            <w:hideMark/>
          </w:tcPr>
          <w:p w14:paraId="4DF7E8B1"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2019</w:t>
            </w:r>
          </w:p>
        </w:tc>
        <w:tc>
          <w:tcPr>
            <w:tcW w:w="645" w:type="pct"/>
            <w:tcBorders>
              <w:top w:val="single" w:sz="4" w:space="0" w:color="FFFFFF"/>
              <w:left w:val="single" w:sz="4" w:space="0" w:color="FFFFFF"/>
              <w:bottom w:val="single" w:sz="4" w:space="0" w:color="auto"/>
              <w:right w:val="single" w:sz="4" w:space="0" w:color="FFFFFF"/>
            </w:tcBorders>
            <w:shd w:val="clear" w:color="000000" w:fill="2F75B5"/>
            <w:vAlign w:val="center"/>
            <w:hideMark/>
          </w:tcPr>
          <w:p w14:paraId="3AA69F99" w14:textId="77777777" w:rsidR="00E1733A" w:rsidRPr="00EE4B7A" w:rsidRDefault="00E1733A" w:rsidP="00DA1D69">
            <w:pPr>
              <w:jc w:val="center"/>
              <w:rPr>
                <w:rFonts w:eastAsia="Calibri" w:cs="Times New Roman"/>
                <w:b/>
                <w:bCs/>
                <w:color w:val="FFFFFF"/>
                <w:sz w:val="20"/>
                <w:szCs w:val="20"/>
              </w:rPr>
            </w:pPr>
            <w:r w:rsidRPr="00EE4B7A">
              <w:rPr>
                <w:rFonts w:eastAsia="Calibri" w:cs="Times New Roman"/>
                <w:b/>
                <w:bCs/>
                <w:color w:val="FFFFFF"/>
                <w:sz w:val="20"/>
                <w:szCs w:val="20"/>
              </w:rPr>
              <w:t>2020</w:t>
            </w:r>
          </w:p>
        </w:tc>
        <w:tc>
          <w:tcPr>
            <w:tcW w:w="645" w:type="pct"/>
            <w:vMerge/>
            <w:tcBorders>
              <w:top w:val="single" w:sz="4" w:space="0" w:color="FFFFFF"/>
              <w:left w:val="single" w:sz="4" w:space="0" w:color="FFFFFF"/>
              <w:bottom w:val="single" w:sz="4" w:space="0" w:color="auto"/>
              <w:right w:val="single" w:sz="4" w:space="0" w:color="FFFFFF"/>
            </w:tcBorders>
            <w:vAlign w:val="center"/>
            <w:hideMark/>
          </w:tcPr>
          <w:p w14:paraId="25458D7F" w14:textId="77777777" w:rsidR="00E1733A" w:rsidRPr="00EE4B7A" w:rsidRDefault="00E1733A" w:rsidP="00DA1D69">
            <w:pPr>
              <w:rPr>
                <w:rFonts w:eastAsia="Calibri" w:cs="Times New Roman"/>
                <w:b/>
                <w:bCs/>
                <w:color w:val="FFFFFF"/>
                <w:sz w:val="20"/>
                <w:szCs w:val="20"/>
              </w:rPr>
            </w:pPr>
          </w:p>
        </w:tc>
        <w:tc>
          <w:tcPr>
            <w:tcW w:w="642" w:type="pct"/>
            <w:vMerge/>
            <w:tcBorders>
              <w:top w:val="single" w:sz="4" w:space="0" w:color="FFFFFF"/>
              <w:left w:val="single" w:sz="4" w:space="0" w:color="FFFFFF"/>
              <w:bottom w:val="single" w:sz="4" w:space="0" w:color="auto"/>
              <w:right w:val="single" w:sz="4" w:space="0" w:color="auto"/>
            </w:tcBorders>
            <w:vAlign w:val="center"/>
            <w:hideMark/>
          </w:tcPr>
          <w:p w14:paraId="7851FD9A" w14:textId="77777777" w:rsidR="00E1733A" w:rsidRPr="00EE4B7A" w:rsidRDefault="00E1733A" w:rsidP="00DA1D69">
            <w:pPr>
              <w:rPr>
                <w:rFonts w:eastAsia="Calibri" w:cs="Times New Roman"/>
                <w:b/>
                <w:bCs/>
                <w:color w:val="FFFFFF"/>
                <w:sz w:val="20"/>
                <w:szCs w:val="20"/>
              </w:rPr>
            </w:pPr>
          </w:p>
        </w:tc>
      </w:tr>
      <w:tr w:rsidR="00E1733A" w:rsidRPr="00EE4B7A" w14:paraId="77AA8E30" w14:textId="77777777" w:rsidTr="00DA1D69">
        <w:trPr>
          <w:trHeight w:val="20"/>
          <w:tblHeader/>
        </w:trPr>
        <w:tc>
          <w:tcPr>
            <w:tcW w:w="1777" w:type="pct"/>
            <w:tcBorders>
              <w:top w:val="nil"/>
              <w:left w:val="single" w:sz="4" w:space="0" w:color="auto"/>
              <w:bottom w:val="single" w:sz="4" w:space="0" w:color="auto"/>
              <w:right w:val="single" w:sz="4" w:space="0" w:color="auto"/>
            </w:tcBorders>
            <w:shd w:val="clear" w:color="auto" w:fill="auto"/>
            <w:noWrap/>
            <w:vAlign w:val="center"/>
            <w:hideMark/>
          </w:tcPr>
          <w:p w14:paraId="12EA282D" w14:textId="77777777" w:rsidR="00E1733A" w:rsidRPr="00EE4B7A" w:rsidRDefault="00E1733A" w:rsidP="00DA1D69">
            <w:pPr>
              <w:jc w:val="center"/>
              <w:rPr>
                <w:rFonts w:eastAsia="Calibri" w:cs="Times New Roman"/>
                <w:sz w:val="20"/>
                <w:szCs w:val="20"/>
              </w:rPr>
            </w:pPr>
            <w:r w:rsidRPr="00EE4B7A">
              <w:rPr>
                <w:rFonts w:eastAsia="Calibri" w:cs="Times New Roman"/>
                <w:sz w:val="20"/>
                <w:szCs w:val="20"/>
              </w:rPr>
              <w:t>a</w:t>
            </w:r>
          </w:p>
        </w:tc>
        <w:tc>
          <w:tcPr>
            <w:tcW w:w="654" w:type="pct"/>
            <w:tcBorders>
              <w:top w:val="nil"/>
              <w:left w:val="nil"/>
              <w:bottom w:val="single" w:sz="4" w:space="0" w:color="auto"/>
              <w:right w:val="single" w:sz="4" w:space="0" w:color="auto"/>
            </w:tcBorders>
            <w:shd w:val="clear" w:color="auto" w:fill="auto"/>
            <w:noWrap/>
            <w:vAlign w:val="center"/>
            <w:hideMark/>
          </w:tcPr>
          <w:p w14:paraId="3C1402D1" w14:textId="77777777" w:rsidR="00E1733A" w:rsidRPr="00EE4B7A" w:rsidRDefault="00E1733A" w:rsidP="00DA1D69">
            <w:pPr>
              <w:jc w:val="center"/>
              <w:rPr>
                <w:rFonts w:eastAsia="Calibri" w:cs="Times New Roman"/>
                <w:sz w:val="20"/>
                <w:szCs w:val="20"/>
              </w:rPr>
            </w:pPr>
            <w:r w:rsidRPr="00EE4B7A">
              <w:rPr>
                <w:rFonts w:eastAsia="Calibri" w:cs="Times New Roman"/>
                <w:sz w:val="20"/>
                <w:szCs w:val="20"/>
              </w:rPr>
              <w:t>1</w:t>
            </w:r>
          </w:p>
        </w:tc>
        <w:tc>
          <w:tcPr>
            <w:tcW w:w="637" w:type="pct"/>
            <w:tcBorders>
              <w:top w:val="nil"/>
              <w:left w:val="nil"/>
              <w:bottom w:val="single" w:sz="4" w:space="0" w:color="auto"/>
              <w:right w:val="single" w:sz="4" w:space="0" w:color="auto"/>
            </w:tcBorders>
            <w:shd w:val="clear" w:color="auto" w:fill="auto"/>
            <w:noWrap/>
            <w:vAlign w:val="center"/>
            <w:hideMark/>
          </w:tcPr>
          <w:p w14:paraId="66BCD5CE" w14:textId="77777777" w:rsidR="00E1733A" w:rsidRPr="00EE4B7A" w:rsidRDefault="00E1733A" w:rsidP="00DA1D69">
            <w:pPr>
              <w:jc w:val="center"/>
              <w:rPr>
                <w:rFonts w:eastAsia="Calibri" w:cs="Times New Roman"/>
                <w:sz w:val="20"/>
                <w:szCs w:val="20"/>
              </w:rPr>
            </w:pPr>
            <w:r w:rsidRPr="00EE4B7A">
              <w:rPr>
                <w:rFonts w:eastAsia="Calibri" w:cs="Times New Roman"/>
                <w:sz w:val="20"/>
                <w:szCs w:val="20"/>
              </w:rPr>
              <w:t>2</w:t>
            </w:r>
          </w:p>
        </w:tc>
        <w:tc>
          <w:tcPr>
            <w:tcW w:w="645" w:type="pct"/>
            <w:tcBorders>
              <w:top w:val="nil"/>
              <w:left w:val="nil"/>
              <w:bottom w:val="single" w:sz="4" w:space="0" w:color="auto"/>
              <w:right w:val="single" w:sz="4" w:space="0" w:color="auto"/>
            </w:tcBorders>
            <w:shd w:val="clear" w:color="auto" w:fill="auto"/>
            <w:noWrap/>
            <w:vAlign w:val="center"/>
            <w:hideMark/>
          </w:tcPr>
          <w:p w14:paraId="75631D6B" w14:textId="77777777" w:rsidR="00E1733A" w:rsidRPr="00EE4B7A" w:rsidRDefault="00E1733A" w:rsidP="00DA1D69">
            <w:pPr>
              <w:jc w:val="center"/>
              <w:rPr>
                <w:rFonts w:eastAsia="Calibri" w:cs="Times New Roman"/>
                <w:sz w:val="20"/>
                <w:szCs w:val="20"/>
              </w:rPr>
            </w:pPr>
            <w:r w:rsidRPr="00EE4B7A">
              <w:rPr>
                <w:rFonts w:eastAsia="Calibri" w:cs="Times New Roman"/>
                <w:sz w:val="20"/>
                <w:szCs w:val="20"/>
              </w:rPr>
              <w:t>3</w:t>
            </w:r>
          </w:p>
        </w:tc>
        <w:tc>
          <w:tcPr>
            <w:tcW w:w="645" w:type="pct"/>
            <w:tcBorders>
              <w:top w:val="nil"/>
              <w:left w:val="nil"/>
              <w:bottom w:val="single" w:sz="4" w:space="0" w:color="auto"/>
              <w:right w:val="single" w:sz="4" w:space="0" w:color="auto"/>
            </w:tcBorders>
            <w:shd w:val="clear" w:color="auto" w:fill="auto"/>
            <w:noWrap/>
            <w:vAlign w:val="center"/>
            <w:hideMark/>
          </w:tcPr>
          <w:p w14:paraId="766C8D0D" w14:textId="77777777" w:rsidR="00E1733A" w:rsidRPr="00EE4B7A" w:rsidRDefault="00E1733A" w:rsidP="00DA1D69">
            <w:pPr>
              <w:jc w:val="center"/>
              <w:rPr>
                <w:rFonts w:eastAsia="Calibri" w:cs="Times New Roman"/>
                <w:sz w:val="20"/>
                <w:szCs w:val="20"/>
              </w:rPr>
            </w:pPr>
            <w:r w:rsidRPr="00EE4B7A">
              <w:rPr>
                <w:rFonts w:eastAsia="Calibri" w:cs="Times New Roman"/>
                <w:sz w:val="20"/>
                <w:szCs w:val="20"/>
              </w:rPr>
              <w:t>4=3-2</w:t>
            </w:r>
          </w:p>
        </w:tc>
        <w:tc>
          <w:tcPr>
            <w:tcW w:w="642" w:type="pct"/>
            <w:tcBorders>
              <w:top w:val="nil"/>
              <w:left w:val="nil"/>
              <w:bottom w:val="single" w:sz="4" w:space="0" w:color="auto"/>
              <w:right w:val="single" w:sz="4" w:space="0" w:color="auto"/>
            </w:tcBorders>
            <w:shd w:val="clear" w:color="auto" w:fill="auto"/>
            <w:vAlign w:val="center"/>
            <w:hideMark/>
          </w:tcPr>
          <w:p w14:paraId="3D6C1D3D" w14:textId="77777777" w:rsidR="00E1733A" w:rsidRPr="00EE4B7A" w:rsidRDefault="00E1733A" w:rsidP="00DA1D69">
            <w:pPr>
              <w:jc w:val="center"/>
              <w:rPr>
                <w:rFonts w:eastAsia="Calibri" w:cs="Times New Roman"/>
                <w:sz w:val="20"/>
                <w:szCs w:val="20"/>
              </w:rPr>
            </w:pPr>
            <w:r w:rsidRPr="00EE4B7A">
              <w:rPr>
                <w:rFonts w:eastAsia="Calibri" w:cs="Times New Roman"/>
                <w:sz w:val="20"/>
                <w:szCs w:val="20"/>
              </w:rPr>
              <w:t>5=3/2 *100</w:t>
            </w:r>
          </w:p>
        </w:tc>
      </w:tr>
      <w:tr w:rsidR="00E1733A" w:rsidRPr="00EE4B7A" w14:paraId="01439ED7" w14:textId="77777777" w:rsidTr="00DA1D69">
        <w:trPr>
          <w:trHeight w:val="20"/>
        </w:trPr>
        <w:tc>
          <w:tcPr>
            <w:tcW w:w="1777" w:type="pct"/>
            <w:tcBorders>
              <w:top w:val="nil"/>
              <w:left w:val="single" w:sz="4" w:space="0" w:color="auto"/>
              <w:bottom w:val="single" w:sz="4" w:space="0" w:color="auto"/>
              <w:right w:val="single" w:sz="4" w:space="0" w:color="auto"/>
            </w:tcBorders>
            <w:shd w:val="clear" w:color="auto" w:fill="auto"/>
            <w:vAlign w:val="center"/>
            <w:hideMark/>
          </w:tcPr>
          <w:p w14:paraId="651DD041" w14:textId="77777777" w:rsidR="00E1733A" w:rsidRPr="00EE4B7A" w:rsidRDefault="00E1733A" w:rsidP="00DA1D69">
            <w:pPr>
              <w:rPr>
                <w:rFonts w:eastAsia="Calibri" w:cs="Times New Roman"/>
                <w:color w:val="000000"/>
                <w:sz w:val="20"/>
                <w:szCs w:val="20"/>
              </w:rPr>
            </w:pPr>
            <w:r w:rsidRPr="00EE4B7A">
              <w:rPr>
                <w:rFonts w:eastAsia="Calibri" w:cs="Times New Roman"/>
                <w:color w:val="000000"/>
                <w:sz w:val="20"/>
                <w:szCs w:val="20"/>
              </w:rPr>
              <w:t>Príjmy za prostriedky EÚ - zahraničné transfery</w:t>
            </w:r>
          </w:p>
        </w:tc>
        <w:tc>
          <w:tcPr>
            <w:tcW w:w="654" w:type="pct"/>
            <w:tcBorders>
              <w:top w:val="nil"/>
              <w:left w:val="nil"/>
              <w:bottom w:val="single" w:sz="4" w:space="0" w:color="auto"/>
              <w:right w:val="single" w:sz="4" w:space="0" w:color="auto"/>
            </w:tcBorders>
            <w:shd w:val="clear" w:color="auto" w:fill="auto"/>
            <w:vAlign w:val="center"/>
            <w:hideMark/>
          </w:tcPr>
          <w:p w14:paraId="43CB4187"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2 169 725</w:t>
            </w:r>
          </w:p>
        </w:tc>
        <w:tc>
          <w:tcPr>
            <w:tcW w:w="637" w:type="pct"/>
            <w:tcBorders>
              <w:top w:val="nil"/>
              <w:left w:val="nil"/>
              <w:bottom w:val="single" w:sz="4" w:space="0" w:color="auto"/>
              <w:right w:val="single" w:sz="4" w:space="0" w:color="auto"/>
            </w:tcBorders>
            <w:shd w:val="clear" w:color="auto" w:fill="auto"/>
            <w:vAlign w:val="center"/>
            <w:hideMark/>
          </w:tcPr>
          <w:p w14:paraId="679DB1CE"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1 665 041</w:t>
            </w:r>
          </w:p>
        </w:tc>
        <w:tc>
          <w:tcPr>
            <w:tcW w:w="645" w:type="pct"/>
            <w:tcBorders>
              <w:top w:val="nil"/>
              <w:left w:val="nil"/>
              <w:bottom w:val="single" w:sz="4" w:space="0" w:color="auto"/>
              <w:right w:val="single" w:sz="4" w:space="0" w:color="auto"/>
            </w:tcBorders>
            <w:shd w:val="clear" w:color="auto" w:fill="auto"/>
            <w:vAlign w:val="center"/>
            <w:hideMark/>
          </w:tcPr>
          <w:p w14:paraId="27BB1CE8" w14:textId="77777777" w:rsidR="00E1733A" w:rsidRPr="00EE4B7A" w:rsidRDefault="00E1733A" w:rsidP="00DA1D69">
            <w:pPr>
              <w:jc w:val="right"/>
              <w:rPr>
                <w:rFonts w:eastAsia="Calibri" w:cs="Times New Roman"/>
                <w:sz w:val="20"/>
                <w:szCs w:val="20"/>
              </w:rPr>
            </w:pPr>
            <w:r w:rsidRPr="00EE4B7A">
              <w:rPr>
                <w:rFonts w:eastAsia="Calibri" w:cs="Times New Roman"/>
                <w:sz w:val="20"/>
                <w:szCs w:val="20"/>
              </w:rPr>
              <w:t>1 677 689</w:t>
            </w:r>
          </w:p>
        </w:tc>
        <w:tc>
          <w:tcPr>
            <w:tcW w:w="645" w:type="pct"/>
            <w:tcBorders>
              <w:top w:val="nil"/>
              <w:left w:val="nil"/>
              <w:bottom w:val="single" w:sz="4" w:space="0" w:color="auto"/>
              <w:right w:val="single" w:sz="4" w:space="0" w:color="auto"/>
            </w:tcBorders>
            <w:shd w:val="clear" w:color="auto" w:fill="auto"/>
            <w:vAlign w:val="center"/>
            <w:hideMark/>
          </w:tcPr>
          <w:p w14:paraId="5050A76E"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12 648</w:t>
            </w:r>
          </w:p>
        </w:tc>
        <w:tc>
          <w:tcPr>
            <w:tcW w:w="642" w:type="pct"/>
            <w:tcBorders>
              <w:top w:val="nil"/>
              <w:left w:val="nil"/>
              <w:bottom w:val="single" w:sz="4" w:space="0" w:color="auto"/>
              <w:right w:val="single" w:sz="4" w:space="0" w:color="auto"/>
            </w:tcBorders>
            <w:shd w:val="clear" w:color="auto" w:fill="auto"/>
            <w:vAlign w:val="center"/>
            <w:hideMark/>
          </w:tcPr>
          <w:p w14:paraId="4133F4D0" w14:textId="77777777" w:rsidR="00E1733A" w:rsidRPr="00EE4B7A" w:rsidRDefault="00E1733A" w:rsidP="00DA1D69">
            <w:pPr>
              <w:jc w:val="center"/>
              <w:rPr>
                <w:rFonts w:eastAsia="Calibri" w:cs="Times New Roman"/>
                <w:color w:val="000000"/>
                <w:sz w:val="20"/>
                <w:szCs w:val="20"/>
              </w:rPr>
            </w:pPr>
            <w:r w:rsidRPr="00EE4B7A">
              <w:rPr>
                <w:rFonts w:eastAsia="Calibri" w:cs="Times New Roman"/>
                <w:color w:val="000000"/>
                <w:sz w:val="20"/>
                <w:szCs w:val="20"/>
              </w:rPr>
              <w:t>100,7</w:t>
            </w:r>
          </w:p>
        </w:tc>
      </w:tr>
      <w:tr w:rsidR="00E1733A" w:rsidRPr="00EE4B7A" w14:paraId="6F053924" w14:textId="77777777" w:rsidTr="00DA1D69">
        <w:trPr>
          <w:trHeight w:val="20"/>
        </w:trPr>
        <w:tc>
          <w:tcPr>
            <w:tcW w:w="1777" w:type="pct"/>
            <w:tcBorders>
              <w:top w:val="nil"/>
              <w:left w:val="single" w:sz="4" w:space="0" w:color="auto"/>
              <w:bottom w:val="single" w:sz="4" w:space="0" w:color="auto"/>
              <w:right w:val="single" w:sz="4" w:space="0" w:color="auto"/>
            </w:tcBorders>
            <w:shd w:val="clear" w:color="auto" w:fill="auto"/>
            <w:vAlign w:val="center"/>
            <w:hideMark/>
          </w:tcPr>
          <w:p w14:paraId="1A315854" w14:textId="77777777" w:rsidR="00E1733A" w:rsidRPr="00EE4B7A" w:rsidRDefault="00E1733A" w:rsidP="00DA1D69">
            <w:pPr>
              <w:rPr>
                <w:rFonts w:eastAsia="Calibri" w:cs="Times New Roman"/>
                <w:color w:val="000000"/>
                <w:sz w:val="20"/>
                <w:szCs w:val="20"/>
              </w:rPr>
            </w:pPr>
            <w:r w:rsidRPr="00EE4B7A">
              <w:rPr>
                <w:rFonts w:eastAsia="Calibri" w:cs="Times New Roman"/>
                <w:color w:val="000000"/>
                <w:sz w:val="20"/>
                <w:szCs w:val="20"/>
              </w:rPr>
              <w:t>Zahraničné granty z rozpočtu EÚ (odhad)</w:t>
            </w:r>
          </w:p>
        </w:tc>
        <w:tc>
          <w:tcPr>
            <w:tcW w:w="654" w:type="pct"/>
            <w:tcBorders>
              <w:top w:val="nil"/>
              <w:left w:val="nil"/>
              <w:bottom w:val="single" w:sz="4" w:space="0" w:color="auto"/>
              <w:right w:val="single" w:sz="4" w:space="0" w:color="auto"/>
            </w:tcBorders>
            <w:shd w:val="clear" w:color="auto" w:fill="auto"/>
            <w:vAlign w:val="center"/>
            <w:hideMark/>
          </w:tcPr>
          <w:p w14:paraId="72164729"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7</w:t>
            </w:r>
          </w:p>
        </w:tc>
        <w:tc>
          <w:tcPr>
            <w:tcW w:w="637" w:type="pct"/>
            <w:tcBorders>
              <w:top w:val="nil"/>
              <w:left w:val="nil"/>
              <w:bottom w:val="single" w:sz="4" w:space="0" w:color="auto"/>
              <w:right w:val="single" w:sz="4" w:space="0" w:color="auto"/>
            </w:tcBorders>
            <w:shd w:val="clear" w:color="auto" w:fill="auto"/>
            <w:vAlign w:val="center"/>
            <w:hideMark/>
          </w:tcPr>
          <w:p w14:paraId="5BB4E186"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107 462</w:t>
            </w:r>
          </w:p>
        </w:tc>
        <w:tc>
          <w:tcPr>
            <w:tcW w:w="645" w:type="pct"/>
            <w:tcBorders>
              <w:top w:val="nil"/>
              <w:left w:val="nil"/>
              <w:bottom w:val="single" w:sz="4" w:space="0" w:color="auto"/>
              <w:right w:val="single" w:sz="4" w:space="0" w:color="auto"/>
            </w:tcBorders>
            <w:shd w:val="clear" w:color="auto" w:fill="auto"/>
            <w:vAlign w:val="center"/>
            <w:hideMark/>
          </w:tcPr>
          <w:p w14:paraId="453CAA05" w14:textId="77777777" w:rsidR="00E1733A" w:rsidRPr="00EE4B7A" w:rsidRDefault="00E1733A" w:rsidP="00DA1D69">
            <w:pPr>
              <w:jc w:val="right"/>
              <w:rPr>
                <w:rFonts w:eastAsia="Calibri" w:cs="Times New Roman"/>
                <w:sz w:val="20"/>
                <w:szCs w:val="20"/>
              </w:rPr>
            </w:pPr>
            <w:r w:rsidRPr="00EE4B7A">
              <w:rPr>
                <w:rFonts w:eastAsia="Calibri" w:cs="Times New Roman"/>
                <w:sz w:val="20"/>
                <w:szCs w:val="20"/>
              </w:rPr>
              <w:t>117 671</w:t>
            </w:r>
          </w:p>
        </w:tc>
        <w:tc>
          <w:tcPr>
            <w:tcW w:w="645" w:type="pct"/>
            <w:tcBorders>
              <w:top w:val="nil"/>
              <w:left w:val="nil"/>
              <w:bottom w:val="single" w:sz="4" w:space="0" w:color="auto"/>
              <w:right w:val="single" w:sz="4" w:space="0" w:color="auto"/>
            </w:tcBorders>
            <w:shd w:val="clear" w:color="auto" w:fill="auto"/>
            <w:vAlign w:val="center"/>
            <w:hideMark/>
          </w:tcPr>
          <w:p w14:paraId="43536193"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10 209</w:t>
            </w:r>
          </w:p>
        </w:tc>
        <w:tc>
          <w:tcPr>
            <w:tcW w:w="642" w:type="pct"/>
            <w:tcBorders>
              <w:top w:val="nil"/>
              <w:left w:val="nil"/>
              <w:bottom w:val="single" w:sz="4" w:space="0" w:color="auto"/>
              <w:right w:val="single" w:sz="4" w:space="0" w:color="auto"/>
            </w:tcBorders>
            <w:shd w:val="clear" w:color="auto" w:fill="auto"/>
            <w:vAlign w:val="center"/>
            <w:hideMark/>
          </w:tcPr>
          <w:p w14:paraId="70D3237C" w14:textId="77777777" w:rsidR="00E1733A" w:rsidRPr="00EE4B7A" w:rsidRDefault="00E1733A" w:rsidP="00DA1D69">
            <w:pPr>
              <w:jc w:val="center"/>
              <w:rPr>
                <w:rFonts w:eastAsia="Calibri" w:cs="Times New Roman"/>
                <w:color w:val="000000"/>
                <w:sz w:val="20"/>
                <w:szCs w:val="20"/>
              </w:rPr>
            </w:pPr>
            <w:r w:rsidRPr="00EE4B7A">
              <w:rPr>
                <w:rFonts w:eastAsia="Calibri" w:cs="Times New Roman"/>
                <w:color w:val="000000"/>
                <w:sz w:val="20"/>
                <w:szCs w:val="20"/>
              </w:rPr>
              <w:t>109,5</w:t>
            </w:r>
          </w:p>
        </w:tc>
      </w:tr>
      <w:tr w:rsidR="00E1733A" w:rsidRPr="00EE4B7A" w14:paraId="7BB0322C"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D9E1F2"/>
            <w:vAlign w:val="center"/>
            <w:hideMark/>
          </w:tcPr>
          <w:p w14:paraId="366E05E7" w14:textId="77777777" w:rsidR="00E1733A" w:rsidRPr="00EE4B7A" w:rsidRDefault="00E1733A" w:rsidP="00DA1D69">
            <w:pPr>
              <w:rPr>
                <w:rFonts w:eastAsia="Calibri" w:cs="Times New Roman"/>
                <w:b/>
                <w:bCs/>
                <w:color w:val="000000"/>
                <w:sz w:val="20"/>
                <w:szCs w:val="20"/>
              </w:rPr>
            </w:pPr>
            <w:r w:rsidRPr="00EE4B7A">
              <w:rPr>
                <w:rFonts w:eastAsia="Calibri" w:cs="Times New Roman"/>
                <w:b/>
                <w:bCs/>
                <w:color w:val="000000"/>
                <w:sz w:val="20"/>
                <w:szCs w:val="20"/>
              </w:rPr>
              <w:t>Spolu príjmy z rozpočtu EÚ</w:t>
            </w:r>
          </w:p>
        </w:tc>
        <w:tc>
          <w:tcPr>
            <w:tcW w:w="654" w:type="pct"/>
            <w:tcBorders>
              <w:top w:val="nil"/>
              <w:left w:val="nil"/>
              <w:bottom w:val="single" w:sz="4" w:space="0" w:color="auto"/>
              <w:right w:val="single" w:sz="4" w:space="0" w:color="auto"/>
            </w:tcBorders>
            <w:shd w:val="clear" w:color="000000" w:fill="D9E1F2"/>
            <w:vAlign w:val="center"/>
            <w:hideMark/>
          </w:tcPr>
          <w:p w14:paraId="35E53115"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2 169 732</w:t>
            </w:r>
          </w:p>
        </w:tc>
        <w:tc>
          <w:tcPr>
            <w:tcW w:w="637" w:type="pct"/>
            <w:tcBorders>
              <w:top w:val="nil"/>
              <w:left w:val="nil"/>
              <w:bottom w:val="single" w:sz="4" w:space="0" w:color="auto"/>
              <w:right w:val="single" w:sz="4" w:space="0" w:color="auto"/>
            </w:tcBorders>
            <w:shd w:val="clear" w:color="000000" w:fill="D9E1F2"/>
            <w:vAlign w:val="center"/>
            <w:hideMark/>
          </w:tcPr>
          <w:p w14:paraId="3498B504"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1 772 503</w:t>
            </w:r>
          </w:p>
        </w:tc>
        <w:tc>
          <w:tcPr>
            <w:tcW w:w="645" w:type="pct"/>
            <w:tcBorders>
              <w:top w:val="nil"/>
              <w:left w:val="nil"/>
              <w:bottom w:val="single" w:sz="4" w:space="0" w:color="auto"/>
              <w:right w:val="single" w:sz="4" w:space="0" w:color="auto"/>
            </w:tcBorders>
            <w:shd w:val="clear" w:color="000000" w:fill="D9E1F2"/>
            <w:vAlign w:val="center"/>
            <w:hideMark/>
          </w:tcPr>
          <w:p w14:paraId="616531BE"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1 795 360</w:t>
            </w:r>
          </w:p>
        </w:tc>
        <w:tc>
          <w:tcPr>
            <w:tcW w:w="645" w:type="pct"/>
            <w:tcBorders>
              <w:top w:val="nil"/>
              <w:left w:val="nil"/>
              <w:bottom w:val="single" w:sz="4" w:space="0" w:color="auto"/>
              <w:right w:val="single" w:sz="4" w:space="0" w:color="auto"/>
            </w:tcBorders>
            <w:shd w:val="clear" w:color="000000" w:fill="D9E1F2"/>
            <w:vAlign w:val="center"/>
            <w:hideMark/>
          </w:tcPr>
          <w:p w14:paraId="02323752"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22 857</w:t>
            </w:r>
          </w:p>
        </w:tc>
        <w:tc>
          <w:tcPr>
            <w:tcW w:w="642" w:type="pct"/>
            <w:tcBorders>
              <w:top w:val="nil"/>
              <w:left w:val="nil"/>
              <w:bottom w:val="single" w:sz="4" w:space="0" w:color="auto"/>
              <w:right w:val="single" w:sz="4" w:space="0" w:color="auto"/>
            </w:tcBorders>
            <w:shd w:val="clear" w:color="000000" w:fill="D9E1F2"/>
            <w:vAlign w:val="center"/>
            <w:hideMark/>
          </w:tcPr>
          <w:p w14:paraId="5B80EA7A" w14:textId="77777777" w:rsidR="00E1733A" w:rsidRPr="00EE4B7A" w:rsidRDefault="00E1733A" w:rsidP="00DA1D69">
            <w:pPr>
              <w:jc w:val="center"/>
              <w:rPr>
                <w:rFonts w:eastAsia="Calibri" w:cs="Times New Roman"/>
                <w:b/>
                <w:bCs/>
                <w:color w:val="000000"/>
                <w:sz w:val="20"/>
                <w:szCs w:val="20"/>
              </w:rPr>
            </w:pPr>
            <w:r w:rsidRPr="00EE4B7A">
              <w:rPr>
                <w:rFonts w:eastAsia="Calibri" w:cs="Times New Roman"/>
                <w:b/>
                <w:bCs/>
                <w:color w:val="000000"/>
                <w:sz w:val="20"/>
                <w:szCs w:val="20"/>
              </w:rPr>
              <w:t>101,3</w:t>
            </w:r>
          </w:p>
        </w:tc>
      </w:tr>
      <w:tr w:rsidR="00E1733A" w:rsidRPr="00EE4B7A" w14:paraId="6E618BCE"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FFFFFF"/>
            <w:vAlign w:val="center"/>
            <w:hideMark/>
          </w:tcPr>
          <w:p w14:paraId="3181A963" w14:textId="77777777" w:rsidR="00E1733A" w:rsidRPr="00EE4B7A" w:rsidRDefault="00E1733A" w:rsidP="00DA1D69">
            <w:pPr>
              <w:rPr>
                <w:rFonts w:eastAsia="Calibri" w:cs="Times New Roman"/>
                <w:color w:val="000000"/>
                <w:sz w:val="20"/>
                <w:szCs w:val="20"/>
              </w:rPr>
            </w:pPr>
            <w:r w:rsidRPr="00EE4B7A">
              <w:rPr>
                <w:rFonts w:eastAsia="Calibri" w:cs="Times New Roman"/>
                <w:color w:val="000000"/>
                <w:sz w:val="20"/>
                <w:szCs w:val="20"/>
              </w:rPr>
              <w:t>Odvody SR spolu bez tradičných vlastných zdrojov</w:t>
            </w:r>
          </w:p>
        </w:tc>
        <w:tc>
          <w:tcPr>
            <w:tcW w:w="654" w:type="pct"/>
            <w:tcBorders>
              <w:top w:val="nil"/>
              <w:left w:val="nil"/>
              <w:bottom w:val="single" w:sz="4" w:space="0" w:color="auto"/>
              <w:right w:val="single" w:sz="4" w:space="0" w:color="auto"/>
            </w:tcBorders>
            <w:shd w:val="clear" w:color="000000" w:fill="FFFFFF"/>
            <w:vAlign w:val="center"/>
            <w:hideMark/>
          </w:tcPr>
          <w:p w14:paraId="564C07EA"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731 424</w:t>
            </w:r>
          </w:p>
        </w:tc>
        <w:tc>
          <w:tcPr>
            <w:tcW w:w="637" w:type="pct"/>
            <w:tcBorders>
              <w:top w:val="nil"/>
              <w:left w:val="nil"/>
              <w:bottom w:val="single" w:sz="4" w:space="0" w:color="auto"/>
              <w:right w:val="single" w:sz="4" w:space="0" w:color="auto"/>
            </w:tcBorders>
            <w:shd w:val="clear" w:color="000000" w:fill="FFFFFF"/>
            <w:vAlign w:val="center"/>
            <w:hideMark/>
          </w:tcPr>
          <w:p w14:paraId="3DD88AC1"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839 668</w:t>
            </w:r>
          </w:p>
        </w:tc>
        <w:tc>
          <w:tcPr>
            <w:tcW w:w="645" w:type="pct"/>
            <w:tcBorders>
              <w:top w:val="nil"/>
              <w:left w:val="nil"/>
              <w:bottom w:val="single" w:sz="4" w:space="0" w:color="auto"/>
              <w:right w:val="single" w:sz="4" w:space="0" w:color="auto"/>
            </w:tcBorders>
            <w:shd w:val="clear" w:color="000000" w:fill="FFFFFF"/>
            <w:vAlign w:val="center"/>
            <w:hideMark/>
          </w:tcPr>
          <w:p w14:paraId="374FD36C"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913 641</w:t>
            </w:r>
          </w:p>
        </w:tc>
        <w:tc>
          <w:tcPr>
            <w:tcW w:w="645" w:type="pct"/>
            <w:tcBorders>
              <w:top w:val="nil"/>
              <w:left w:val="nil"/>
              <w:bottom w:val="single" w:sz="4" w:space="0" w:color="auto"/>
              <w:right w:val="single" w:sz="4" w:space="0" w:color="auto"/>
            </w:tcBorders>
            <w:shd w:val="clear" w:color="000000" w:fill="FFFFFF"/>
            <w:vAlign w:val="center"/>
            <w:hideMark/>
          </w:tcPr>
          <w:p w14:paraId="0C6EB0C0"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73 973</w:t>
            </w:r>
          </w:p>
        </w:tc>
        <w:tc>
          <w:tcPr>
            <w:tcW w:w="642" w:type="pct"/>
            <w:tcBorders>
              <w:top w:val="nil"/>
              <w:left w:val="nil"/>
              <w:bottom w:val="single" w:sz="4" w:space="0" w:color="auto"/>
              <w:right w:val="single" w:sz="4" w:space="0" w:color="auto"/>
            </w:tcBorders>
            <w:shd w:val="clear" w:color="000000" w:fill="FFFFFF"/>
            <w:vAlign w:val="center"/>
            <w:hideMark/>
          </w:tcPr>
          <w:p w14:paraId="0D7F796A" w14:textId="77777777" w:rsidR="00E1733A" w:rsidRPr="00EE4B7A" w:rsidRDefault="00E1733A" w:rsidP="00DA1D69">
            <w:pPr>
              <w:jc w:val="center"/>
              <w:rPr>
                <w:rFonts w:eastAsia="Calibri" w:cs="Times New Roman"/>
                <w:color w:val="000000"/>
                <w:sz w:val="20"/>
                <w:szCs w:val="20"/>
              </w:rPr>
            </w:pPr>
            <w:r w:rsidRPr="00EE4B7A">
              <w:rPr>
                <w:rFonts w:eastAsia="Calibri" w:cs="Times New Roman"/>
                <w:color w:val="000000"/>
                <w:sz w:val="20"/>
                <w:szCs w:val="20"/>
              </w:rPr>
              <w:t>108,8</w:t>
            </w:r>
          </w:p>
        </w:tc>
      </w:tr>
      <w:tr w:rsidR="00E1733A" w:rsidRPr="00EE4B7A" w14:paraId="5DE70923"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FFFFFF"/>
            <w:vAlign w:val="center"/>
            <w:hideMark/>
          </w:tcPr>
          <w:p w14:paraId="2F3D55CC" w14:textId="77777777" w:rsidR="00E1733A" w:rsidRPr="00EE4B7A" w:rsidRDefault="00E1733A" w:rsidP="00DA1D69">
            <w:pPr>
              <w:rPr>
                <w:rFonts w:eastAsia="Calibri" w:cs="Times New Roman"/>
                <w:color w:val="000000"/>
                <w:sz w:val="20"/>
                <w:szCs w:val="20"/>
              </w:rPr>
            </w:pPr>
            <w:r w:rsidRPr="00EE4B7A">
              <w:rPr>
                <w:rFonts w:eastAsia="Calibri" w:cs="Times New Roman"/>
                <w:color w:val="000000"/>
                <w:sz w:val="20"/>
                <w:szCs w:val="20"/>
              </w:rPr>
              <w:t>Tradičné vlastné zdroje</w:t>
            </w:r>
          </w:p>
        </w:tc>
        <w:tc>
          <w:tcPr>
            <w:tcW w:w="654" w:type="pct"/>
            <w:tcBorders>
              <w:top w:val="nil"/>
              <w:left w:val="nil"/>
              <w:bottom w:val="single" w:sz="4" w:space="0" w:color="auto"/>
              <w:right w:val="single" w:sz="4" w:space="0" w:color="auto"/>
            </w:tcBorders>
            <w:shd w:val="clear" w:color="000000" w:fill="FFFFFF"/>
            <w:vAlign w:val="center"/>
            <w:hideMark/>
          </w:tcPr>
          <w:p w14:paraId="5F11459B"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93 385</w:t>
            </w:r>
          </w:p>
        </w:tc>
        <w:tc>
          <w:tcPr>
            <w:tcW w:w="637" w:type="pct"/>
            <w:tcBorders>
              <w:top w:val="nil"/>
              <w:left w:val="nil"/>
              <w:bottom w:val="single" w:sz="4" w:space="0" w:color="auto"/>
              <w:right w:val="single" w:sz="4" w:space="0" w:color="auto"/>
            </w:tcBorders>
            <w:shd w:val="clear" w:color="000000" w:fill="FFFFFF"/>
            <w:vAlign w:val="center"/>
            <w:hideMark/>
          </w:tcPr>
          <w:p w14:paraId="34A824A0"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96 311</w:t>
            </w:r>
          </w:p>
        </w:tc>
        <w:tc>
          <w:tcPr>
            <w:tcW w:w="645" w:type="pct"/>
            <w:tcBorders>
              <w:top w:val="nil"/>
              <w:left w:val="nil"/>
              <w:bottom w:val="single" w:sz="4" w:space="0" w:color="auto"/>
              <w:right w:val="single" w:sz="4" w:space="0" w:color="auto"/>
            </w:tcBorders>
            <w:shd w:val="clear" w:color="000000" w:fill="FFFFFF"/>
            <w:vAlign w:val="center"/>
            <w:hideMark/>
          </w:tcPr>
          <w:p w14:paraId="3191D562"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107 700</w:t>
            </w:r>
          </w:p>
        </w:tc>
        <w:tc>
          <w:tcPr>
            <w:tcW w:w="645" w:type="pct"/>
            <w:tcBorders>
              <w:top w:val="nil"/>
              <w:left w:val="nil"/>
              <w:bottom w:val="single" w:sz="4" w:space="0" w:color="auto"/>
              <w:right w:val="single" w:sz="4" w:space="0" w:color="auto"/>
            </w:tcBorders>
            <w:shd w:val="clear" w:color="000000" w:fill="FFFFFF"/>
            <w:vAlign w:val="center"/>
            <w:hideMark/>
          </w:tcPr>
          <w:p w14:paraId="42B3E07A" w14:textId="77777777" w:rsidR="00E1733A" w:rsidRPr="00EE4B7A" w:rsidRDefault="00E1733A" w:rsidP="00DA1D69">
            <w:pPr>
              <w:jc w:val="right"/>
              <w:rPr>
                <w:rFonts w:eastAsia="Calibri" w:cs="Times New Roman"/>
                <w:color w:val="000000"/>
                <w:sz w:val="20"/>
                <w:szCs w:val="20"/>
              </w:rPr>
            </w:pPr>
            <w:r w:rsidRPr="00EE4B7A">
              <w:rPr>
                <w:rFonts w:eastAsia="Calibri" w:cs="Times New Roman"/>
                <w:color w:val="000000"/>
                <w:sz w:val="20"/>
                <w:szCs w:val="20"/>
              </w:rPr>
              <w:t>11 389</w:t>
            </w:r>
          </w:p>
        </w:tc>
        <w:tc>
          <w:tcPr>
            <w:tcW w:w="642" w:type="pct"/>
            <w:tcBorders>
              <w:top w:val="nil"/>
              <w:left w:val="nil"/>
              <w:bottom w:val="single" w:sz="4" w:space="0" w:color="auto"/>
              <w:right w:val="single" w:sz="4" w:space="0" w:color="auto"/>
            </w:tcBorders>
            <w:shd w:val="clear" w:color="000000" w:fill="FFFFFF"/>
            <w:vAlign w:val="center"/>
            <w:hideMark/>
          </w:tcPr>
          <w:p w14:paraId="09B773ED" w14:textId="77777777" w:rsidR="00E1733A" w:rsidRPr="00EE4B7A" w:rsidRDefault="00E1733A" w:rsidP="00DA1D69">
            <w:pPr>
              <w:jc w:val="center"/>
              <w:rPr>
                <w:rFonts w:eastAsia="Calibri" w:cs="Times New Roman"/>
                <w:color w:val="000000"/>
                <w:sz w:val="20"/>
                <w:szCs w:val="20"/>
              </w:rPr>
            </w:pPr>
            <w:r w:rsidRPr="00EE4B7A">
              <w:rPr>
                <w:rFonts w:eastAsia="Calibri" w:cs="Times New Roman"/>
                <w:color w:val="000000"/>
                <w:sz w:val="20"/>
                <w:szCs w:val="20"/>
              </w:rPr>
              <w:t>111,8</w:t>
            </w:r>
          </w:p>
        </w:tc>
      </w:tr>
      <w:tr w:rsidR="00E1733A" w:rsidRPr="00EE4B7A" w14:paraId="0294AAA0"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EDEDED"/>
            <w:vAlign w:val="center"/>
            <w:hideMark/>
          </w:tcPr>
          <w:p w14:paraId="03566CD8" w14:textId="77777777" w:rsidR="00E1733A" w:rsidRPr="00EE4B7A" w:rsidRDefault="00E1733A" w:rsidP="00DA1D69">
            <w:pPr>
              <w:rPr>
                <w:rFonts w:eastAsia="Calibri" w:cs="Times New Roman"/>
                <w:b/>
                <w:bCs/>
                <w:i/>
                <w:iCs/>
                <w:color w:val="000000"/>
                <w:sz w:val="20"/>
                <w:szCs w:val="20"/>
              </w:rPr>
            </w:pPr>
            <w:r w:rsidRPr="00EE4B7A">
              <w:rPr>
                <w:rFonts w:eastAsia="Calibri" w:cs="Times New Roman"/>
                <w:b/>
                <w:bCs/>
                <w:i/>
                <w:iCs/>
                <w:color w:val="000000"/>
                <w:sz w:val="20"/>
                <w:szCs w:val="20"/>
              </w:rPr>
              <w:t>Odvody do rozpočtu EÚ spolu</w:t>
            </w:r>
          </w:p>
        </w:tc>
        <w:tc>
          <w:tcPr>
            <w:tcW w:w="654" w:type="pct"/>
            <w:tcBorders>
              <w:top w:val="nil"/>
              <w:left w:val="nil"/>
              <w:bottom w:val="single" w:sz="4" w:space="0" w:color="auto"/>
              <w:right w:val="single" w:sz="4" w:space="0" w:color="auto"/>
            </w:tcBorders>
            <w:shd w:val="clear" w:color="000000" w:fill="EDEDED"/>
            <w:vAlign w:val="center"/>
            <w:hideMark/>
          </w:tcPr>
          <w:p w14:paraId="259A47E1"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824 809</w:t>
            </w:r>
          </w:p>
        </w:tc>
        <w:tc>
          <w:tcPr>
            <w:tcW w:w="637" w:type="pct"/>
            <w:tcBorders>
              <w:top w:val="nil"/>
              <w:left w:val="nil"/>
              <w:bottom w:val="single" w:sz="4" w:space="0" w:color="auto"/>
              <w:right w:val="single" w:sz="4" w:space="0" w:color="auto"/>
            </w:tcBorders>
            <w:shd w:val="clear" w:color="000000" w:fill="EDEDED"/>
            <w:vAlign w:val="center"/>
            <w:hideMark/>
          </w:tcPr>
          <w:p w14:paraId="2AC43910"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935 979</w:t>
            </w:r>
          </w:p>
        </w:tc>
        <w:tc>
          <w:tcPr>
            <w:tcW w:w="645" w:type="pct"/>
            <w:tcBorders>
              <w:top w:val="nil"/>
              <w:left w:val="nil"/>
              <w:bottom w:val="single" w:sz="4" w:space="0" w:color="auto"/>
              <w:right w:val="single" w:sz="4" w:space="0" w:color="auto"/>
            </w:tcBorders>
            <w:shd w:val="clear" w:color="000000" w:fill="EDEDED"/>
            <w:vAlign w:val="center"/>
            <w:hideMark/>
          </w:tcPr>
          <w:p w14:paraId="44CDE8BD"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1 021 341</w:t>
            </w:r>
          </w:p>
        </w:tc>
        <w:tc>
          <w:tcPr>
            <w:tcW w:w="645" w:type="pct"/>
            <w:tcBorders>
              <w:top w:val="nil"/>
              <w:left w:val="nil"/>
              <w:bottom w:val="single" w:sz="4" w:space="0" w:color="auto"/>
              <w:right w:val="single" w:sz="4" w:space="0" w:color="auto"/>
            </w:tcBorders>
            <w:shd w:val="clear" w:color="000000" w:fill="EDEDED"/>
            <w:vAlign w:val="center"/>
            <w:hideMark/>
          </w:tcPr>
          <w:p w14:paraId="2A6670E7"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85 362</w:t>
            </w:r>
          </w:p>
        </w:tc>
        <w:tc>
          <w:tcPr>
            <w:tcW w:w="642" w:type="pct"/>
            <w:tcBorders>
              <w:top w:val="nil"/>
              <w:left w:val="nil"/>
              <w:bottom w:val="single" w:sz="4" w:space="0" w:color="auto"/>
              <w:right w:val="single" w:sz="4" w:space="0" w:color="auto"/>
            </w:tcBorders>
            <w:shd w:val="clear" w:color="000000" w:fill="EDEDED"/>
            <w:vAlign w:val="center"/>
            <w:hideMark/>
          </w:tcPr>
          <w:p w14:paraId="37062A61" w14:textId="77777777" w:rsidR="00E1733A" w:rsidRPr="00EE4B7A" w:rsidRDefault="00E1733A" w:rsidP="00DA1D69">
            <w:pPr>
              <w:jc w:val="center"/>
              <w:rPr>
                <w:rFonts w:eastAsia="Calibri" w:cs="Times New Roman"/>
                <w:b/>
                <w:bCs/>
                <w:i/>
                <w:iCs/>
                <w:color w:val="000000"/>
                <w:sz w:val="20"/>
                <w:szCs w:val="20"/>
              </w:rPr>
            </w:pPr>
            <w:r w:rsidRPr="00EE4B7A">
              <w:rPr>
                <w:rFonts w:eastAsia="Calibri" w:cs="Times New Roman"/>
                <w:b/>
                <w:bCs/>
                <w:i/>
                <w:iCs/>
                <w:color w:val="000000"/>
                <w:sz w:val="20"/>
                <w:szCs w:val="20"/>
              </w:rPr>
              <w:t>109,1</w:t>
            </w:r>
          </w:p>
        </w:tc>
      </w:tr>
      <w:tr w:rsidR="00E1733A" w:rsidRPr="00EE4B7A" w14:paraId="527D26A3"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EDEDED"/>
            <w:vAlign w:val="center"/>
            <w:hideMark/>
          </w:tcPr>
          <w:p w14:paraId="1C62785F" w14:textId="77777777" w:rsidR="00E1733A" w:rsidRPr="00EE4B7A" w:rsidRDefault="00E1733A" w:rsidP="00DA1D69">
            <w:pPr>
              <w:rPr>
                <w:rFonts w:eastAsia="Calibri" w:cs="Times New Roman"/>
                <w:b/>
                <w:bCs/>
                <w:i/>
                <w:iCs/>
                <w:color w:val="000000"/>
                <w:sz w:val="20"/>
                <w:szCs w:val="20"/>
              </w:rPr>
            </w:pPr>
            <w:r w:rsidRPr="00EE4B7A">
              <w:rPr>
                <w:rFonts w:eastAsia="Calibri" w:cs="Times New Roman"/>
                <w:b/>
                <w:bCs/>
                <w:i/>
                <w:iCs/>
                <w:color w:val="000000"/>
                <w:sz w:val="20"/>
                <w:szCs w:val="20"/>
              </w:rPr>
              <w:t>Príspevky SR do Európskeho rozvojového fondu</w:t>
            </w:r>
          </w:p>
        </w:tc>
        <w:tc>
          <w:tcPr>
            <w:tcW w:w="654" w:type="pct"/>
            <w:tcBorders>
              <w:top w:val="nil"/>
              <w:left w:val="nil"/>
              <w:bottom w:val="single" w:sz="4" w:space="0" w:color="auto"/>
              <w:right w:val="single" w:sz="4" w:space="0" w:color="auto"/>
            </w:tcBorders>
            <w:shd w:val="clear" w:color="000000" w:fill="EDEDED"/>
            <w:vAlign w:val="center"/>
            <w:hideMark/>
          </w:tcPr>
          <w:p w14:paraId="08B0897E"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16 512</w:t>
            </w:r>
          </w:p>
        </w:tc>
        <w:tc>
          <w:tcPr>
            <w:tcW w:w="637" w:type="pct"/>
            <w:tcBorders>
              <w:top w:val="nil"/>
              <w:left w:val="nil"/>
              <w:bottom w:val="single" w:sz="4" w:space="0" w:color="auto"/>
              <w:right w:val="single" w:sz="4" w:space="0" w:color="auto"/>
            </w:tcBorders>
            <w:shd w:val="clear" w:color="000000" w:fill="EDEDED"/>
            <w:vAlign w:val="center"/>
            <w:hideMark/>
          </w:tcPr>
          <w:p w14:paraId="77975AFF"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17 934</w:t>
            </w:r>
          </w:p>
        </w:tc>
        <w:tc>
          <w:tcPr>
            <w:tcW w:w="645" w:type="pct"/>
            <w:tcBorders>
              <w:top w:val="nil"/>
              <w:left w:val="nil"/>
              <w:bottom w:val="single" w:sz="4" w:space="0" w:color="auto"/>
              <w:right w:val="single" w:sz="4" w:space="0" w:color="auto"/>
            </w:tcBorders>
            <w:shd w:val="clear" w:color="000000" w:fill="EDEDED"/>
            <w:vAlign w:val="center"/>
            <w:hideMark/>
          </w:tcPr>
          <w:p w14:paraId="048AD9A2"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17 933</w:t>
            </w:r>
          </w:p>
        </w:tc>
        <w:tc>
          <w:tcPr>
            <w:tcW w:w="645" w:type="pct"/>
            <w:tcBorders>
              <w:top w:val="nil"/>
              <w:left w:val="nil"/>
              <w:bottom w:val="single" w:sz="4" w:space="0" w:color="auto"/>
              <w:right w:val="single" w:sz="4" w:space="0" w:color="auto"/>
            </w:tcBorders>
            <w:shd w:val="clear" w:color="000000" w:fill="EDEDED"/>
            <w:vAlign w:val="center"/>
            <w:hideMark/>
          </w:tcPr>
          <w:p w14:paraId="5DCBCC07" w14:textId="77777777" w:rsidR="00E1733A" w:rsidRPr="00EE4B7A" w:rsidRDefault="00E1733A" w:rsidP="00DA1D69">
            <w:pPr>
              <w:jc w:val="right"/>
              <w:rPr>
                <w:rFonts w:eastAsia="Calibri" w:cs="Times New Roman"/>
                <w:b/>
                <w:bCs/>
                <w:i/>
                <w:iCs/>
                <w:color w:val="000000"/>
                <w:sz w:val="20"/>
                <w:szCs w:val="20"/>
              </w:rPr>
            </w:pPr>
            <w:r w:rsidRPr="00EE4B7A">
              <w:rPr>
                <w:rFonts w:eastAsia="Calibri" w:cs="Times New Roman"/>
                <w:b/>
                <w:bCs/>
                <w:i/>
                <w:iCs/>
                <w:color w:val="000000"/>
                <w:sz w:val="20"/>
                <w:szCs w:val="20"/>
              </w:rPr>
              <w:t>-1</w:t>
            </w:r>
          </w:p>
        </w:tc>
        <w:tc>
          <w:tcPr>
            <w:tcW w:w="642" w:type="pct"/>
            <w:tcBorders>
              <w:top w:val="nil"/>
              <w:left w:val="nil"/>
              <w:bottom w:val="single" w:sz="4" w:space="0" w:color="auto"/>
              <w:right w:val="single" w:sz="4" w:space="0" w:color="auto"/>
            </w:tcBorders>
            <w:shd w:val="clear" w:color="000000" w:fill="EDEDED"/>
            <w:vAlign w:val="center"/>
            <w:hideMark/>
          </w:tcPr>
          <w:p w14:paraId="6E5F20E0" w14:textId="77777777" w:rsidR="00E1733A" w:rsidRPr="00EE4B7A" w:rsidRDefault="00E1733A" w:rsidP="00DA1D69">
            <w:pPr>
              <w:jc w:val="center"/>
              <w:rPr>
                <w:rFonts w:eastAsia="Calibri" w:cs="Times New Roman"/>
                <w:b/>
                <w:bCs/>
                <w:i/>
                <w:iCs/>
                <w:color w:val="000000"/>
                <w:sz w:val="20"/>
                <w:szCs w:val="20"/>
              </w:rPr>
            </w:pPr>
            <w:r w:rsidRPr="00EE4B7A">
              <w:rPr>
                <w:rFonts w:eastAsia="Calibri" w:cs="Times New Roman"/>
                <w:b/>
                <w:bCs/>
                <w:i/>
                <w:iCs/>
                <w:color w:val="000000"/>
                <w:sz w:val="20"/>
                <w:szCs w:val="20"/>
              </w:rPr>
              <w:t>100,0</w:t>
            </w:r>
          </w:p>
        </w:tc>
      </w:tr>
      <w:tr w:rsidR="00E1733A" w:rsidRPr="00EE4B7A" w14:paraId="6AA8EBCC"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D9E1F2"/>
            <w:vAlign w:val="center"/>
            <w:hideMark/>
          </w:tcPr>
          <w:p w14:paraId="26401F65" w14:textId="77777777" w:rsidR="00E1733A" w:rsidRPr="00EE4B7A" w:rsidRDefault="00E1733A" w:rsidP="00DA1D69">
            <w:pPr>
              <w:rPr>
                <w:rFonts w:eastAsia="Calibri" w:cs="Times New Roman"/>
                <w:b/>
                <w:bCs/>
                <w:color w:val="000000"/>
                <w:sz w:val="20"/>
                <w:szCs w:val="20"/>
              </w:rPr>
            </w:pPr>
            <w:r w:rsidRPr="00EE4B7A">
              <w:rPr>
                <w:rFonts w:eastAsia="Calibri" w:cs="Times New Roman"/>
                <w:b/>
                <w:bCs/>
                <w:color w:val="000000"/>
                <w:sz w:val="20"/>
                <w:szCs w:val="20"/>
              </w:rPr>
              <w:t xml:space="preserve">Spolu odvody a príspevky SR do všeobecného rozpočtu EÚ </w:t>
            </w:r>
          </w:p>
        </w:tc>
        <w:tc>
          <w:tcPr>
            <w:tcW w:w="654" w:type="pct"/>
            <w:tcBorders>
              <w:top w:val="nil"/>
              <w:left w:val="nil"/>
              <w:bottom w:val="single" w:sz="4" w:space="0" w:color="auto"/>
              <w:right w:val="single" w:sz="4" w:space="0" w:color="auto"/>
            </w:tcBorders>
            <w:shd w:val="clear" w:color="000000" w:fill="D9E1F2"/>
            <w:vAlign w:val="center"/>
            <w:hideMark/>
          </w:tcPr>
          <w:p w14:paraId="050139EA"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841 320</w:t>
            </w:r>
          </w:p>
        </w:tc>
        <w:tc>
          <w:tcPr>
            <w:tcW w:w="637" w:type="pct"/>
            <w:tcBorders>
              <w:top w:val="nil"/>
              <w:left w:val="nil"/>
              <w:bottom w:val="single" w:sz="4" w:space="0" w:color="auto"/>
              <w:right w:val="single" w:sz="4" w:space="0" w:color="auto"/>
            </w:tcBorders>
            <w:shd w:val="clear" w:color="000000" w:fill="D9E1F2"/>
            <w:vAlign w:val="center"/>
            <w:hideMark/>
          </w:tcPr>
          <w:p w14:paraId="1B177FC8"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953 913</w:t>
            </w:r>
          </w:p>
        </w:tc>
        <w:tc>
          <w:tcPr>
            <w:tcW w:w="645" w:type="pct"/>
            <w:tcBorders>
              <w:top w:val="nil"/>
              <w:left w:val="nil"/>
              <w:bottom w:val="single" w:sz="4" w:space="0" w:color="auto"/>
              <w:right w:val="single" w:sz="4" w:space="0" w:color="auto"/>
            </w:tcBorders>
            <w:shd w:val="clear" w:color="000000" w:fill="D9E1F2"/>
            <w:vAlign w:val="center"/>
            <w:hideMark/>
          </w:tcPr>
          <w:p w14:paraId="6F8DD0DA"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1 039 274</w:t>
            </w:r>
          </w:p>
        </w:tc>
        <w:tc>
          <w:tcPr>
            <w:tcW w:w="645" w:type="pct"/>
            <w:tcBorders>
              <w:top w:val="nil"/>
              <w:left w:val="nil"/>
              <w:bottom w:val="single" w:sz="4" w:space="0" w:color="auto"/>
              <w:right w:val="single" w:sz="4" w:space="0" w:color="auto"/>
            </w:tcBorders>
            <w:shd w:val="clear" w:color="000000" w:fill="D9E1F2"/>
            <w:vAlign w:val="center"/>
            <w:hideMark/>
          </w:tcPr>
          <w:p w14:paraId="2E923A0D"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85 361</w:t>
            </w:r>
          </w:p>
        </w:tc>
        <w:tc>
          <w:tcPr>
            <w:tcW w:w="642" w:type="pct"/>
            <w:tcBorders>
              <w:top w:val="nil"/>
              <w:left w:val="nil"/>
              <w:bottom w:val="single" w:sz="4" w:space="0" w:color="auto"/>
              <w:right w:val="single" w:sz="4" w:space="0" w:color="auto"/>
            </w:tcBorders>
            <w:shd w:val="clear" w:color="000000" w:fill="D9E1F2"/>
            <w:vAlign w:val="center"/>
            <w:hideMark/>
          </w:tcPr>
          <w:p w14:paraId="3AC9CC21" w14:textId="77777777" w:rsidR="00E1733A" w:rsidRPr="00EE4B7A" w:rsidRDefault="00E1733A" w:rsidP="00DA1D69">
            <w:pPr>
              <w:jc w:val="center"/>
              <w:rPr>
                <w:rFonts w:eastAsia="Calibri" w:cs="Times New Roman"/>
                <w:b/>
                <w:bCs/>
                <w:color w:val="000000"/>
                <w:sz w:val="20"/>
                <w:szCs w:val="20"/>
              </w:rPr>
            </w:pPr>
            <w:r w:rsidRPr="00EE4B7A">
              <w:rPr>
                <w:rFonts w:eastAsia="Calibri" w:cs="Times New Roman"/>
                <w:b/>
                <w:bCs/>
                <w:color w:val="000000"/>
                <w:sz w:val="20"/>
                <w:szCs w:val="20"/>
              </w:rPr>
              <w:t>108,9</w:t>
            </w:r>
          </w:p>
        </w:tc>
      </w:tr>
      <w:tr w:rsidR="00E1733A" w:rsidRPr="00EE4B7A" w14:paraId="2ED61976" w14:textId="77777777" w:rsidTr="00DA1D69">
        <w:trPr>
          <w:trHeight w:val="20"/>
        </w:trPr>
        <w:tc>
          <w:tcPr>
            <w:tcW w:w="1777" w:type="pct"/>
            <w:tcBorders>
              <w:top w:val="nil"/>
              <w:left w:val="single" w:sz="4" w:space="0" w:color="auto"/>
              <w:bottom w:val="single" w:sz="4" w:space="0" w:color="auto"/>
              <w:right w:val="single" w:sz="4" w:space="0" w:color="auto"/>
            </w:tcBorders>
            <w:shd w:val="clear" w:color="000000" w:fill="D9D9D9"/>
            <w:vAlign w:val="center"/>
            <w:hideMark/>
          </w:tcPr>
          <w:p w14:paraId="6D6ADAD5" w14:textId="77777777" w:rsidR="00E1733A" w:rsidRPr="00EE4B7A" w:rsidRDefault="00E1733A" w:rsidP="00DA1D69">
            <w:pPr>
              <w:rPr>
                <w:rFonts w:eastAsia="Calibri" w:cs="Times New Roman"/>
                <w:b/>
                <w:bCs/>
                <w:color w:val="000000"/>
                <w:sz w:val="20"/>
                <w:szCs w:val="20"/>
              </w:rPr>
            </w:pPr>
            <w:r w:rsidRPr="00EE4B7A">
              <w:rPr>
                <w:rFonts w:eastAsia="Calibri" w:cs="Times New Roman"/>
                <w:b/>
                <w:bCs/>
                <w:color w:val="000000"/>
                <w:sz w:val="20"/>
                <w:szCs w:val="20"/>
              </w:rPr>
              <w:t>Čistá finančná pozícia</w:t>
            </w:r>
          </w:p>
        </w:tc>
        <w:tc>
          <w:tcPr>
            <w:tcW w:w="654" w:type="pct"/>
            <w:tcBorders>
              <w:top w:val="nil"/>
              <w:left w:val="nil"/>
              <w:bottom w:val="single" w:sz="4" w:space="0" w:color="auto"/>
              <w:right w:val="single" w:sz="4" w:space="0" w:color="auto"/>
            </w:tcBorders>
            <w:shd w:val="clear" w:color="000000" w:fill="D9D9D9"/>
            <w:vAlign w:val="center"/>
            <w:hideMark/>
          </w:tcPr>
          <w:p w14:paraId="375A0288"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1 328 411</w:t>
            </w:r>
          </w:p>
        </w:tc>
        <w:tc>
          <w:tcPr>
            <w:tcW w:w="637" w:type="pct"/>
            <w:tcBorders>
              <w:top w:val="nil"/>
              <w:left w:val="nil"/>
              <w:bottom w:val="single" w:sz="4" w:space="0" w:color="auto"/>
              <w:right w:val="single" w:sz="4" w:space="0" w:color="auto"/>
            </w:tcBorders>
            <w:shd w:val="clear" w:color="000000" w:fill="D9D9D9"/>
            <w:vAlign w:val="center"/>
            <w:hideMark/>
          </w:tcPr>
          <w:p w14:paraId="131FFDA4"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818 590</w:t>
            </w:r>
          </w:p>
        </w:tc>
        <w:tc>
          <w:tcPr>
            <w:tcW w:w="645" w:type="pct"/>
            <w:tcBorders>
              <w:top w:val="nil"/>
              <w:left w:val="nil"/>
              <w:bottom w:val="single" w:sz="4" w:space="0" w:color="auto"/>
              <w:right w:val="single" w:sz="4" w:space="0" w:color="auto"/>
            </w:tcBorders>
            <w:shd w:val="clear" w:color="000000" w:fill="D9D9D9"/>
            <w:vAlign w:val="center"/>
            <w:hideMark/>
          </w:tcPr>
          <w:p w14:paraId="4D523513"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756 086</w:t>
            </w:r>
          </w:p>
        </w:tc>
        <w:tc>
          <w:tcPr>
            <w:tcW w:w="645" w:type="pct"/>
            <w:tcBorders>
              <w:top w:val="nil"/>
              <w:left w:val="nil"/>
              <w:bottom w:val="single" w:sz="4" w:space="0" w:color="auto"/>
              <w:right w:val="single" w:sz="4" w:space="0" w:color="auto"/>
            </w:tcBorders>
            <w:shd w:val="clear" w:color="000000" w:fill="D9D9D9"/>
            <w:vAlign w:val="center"/>
            <w:hideMark/>
          </w:tcPr>
          <w:p w14:paraId="65CAF217" w14:textId="77777777" w:rsidR="00E1733A" w:rsidRPr="00EE4B7A" w:rsidRDefault="00E1733A" w:rsidP="00DA1D69">
            <w:pPr>
              <w:jc w:val="right"/>
              <w:rPr>
                <w:rFonts w:eastAsia="Calibri" w:cs="Times New Roman"/>
                <w:b/>
                <w:bCs/>
                <w:color w:val="000000"/>
                <w:sz w:val="20"/>
                <w:szCs w:val="20"/>
              </w:rPr>
            </w:pPr>
            <w:r w:rsidRPr="00EE4B7A">
              <w:rPr>
                <w:rFonts w:eastAsia="Calibri" w:cs="Times New Roman"/>
                <w:b/>
                <w:bCs/>
                <w:color w:val="000000"/>
                <w:sz w:val="20"/>
                <w:szCs w:val="20"/>
              </w:rPr>
              <w:t>-62 504</w:t>
            </w:r>
          </w:p>
        </w:tc>
        <w:tc>
          <w:tcPr>
            <w:tcW w:w="642" w:type="pct"/>
            <w:tcBorders>
              <w:top w:val="nil"/>
              <w:left w:val="nil"/>
              <w:bottom w:val="single" w:sz="4" w:space="0" w:color="auto"/>
              <w:right w:val="single" w:sz="4" w:space="0" w:color="auto"/>
            </w:tcBorders>
            <w:shd w:val="clear" w:color="000000" w:fill="D9D9D9"/>
            <w:vAlign w:val="center"/>
            <w:hideMark/>
          </w:tcPr>
          <w:p w14:paraId="35B6548B" w14:textId="77777777" w:rsidR="00E1733A" w:rsidRPr="00EE4B7A" w:rsidRDefault="00E1733A" w:rsidP="00DA1D69">
            <w:pPr>
              <w:jc w:val="center"/>
              <w:rPr>
                <w:rFonts w:eastAsia="Calibri" w:cs="Times New Roman"/>
                <w:b/>
                <w:bCs/>
                <w:color w:val="000000"/>
                <w:sz w:val="20"/>
                <w:szCs w:val="20"/>
              </w:rPr>
            </w:pPr>
            <w:r w:rsidRPr="00EE4B7A">
              <w:rPr>
                <w:rFonts w:eastAsia="Calibri" w:cs="Times New Roman"/>
                <w:b/>
                <w:bCs/>
                <w:color w:val="000000"/>
                <w:sz w:val="20"/>
                <w:szCs w:val="20"/>
              </w:rPr>
              <w:t>92,4</w:t>
            </w:r>
          </w:p>
        </w:tc>
      </w:tr>
    </w:tbl>
    <w:p w14:paraId="669B89D9" w14:textId="77777777" w:rsidR="00E1733A" w:rsidRPr="005369DE" w:rsidRDefault="00E1733A" w:rsidP="00E1733A">
      <w:pPr>
        <w:autoSpaceDE w:val="0"/>
        <w:autoSpaceDN w:val="0"/>
        <w:adjustRightInd w:val="0"/>
        <w:spacing w:after="100" w:line="259" w:lineRule="auto"/>
        <w:jc w:val="both"/>
        <w:rPr>
          <w:rFonts w:eastAsia="Calibri" w:cs="Times New Roman"/>
          <w:i/>
          <w:sz w:val="18"/>
        </w:rPr>
      </w:pPr>
      <w:r w:rsidRPr="005369DE">
        <w:rPr>
          <w:rFonts w:eastAsia="Calibri" w:cs="Times New Roman"/>
          <w:i/>
          <w:sz w:val="18"/>
        </w:rPr>
        <w:t>Zdroj: Návrh RVS na roky 2020 až 2022</w:t>
      </w:r>
    </w:p>
    <w:p w14:paraId="78043CB2" w14:textId="77777777" w:rsidR="00E1733A" w:rsidRPr="00EE4B7A" w:rsidRDefault="00E1733A" w:rsidP="00E1733A">
      <w:pPr>
        <w:autoSpaceDE w:val="0"/>
        <w:autoSpaceDN w:val="0"/>
        <w:adjustRightInd w:val="0"/>
        <w:spacing w:before="120" w:after="120"/>
        <w:ind w:firstLine="709"/>
        <w:jc w:val="both"/>
        <w:rPr>
          <w:rFonts w:eastAsia="Calibri" w:cs="Times New Roman"/>
        </w:rPr>
      </w:pPr>
      <w:r w:rsidRPr="00EE4B7A">
        <w:rPr>
          <w:rFonts w:eastAsia="Calibri" w:cs="Times New Roman"/>
        </w:rPr>
        <w:t>Čistá finančná pozícia S</w:t>
      </w:r>
      <w:r>
        <w:rPr>
          <w:rFonts w:eastAsia="Calibri" w:cs="Times New Roman"/>
        </w:rPr>
        <w:t>R</w:t>
      </w:r>
      <w:r w:rsidRPr="00EE4B7A">
        <w:rPr>
          <w:rFonts w:eastAsia="Calibri" w:cs="Times New Roman"/>
        </w:rPr>
        <w:t xml:space="preserve"> vo vzťahu k EÚ je na rok 202</w:t>
      </w:r>
      <w:r>
        <w:rPr>
          <w:rFonts w:eastAsia="Calibri" w:cs="Times New Roman"/>
        </w:rPr>
        <w:t>0 rozpočtovaná vo výške 756 086 tis. </w:t>
      </w:r>
      <w:r w:rsidRPr="00EE4B7A">
        <w:rPr>
          <w:rFonts w:eastAsia="Calibri" w:cs="Times New Roman"/>
        </w:rPr>
        <w:t>eur, čo je oproti schválenému rozpočtu z roku 2019 pokles o 62 504 tis. eur, resp. o 7,6</w:t>
      </w:r>
      <w:r>
        <w:rPr>
          <w:rFonts w:eastAsia="Calibri" w:cs="Times New Roman"/>
        </w:rPr>
        <w:t xml:space="preserve"> </w:t>
      </w:r>
      <w:r w:rsidRPr="00EE4B7A">
        <w:rPr>
          <w:rFonts w:eastAsia="Calibri" w:cs="Times New Roman"/>
        </w:rPr>
        <w:t>%.</w:t>
      </w:r>
      <w:r>
        <w:rPr>
          <w:rFonts w:eastAsia="Calibri" w:cs="Times New Roman"/>
        </w:rPr>
        <w:t xml:space="preserve"> </w:t>
      </w:r>
      <w:r w:rsidRPr="00EE4B7A">
        <w:rPr>
          <w:rFonts w:eastAsia="Calibri" w:cs="Times New Roman"/>
        </w:rPr>
        <w:t>Nasledujúci graf znázorňuje</w:t>
      </w:r>
      <w:r>
        <w:rPr>
          <w:rFonts w:eastAsia="Calibri" w:cs="Times New Roman"/>
        </w:rPr>
        <w:t>,</w:t>
      </w:r>
      <w:r w:rsidRPr="00EE4B7A">
        <w:rPr>
          <w:rFonts w:eastAsia="Calibri" w:cs="Times New Roman"/>
        </w:rPr>
        <w:t xml:space="preserve"> ako sa od roku 2005 vyvíjala čistá finančná pozícia S</w:t>
      </w:r>
      <w:r>
        <w:rPr>
          <w:rFonts w:eastAsia="Calibri" w:cs="Times New Roman"/>
        </w:rPr>
        <w:t>R</w:t>
      </w:r>
      <w:r w:rsidRPr="00EE4B7A">
        <w:rPr>
          <w:rFonts w:eastAsia="Calibri" w:cs="Times New Roman"/>
        </w:rPr>
        <w:t xml:space="preserve">. Po roku 2015, v ktorom sa čerpalo nadpriemerné množstvo </w:t>
      </w:r>
      <w:r>
        <w:rPr>
          <w:rFonts w:eastAsia="Calibri" w:cs="Times New Roman"/>
        </w:rPr>
        <w:t>prostriedkov,</w:t>
      </w:r>
      <w:r w:rsidRPr="00EE4B7A">
        <w:rPr>
          <w:rFonts w:eastAsia="Calibri" w:cs="Times New Roman"/>
        </w:rPr>
        <w:t xml:space="preserve"> sa pozícia</w:t>
      </w:r>
      <w:r>
        <w:rPr>
          <w:rFonts w:eastAsia="Calibri" w:cs="Times New Roman"/>
        </w:rPr>
        <w:t xml:space="preserve"> SR ako</w:t>
      </w:r>
      <w:r w:rsidRPr="00EE4B7A">
        <w:rPr>
          <w:rFonts w:eastAsia="Calibri" w:cs="Times New Roman"/>
        </w:rPr>
        <w:t xml:space="preserve"> „čistého po</w:t>
      </w:r>
      <w:r>
        <w:rPr>
          <w:rFonts w:eastAsia="Calibri" w:cs="Times New Roman"/>
        </w:rPr>
        <w:t>berateľa“ pohybuje približne vo </w:t>
      </w:r>
      <w:r w:rsidRPr="00EE4B7A">
        <w:rPr>
          <w:rFonts w:eastAsia="Calibri" w:cs="Times New Roman"/>
        </w:rPr>
        <w:t>výške + 1 miliarda eur ročne.</w:t>
      </w:r>
    </w:p>
    <w:tbl>
      <w:tblPr>
        <w:tblStyle w:val="Mriekatabuk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1733A" w:rsidRPr="00EE4B7A" w14:paraId="789CB266" w14:textId="77777777" w:rsidTr="00DA1D69">
        <w:tc>
          <w:tcPr>
            <w:tcW w:w="9072" w:type="dxa"/>
            <w:tcBorders>
              <w:top w:val="single" w:sz="4" w:space="0" w:color="auto"/>
              <w:bottom w:val="single" w:sz="4" w:space="0" w:color="auto"/>
            </w:tcBorders>
            <w:shd w:val="clear" w:color="auto" w:fill="0070C0"/>
          </w:tcPr>
          <w:p w14:paraId="559963F6" w14:textId="1F4CBBAA" w:rsidR="00E1733A" w:rsidRPr="002114B4" w:rsidRDefault="00E1733A" w:rsidP="00DA1D69">
            <w:pPr>
              <w:rPr>
                <w:rFonts w:ascii="Arial Narrow" w:eastAsia="Calibri" w:hAnsi="Arial Narrow" w:cs="Times New Roman"/>
                <w:b/>
                <w:color w:val="FFFFFF"/>
                <w:sz w:val="20"/>
                <w:szCs w:val="20"/>
              </w:rPr>
            </w:pPr>
            <w:r w:rsidRPr="002114B4">
              <w:rPr>
                <w:rFonts w:ascii="Arial Narrow" w:eastAsia="Calibri" w:hAnsi="Arial Narrow" w:cs="Times New Roman"/>
                <w:b/>
                <w:bCs/>
                <w:color w:val="FFFFFF"/>
                <w:sz w:val="20"/>
                <w:szCs w:val="20"/>
              </w:rPr>
              <w:t>Čistá fin</w:t>
            </w:r>
            <w:r w:rsidR="00F7243F">
              <w:rPr>
                <w:rFonts w:ascii="Arial Narrow" w:eastAsia="Calibri" w:hAnsi="Arial Narrow" w:cs="Times New Roman"/>
                <w:b/>
                <w:bCs/>
                <w:color w:val="FFFFFF"/>
                <w:sz w:val="20"/>
                <w:szCs w:val="20"/>
              </w:rPr>
              <w:t>ančná pozícia SR v rokoch 2004 až</w:t>
            </w:r>
            <w:r w:rsidRPr="002114B4">
              <w:rPr>
                <w:rFonts w:ascii="Arial Narrow" w:eastAsia="Calibri" w:hAnsi="Arial Narrow" w:cs="Times New Roman"/>
                <w:b/>
                <w:bCs/>
                <w:color w:val="FFFFFF"/>
                <w:sz w:val="20"/>
                <w:szCs w:val="20"/>
              </w:rPr>
              <w:t xml:space="preserve"> 2018 (v mil. eur)</w:t>
            </w:r>
          </w:p>
        </w:tc>
      </w:tr>
    </w:tbl>
    <w:p w14:paraId="2E74F1AF" w14:textId="77777777" w:rsidR="00E1733A" w:rsidRDefault="00E1733A" w:rsidP="00962E27">
      <w:pPr>
        <w:spacing w:line="259" w:lineRule="auto"/>
        <w:rPr>
          <w:rFonts w:eastAsia="Calibri" w:cs="Times New Roman"/>
        </w:rPr>
      </w:pPr>
      <w:r w:rsidRPr="00EE4B7A">
        <w:rPr>
          <w:rFonts w:ascii="Times New Roman" w:eastAsia="Calibri" w:hAnsi="Times New Roman" w:cs="Times New Roman"/>
          <w:noProof/>
          <w:sz w:val="24"/>
          <w:lang w:eastAsia="sk-SK"/>
        </w:rPr>
        <w:drawing>
          <wp:inline distT="0" distB="0" distL="0" distR="0" wp14:anchorId="225806EF" wp14:editId="4B9695DA">
            <wp:extent cx="5669280" cy="1752600"/>
            <wp:effectExtent l="0" t="0" r="7620" b="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689F83" w14:textId="77777777" w:rsidR="00E1733A" w:rsidRPr="00AA6A86" w:rsidRDefault="00E1733A" w:rsidP="00E1733A">
      <w:pPr>
        <w:autoSpaceDE w:val="0"/>
        <w:autoSpaceDN w:val="0"/>
        <w:adjustRightInd w:val="0"/>
        <w:spacing w:after="120"/>
        <w:jc w:val="both"/>
        <w:rPr>
          <w:rFonts w:eastAsia="Calibri" w:cs="Bariol-Light"/>
          <w:i/>
          <w:color w:val="000000"/>
          <w:sz w:val="18"/>
          <w:szCs w:val="20"/>
        </w:rPr>
      </w:pPr>
      <w:r w:rsidRPr="00AA6A86">
        <w:rPr>
          <w:rFonts w:eastAsia="Calibri" w:cs="Bariol-Light"/>
          <w:i/>
          <w:color w:val="000000"/>
          <w:sz w:val="18"/>
          <w:szCs w:val="20"/>
        </w:rPr>
        <w:t>Zdroj: MF SR</w:t>
      </w:r>
    </w:p>
    <w:p w14:paraId="63BC55BB" w14:textId="5F9329DD" w:rsidR="00E1733A" w:rsidRPr="00EE4B7A" w:rsidRDefault="00E1733A" w:rsidP="00E1733A">
      <w:pPr>
        <w:autoSpaceDE w:val="0"/>
        <w:autoSpaceDN w:val="0"/>
        <w:adjustRightInd w:val="0"/>
        <w:jc w:val="both"/>
        <w:rPr>
          <w:rFonts w:eastAsia="Calibri" w:cs="Times New Roman"/>
          <w:b/>
          <w:color w:val="0070C0"/>
          <w:sz w:val="24"/>
        </w:rPr>
      </w:pPr>
      <w:r w:rsidRPr="00EE4B7A">
        <w:rPr>
          <w:rFonts w:eastAsia="Calibri" w:cs="Times New Roman"/>
          <w:b/>
          <w:color w:val="0070C0"/>
          <w:sz w:val="24"/>
        </w:rPr>
        <w:t>2. programové obdobie</w:t>
      </w:r>
    </w:p>
    <w:p w14:paraId="4B31CB69" w14:textId="6B6F544C" w:rsidR="00E1733A" w:rsidRPr="00EE4B7A" w:rsidRDefault="00E1733A" w:rsidP="00E1733A">
      <w:pPr>
        <w:spacing w:before="120" w:after="120"/>
        <w:jc w:val="both"/>
        <w:rPr>
          <w:rFonts w:eastAsia="Calibri" w:cs="Arial"/>
        </w:rPr>
      </w:pPr>
      <w:r w:rsidRPr="00EE4B7A">
        <w:rPr>
          <w:rFonts w:eastAsia="Calibri" w:cs="Times New Roman"/>
        </w:rPr>
        <w:tab/>
        <w:t>Rok 2019 bol</w:t>
      </w:r>
      <w:r>
        <w:rPr>
          <w:rFonts w:eastAsia="Calibri" w:cs="Times New Roman"/>
        </w:rPr>
        <w:t>,</w:t>
      </w:r>
      <w:r w:rsidRPr="00EE4B7A">
        <w:rPr>
          <w:rFonts w:eastAsia="Calibri" w:cs="Times New Roman"/>
        </w:rPr>
        <w:t xml:space="preserve"> rovnako ako predošlý</w:t>
      </w:r>
      <w:r>
        <w:rPr>
          <w:rFonts w:eastAsia="Calibri" w:cs="Times New Roman"/>
        </w:rPr>
        <w:t>,</w:t>
      </w:r>
      <w:r w:rsidRPr="00EE4B7A">
        <w:rPr>
          <w:rFonts w:eastAsia="Calibri" w:cs="Times New Roman"/>
        </w:rPr>
        <w:t xml:space="preserve"> poznamenaný procesom uzatvárania OP zo strany EK a opäť v týchto procesoch existuje riziko, že výška záverečných platieb zo strany E</w:t>
      </w:r>
      <w:r>
        <w:rPr>
          <w:rFonts w:eastAsia="Calibri" w:cs="Times New Roman"/>
        </w:rPr>
        <w:t xml:space="preserve">K </w:t>
      </w:r>
      <w:r w:rsidRPr="00EE4B7A">
        <w:rPr>
          <w:rFonts w:eastAsia="Calibri" w:cs="Times New Roman"/>
        </w:rPr>
        <w:t>nemusí byť rovnaká ako suma uvedená na záverečných žiadostiach o platbu. NKÚ SR vníma potenciálnu možnosť záporných bilancií (t.</w:t>
      </w:r>
      <w:r>
        <w:rPr>
          <w:rFonts w:eastAsia="Calibri" w:cs="Times New Roman"/>
        </w:rPr>
        <w:t xml:space="preserve"> </w:t>
      </w:r>
      <w:r w:rsidRPr="00EE4B7A">
        <w:rPr>
          <w:rFonts w:eastAsia="Calibri" w:cs="Times New Roman"/>
        </w:rPr>
        <w:t xml:space="preserve">j. povinnosť vrátiť prostriedky EK) ako skutočnosť, ktorá môže spôsobovať tlak na verejné financie. Naďalej pokračuje proces uzatvárania a finančného vysporiadania. Celkovo sú zo strany EK uzatvorené iba 2 </w:t>
      </w:r>
      <w:r>
        <w:rPr>
          <w:rFonts w:eastAsia="Calibri" w:cs="Times New Roman"/>
        </w:rPr>
        <w:t>OP</w:t>
      </w:r>
      <w:r w:rsidRPr="00EE4B7A">
        <w:rPr>
          <w:rFonts w:eastAsia="Calibri" w:cs="Times New Roman"/>
        </w:rPr>
        <w:t xml:space="preserve"> - INTERACT II a Rybné hospodárstvo.</w:t>
      </w:r>
      <w:r>
        <w:rPr>
          <w:rFonts w:eastAsia="Calibri" w:cs="Times New Roman"/>
        </w:rPr>
        <w:t xml:space="preserve"> </w:t>
      </w:r>
      <w:r w:rsidRPr="00EE4B7A">
        <w:rPr>
          <w:rFonts w:eastAsia="Calibri" w:cs="Arial"/>
        </w:rPr>
        <w:lastRenderedPageBreak/>
        <w:t>Údaje o výške finančných o</w:t>
      </w:r>
      <w:r w:rsidR="00F7243F">
        <w:rPr>
          <w:rFonts w:eastAsia="Calibri" w:cs="Arial"/>
        </w:rPr>
        <w:t>práv v programovom období 2007 až</w:t>
      </w:r>
      <w:r w:rsidRPr="00EE4B7A">
        <w:rPr>
          <w:rFonts w:eastAsia="Calibri" w:cs="Arial"/>
        </w:rPr>
        <w:t xml:space="preserve"> 2013 z titulu nezrovnalostí zohľadnených voči čerpaniu operačných programov v rámci uzatvárania s E</w:t>
      </w:r>
      <w:r>
        <w:rPr>
          <w:rFonts w:eastAsia="Calibri" w:cs="Arial"/>
        </w:rPr>
        <w:t>K</w:t>
      </w:r>
      <w:r w:rsidRPr="00EE4B7A">
        <w:rPr>
          <w:rFonts w:eastAsia="Calibri" w:cs="Arial"/>
        </w:rPr>
        <w:t xml:space="preserve"> k 30.</w:t>
      </w:r>
      <w:r>
        <w:rPr>
          <w:rFonts w:eastAsia="Calibri" w:cs="Arial"/>
        </w:rPr>
        <w:t xml:space="preserve"> </w:t>
      </w:r>
      <w:r w:rsidRPr="00EE4B7A">
        <w:rPr>
          <w:rFonts w:eastAsia="Calibri" w:cs="Arial"/>
        </w:rPr>
        <w:t>6.</w:t>
      </w:r>
      <w:r>
        <w:rPr>
          <w:rFonts w:eastAsia="Calibri" w:cs="Arial"/>
        </w:rPr>
        <w:t xml:space="preserve"> </w:t>
      </w:r>
      <w:r w:rsidRPr="00EE4B7A">
        <w:rPr>
          <w:rFonts w:eastAsia="Calibri" w:cs="Arial"/>
        </w:rPr>
        <w:t>2019</w:t>
      </w:r>
      <w:r>
        <w:rPr>
          <w:rFonts w:eastAsia="Calibri" w:cs="Arial"/>
        </w:rPr>
        <w:t xml:space="preserve"> sú uvedené v nasledujúcej tabuľke</w:t>
      </w:r>
      <w:r w:rsidRPr="00EE4B7A">
        <w:rPr>
          <w:rFonts w:eastAsia="Calibri" w:cs="Arial"/>
        </w:rPr>
        <w:t>.</w:t>
      </w:r>
    </w:p>
    <w:tbl>
      <w:tblPr>
        <w:tblOverlap w:val="never"/>
        <w:tblW w:w="5000" w:type="pct"/>
        <w:tblCellMar>
          <w:left w:w="10" w:type="dxa"/>
          <w:right w:w="10" w:type="dxa"/>
        </w:tblCellMar>
        <w:tblLook w:val="0000" w:firstRow="0" w:lastRow="0" w:firstColumn="0" w:lastColumn="0" w:noHBand="0" w:noVBand="0"/>
      </w:tblPr>
      <w:tblGrid>
        <w:gridCol w:w="5002"/>
        <w:gridCol w:w="2172"/>
        <w:gridCol w:w="2172"/>
      </w:tblGrid>
      <w:tr w:rsidR="00E1733A" w:rsidRPr="00EE4B7A" w14:paraId="2C472C43" w14:textId="77777777" w:rsidTr="00DA1D69">
        <w:trPr>
          <w:trHeight w:val="20"/>
        </w:trPr>
        <w:tc>
          <w:tcPr>
            <w:tcW w:w="2676" w:type="pct"/>
            <w:vMerge w:val="restart"/>
            <w:tcBorders>
              <w:top w:val="single" w:sz="4" w:space="0" w:color="auto"/>
              <w:left w:val="single" w:sz="4" w:space="0" w:color="auto"/>
              <w:right w:val="single" w:sz="4" w:space="0" w:color="FFFFFF"/>
            </w:tcBorders>
            <w:shd w:val="clear" w:color="auto" w:fill="0070C0"/>
            <w:vAlign w:val="center"/>
          </w:tcPr>
          <w:p w14:paraId="50556B3D" w14:textId="77777777" w:rsidR="00E1733A" w:rsidRPr="00EE4B7A" w:rsidRDefault="00E1733A" w:rsidP="00DA1D69">
            <w:pPr>
              <w:widowControl w:val="0"/>
              <w:jc w:val="center"/>
              <w:rPr>
                <w:rFonts w:eastAsia="Arial Narrow" w:cs="Arial Narrow"/>
                <w:b/>
                <w:color w:val="FFFFFF"/>
                <w:sz w:val="20"/>
                <w:szCs w:val="18"/>
              </w:rPr>
            </w:pPr>
            <w:r w:rsidRPr="00EE4B7A">
              <w:rPr>
                <w:rFonts w:eastAsia="Arial" w:cs="Arial"/>
                <w:b/>
                <w:color w:val="FFFFFF"/>
                <w:sz w:val="20"/>
                <w:szCs w:val="18"/>
                <w:lang w:eastAsia="sk-SK" w:bidi="sk-SK"/>
              </w:rPr>
              <w:t>Operačný program</w:t>
            </w:r>
          </w:p>
        </w:tc>
        <w:tc>
          <w:tcPr>
            <w:tcW w:w="2324" w:type="pct"/>
            <w:gridSpan w:val="2"/>
            <w:tcBorders>
              <w:top w:val="single" w:sz="4" w:space="0" w:color="auto"/>
              <w:left w:val="single" w:sz="4" w:space="0" w:color="FFFFFF"/>
              <w:right w:val="single" w:sz="4" w:space="0" w:color="auto"/>
            </w:tcBorders>
            <w:shd w:val="clear" w:color="auto" w:fill="0070C0"/>
            <w:vAlign w:val="bottom"/>
          </w:tcPr>
          <w:p w14:paraId="77FFD2CE" w14:textId="77777777" w:rsidR="00E1733A" w:rsidRPr="00EE4B7A" w:rsidRDefault="00E1733A" w:rsidP="00DA1D69">
            <w:pPr>
              <w:widowControl w:val="0"/>
              <w:jc w:val="center"/>
              <w:rPr>
                <w:rFonts w:eastAsia="Arial Narrow" w:cs="Arial Narrow"/>
                <w:b/>
                <w:color w:val="FFFFFF"/>
                <w:sz w:val="20"/>
                <w:szCs w:val="18"/>
              </w:rPr>
            </w:pPr>
            <w:r w:rsidRPr="00EE4B7A">
              <w:rPr>
                <w:rFonts w:eastAsia="Arial" w:cs="Arial"/>
                <w:b/>
                <w:color w:val="FFFFFF"/>
                <w:sz w:val="20"/>
                <w:szCs w:val="18"/>
                <w:lang w:eastAsia="sk-SK" w:bidi="sk-SK"/>
              </w:rPr>
              <w:t>Nezrovnalosti a</w:t>
            </w:r>
            <w:r>
              <w:rPr>
                <w:rFonts w:eastAsia="Arial" w:cs="Arial"/>
                <w:b/>
                <w:color w:val="FFFFFF"/>
                <w:sz w:val="20"/>
                <w:szCs w:val="18"/>
                <w:lang w:eastAsia="sk-SK" w:bidi="sk-SK"/>
              </w:rPr>
              <w:t> </w:t>
            </w:r>
            <w:proofErr w:type="spellStart"/>
            <w:r w:rsidRPr="00EE4B7A">
              <w:rPr>
                <w:rFonts w:eastAsia="Arial" w:cs="Arial"/>
                <w:b/>
                <w:color w:val="FFFFFF"/>
                <w:sz w:val="20"/>
                <w:szCs w:val="18"/>
                <w:lang w:eastAsia="sk-SK" w:bidi="sk-SK"/>
              </w:rPr>
              <w:t>vratky</w:t>
            </w:r>
            <w:proofErr w:type="spellEnd"/>
            <w:r>
              <w:rPr>
                <w:rFonts w:eastAsia="Arial" w:cs="Arial"/>
                <w:b/>
                <w:color w:val="FFFFFF"/>
                <w:sz w:val="20"/>
                <w:szCs w:val="18"/>
                <w:lang w:eastAsia="sk-SK" w:bidi="sk-SK"/>
              </w:rPr>
              <w:t xml:space="preserve"> (v eurách)</w:t>
            </w:r>
          </w:p>
        </w:tc>
      </w:tr>
      <w:tr w:rsidR="00E1733A" w:rsidRPr="00EE4B7A" w14:paraId="21CCA336" w14:textId="77777777" w:rsidTr="00DA1D69">
        <w:trPr>
          <w:trHeight w:val="20"/>
        </w:trPr>
        <w:tc>
          <w:tcPr>
            <w:tcW w:w="2676" w:type="pct"/>
            <w:vMerge/>
            <w:tcBorders>
              <w:left w:val="single" w:sz="4" w:space="0" w:color="auto"/>
              <w:right w:val="single" w:sz="4" w:space="0" w:color="FFFFFF"/>
            </w:tcBorders>
            <w:shd w:val="clear" w:color="auto" w:fill="0070C0"/>
            <w:vAlign w:val="center"/>
          </w:tcPr>
          <w:p w14:paraId="4179D0E5" w14:textId="77777777" w:rsidR="00E1733A" w:rsidRPr="00EE4B7A" w:rsidRDefault="00E1733A" w:rsidP="00DA1D69">
            <w:pPr>
              <w:spacing w:after="160" w:line="259" w:lineRule="auto"/>
              <w:rPr>
                <w:rFonts w:eastAsia="Calibri" w:cs="Times New Roman"/>
                <w:b/>
                <w:color w:val="FFFFFF"/>
                <w:sz w:val="20"/>
              </w:rPr>
            </w:pPr>
          </w:p>
        </w:tc>
        <w:tc>
          <w:tcPr>
            <w:tcW w:w="1162" w:type="pct"/>
            <w:tcBorders>
              <w:top w:val="single" w:sz="4" w:space="0" w:color="FFFFFF"/>
              <w:left w:val="single" w:sz="4" w:space="0" w:color="FFFFFF"/>
              <w:right w:val="single" w:sz="4" w:space="0" w:color="FFFFFF"/>
            </w:tcBorders>
            <w:shd w:val="clear" w:color="auto" w:fill="0070C0"/>
            <w:vAlign w:val="bottom"/>
          </w:tcPr>
          <w:p w14:paraId="794FB0C3" w14:textId="77777777" w:rsidR="00E1733A" w:rsidRPr="00EE4B7A" w:rsidRDefault="00E1733A" w:rsidP="00DA1D69">
            <w:pPr>
              <w:widowControl w:val="0"/>
              <w:jc w:val="center"/>
              <w:rPr>
                <w:rFonts w:eastAsia="Arial Narrow" w:cs="Arial Narrow"/>
                <w:b/>
                <w:color w:val="FFFFFF"/>
                <w:sz w:val="20"/>
                <w:szCs w:val="18"/>
              </w:rPr>
            </w:pPr>
            <w:r w:rsidRPr="00EE4B7A">
              <w:rPr>
                <w:rFonts w:eastAsia="Arial" w:cs="Arial"/>
                <w:b/>
                <w:color w:val="FFFFFF"/>
                <w:sz w:val="20"/>
                <w:szCs w:val="18"/>
                <w:lang w:eastAsia="sk-SK" w:bidi="sk-SK"/>
              </w:rPr>
              <w:t>EÚ zdroj</w:t>
            </w:r>
          </w:p>
        </w:tc>
        <w:tc>
          <w:tcPr>
            <w:tcW w:w="1162" w:type="pct"/>
            <w:tcBorders>
              <w:top w:val="single" w:sz="4" w:space="0" w:color="FFFFFF"/>
              <w:left w:val="single" w:sz="4" w:space="0" w:color="FFFFFF"/>
              <w:right w:val="single" w:sz="4" w:space="0" w:color="auto"/>
            </w:tcBorders>
            <w:shd w:val="clear" w:color="auto" w:fill="0070C0"/>
            <w:vAlign w:val="bottom"/>
          </w:tcPr>
          <w:p w14:paraId="013D254D" w14:textId="77777777" w:rsidR="00E1733A" w:rsidRPr="00EE4B7A" w:rsidRDefault="00E1733A" w:rsidP="00DA1D69">
            <w:pPr>
              <w:widowControl w:val="0"/>
              <w:jc w:val="center"/>
              <w:rPr>
                <w:rFonts w:eastAsia="Arial Narrow" w:cs="Arial Narrow"/>
                <w:b/>
                <w:color w:val="FFFFFF"/>
                <w:sz w:val="20"/>
                <w:szCs w:val="18"/>
              </w:rPr>
            </w:pPr>
            <w:r w:rsidRPr="00EE4B7A">
              <w:rPr>
                <w:rFonts w:eastAsia="Arial" w:cs="Arial"/>
                <w:b/>
                <w:color w:val="FFFFFF"/>
                <w:sz w:val="20"/>
                <w:szCs w:val="18"/>
                <w:lang w:eastAsia="sk-SK" w:bidi="sk-SK"/>
              </w:rPr>
              <w:t xml:space="preserve">ŠR zdroj </w:t>
            </w:r>
          </w:p>
        </w:tc>
      </w:tr>
      <w:tr w:rsidR="00E1733A" w:rsidRPr="00EE4B7A" w14:paraId="1F7ABC64" w14:textId="77777777" w:rsidTr="00DA1D69">
        <w:trPr>
          <w:trHeight w:val="20"/>
        </w:trPr>
        <w:tc>
          <w:tcPr>
            <w:tcW w:w="2676" w:type="pct"/>
            <w:tcBorders>
              <w:top w:val="single" w:sz="4" w:space="0" w:color="auto"/>
              <w:left w:val="single" w:sz="4" w:space="0" w:color="auto"/>
            </w:tcBorders>
            <w:shd w:val="clear" w:color="auto" w:fill="FFFFFF"/>
            <w:vAlign w:val="bottom"/>
          </w:tcPr>
          <w:p w14:paraId="429E16D9"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Informatizácia spoločnosti</w:t>
            </w:r>
          </w:p>
        </w:tc>
        <w:tc>
          <w:tcPr>
            <w:tcW w:w="1162" w:type="pct"/>
            <w:tcBorders>
              <w:top w:val="single" w:sz="4" w:space="0" w:color="auto"/>
              <w:left w:val="single" w:sz="4" w:space="0" w:color="auto"/>
            </w:tcBorders>
            <w:shd w:val="clear" w:color="auto" w:fill="FFFFFF"/>
            <w:vAlign w:val="bottom"/>
          </w:tcPr>
          <w:p w14:paraId="45DF6C12"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96 184 895,42</w:t>
            </w:r>
          </w:p>
        </w:tc>
        <w:tc>
          <w:tcPr>
            <w:tcW w:w="1162" w:type="pct"/>
            <w:tcBorders>
              <w:top w:val="single" w:sz="4" w:space="0" w:color="auto"/>
              <w:left w:val="single" w:sz="4" w:space="0" w:color="auto"/>
              <w:right w:val="single" w:sz="4" w:space="0" w:color="auto"/>
            </w:tcBorders>
            <w:shd w:val="clear" w:color="auto" w:fill="FFFFFF"/>
            <w:vAlign w:val="bottom"/>
          </w:tcPr>
          <w:p w14:paraId="2741B99E"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28 974 369,93</w:t>
            </w:r>
          </w:p>
        </w:tc>
      </w:tr>
      <w:tr w:rsidR="00E1733A" w:rsidRPr="00EE4B7A" w14:paraId="20A6363D" w14:textId="77777777" w:rsidTr="00DA1D69">
        <w:trPr>
          <w:trHeight w:val="20"/>
        </w:trPr>
        <w:tc>
          <w:tcPr>
            <w:tcW w:w="2676" w:type="pct"/>
            <w:tcBorders>
              <w:top w:val="single" w:sz="4" w:space="0" w:color="auto"/>
              <w:left w:val="single" w:sz="4" w:space="0" w:color="auto"/>
            </w:tcBorders>
            <w:shd w:val="clear" w:color="auto" w:fill="FFFFFF"/>
            <w:vAlign w:val="bottom"/>
          </w:tcPr>
          <w:p w14:paraId="429A0193"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Bratislavský kraj</w:t>
            </w:r>
          </w:p>
        </w:tc>
        <w:tc>
          <w:tcPr>
            <w:tcW w:w="1162" w:type="pct"/>
            <w:tcBorders>
              <w:top w:val="single" w:sz="4" w:space="0" w:color="auto"/>
              <w:left w:val="single" w:sz="4" w:space="0" w:color="auto"/>
            </w:tcBorders>
            <w:shd w:val="clear" w:color="auto" w:fill="FFFFFF"/>
            <w:vAlign w:val="bottom"/>
          </w:tcPr>
          <w:p w14:paraId="293B358D"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5 901 729,33</w:t>
            </w:r>
          </w:p>
        </w:tc>
        <w:tc>
          <w:tcPr>
            <w:tcW w:w="1162" w:type="pct"/>
            <w:tcBorders>
              <w:top w:val="single" w:sz="4" w:space="0" w:color="auto"/>
              <w:left w:val="single" w:sz="4" w:space="0" w:color="auto"/>
              <w:right w:val="single" w:sz="4" w:space="0" w:color="auto"/>
            </w:tcBorders>
            <w:shd w:val="clear" w:color="auto" w:fill="FFFFFF"/>
            <w:vAlign w:val="bottom"/>
          </w:tcPr>
          <w:p w14:paraId="5F823132"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907 958,36</w:t>
            </w:r>
          </w:p>
        </w:tc>
      </w:tr>
      <w:tr w:rsidR="00E1733A" w:rsidRPr="00EE4B7A" w14:paraId="4DFD6A62" w14:textId="77777777" w:rsidTr="00DA1D69">
        <w:trPr>
          <w:trHeight w:val="20"/>
        </w:trPr>
        <w:tc>
          <w:tcPr>
            <w:tcW w:w="2676" w:type="pct"/>
            <w:tcBorders>
              <w:top w:val="single" w:sz="4" w:space="0" w:color="auto"/>
              <w:left w:val="single" w:sz="4" w:space="0" w:color="auto"/>
            </w:tcBorders>
            <w:shd w:val="clear" w:color="auto" w:fill="FFFFFF"/>
            <w:vAlign w:val="bottom"/>
          </w:tcPr>
          <w:p w14:paraId="237B8B4B"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Konkurenc</w:t>
            </w:r>
            <w:r>
              <w:rPr>
                <w:rFonts w:eastAsia="Arial" w:cs="Arial"/>
                <w:color w:val="000000"/>
                <w:sz w:val="20"/>
                <w:szCs w:val="18"/>
                <w:lang w:eastAsia="sk-SK" w:bidi="sk-SK"/>
              </w:rPr>
              <w:t>ieschopnosť</w:t>
            </w:r>
            <w:r w:rsidRPr="00EE4B7A">
              <w:rPr>
                <w:rFonts w:eastAsia="Arial" w:cs="Arial"/>
                <w:color w:val="000000"/>
                <w:sz w:val="20"/>
                <w:szCs w:val="18"/>
                <w:lang w:eastAsia="sk-SK" w:bidi="sk-SK"/>
              </w:rPr>
              <w:t xml:space="preserve"> a hosp</w:t>
            </w:r>
            <w:r>
              <w:rPr>
                <w:rFonts w:eastAsia="Arial" w:cs="Arial"/>
                <w:color w:val="000000"/>
                <w:sz w:val="20"/>
                <w:szCs w:val="18"/>
                <w:lang w:eastAsia="sk-SK" w:bidi="sk-SK"/>
              </w:rPr>
              <w:t>odársky</w:t>
            </w:r>
            <w:r w:rsidRPr="00EE4B7A">
              <w:rPr>
                <w:rFonts w:eastAsia="Arial" w:cs="Arial"/>
                <w:color w:val="000000"/>
                <w:sz w:val="20"/>
                <w:szCs w:val="18"/>
                <w:lang w:eastAsia="sk-SK" w:bidi="sk-SK"/>
              </w:rPr>
              <w:t xml:space="preserve"> rast</w:t>
            </w:r>
          </w:p>
        </w:tc>
        <w:tc>
          <w:tcPr>
            <w:tcW w:w="1162" w:type="pct"/>
            <w:tcBorders>
              <w:top w:val="single" w:sz="4" w:space="0" w:color="auto"/>
              <w:left w:val="single" w:sz="4" w:space="0" w:color="auto"/>
            </w:tcBorders>
            <w:shd w:val="clear" w:color="auto" w:fill="FFFFFF"/>
            <w:vAlign w:val="bottom"/>
          </w:tcPr>
          <w:p w14:paraId="559B7A83"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46 740 217,61</w:t>
            </w:r>
          </w:p>
        </w:tc>
        <w:tc>
          <w:tcPr>
            <w:tcW w:w="1162" w:type="pct"/>
            <w:tcBorders>
              <w:top w:val="single" w:sz="4" w:space="0" w:color="auto"/>
              <w:left w:val="single" w:sz="4" w:space="0" w:color="auto"/>
              <w:right w:val="single" w:sz="4" w:space="0" w:color="auto"/>
            </w:tcBorders>
            <w:shd w:val="clear" w:color="auto" w:fill="FFFFFF"/>
            <w:vAlign w:val="bottom"/>
          </w:tcPr>
          <w:p w14:paraId="48B7CB41"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8 151 406,12</w:t>
            </w:r>
          </w:p>
        </w:tc>
      </w:tr>
      <w:tr w:rsidR="00E1733A" w:rsidRPr="00EE4B7A" w14:paraId="059057B5" w14:textId="77777777" w:rsidTr="00DA1D69">
        <w:trPr>
          <w:trHeight w:val="20"/>
        </w:trPr>
        <w:tc>
          <w:tcPr>
            <w:tcW w:w="2676" w:type="pct"/>
            <w:tcBorders>
              <w:top w:val="single" w:sz="4" w:space="0" w:color="auto"/>
              <w:left w:val="single" w:sz="4" w:space="0" w:color="auto"/>
            </w:tcBorders>
            <w:shd w:val="clear" w:color="auto" w:fill="FFFFFF"/>
            <w:vAlign w:val="bottom"/>
          </w:tcPr>
          <w:p w14:paraId="0DE70F6A"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Regionálny OP</w:t>
            </w:r>
          </w:p>
        </w:tc>
        <w:tc>
          <w:tcPr>
            <w:tcW w:w="1162" w:type="pct"/>
            <w:tcBorders>
              <w:top w:val="single" w:sz="4" w:space="0" w:color="auto"/>
              <w:left w:val="single" w:sz="4" w:space="0" w:color="auto"/>
            </w:tcBorders>
            <w:shd w:val="clear" w:color="auto" w:fill="FFFFFF"/>
            <w:vAlign w:val="bottom"/>
          </w:tcPr>
          <w:p w14:paraId="744718DE"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65 359 769,63</w:t>
            </w:r>
          </w:p>
        </w:tc>
        <w:tc>
          <w:tcPr>
            <w:tcW w:w="1162" w:type="pct"/>
            <w:tcBorders>
              <w:top w:val="single" w:sz="4" w:space="0" w:color="auto"/>
              <w:left w:val="single" w:sz="4" w:space="0" w:color="auto"/>
              <w:right w:val="single" w:sz="4" w:space="0" w:color="auto"/>
            </w:tcBorders>
            <w:shd w:val="clear" w:color="auto" w:fill="FFFFFF"/>
            <w:vAlign w:val="bottom"/>
          </w:tcPr>
          <w:p w14:paraId="6691E1CD"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10 631 126,35</w:t>
            </w:r>
          </w:p>
        </w:tc>
      </w:tr>
      <w:tr w:rsidR="00E1733A" w:rsidRPr="00EE4B7A" w14:paraId="336C7857" w14:textId="77777777" w:rsidTr="00DA1D69">
        <w:trPr>
          <w:trHeight w:val="20"/>
        </w:trPr>
        <w:tc>
          <w:tcPr>
            <w:tcW w:w="2676" w:type="pct"/>
            <w:tcBorders>
              <w:top w:val="single" w:sz="4" w:space="0" w:color="auto"/>
              <w:left w:val="single" w:sz="4" w:space="0" w:color="auto"/>
            </w:tcBorders>
            <w:shd w:val="clear" w:color="auto" w:fill="FFFFFF"/>
            <w:vAlign w:val="bottom"/>
          </w:tcPr>
          <w:p w14:paraId="0D817341"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Cezhraničnej spolupráce SR-ČR</w:t>
            </w:r>
          </w:p>
        </w:tc>
        <w:tc>
          <w:tcPr>
            <w:tcW w:w="1162" w:type="pct"/>
            <w:tcBorders>
              <w:top w:val="single" w:sz="4" w:space="0" w:color="auto"/>
              <w:left w:val="single" w:sz="4" w:space="0" w:color="auto"/>
            </w:tcBorders>
            <w:shd w:val="clear" w:color="auto" w:fill="FFFFFF"/>
            <w:vAlign w:val="bottom"/>
          </w:tcPr>
          <w:p w14:paraId="3A2F3671"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2 997 865,36</w:t>
            </w:r>
          </w:p>
        </w:tc>
        <w:tc>
          <w:tcPr>
            <w:tcW w:w="1162" w:type="pct"/>
            <w:tcBorders>
              <w:top w:val="single" w:sz="4" w:space="0" w:color="auto"/>
              <w:left w:val="single" w:sz="4" w:space="0" w:color="auto"/>
              <w:right w:val="single" w:sz="4" w:space="0" w:color="auto"/>
            </w:tcBorders>
            <w:shd w:val="clear" w:color="auto" w:fill="FFFFFF"/>
            <w:vAlign w:val="bottom"/>
          </w:tcPr>
          <w:p w14:paraId="40485EDF"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522 822,09</w:t>
            </w:r>
          </w:p>
        </w:tc>
      </w:tr>
      <w:tr w:rsidR="00E1733A" w:rsidRPr="00EE4B7A" w14:paraId="1C2CAF19" w14:textId="77777777" w:rsidTr="00DA1D69">
        <w:trPr>
          <w:trHeight w:val="20"/>
        </w:trPr>
        <w:tc>
          <w:tcPr>
            <w:tcW w:w="2676" w:type="pct"/>
            <w:tcBorders>
              <w:top w:val="single" w:sz="4" w:space="0" w:color="auto"/>
              <w:left w:val="single" w:sz="4" w:space="0" w:color="auto"/>
            </w:tcBorders>
            <w:shd w:val="clear" w:color="auto" w:fill="FFFFFF"/>
            <w:vAlign w:val="bottom"/>
          </w:tcPr>
          <w:p w14:paraId="63516796"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Rybné hospodárstvo</w:t>
            </w:r>
          </w:p>
        </w:tc>
        <w:tc>
          <w:tcPr>
            <w:tcW w:w="1162" w:type="pct"/>
            <w:tcBorders>
              <w:top w:val="single" w:sz="4" w:space="0" w:color="auto"/>
              <w:left w:val="single" w:sz="4" w:space="0" w:color="auto"/>
            </w:tcBorders>
            <w:shd w:val="clear" w:color="auto" w:fill="FFFFFF"/>
            <w:vAlign w:val="bottom"/>
          </w:tcPr>
          <w:p w14:paraId="44FFD85B"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785 329,97</w:t>
            </w:r>
          </w:p>
        </w:tc>
        <w:tc>
          <w:tcPr>
            <w:tcW w:w="1162" w:type="pct"/>
            <w:tcBorders>
              <w:top w:val="single" w:sz="4" w:space="0" w:color="auto"/>
              <w:left w:val="single" w:sz="4" w:space="0" w:color="auto"/>
              <w:right w:val="single" w:sz="4" w:space="0" w:color="auto"/>
            </w:tcBorders>
            <w:shd w:val="clear" w:color="auto" w:fill="FFFFFF"/>
            <w:vAlign w:val="bottom"/>
          </w:tcPr>
          <w:p w14:paraId="261C065C"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118 386,91</w:t>
            </w:r>
          </w:p>
        </w:tc>
      </w:tr>
      <w:tr w:rsidR="00E1733A" w:rsidRPr="00EE4B7A" w14:paraId="6C805B01" w14:textId="77777777" w:rsidTr="00DA1D69">
        <w:trPr>
          <w:trHeight w:val="20"/>
        </w:trPr>
        <w:tc>
          <w:tcPr>
            <w:tcW w:w="2676" w:type="pct"/>
            <w:tcBorders>
              <w:top w:val="single" w:sz="4" w:space="0" w:color="auto"/>
              <w:left w:val="single" w:sz="4" w:space="0" w:color="auto"/>
            </w:tcBorders>
            <w:shd w:val="clear" w:color="auto" w:fill="FFFFFF"/>
            <w:vAlign w:val="bottom"/>
          </w:tcPr>
          <w:p w14:paraId="794603FB"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Zdravotníctvo</w:t>
            </w:r>
          </w:p>
        </w:tc>
        <w:tc>
          <w:tcPr>
            <w:tcW w:w="1162" w:type="pct"/>
            <w:tcBorders>
              <w:top w:val="single" w:sz="4" w:space="0" w:color="auto"/>
              <w:left w:val="single" w:sz="4" w:space="0" w:color="auto"/>
            </w:tcBorders>
            <w:shd w:val="clear" w:color="auto" w:fill="FFFFFF"/>
            <w:vAlign w:val="bottom"/>
          </w:tcPr>
          <w:p w14:paraId="0E13B357"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38 883 391,63</w:t>
            </w:r>
          </w:p>
        </w:tc>
        <w:tc>
          <w:tcPr>
            <w:tcW w:w="1162" w:type="pct"/>
            <w:tcBorders>
              <w:top w:val="single" w:sz="4" w:space="0" w:color="auto"/>
              <w:left w:val="single" w:sz="4" w:space="0" w:color="auto"/>
              <w:right w:val="single" w:sz="4" w:space="0" w:color="auto"/>
            </w:tcBorders>
            <w:shd w:val="clear" w:color="auto" w:fill="FFFFFF"/>
            <w:vAlign w:val="bottom"/>
          </w:tcPr>
          <w:p w14:paraId="24D3CD86"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6 861 774,99</w:t>
            </w:r>
          </w:p>
        </w:tc>
      </w:tr>
      <w:tr w:rsidR="00E1733A" w:rsidRPr="00EE4B7A" w14:paraId="2549408D" w14:textId="77777777" w:rsidTr="00DA1D69">
        <w:trPr>
          <w:trHeight w:val="20"/>
        </w:trPr>
        <w:tc>
          <w:tcPr>
            <w:tcW w:w="2676" w:type="pct"/>
            <w:tcBorders>
              <w:top w:val="single" w:sz="4" w:space="0" w:color="auto"/>
              <w:left w:val="single" w:sz="4" w:space="0" w:color="auto"/>
            </w:tcBorders>
            <w:shd w:val="clear" w:color="auto" w:fill="FFFFFF"/>
            <w:vAlign w:val="bottom"/>
          </w:tcPr>
          <w:p w14:paraId="13302097"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Výskum a vývoj</w:t>
            </w:r>
          </w:p>
        </w:tc>
        <w:tc>
          <w:tcPr>
            <w:tcW w:w="1162" w:type="pct"/>
            <w:tcBorders>
              <w:top w:val="single" w:sz="4" w:space="0" w:color="auto"/>
              <w:left w:val="single" w:sz="4" w:space="0" w:color="auto"/>
            </w:tcBorders>
            <w:shd w:val="clear" w:color="auto" w:fill="FFFFFF"/>
            <w:vAlign w:val="bottom"/>
          </w:tcPr>
          <w:p w14:paraId="385EF1A2"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114 312 085,85</w:t>
            </w:r>
          </w:p>
        </w:tc>
        <w:tc>
          <w:tcPr>
            <w:tcW w:w="1162" w:type="pct"/>
            <w:tcBorders>
              <w:top w:val="single" w:sz="4" w:space="0" w:color="auto"/>
              <w:left w:val="single" w:sz="4" w:space="0" w:color="auto"/>
              <w:right w:val="single" w:sz="4" w:space="0" w:color="auto"/>
            </w:tcBorders>
            <w:shd w:val="clear" w:color="auto" w:fill="FFFFFF"/>
            <w:vAlign w:val="bottom"/>
          </w:tcPr>
          <w:p w14:paraId="2D68B735"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16 839 917,19</w:t>
            </w:r>
          </w:p>
        </w:tc>
      </w:tr>
      <w:tr w:rsidR="00E1733A" w:rsidRPr="00EE4B7A" w14:paraId="30DBEEFD" w14:textId="77777777" w:rsidTr="00DA1D69">
        <w:trPr>
          <w:trHeight w:val="20"/>
        </w:trPr>
        <w:tc>
          <w:tcPr>
            <w:tcW w:w="2676" w:type="pct"/>
            <w:tcBorders>
              <w:top w:val="single" w:sz="4" w:space="0" w:color="auto"/>
              <w:left w:val="single" w:sz="4" w:space="0" w:color="auto"/>
            </w:tcBorders>
            <w:shd w:val="clear" w:color="auto" w:fill="FFFFFF"/>
            <w:vAlign w:val="bottom"/>
          </w:tcPr>
          <w:p w14:paraId="063E21F7"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Technická pomoc</w:t>
            </w:r>
          </w:p>
        </w:tc>
        <w:tc>
          <w:tcPr>
            <w:tcW w:w="1162" w:type="pct"/>
            <w:tcBorders>
              <w:top w:val="single" w:sz="4" w:space="0" w:color="auto"/>
              <w:left w:val="single" w:sz="4" w:space="0" w:color="auto"/>
            </w:tcBorders>
            <w:shd w:val="clear" w:color="auto" w:fill="FFFFFF"/>
            <w:vAlign w:val="bottom"/>
          </w:tcPr>
          <w:p w14:paraId="18A9B1D0"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9 739 599,70</w:t>
            </w:r>
          </w:p>
        </w:tc>
        <w:tc>
          <w:tcPr>
            <w:tcW w:w="1162" w:type="pct"/>
            <w:tcBorders>
              <w:top w:val="single" w:sz="4" w:space="0" w:color="auto"/>
              <w:left w:val="single" w:sz="4" w:space="0" w:color="auto"/>
              <w:right w:val="single" w:sz="4" w:space="0" w:color="auto"/>
            </w:tcBorders>
            <w:shd w:val="clear" w:color="auto" w:fill="FFFFFF"/>
            <w:vAlign w:val="bottom"/>
          </w:tcPr>
          <w:p w14:paraId="41172B10"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1 698 567,89</w:t>
            </w:r>
          </w:p>
        </w:tc>
      </w:tr>
      <w:tr w:rsidR="00E1733A" w:rsidRPr="00EE4B7A" w14:paraId="6FC1B7F1" w14:textId="77777777" w:rsidTr="00DA1D69">
        <w:trPr>
          <w:trHeight w:val="20"/>
        </w:trPr>
        <w:tc>
          <w:tcPr>
            <w:tcW w:w="2676" w:type="pct"/>
            <w:tcBorders>
              <w:top w:val="single" w:sz="4" w:space="0" w:color="auto"/>
              <w:left w:val="single" w:sz="4" w:space="0" w:color="auto"/>
            </w:tcBorders>
            <w:shd w:val="clear" w:color="auto" w:fill="FFFFFF"/>
            <w:vAlign w:val="bottom"/>
          </w:tcPr>
          <w:p w14:paraId="006C2227"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Vzdelávanie</w:t>
            </w:r>
          </w:p>
        </w:tc>
        <w:tc>
          <w:tcPr>
            <w:tcW w:w="1162" w:type="pct"/>
            <w:tcBorders>
              <w:top w:val="single" w:sz="4" w:space="0" w:color="auto"/>
              <w:left w:val="single" w:sz="4" w:space="0" w:color="auto"/>
            </w:tcBorders>
            <w:shd w:val="clear" w:color="auto" w:fill="FFFFFF"/>
            <w:vAlign w:val="bottom"/>
          </w:tcPr>
          <w:p w14:paraId="4F66D529"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34 338 813,53</w:t>
            </w:r>
          </w:p>
        </w:tc>
        <w:tc>
          <w:tcPr>
            <w:tcW w:w="1162" w:type="pct"/>
            <w:tcBorders>
              <w:top w:val="single" w:sz="4" w:space="0" w:color="auto"/>
              <w:left w:val="single" w:sz="4" w:space="0" w:color="auto"/>
              <w:right w:val="single" w:sz="4" w:space="0" w:color="auto"/>
            </w:tcBorders>
            <w:shd w:val="clear" w:color="auto" w:fill="FFFFFF"/>
            <w:vAlign w:val="bottom"/>
          </w:tcPr>
          <w:p w14:paraId="370C5911"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5 613 267,37</w:t>
            </w:r>
          </w:p>
        </w:tc>
      </w:tr>
      <w:tr w:rsidR="00E1733A" w:rsidRPr="00EE4B7A" w14:paraId="70C36498" w14:textId="77777777" w:rsidTr="00DA1D69">
        <w:trPr>
          <w:trHeight w:val="20"/>
        </w:trPr>
        <w:tc>
          <w:tcPr>
            <w:tcW w:w="2676" w:type="pct"/>
            <w:tcBorders>
              <w:top w:val="single" w:sz="4" w:space="0" w:color="auto"/>
              <w:left w:val="single" w:sz="4" w:space="0" w:color="auto"/>
            </w:tcBorders>
            <w:shd w:val="clear" w:color="auto" w:fill="FFFFFF"/>
            <w:vAlign w:val="bottom"/>
          </w:tcPr>
          <w:p w14:paraId="75BA7F6D"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Životné prostredie</w:t>
            </w:r>
          </w:p>
        </w:tc>
        <w:tc>
          <w:tcPr>
            <w:tcW w:w="1162" w:type="pct"/>
            <w:tcBorders>
              <w:top w:val="single" w:sz="4" w:space="0" w:color="auto"/>
              <w:left w:val="single" w:sz="4" w:space="0" w:color="auto"/>
            </w:tcBorders>
            <w:shd w:val="clear" w:color="auto" w:fill="FFFFFF"/>
            <w:vAlign w:val="bottom"/>
          </w:tcPr>
          <w:p w14:paraId="0EB76193"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61 698 447,02</w:t>
            </w:r>
          </w:p>
        </w:tc>
        <w:tc>
          <w:tcPr>
            <w:tcW w:w="1162" w:type="pct"/>
            <w:tcBorders>
              <w:top w:val="single" w:sz="4" w:space="0" w:color="auto"/>
              <w:left w:val="single" w:sz="4" w:space="0" w:color="auto"/>
              <w:right w:val="single" w:sz="4" w:space="0" w:color="auto"/>
            </w:tcBorders>
            <w:shd w:val="clear" w:color="auto" w:fill="FFFFFF"/>
            <w:vAlign w:val="bottom"/>
          </w:tcPr>
          <w:p w14:paraId="2C270A50"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10 085 668,19</w:t>
            </w:r>
          </w:p>
        </w:tc>
      </w:tr>
      <w:tr w:rsidR="00E1733A" w:rsidRPr="00EE4B7A" w14:paraId="77F1612D" w14:textId="77777777" w:rsidTr="00DA1D69">
        <w:trPr>
          <w:trHeight w:val="20"/>
        </w:trPr>
        <w:tc>
          <w:tcPr>
            <w:tcW w:w="2676" w:type="pct"/>
            <w:tcBorders>
              <w:top w:val="single" w:sz="4" w:space="0" w:color="auto"/>
              <w:left w:val="single" w:sz="4" w:space="0" w:color="auto"/>
            </w:tcBorders>
            <w:shd w:val="clear" w:color="auto" w:fill="FFFFFF"/>
            <w:vAlign w:val="bottom"/>
          </w:tcPr>
          <w:p w14:paraId="12F70AA4"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Doprava</w:t>
            </w:r>
          </w:p>
        </w:tc>
        <w:tc>
          <w:tcPr>
            <w:tcW w:w="1162" w:type="pct"/>
            <w:tcBorders>
              <w:top w:val="single" w:sz="4" w:space="0" w:color="auto"/>
              <w:left w:val="single" w:sz="4" w:space="0" w:color="auto"/>
            </w:tcBorders>
            <w:shd w:val="clear" w:color="auto" w:fill="FFFFFF"/>
            <w:vAlign w:val="bottom"/>
          </w:tcPr>
          <w:p w14:paraId="2A5FECF4"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315 797 696,26</w:t>
            </w:r>
          </w:p>
        </w:tc>
        <w:tc>
          <w:tcPr>
            <w:tcW w:w="1162" w:type="pct"/>
            <w:tcBorders>
              <w:top w:val="single" w:sz="4" w:space="0" w:color="auto"/>
              <w:left w:val="single" w:sz="4" w:space="0" w:color="auto"/>
              <w:right w:val="single" w:sz="4" w:space="0" w:color="auto"/>
            </w:tcBorders>
            <w:shd w:val="clear" w:color="auto" w:fill="FFFFFF"/>
            <w:vAlign w:val="bottom"/>
          </w:tcPr>
          <w:p w14:paraId="3D120909"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55 074 524,83</w:t>
            </w:r>
          </w:p>
        </w:tc>
      </w:tr>
      <w:tr w:rsidR="00E1733A" w:rsidRPr="00EE4B7A" w14:paraId="790949A5" w14:textId="77777777" w:rsidTr="00DA1D69">
        <w:trPr>
          <w:trHeight w:val="20"/>
        </w:trPr>
        <w:tc>
          <w:tcPr>
            <w:tcW w:w="2676" w:type="pct"/>
            <w:tcBorders>
              <w:top w:val="single" w:sz="4" w:space="0" w:color="auto"/>
              <w:left w:val="single" w:sz="4" w:space="0" w:color="auto"/>
            </w:tcBorders>
            <w:shd w:val="clear" w:color="auto" w:fill="FFFFFF"/>
            <w:vAlign w:val="bottom"/>
          </w:tcPr>
          <w:p w14:paraId="022A036C"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eastAsia="sk-SK" w:bidi="sk-SK"/>
              </w:rPr>
              <w:t>OP Zamestn</w:t>
            </w:r>
            <w:r>
              <w:rPr>
                <w:rFonts w:eastAsia="Arial" w:cs="Arial"/>
                <w:color w:val="000000"/>
                <w:sz w:val="20"/>
                <w:szCs w:val="18"/>
                <w:lang w:eastAsia="sk-SK" w:bidi="sk-SK"/>
              </w:rPr>
              <w:t>anosť</w:t>
            </w:r>
            <w:r w:rsidRPr="00EE4B7A">
              <w:rPr>
                <w:rFonts w:eastAsia="Arial" w:cs="Arial"/>
                <w:color w:val="000000"/>
                <w:sz w:val="20"/>
                <w:szCs w:val="18"/>
                <w:lang w:eastAsia="sk-SK" w:bidi="sk-SK"/>
              </w:rPr>
              <w:t xml:space="preserve"> a sociálna inklúzia</w:t>
            </w:r>
          </w:p>
        </w:tc>
        <w:tc>
          <w:tcPr>
            <w:tcW w:w="1162" w:type="pct"/>
            <w:tcBorders>
              <w:top w:val="single" w:sz="4" w:space="0" w:color="auto"/>
              <w:left w:val="single" w:sz="4" w:space="0" w:color="auto"/>
            </w:tcBorders>
            <w:shd w:val="clear" w:color="auto" w:fill="FFFFFF"/>
            <w:vAlign w:val="bottom"/>
          </w:tcPr>
          <w:p w14:paraId="20D1F451"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42 850 586,38</w:t>
            </w:r>
          </w:p>
        </w:tc>
        <w:tc>
          <w:tcPr>
            <w:tcW w:w="1162" w:type="pct"/>
            <w:tcBorders>
              <w:top w:val="single" w:sz="4" w:space="0" w:color="auto"/>
              <w:left w:val="single" w:sz="4" w:space="0" w:color="auto"/>
              <w:right w:val="single" w:sz="4" w:space="0" w:color="auto"/>
            </w:tcBorders>
            <w:shd w:val="clear" w:color="auto" w:fill="FFFFFF"/>
            <w:vAlign w:val="bottom"/>
          </w:tcPr>
          <w:p w14:paraId="3196961B"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7 473 061,75</w:t>
            </w:r>
          </w:p>
        </w:tc>
      </w:tr>
      <w:tr w:rsidR="00E1733A" w:rsidRPr="00EE4B7A" w14:paraId="021BCFF2" w14:textId="77777777" w:rsidTr="00DA1D69">
        <w:trPr>
          <w:trHeight w:val="20"/>
        </w:trPr>
        <w:tc>
          <w:tcPr>
            <w:tcW w:w="2676" w:type="pct"/>
            <w:tcBorders>
              <w:top w:val="single" w:sz="4" w:space="0" w:color="auto"/>
              <w:left w:val="single" w:sz="4" w:space="0" w:color="auto"/>
              <w:bottom w:val="single" w:sz="4" w:space="0" w:color="auto"/>
            </w:tcBorders>
            <w:shd w:val="clear" w:color="auto" w:fill="FFFFFF"/>
            <w:vAlign w:val="bottom"/>
          </w:tcPr>
          <w:p w14:paraId="745B35DA" w14:textId="77777777" w:rsidR="00E1733A" w:rsidRPr="00EE4B7A" w:rsidRDefault="00E1733A" w:rsidP="00DA1D69">
            <w:pPr>
              <w:widowControl w:val="0"/>
              <w:rPr>
                <w:rFonts w:eastAsia="Arial Narrow" w:cs="Arial Narrow"/>
                <w:sz w:val="20"/>
                <w:szCs w:val="18"/>
              </w:rPr>
            </w:pPr>
            <w:r w:rsidRPr="00EE4B7A">
              <w:rPr>
                <w:rFonts w:eastAsia="Arial" w:cs="Arial"/>
                <w:color w:val="000000"/>
                <w:sz w:val="20"/>
                <w:szCs w:val="18"/>
                <w:lang w:val="en-US" w:bidi="en-US"/>
              </w:rPr>
              <w:t xml:space="preserve">OP INTERACT </w:t>
            </w:r>
            <w:r w:rsidRPr="00EE4B7A">
              <w:rPr>
                <w:rFonts w:eastAsia="Arial" w:cs="Arial"/>
                <w:color w:val="000000"/>
                <w:sz w:val="20"/>
                <w:szCs w:val="18"/>
                <w:lang w:eastAsia="sk-SK" w:bidi="sk-SK"/>
              </w:rPr>
              <w:t>II</w:t>
            </w:r>
          </w:p>
        </w:tc>
        <w:tc>
          <w:tcPr>
            <w:tcW w:w="1162" w:type="pct"/>
            <w:tcBorders>
              <w:top w:val="single" w:sz="4" w:space="0" w:color="auto"/>
              <w:left w:val="single" w:sz="4" w:space="0" w:color="auto"/>
              <w:bottom w:val="single" w:sz="4" w:space="0" w:color="auto"/>
            </w:tcBorders>
            <w:shd w:val="clear" w:color="auto" w:fill="FFFFFF"/>
            <w:vAlign w:val="bottom"/>
          </w:tcPr>
          <w:p w14:paraId="6A2DD039"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sz w:val="20"/>
                <w:szCs w:val="20"/>
              </w:rPr>
              <w:t>71 762,67</w:t>
            </w:r>
          </w:p>
        </w:tc>
        <w:tc>
          <w:tcPr>
            <w:tcW w:w="1162" w:type="pct"/>
            <w:tcBorders>
              <w:top w:val="single" w:sz="4" w:space="0" w:color="auto"/>
              <w:left w:val="single" w:sz="4" w:space="0" w:color="auto"/>
              <w:bottom w:val="single" w:sz="4" w:space="0" w:color="auto"/>
              <w:right w:val="single" w:sz="4" w:space="0" w:color="auto"/>
            </w:tcBorders>
            <w:shd w:val="clear" w:color="auto" w:fill="FFFFFF"/>
            <w:vAlign w:val="bottom"/>
          </w:tcPr>
          <w:p w14:paraId="7A9A076D" w14:textId="77777777" w:rsidR="00E1733A" w:rsidRPr="00EE4B7A" w:rsidRDefault="00E1733A" w:rsidP="00DA1D69">
            <w:pPr>
              <w:widowControl w:val="0"/>
              <w:jc w:val="right"/>
              <w:rPr>
                <w:rFonts w:eastAsia="Arial Narrow" w:cs="Arial Narrow"/>
                <w:sz w:val="20"/>
                <w:szCs w:val="20"/>
              </w:rPr>
            </w:pPr>
            <w:r w:rsidRPr="00EE4B7A">
              <w:rPr>
                <w:rFonts w:eastAsia="Arial Narrow" w:cs="Arial Narrow"/>
                <w:color w:val="000000"/>
                <w:sz w:val="20"/>
                <w:szCs w:val="20"/>
                <w:lang w:eastAsia="sk-SK" w:bidi="sk-SK"/>
              </w:rPr>
              <w:t>12 664,00</w:t>
            </w:r>
          </w:p>
        </w:tc>
      </w:tr>
      <w:tr w:rsidR="00E1733A" w:rsidRPr="00EE4B7A" w14:paraId="7F56E897" w14:textId="77777777" w:rsidTr="00DA1D69">
        <w:trPr>
          <w:trHeight w:val="20"/>
        </w:trPr>
        <w:tc>
          <w:tcPr>
            <w:tcW w:w="2676" w:type="pct"/>
            <w:tcBorders>
              <w:top w:val="single" w:sz="4" w:space="0" w:color="auto"/>
              <w:left w:val="single" w:sz="4" w:space="0" w:color="auto"/>
              <w:bottom w:val="single" w:sz="4" w:space="0" w:color="auto"/>
            </w:tcBorders>
            <w:shd w:val="clear" w:color="auto" w:fill="FFFFFF"/>
            <w:vAlign w:val="bottom"/>
          </w:tcPr>
          <w:p w14:paraId="00052766" w14:textId="77777777" w:rsidR="00E1733A" w:rsidRPr="00EE4B7A" w:rsidRDefault="00E1733A" w:rsidP="00DA1D69">
            <w:pPr>
              <w:widowControl w:val="0"/>
              <w:rPr>
                <w:rFonts w:eastAsia="Arial" w:cs="Arial"/>
                <w:color w:val="000000"/>
                <w:sz w:val="20"/>
                <w:szCs w:val="18"/>
                <w:lang w:val="en-US" w:bidi="en-US"/>
              </w:rPr>
            </w:pPr>
            <w:r w:rsidRPr="00EE4B7A">
              <w:rPr>
                <w:rFonts w:eastAsia="Arial" w:cs="Arial"/>
                <w:b/>
                <w:color w:val="000000"/>
                <w:sz w:val="20"/>
                <w:szCs w:val="18"/>
                <w:lang w:eastAsia="sk-SK" w:bidi="sk-SK"/>
              </w:rPr>
              <w:t>SPOLU</w:t>
            </w:r>
          </w:p>
        </w:tc>
        <w:tc>
          <w:tcPr>
            <w:tcW w:w="1162" w:type="pct"/>
            <w:tcBorders>
              <w:top w:val="single" w:sz="4" w:space="0" w:color="auto"/>
              <w:left w:val="single" w:sz="4" w:space="0" w:color="auto"/>
              <w:bottom w:val="single" w:sz="4" w:space="0" w:color="auto"/>
            </w:tcBorders>
            <w:shd w:val="clear" w:color="auto" w:fill="FFFFFF"/>
          </w:tcPr>
          <w:p w14:paraId="60C5152C" w14:textId="77777777" w:rsidR="00E1733A" w:rsidRPr="00EE4B7A" w:rsidRDefault="00E1733A" w:rsidP="00DA1D69">
            <w:pPr>
              <w:widowControl w:val="0"/>
              <w:jc w:val="right"/>
              <w:rPr>
                <w:rFonts w:eastAsia="Arial Narrow" w:cs="Arial Narrow"/>
                <w:b/>
                <w:sz w:val="20"/>
                <w:szCs w:val="18"/>
              </w:rPr>
            </w:pPr>
            <w:r w:rsidRPr="00EE4B7A">
              <w:rPr>
                <w:rFonts w:eastAsia="Arial" w:cs="Arial"/>
                <w:b/>
                <w:color w:val="000000"/>
                <w:sz w:val="20"/>
                <w:szCs w:val="18"/>
                <w:lang w:eastAsia="sk-SK" w:bidi="sk-SK"/>
              </w:rPr>
              <w:t>835 662 190,36</w:t>
            </w:r>
          </w:p>
        </w:tc>
        <w:tc>
          <w:tcPr>
            <w:tcW w:w="1162" w:type="pct"/>
            <w:tcBorders>
              <w:top w:val="single" w:sz="4" w:space="0" w:color="auto"/>
              <w:left w:val="single" w:sz="4" w:space="0" w:color="auto"/>
              <w:bottom w:val="single" w:sz="4" w:space="0" w:color="auto"/>
              <w:right w:val="single" w:sz="4" w:space="0" w:color="auto"/>
            </w:tcBorders>
            <w:shd w:val="clear" w:color="auto" w:fill="FFFFFF"/>
            <w:vAlign w:val="bottom"/>
          </w:tcPr>
          <w:p w14:paraId="03CA34C4" w14:textId="77777777" w:rsidR="00E1733A" w:rsidRPr="00EE4B7A" w:rsidRDefault="00E1733A" w:rsidP="00DA1D69">
            <w:pPr>
              <w:widowControl w:val="0"/>
              <w:jc w:val="right"/>
              <w:rPr>
                <w:rFonts w:eastAsia="Arial Narrow" w:cs="Arial Narrow"/>
                <w:color w:val="000000"/>
                <w:sz w:val="20"/>
                <w:szCs w:val="20"/>
                <w:lang w:eastAsia="sk-SK" w:bidi="sk-SK"/>
              </w:rPr>
            </w:pPr>
            <w:r w:rsidRPr="00EE4B7A">
              <w:rPr>
                <w:rFonts w:eastAsia="Arial" w:cs="Arial"/>
                <w:b/>
                <w:color w:val="000000"/>
                <w:sz w:val="20"/>
                <w:szCs w:val="18"/>
                <w:lang w:eastAsia="sk-SK" w:bidi="sk-SK"/>
              </w:rPr>
              <w:t>152 965 515,96</w:t>
            </w:r>
          </w:p>
        </w:tc>
      </w:tr>
    </w:tbl>
    <w:p w14:paraId="4425DB32" w14:textId="77777777" w:rsidR="00E1733A" w:rsidRPr="005369DE" w:rsidRDefault="00E1733A" w:rsidP="00E1733A">
      <w:pPr>
        <w:spacing w:after="160" w:line="259" w:lineRule="auto"/>
        <w:rPr>
          <w:rFonts w:eastAsia="Calibri" w:cs="Times New Roman"/>
          <w:i/>
          <w:sz w:val="18"/>
          <w:szCs w:val="20"/>
        </w:rPr>
      </w:pPr>
      <w:r w:rsidRPr="005369DE">
        <w:rPr>
          <w:rFonts w:eastAsia="Calibri" w:cs="Times New Roman"/>
          <w:i/>
          <w:sz w:val="18"/>
          <w:szCs w:val="20"/>
        </w:rPr>
        <w:t>Zdroj: MF SR</w:t>
      </w:r>
    </w:p>
    <w:p w14:paraId="7B56EE31" w14:textId="77777777" w:rsidR="00E1733A" w:rsidRPr="00EE4B7A" w:rsidRDefault="00E1733A" w:rsidP="00E1733A">
      <w:pPr>
        <w:autoSpaceDE w:val="0"/>
        <w:autoSpaceDN w:val="0"/>
        <w:adjustRightInd w:val="0"/>
        <w:spacing w:after="100"/>
        <w:jc w:val="both"/>
        <w:rPr>
          <w:rFonts w:eastAsia="Calibri" w:cs="Times New Roman"/>
          <w:b/>
          <w:color w:val="0070C0"/>
          <w:sz w:val="24"/>
        </w:rPr>
      </w:pPr>
      <w:r w:rsidRPr="00EE4B7A">
        <w:rPr>
          <w:rFonts w:eastAsia="Calibri" w:cs="Times New Roman"/>
          <w:b/>
          <w:color w:val="0070C0"/>
          <w:sz w:val="24"/>
        </w:rPr>
        <w:t>3. programové obdobie</w:t>
      </w:r>
    </w:p>
    <w:p w14:paraId="50FCD69F" w14:textId="34168812" w:rsidR="00E1733A" w:rsidRPr="00EE4B7A" w:rsidRDefault="00E1733A" w:rsidP="00E1733A">
      <w:pPr>
        <w:autoSpaceDE w:val="0"/>
        <w:autoSpaceDN w:val="0"/>
        <w:adjustRightInd w:val="0"/>
        <w:spacing w:after="100"/>
        <w:jc w:val="both"/>
        <w:rPr>
          <w:rFonts w:eastAsia="Calibri" w:cs="Times New Roman"/>
        </w:rPr>
      </w:pPr>
      <w:r w:rsidRPr="00EE4B7A">
        <w:rPr>
          <w:rFonts w:eastAsia="Calibri" w:cs="Times New Roman"/>
        </w:rPr>
        <w:tab/>
        <w:t>Čerpanie predstavovalo k 30.</w:t>
      </w:r>
      <w:r>
        <w:rPr>
          <w:rFonts w:eastAsia="Calibri" w:cs="Times New Roman"/>
        </w:rPr>
        <w:t xml:space="preserve"> </w:t>
      </w:r>
      <w:r w:rsidRPr="00EE4B7A">
        <w:rPr>
          <w:rFonts w:eastAsia="Calibri" w:cs="Times New Roman"/>
        </w:rPr>
        <w:t>9.</w:t>
      </w:r>
      <w:r>
        <w:rPr>
          <w:rFonts w:eastAsia="Calibri" w:cs="Times New Roman"/>
        </w:rPr>
        <w:t xml:space="preserve"> </w:t>
      </w:r>
      <w:r w:rsidRPr="00EE4B7A">
        <w:rPr>
          <w:rFonts w:eastAsia="Calibri" w:cs="Times New Roman"/>
        </w:rPr>
        <w:t>2019 sumu vo výške</w:t>
      </w:r>
      <w:r>
        <w:rPr>
          <w:rFonts w:eastAsia="Calibri" w:cs="Times New Roman"/>
        </w:rPr>
        <w:t xml:space="preserve"> </w:t>
      </w:r>
      <w:r w:rsidRPr="00EE4B7A">
        <w:rPr>
          <w:rFonts w:eastAsia="Calibri" w:cs="Times New Roman"/>
        </w:rPr>
        <w:t xml:space="preserve">3 468 116 tis. eur (EÚ zdroj), </w:t>
      </w:r>
      <w:proofErr w:type="spellStart"/>
      <w:r w:rsidRPr="00EE4B7A">
        <w:rPr>
          <w:rFonts w:eastAsia="Calibri" w:cs="Times New Roman"/>
        </w:rPr>
        <w:t>t.j</w:t>
      </w:r>
      <w:proofErr w:type="spellEnd"/>
      <w:r w:rsidRPr="00EE4B7A">
        <w:rPr>
          <w:rFonts w:eastAsia="Calibri" w:cs="Times New Roman"/>
        </w:rPr>
        <w:t>. 25,16</w:t>
      </w:r>
      <w:r>
        <w:rPr>
          <w:rFonts w:eastAsia="Calibri" w:cs="Times New Roman"/>
        </w:rPr>
        <w:t xml:space="preserve"> </w:t>
      </w:r>
      <w:r w:rsidRPr="00EE4B7A">
        <w:rPr>
          <w:rFonts w:eastAsia="Calibri" w:cs="Times New Roman"/>
        </w:rPr>
        <w:t>% zo zdrojov alokovaných pre S</w:t>
      </w:r>
      <w:r>
        <w:rPr>
          <w:rFonts w:eastAsia="Calibri" w:cs="Times New Roman"/>
        </w:rPr>
        <w:t>R</w:t>
      </w:r>
      <w:r w:rsidRPr="00EE4B7A">
        <w:rPr>
          <w:rFonts w:eastAsia="Calibri" w:cs="Times New Roman"/>
        </w:rPr>
        <w:t xml:space="preserve"> na obdobie 2014</w:t>
      </w:r>
      <w:r>
        <w:rPr>
          <w:rFonts w:eastAsia="Calibri" w:cs="Times New Roman"/>
        </w:rPr>
        <w:t xml:space="preserve"> </w:t>
      </w:r>
      <w:r w:rsidR="00F7243F">
        <w:rPr>
          <w:rFonts w:eastAsia="Calibri" w:cs="Times New Roman"/>
        </w:rPr>
        <w:t>až</w:t>
      </w:r>
      <w:r>
        <w:rPr>
          <w:rFonts w:eastAsia="Calibri" w:cs="Times New Roman"/>
        </w:rPr>
        <w:t xml:space="preserve"> </w:t>
      </w:r>
      <w:r w:rsidRPr="00EE4B7A">
        <w:rPr>
          <w:rFonts w:eastAsia="Calibri" w:cs="Times New Roman"/>
        </w:rPr>
        <w:t>2020 (13 782 907,7 tis. eur). Táto alokácia je k dispozícii pre SR v rámci 11 operačných programov schválených EK (bez PRV). Čerpanie sa oproti sume z rovnakého obdobia roka 2018 zvýšilo na 176</w:t>
      </w:r>
      <w:r>
        <w:rPr>
          <w:rFonts w:eastAsia="Calibri" w:cs="Times New Roman"/>
        </w:rPr>
        <w:t xml:space="preserve"> </w:t>
      </w:r>
      <w:r w:rsidRPr="00EE4B7A">
        <w:rPr>
          <w:rFonts w:eastAsia="Calibri" w:cs="Times New Roman"/>
        </w:rPr>
        <w:t>% z tejto sumy, t. j. o 1 507 724 tis. eur. Ku dňu 30. 9. 2019 predstavovalo kontrahovanie (bez P</w:t>
      </w:r>
      <w:r>
        <w:rPr>
          <w:rFonts w:eastAsia="Calibri" w:cs="Times New Roman"/>
        </w:rPr>
        <w:t>RV</w:t>
      </w:r>
      <w:r w:rsidRPr="00EE4B7A">
        <w:rPr>
          <w:rFonts w:eastAsia="Calibri" w:cs="Times New Roman"/>
        </w:rPr>
        <w:t>) sumu 8 592 553,8 tis. eur, čo tvorí 62,34 % z celkovej alokácie.</w:t>
      </w:r>
    </w:p>
    <w:p w14:paraId="0EC25F51" w14:textId="5816B409" w:rsidR="00E1733A" w:rsidRPr="00EE4B7A" w:rsidRDefault="00E1733A" w:rsidP="00E1733A">
      <w:pPr>
        <w:spacing w:before="100" w:after="100"/>
        <w:ind w:firstLine="708"/>
        <w:jc w:val="both"/>
        <w:rPr>
          <w:rFonts w:eastAsia="Calibri" w:cs="Times New Roman"/>
        </w:rPr>
      </w:pPr>
      <w:r w:rsidRPr="00EE4B7A">
        <w:rPr>
          <w:rFonts w:eastAsia="Calibri" w:cs="Times New Roman"/>
        </w:rPr>
        <w:t>V rámci operačných programov má už tradične najvyšši</w:t>
      </w:r>
      <w:r w:rsidR="00F7243F">
        <w:rPr>
          <w:rFonts w:eastAsia="Calibri" w:cs="Times New Roman"/>
        </w:rPr>
        <w:t>e</w:t>
      </w:r>
      <w:r w:rsidRPr="00EE4B7A">
        <w:rPr>
          <w:rFonts w:eastAsia="Calibri" w:cs="Times New Roman"/>
        </w:rPr>
        <w:t xml:space="preserve"> vyčerpanú sumu OP Integrovaná infraštruktúra vo výške 1 409 175 tis. eur, t. j. 35,68 % z alokácie OP (EÚ zdroj). Najnižšie čerpanie je</w:t>
      </w:r>
      <w:r w:rsidR="00F7243F">
        <w:rPr>
          <w:rFonts w:eastAsia="Calibri" w:cs="Times New Roman"/>
        </w:rPr>
        <w:t>,</w:t>
      </w:r>
      <w:r w:rsidRPr="00EE4B7A">
        <w:rPr>
          <w:rFonts w:eastAsia="Calibri" w:cs="Times New Roman"/>
        </w:rPr>
        <w:t xml:space="preserve"> naopak</w:t>
      </w:r>
      <w:r w:rsidR="00F7243F">
        <w:rPr>
          <w:rFonts w:eastAsia="Calibri" w:cs="Times New Roman"/>
        </w:rPr>
        <w:t>,</w:t>
      </w:r>
      <w:r w:rsidRPr="00EE4B7A">
        <w:rPr>
          <w:rFonts w:eastAsia="Calibri" w:cs="Times New Roman"/>
        </w:rPr>
        <w:t xml:space="preserve"> pri OP Rybné hospodárstvo (7,75 %), OP </w:t>
      </w:r>
      <w:proofErr w:type="spellStart"/>
      <w:r w:rsidRPr="00EE4B7A">
        <w:rPr>
          <w:rFonts w:eastAsia="Calibri" w:cs="Times New Roman"/>
        </w:rPr>
        <w:t>Interreg</w:t>
      </w:r>
      <w:proofErr w:type="spellEnd"/>
      <w:r w:rsidRPr="00EE4B7A">
        <w:rPr>
          <w:rFonts w:eastAsia="Calibri" w:cs="Times New Roman"/>
        </w:rPr>
        <w:t xml:space="preserve"> V-A SK-CZ (6,80 %) a OP </w:t>
      </w:r>
      <w:proofErr w:type="spellStart"/>
      <w:r w:rsidRPr="00EE4B7A">
        <w:rPr>
          <w:rFonts w:eastAsia="Calibri" w:cs="Times New Roman"/>
        </w:rPr>
        <w:t>Interreg</w:t>
      </w:r>
      <w:proofErr w:type="spellEnd"/>
      <w:r w:rsidRPr="00EE4B7A">
        <w:rPr>
          <w:rFonts w:eastAsia="Calibri" w:cs="Times New Roman"/>
        </w:rPr>
        <w:t xml:space="preserve"> V-A SK-AT (3,80 %). </w:t>
      </w:r>
    </w:p>
    <w:tbl>
      <w:tblPr>
        <w:tblStyle w:val="Mriekatabuk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1733A" w:rsidRPr="00EE4B7A" w14:paraId="1AB5E4B9" w14:textId="77777777" w:rsidTr="00DA1D69">
        <w:tc>
          <w:tcPr>
            <w:tcW w:w="9072" w:type="dxa"/>
            <w:tcBorders>
              <w:top w:val="single" w:sz="4" w:space="0" w:color="auto"/>
              <w:bottom w:val="single" w:sz="4" w:space="0" w:color="auto"/>
            </w:tcBorders>
            <w:shd w:val="clear" w:color="auto" w:fill="0070C0"/>
          </w:tcPr>
          <w:p w14:paraId="51CF59D3" w14:textId="77777777" w:rsidR="00E1733A" w:rsidRPr="008D6E22" w:rsidRDefault="00E1733A" w:rsidP="00DA1D69">
            <w:pPr>
              <w:rPr>
                <w:rFonts w:ascii="Arial Narrow" w:eastAsia="Times New Roman" w:hAnsi="Arial Narrow" w:cs="Times New Roman"/>
                <w:b/>
                <w:color w:val="FFFFFF"/>
                <w:sz w:val="20"/>
                <w:szCs w:val="20"/>
                <w:lang w:eastAsia="sk-SK"/>
              </w:rPr>
            </w:pPr>
            <w:r w:rsidRPr="008D6E22">
              <w:rPr>
                <w:rFonts w:ascii="Arial Narrow" w:eastAsia="Times New Roman" w:hAnsi="Arial Narrow" w:cs="Times New Roman"/>
                <w:b/>
                <w:color w:val="FFFFFF"/>
                <w:sz w:val="20"/>
                <w:szCs w:val="20"/>
                <w:lang w:eastAsia="sk-SK"/>
              </w:rPr>
              <w:t>Podiel čerpania OP EŠIF na celkovom čerpaní k 30.</w:t>
            </w:r>
            <w:r>
              <w:rPr>
                <w:rFonts w:ascii="Arial Narrow" w:eastAsia="Times New Roman" w:hAnsi="Arial Narrow" w:cs="Times New Roman"/>
                <w:b/>
                <w:color w:val="FFFFFF"/>
                <w:sz w:val="20"/>
                <w:szCs w:val="20"/>
                <w:lang w:eastAsia="sk-SK"/>
              </w:rPr>
              <w:t xml:space="preserve"> </w:t>
            </w:r>
            <w:r w:rsidRPr="008D6E22">
              <w:rPr>
                <w:rFonts w:ascii="Arial Narrow" w:eastAsia="Times New Roman" w:hAnsi="Arial Narrow" w:cs="Times New Roman"/>
                <w:b/>
                <w:color w:val="FFFFFF"/>
                <w:sz w:val="20"/>
                <w:szCs w:val="20"/>
                <w:lang w:eastAsia="sk-SK"/>
              </w:rPr>
              <w:t>9.</w:t>
            </w:r>
            <w:r>
              <w:rPr>
                <w:rFonts w:ascii="Arial Narrow" w:eastAsia="Times New Roman" w:hAnsi="Arial Narrow" w:cs="Times New Roman"/>
                <w:b/>
                <w:color w:val="FFFFFF"/>
                <w:sz w:val="20"/>
                <w:szCs w:val="20"/>
                <w:lang w:eastAsia="sk-SK"/>
              </w:rPr>
              <w:t xml:space="preserve"> </w:t>
            </w:r>
            <w:r w:rsidRPr="008D6E22">
              <w:rPr>
                <w:rFonts w:ascii="Arial Narrow" w:eastAsia="Times New Roman" w:hAnsi="Arial Narrow" w:cs="Times New Roman"/>
                <w:b/>
                <w:color w:val="FFFFFF"/>
                <w:sz w:val="20"/>
                <w:szCs w:val="20"/>
                <w:lang w:eastAsia="sk-SK"/>
              </w:rPr>
              <w:t>2019 (v %)</w:t>
            </w:r>
          </w:p>
        </w:tc>
      </w:tr>
    </w:tbl>
    <w:p w14:paraId="4F14445B" w14:textId="77777777" w:rsidR="00E1733A" w:rsidRDefault="00E1733A" w:rsidP="00E1733A">
      <w:pPr>
        <w:pBdr>
          <w:bottom w:val="single" w:sz="4" w:space="1" w:color="auto"/>
        </w:pBdr>
        <w:jc w:val="both"/>
        <w:rPr>
          <w:rFonts w:eastAsia="Calibri" w:cs="Times New Roman"/>
        </w:rPr>
      </w:pPr>
    </w:p>
    <w:p w14:paraId="578F24E8" w14:textId="77777777" w:rsidR="00E1733A" w:rsidRPr="00EE4B7A" w:rsidRDefault="00E1733A" w:rsidP="00E1733A">
      <w:pPr>
        <w:pBdr>
          <w:bottom w:val="single" w:sz="4" w:space="1" w:color="auto"/>
        </w:pBdr>
        <w:jc w:val="both"/>
        <w:rPr>
          <w:rFonts w:eastAsia="Calibri" w:cs="Times New Roman"/>
        </w:rPr>
      </w:pPr>
      <w:r w:rsidRPr="00EE4B7A">
        <w:rPr>
          <w:rFonts w:ascii="Times New Roman" w:eastAsia="Calibri" w:hAnsi="Times New Roman" w:cs="Times New Roman"/>
          <w:noProof/>
          <w:sz w:val="24"/>
          <w:lang w:eastAsia="sk-SK"/>
        </w:rPr>
        <w:drawing>
          <wp:inline distT="0" distB="0" distL="0" distR="0" wp14:anchorId="2125143F" wp14:editId="64D26DF2">
            <wp:extent cx="5760720" cy="2263140"/>
            <wp:effectExtent l="0" t="0" r="0" b="3810"/>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987CDEC" w14:textId="77777777" w:rsidR="00E1733A" w:rsidRPr="00AA6A86" w:rsidRDefault="00E1733A" w:rsidP="00E1733A">
      <w:pPr>
        <w:autoSpaceDE w:val="0"/>
        <w:autoSpaceDN w:val="0"/>
        <w:adjustRightInd w:val="0"/>
        <w:spacing w:after="120"/>
        <w:jc w:val="both"/>
        <w:rPr>
          <w:rFonts w:eastAsia="Calibri" w:cs="Bariol-Light"/>
          <w:i/>
          <w:color w:val="000000"/>
          <w:sz w:val="18"/>
          <w:szCs w:val="20"/>
        </w:rPr>
      </w:pPr>
      <w:r w:rsidRPr="00AA6A86">
        <w:rPr>
          <w:rFonts w:eastAsia="Calibri" w:cs="Bariol-Light"/>
          <w:i/>
          <w:color w:val="000000"/>
          <w:sz w:val="18"/>
          <w:szCs w:val="20"/>
        </w:rPr>
        <w:t>Zdroj: MF SR</w:t>
      </w:r>
    </w:p>
    <w:p w14:paraId="59F390F4" w14:textId="3C206360" w:rsidR="00E1733A" w:rsidRPr="00EE4B7A" w:rsidRDefault="00E1733A" w:rsidP="00E1733A">
      <w:pPr>
        <w:autoSpaceDE w:val="0"/>
        <w:autoSpaceDN w:val="0"/>
        <w:adjustRightInd w:val="0"/>
        <w:spacing w:before="120" w:after="120"/>
        <w:ind w:firstLine="708"/>
        <w:jc w:val="both"/>
        <w:rPr>
          <w:rFonts w:eastAsia="Calibri" w:cs="Times New Roman"/>
        </w:rPr>
      </w:pPr>
      <w:r w:rsidRPr="00EE4B7A">
        <w:rPr>
          <w:rFonts w:eastAsia="Calibri" w:cs="Bariol-Light"/>
          <w:color w:val="000000"/>
        </w:rPr>
        <w:t xml:space="preserve">NKÚ SR upozorňuje na fakt, že ani v šiestom roku implementácie operačných programov </w:t>
      </w:r>
      <w:r>
        <w:rPr>
          <w:rFonts w:eastAsia="Calibri" w:cs="Bariol-Light"/>
          <w:color w:val="000000"/>
        </w:rPr>
        <w:t xml:space="preserve">EŠIF sa </w:t>
      </w:r>
      <w:r w:rsidRPr="00EE4B7A">
        <w:rPr>
          <w:rFonts w:eastAsia="Calibri" w:cs="Bariol-Light"/>
          <w:color w:val="000000"/>
        </w:rPr>
        <w:t>zodpovedné orgány nepoučili z minulosti a čerpanie finančných prostriedkov naďalej sprevádzajú nedos</w:t>
      </w:r>
      <w:r w:rsidR="00F7243F">
        <w:rPr>
          <w:rFonts w:eastAsia="Calibri" w:cs="Bariol-Light"/>
          <w:color w:val="000000"/>
        </w:rPr>
        <w:t>tatky, na ktoré NKÚ SR často</w:t>
      </w:r>
      <w:r w:rsidRPr="00EE4B7A">
        <w:rPr>
          <w:rFonts w:eastAsia="Calibri" w:cs="Bariol-Light"/>
          <w:color w:val="000000"/>
        </w:rPr>
        <w:t xml:space="preserve"> upozorňoval výsle</w:t>
      </w:r>
      <w:r w:rsidR="00F7243F">
        <w:rPr>
          <w:rFonts w:eastAsia="Calibri" w:cs="Bariol-Light"/>
          <w:color w:val="000000"/>
        </w:rPr>
        <w:t>dkami svojich kontrol vykonaných</w:t>
      </w:r>
      <w:r w:rsidRPr="00EE4B7A">
        <w:rPr>
          <w:rFonts w:eastAsia="Calibri" w:cs="Bariol-Light"/>
          <w:color w:val="000000"/>
        </w:rPr>
        <w:t xml:space="preserve"> v rámci predchádzajúcich programových období.</w:t>
      </w:r>
      <w:r w:rsidRPr="00EE4B7A">
        <w:rPr>
          <w:rFonts w:eastAsia="Calibri" w:cs="Times New Roman"/>
        </w:rPr>
        <w:t xml:space="preserve"> </w:t>
      </w:r>
    </w:p>
    <w:p w14:paraId="700CBFA6" w14:textId="0C09C92F" w:rsidR="00E1733A" w:rsidRPr="00EE4B7A" w:rsidRDefault="00E1733A" w:rsidP="00E1733A">
      <w:pPr>
        <w:autoSpaceDE w:val="0"/>
        <w:autoSpaceDN w:val="0"/>
        <w:adjustRightInd w:val="0"/>
        <w:spacing w:before="120" w:after="120"/>
        <w:ind w:firstLine="708"/>
        <w:jc w:val="both"/>
        <w:rPr>
          <w:rFonts w:eastAsia="Calibri" w:cs="Bariol-Light"/>
          <w:color w:val="000000"/>
        </w:rPr>
      </w:pPr>
      <w:r w:rsidRPr="00EE4B7A">
        <w:rPr>
          <w:rFonts w:eastAsia="Calibri" w:cs="Bariol-Light"/>
          <w:color w:val="000000"/>
        </w:rPr>
        <w:t xml:space="preserve">Vláda SR podnikla opatrenia, aj na základe kontrol NKÚ SR, schválením akčného plánu na posilnenie transparentnosti a zjednodušenia implementácie EŠIF v septembri 2017. Od 1. januára 2018 vstúpila do platnosti ďalšia séria opatrení, ktoré sú súčasťou Akčného plánu na posilnenie transparentnosti eurofondov. Úrad podpredsedu vlády SR pre investície a informatizáciu </w:t>
      </w:r>
      <w:r>
        <w:rPr>
          <w:rFonts w:eastAsia="Calibri" w:cs="Bariol-Light"/>
          <w:color w:val="000000"/>
        </w:rPr>
        <w:t xml:space="preserve">SR </w:t>
      </w:r>
      <w:r w:rsidRPr="00EE4B7A">
        <w:rPr>
          <w:rFonts w:eastAsia="Calibri" w:cs="Bariol-Light"/>
          <w:color w:val="000000"/>
        </w:rPr>
        <w:t xml:space="preserve">zaviedol ďalšie opatrenia na zvýšenie transparentnosti a zjednodušenie </w:t>
      </w:r>
      <w:r w:rsidRPr="00EE4B7A">
        <w:rPr>
          <w:rFonts w:eastAsia="Calibri" w:cs="Bariol-Light"/>
          <w:color w:val="000000"/>
        </w:rPr>
        <w:lastRenderedPageBreak/>
        <w:t>čerpania eurofondov. Jedným z prevenčných prvkov je vypracovanie Rizikovej analýz</w:t>
      </w:r>
      <w:r w:rsidR="00B339DA">
        <w:rPr>
          <w:rFonts w:eastAsia="Calibri" w:cs="Bariol-Light"/>
          <w:color w:val="000000"/>
        </w:rPr>
        <w:t>y výziev/vyzvaní, ktorá slúži k </w:t>
      </w:r>
      <w:r w:rsidRPr="00EE4B7A">
        <w:rPr>
          <w:rFonts w:eastAsia="Calibri" w:cs="Bariol-Light"/>
          <w:color w:val="000000"/>
        </w:rPr>
        <w:t>zabezpečeniu kvalitnej prípravy výziev a</w:t>
      </w:r>
      <w:r w:rsidR="00F7243F">
        <w:rPr>
          <w:rFonts w:eastAsia="Calibri" w:cs="Bariol-Light"/>
          <w:color w:val="000000"/>
        </w:rPr>
        <w:t xml:space="preserve"> k </w:t>
      </w:r>
      <w:r w:rsidRPr="00EE4B7A">
        <w:rPr>
          <w:rFonts w:eastAsia="Calibri" w:cs="Bariol-Light"/>
          <w:color w:val="000000"/>
        </w:rPr>
        <w:t>eliminácii problémových a rizikových oblastí, čo v konečnom dôsledku prispeje k lepšej implementácii operačných programov, čerpaniu finančných prost</w:t>
      </w:r>
      <w:r w:rsidR="00F7243F">
        <w:rPr>
          <w:rFonts w:eastAsia="Calibri" w:cs="Bariol-Light"/>
          <w:color w:val="000000"/>
        </w:rPr>
        <w:t>riedkov, predchádzaniu auditným zisteniam</w:t>
      </w:r>
      <w:r w:rsidRPr="00EE4B7A">
        <w:rPr>
          <w:rFonts w:eastAsia="Calibri" w:cs="Bariol-Light"/>
          <w:color w:val="000000"/>
        </w:rPr>
        <w:t xml:space="preserve">.  </w:t>
      </w:r>
    </w:p>
    <w:p w14:paraId="3421296F" w14:textId="4422FD5B" w:rsidR="00E1733A" w:rsidRPr="00EE4B7A" w:rsidRDefault="00E1733A" w:rsidP="00E1733A">
      <w:pPr>
        <w:spacing w:before="120" w:after="120"/>
        <w:ind w:firstLine="709"/>
        <w:jc w:val="both"/>
        <w:rPr>
          <w:rFonts w:eastAsia="Calibri" w:cs="Times New Roman"/>
        </w:rPr>
      </w:pPr>
      <w:r w:rsidRPr="00EE4B7A">
        <w:rPr>
          <w:rFonts w:eastAsia="Calibri" w:cs="Times New Roman"/>
        </w:rPr>
        <w:t xml:space="preserve">Aj napriek existencii pravidla n+3 treba však, ako </w:t>
      </w:r>
      <w:r w:rsidR="00F7243F">
        <w:rPr>
          <w:rFonts w:eastAsia="Calibri" w:cs="Times New Roman"/>
        </w:rPr>
        <w:t>v predošlých rokoch</w:t>
      </w:r>
      <w:r w:rsidRPr="00EE4B7A">
        <w:rPr>
          <w:rFonts w:eastAsia="Calibri" w:cs="Times New Roman"/>
        </w:rPr>
        <w:t xml:space="preserve">, konštatovať, že existujúce tempo čerpania je podpriemerné a NKÚ SR upozorňuje na </w:t>
      </w:r>
      <w:r>
        <w:rPr>
          <w:rFonts w:eastAsia="Calibri" w:cs="Times New Roman"/>
        </w:rPr>
        <w:t xml:space="preserve">významné </w:t>
      </w:r>
      <w:r w:rsidRPr="00EE4B7A">
        <w:rPr>
          <w:rFonts w:eastAsia="Calibri" w:cs="Times New Roman"/>
        </w:rPr>
        <w:t>riziko neplnenia čiastkových cieľov výkonnostného rámca. V prípade neplnenia cieľov a čerpania OP môže S</w:t>
      </w:r>
      <w:r>
        <w:rPr>
          <w:rFonts w:eastAsia="Calibri" w:cs="Times New Roman"/>
        </w:rPr>
        <w:t>R</w:t>
      </w:r>
      <w:r w:rsidRPr="00EE4B7A">
        <w:rPr>
          <w:rFonts w:eastAsia="Calibri" w:cs="Times New Roman"/>
        </w:rPr>
        <w:t xml:space="preserve"> na základe súhlasu E</w:t>
      </w:r>
      <w:r>
        <w:rPr>
          <w:rFonts w:eastAsia="Calibri" w:cs="Times New Roman"/>
        </w:rPr>
        <w:t>K</w:t>
      </w:r>
      <w:r w:rsidRPr="00EE4B7A">
        <w:rPr>
          <w:rFonts w:eastAsia="Calibri" w:cs="Times New Roman"/>
        </w:rPr>
        <w:t xml:space="preserve"> presunúť určité percento finančných prostriedkov z niektorých málo výkonných OP do iných, aby nehrozilo ich prepadnutie, resp. nevyčerpanie. </w:t>
      </w:r>
    </w:p>
    <w:p w14:paraId="773F50FA" w14:textId="77777777" w:rsidR="00E1733A" w:rsidRPr="00EE4B7A" w:rsidRDefault="00E1733A" w:rsidP="00E1733A">
      <w:pPr>
        <w:autoSpaceDE w:val="0"/>
        <w:autoSpaceDN w:val="0"/>
        <w:spacing w:before="120" w:after="120"/>
        <w:ind w:firstLine="708"/>
        <w:jc w:val="both"/>
        <w:rPr>
          <w:rFonts w:eastAsia="Calibri" w:cs="Times New Roman"/>
          <w:lang w:eastAsia="sk-SK"/>
        </w:rPr>
      </w:pPr>
      <w:r w:rsidRPr="00EE4B7A">
        <w:rPr>
          <w:rFonts w:eastAsia="Calibri" w:cs="Times New Roman"/>
          <w:b/>
          <w:bCs/>
          <w:lang w:eastAsia="sk-SK"/>
        </w:rPr>
        <w:t>EK na základe preskúmania výkonnosti rozhodla štyrmi rozhodnutiami</w:t>
      </w:r>
      <w:r w:rsidRPr="00EE4B7A">
        <w:rPr>
          <w:rFonts w:eastAsia="Calibri" w:cs="Times New Roman"/>
          <w:lang w:eastAsia="sk-SK"/>
        </w:rPr>
        <w:t xml:space="preserve"> </w:t>
      </w:r>
      <w:r w:rsidRPr="00EE4B7A">
        <w:rPr>
          <w:rFonts w:eastAsia="Calibri" w:cs="Times New Roman"/>
          <w:b/>
          <w:bCs/>
          <w:lang w:eastAsia="sk-SK"/>
        </w:rPr>
        <w:t>o pridelení výkonnostnej</w:t>
      </w:r>
      <w:r>
        <w:rPr>
          <w:rFonts w:eastAsia="Calibri" w:cs="Times New Roman"/>
          <w:b/>
          <w:bCs/>
          <w:lang w:eastAsia="sk-SK"/>
        </w:rPr>
        <w:t xml:space="preserve"> rezervy v celkovej hodnote 474 </w:t>
      </w:r>
      <w:r w:rsidRPr="00EE4B7A">
        <w:rPr>
          <w:rFonts w:eastAsia="Calibri" w:cs="Times New Roman"/>
          <w:b/>
          <w:bCs/>
          <w:lang w:eastAsia="sk-SK"/>
        </w:rPr>
        <w:t>47</w:t>
      </w:r>
      <w:r>
        <w:rPr>
          <w:rFonts w:eastAsia="Calibri" w:cs="Times New Roman"/>
          <w:b/>
          <w:bCs/>
          <w:lang w:eastAsia="sk-SK"/>
        </w:rPr>
        <w:t>0</w:t>
      </w:r>
      <w:r w:rsidRPr="00EE4B7A">
        <w:rPr>
          <w:rFonts w:eastAsia="Calibri" w:cs="Times New Roman"/>
          <w:b/>
          <w:bCs/>
          <w:lang w:eastAsia="sk-SK"/>
        </w:rPr>
        <w:t xml:space="preserve"> </w:t>
      </w:r>
      <w:r>
        <w:rPr>
          <w:rFonts w:eastAsia="Calibri" w:cs="Times New Roman"/>
          <w:b/>
          <w:bCs/>
          <w:lang w:eastAsia="sk-SK"/>
        </w:rPr>
        <w:t>tis</w:t>
      </w:r>
      <w:r w:rsidRPr="00EE4B7A">
        <w:rPr>
          <w:rFonts w:eastAsia="Calibri" w:cs="Times New Roman"/>
          <w:b/>
          <w:bCs/>
          <w:lang w:eastAsia="sk-SK"/>
        </w:rPr>
        <w:t xml:space="preserve">. </w:t>
      </w:r>
      <w:r>
        <w:rPr>
          <w:rFonts w:eastAsia="Calibri" w:cs="Times New Roman"/>
          <w:b/>
          <w:bCs/>
          <w:lang w:eastAsia="sk-SK"/>
        </w:rPr>
        <w:t>eur</w:t>
      </w:r>
      <w:r w:rsidRPr="00EE4B7A">
        <w:rPr>
          <w:rFonts w:eastAsia="Calibri" w:cs="Times New Roman"/>
          <w:lang w:eastAsia="sk-SK"/>
        </w:rPr>
        <w:t xml:space="preserve"> 22 prioritným osiam a kategóriám regiónov (ak sa prioritná os týka viac ako jednej kategórie regiónov), z celkového počtu 46 prioritných osí a kategórií regiónov z 8 OP. </w:t>
      </w:r>
    </w:p>
    <w:p w14:paraId="531275DD" w14:textId="77777777" w:rsidR="00E1733A" w:rsidRPr="00EE4B7A" w:rsidRDefault="00E1733A" w:rsidP="00E1733A">
      <w:pPr>
        <w:spacing w:before="120" w:after="120"/>
        <w:ind w:firstLine="708"/>
        <w:jc w:val="both"/>
        <w:rPr>
          <w:rFonts w:eastAsia="Calibri" w:cs="Times New Roman"/>
        </w:rPr>
      </w:pPr>
      <w:r w:rsidRPr="00EE4B7A">
        <w:rPr>
          <w:rFonts w:eastAsia="Calibri" w:cs="Times New Roman"/>
          <w:b/>
          <w:bCs/>
          <w:lang w:eastAsia="sk-SK"/>
        </w:rPr>
        <w:t>Nepridelené prostriedky z výkonnostn</w:t>
      </w:r>
      <w:r>
        <w:rPr>
          <w:rFonts w:eastAsia="Calibri" w:cs="Times New Roman"/>
          <w:b/>
          <w:bCs/>
          <w:lang w:eastAsia="sk-SK"/>
        </w:rPr>
        <w:t xml:space="preserve">ej rezervy v celkovej výške 428 </w:t>
      </w:r>
      <w:r w:rsidRPr="00EE4B7A">
        <w:rPr>
          <w:rFonts w:eastAsia="Calibri" w:cs="Times New Roman"/>
          <w:b/>
          <w:bCs/>
          <w:lang w:eastAsia="sk-SK"/>
        </w:rPr>
        <w:t>5</w:t>
      </w:r>
      <w:r>
        <w:rPr>
          <w:rFonts w:eastAsia="Calibri" w:cs="Times New Roman"/>
          <w:b/>
          <w:bCs/>
          <w:lang w:eastAsia="sk-SK"/>
        </w:rPr>
        <w:t>00 tis</w:t>
      </w:r>
      <w:r w:rsidRPr="00EE4B7A">
        <w:rPr>
          <w:rFonts w:eastAsia="Calibri" w:cs="Times New Roman"/>
          <w:b/>
          <w:bCs/>
          <w:lang w:eastAsia="sk-SK"/>
        </w:rPr>
        <w:t>. eur</w:t>
      </w:r>
      <w:r w:rsidRPr="00EE4B7A">
        <w:rPr>
          <w:rFonts w:eastAsia="Calibri" w:cs="Times New Roman"/>
          <w:lang w:eastAsia="sk-SK"/>
        </w:rPr>
        <w:t xml:space="preserve"> (z uvedených rozhodnutí EK) sa prerozdelia </w:t>
      </w:r>
      <w:r w:rsidRPr="00E14184">
        <w:rPr>
          <w:rFonts w:eastAsia="Calibri" w:cs="Times New Roman"/>
          <w:lang w:eastAsia="sk-SK"/>
        </w:rPr>
        <w:t xml:space="preserve">v rámci </w:t>
      </w:r>
      <w:r w:rsidRPr="00EE4B7A">
        <w:rPr>
          <w:rFonts w:eastAsia="Calibri" w:cs="Times New Roman"/>
          <w:lang w:eastAsia="sk-SK"/>
        </w:rPr>
        <w:t>samotných programov alebo medzi jednotlivými programami pri dodržaní podmienok EK.</w:t>
      </w:r>
      <w:r>
        <w:rPr>
          <w:rFonts w:eastAsia="Calibri" w:cs="Times New Roman"/>
          <w:lang w:eastAsia="sk-SK"/>
        </w:rPr>
        <w:t xml:space="preserve"> </w:t>
      </w:r>
      <w:r w:rsidRPr="00EE4B7A">
        <w:rPr>
          <w:rFonts w:eastAsia="Calibri" w:cs="Times New Roman"/>
          <w:lang w:eastAsia="sk-SK"/>
        </w:rPr>
        <w:t xml:space="preserve">Všetky vládou schválené </w:t>
      </w:r>
      <w:proofErr w:type="spellStart"/>
      <w:r w:rsidRPr="00EE4B7A">
        <w:rPr>
          <w:rFonts w:eastAsia="Calibri" w:cs="Times New Roman"/>
          <w:lang w:eastAsia="sk-SK"/>
        </w:rPr>
        <w:t>realokácie</w:t>
      </w:r>
      <w:proofErr w:type="spellEnd"/>
      <w:r w:rsidRPr="00EE4B7A">
        <w:rPr>
          <w:rFonts w:eastAsia="Calibri" w:cs="Times New Roman"/>
          <w:lang w:eastAsia="sk-SK"/>
        </w:rPr>
        <w:t xml:space="preserve"> podliehajú schváleniu Monitorovacím výborom jednotlivých operačných programov a až po schválení Monitorovacím výborom  sa predkladajú na EK.</w:t>
      </w:r>
      <w:r>
        <w:rPr>
          <w:rFonts w:eastAsia="Calibri" w:cs="Times New Roman"/>
          <w:lang w:eastAsia="sk-SK"/>
        </w:rPr>
        <w:t xml:space="preserve"> V roku 2019 išlo o presun záväzku z OP </w:t>
      </w:r>
      <w:proofErr w:type="spellStart"/>
      <w:r>
        <w:rPr>
          <w:rFonts w:eastAsia="Calibri" w:cs="Times New Roman"/>
          <w:lang w:eastAsia="sk-SK"/>
        </w:rPr>
        <w:t>VaI</w:t>
      </w:r>
      <w:proofErr w:type="spellEnd"/>
      <w:r>
        <w:rPr>
          <w:rFonts w:eastAsia="Calibri" w:cs="Times New Roman"/>
          <w:lang w:eastAsia="sk-SK"/>
        </w:rPr>
        <w:t xml:space="preserve"> (prioritná os 1) v sume 70 000 tis. eur do OPII (prioritná os 6). Následne sa v roku 2019 presunul záväzok v sume  7 509 tis. eur z OP EVS (prioritná os 1) do OP ĽZ (prioritná os 3).</w:t>
      </w:r>
      <w:r w:rsidRPr="00EE4B7A">
        <w:rPr>
          <w:rFonts w:eastAsia="Calibri" w:cs="Times New Roman"/>
          <w:lang w:eastAsia="sk-SK"/>
        </w:rPr>
        <w:t xml:space="preserve"> </w:t>
      </w:r>
    </w:p>
    <w:p w14:paraId="0640809F" w14:textId="77777777" w:rsidR="00E1733A" w:rsidRPr="00EE4B7A" w:rsidRDefault="00E1733A" w:rsidP="00E1733A">
      <w:pPr>
        <w:spacing w:before="120" w:after="120"/>
        <w:jc w:val="both"/>
        <w:rPr>
          <w:rFonts w:eastAsia="Calibri" w:cs="Times New Roman"/>
          <w:lang w:eastAsia="sk-SK"/>
        </w:rPr>
      </w:pPr>
      <w:r w:rsidRPr="00EE4B7A">
        <w:rPr>
          <w:rFonts w:eastAsia="Calibri" w:cs="Times New Roman"/>
          <w:lang w:eastAsia="sk-SK"/>
        </w:rPr>
        <w:t>Prehľad nedočerpaného záväzku</w:t>
      </w:r>
      <w:r w:rsidRPr="00EE4B7A">
        <w:rPr>
          <w:rFonts w:eastAsia="Calibri" w:cs="Times New Roman"/>
          <w:color w:val="1F497D"/>
          <w:lang w:eastAsia="sk-SK"/>
        </w:rPr>
        <w:t xml:space="preserve"> </w:t>
      </w:r>
      <w:r w:rsidRPr="00EE4B7A">
        <w:rPr>
          <w:rFonts w:eastAsia="Calibri" w:cs="Times New Roman"/>
          <w:lang w:eastAsia="sk-SK"/>
        </w:rPr>
        <w:t>roku 2015  k 31.</w:t>
      </w:r>
      <w:r>
        <w:rPr>
          <w:rFonts w:eastAsia="Calibri" w:cs="Times New Roman"/>
          <w:lang w:eastAsia="sk-SK"/>
        </w:rPr>
        <w:t xml:space="preserve"> </w:t>
      </w:r>
      <w:r w:rsidRPr="00EE4B7A">
        <w:rPr>
          <w:rFonts w:eastAsia="Calibri" w:cs="Times New Roman"/>
          <w:lang w:eastAsia="sk-SK"/>
        </w:rPr>
        <w:t>12.</w:t>
      </w:r>
      <w:r>
        <w:rPr>
          <w:rFonts w:eastAsia="Calibri" w:cs="Times New Roman"/>
          <w:lang w:eastAsia="sk-SK"/>
        </w:rPr>
        <w:t xml:space="preserve"> </w:t>
      </w:r>
      <w:r w:rsidRPr="00EE4B7A">
        <w:rPr>
          <w:rFonts w:eastAsia="Calibri" w:cs="Times New Roman"/>
          <w:lang w:eastAsia="sk-SK"/>
        </w:rPr>
        <w:t>2018</w:t>
      </w:r>
      <w:r>
        <w:rPr>
          <w:rFonts w:eastAsia="Calibri" w:cs="Times New Roman"/>
          <w:lang w:eastAsia="sk-SK"/>
        </w:rPr>
        <w:t xml:space="preserve"> je uvedený v nasledujúcej tabuľke.</w:t>
      </w:r>
    </w:p>
    <w:tbl>
      <w:tblPr>
        <w:tblStyle w:val="Mriekatabuky9"/>
        <w:tblW w:w="2879" w:type="pct"/>
        <w:tblLook w:val="04A0" w:firstRow="1" w:lastRow="0" w:firstColumn="1" w:lastColumn="0" w:noHBand="0" w:noVBand="1"/>
      </w:tblPr>
      <w:tblGrid>
        <w:gridCol w:w="2208"/>
        <w:gridCol w:w="3173"/>
      </w:tblGrid>
      <w:tr w:rsidR="00E1733A" w:rsidRPr="00AA6A86" w14:paraId="733FED93" w14:textId="77777777" w:rsidTr="00DA1D69">
        <w:trPr>
          <w:trHeight w:val="20"/>
        </w:trPr>
        <w:tc>
          <w:tcPr>
            <w:tcW w:w="2052" w:type="pct"/>
            <w:tcBorders>
              <w:right w:val="single" w:sz="4" w:space="0" w:color="FFFFFF" w:themeColor="background1"/>
            </w:tcBorders>
            <w:shd w:val="clear" w:color="auto" w:fill="0070C0"/>
            <w:noWrap/>
            <w:hideMark/>
          </w:tcPr>
          <w:p w14:paraId="7393055D" w14:textId="77777777" w:rsidR="00E1733A" w:rsidRPr="00A14A9A" w:rsidRDefault="00E1733A" w:rsidP="00DA1D69">
            <w:pPr>
              <w:jc w:val="center"/>
              <w:rPr>
                <w:rFonts w:ascii="Arial Narrow" w:eastAsia="Calibri" w:hAnsi="Arial Narrow" w:cs="Calibri"/>
                <w:b/>
                <w:color w:val="FFFFFF"/>
                <w:sz w:val="20"/>
                <w:lang w:eastAsia="sk-SK"/>
              </w:rPr>
            </w:pPr>
            <w:r w:rsidRPr="00A14A9A">
              <w:rPr>
                <w:rFonts w:ascii="Arial Narrow" w:eastAsia="Calibri" w:hAnsi="Arial Narrow" w:cs="Times New Roman"/>
                <w:b/>
                <w:color w:val="FFFFFF"/>
                <w:sz w:val="20"/>
                <w:lang w:eastAsia="sk-SK"/>
              </w:rPr>
              <w:t>Operačný program</w:t>
            </w:r>
          </w:p>
        </w:tc>
        <w:tc>
          <w:tcPr>
            <w:tcW w:w="2948" w:type="pct"/>
            <w:tcBorders>
              <w:left w:val="single" w:sz="4" w:space="0" w:color="FFFFFF" w:themeColor="background1"/>
            </w:tcBorders>
            <w:shd w:val="clear" w:color="auto" w:fill="0070C0"/>
          </w:tcPr>
          <w:p w14:paraId="6A41A410" w14:textId="1B8246C8" w:rsidR="00E1733A" w:rsidRPr="00A14A9A" w:rsidRDefault="00C72D97" w:rsidP="00DA1D69">
            <w:pPr>
              <w:jc w:val="center"/>
              <w:rPr>
                <w:rFonts w:ascii="Arial Narrow" w:eastAsia="Calibri" w:hAnsi="Arial Narrow" w:cs="Calibri"/>
                <w:b/>
                <w:color w:val="FFFFFF"/>
                <w:sz w:val="20"/>
                <w:lang w:eastAsia="sk-SK"/>
              </w:rPr>
            </w:pPr>
            <w:r>
              <w:rPr>
                <w:rFonts w:ascii="Arial Narrow" w:eastAsia="Calibri" w:hAnsi="Arial Narrow" w:cs="Calibri"/>
                <w:b/>
                <w:color w:val="FFFFFF"/>
                <w:sz w:val="20"/>
                <w:lang w:eastAsia="sk-SK"/>
              </w:rPr>
              <w:t>Nedočerpaný záväzok (v eur</w:t>
            </w:r>
            <w:r w:rsidR="00E1733A" w:rsidRPr="00A14A9A">
              <w:rPr>
                <w:rFonts w:ascii="Arial Narrow" w:eastAsia="Calibri" w:hAnsi="Arial Narrow" w:cs="Calibri"/>
                <w:b/>
                <w:color w:val="FFFFFF"/>
                <w:sz w:val="20"/>
                <w:lang w:eastAsia="sk-SK"/>
              </w:rPr>
              <w:t>)</w:t>
            </w:r>
          </w:p>
        </w:tc>
      </w:tr>
      <w:tr w:rsidR="00E1733A" w:rsidRPr="00AA6A86" w14:paraId="2F903C18" w14:textId="77777777" w:rsidTr="00DA1D69">
        <w:trPr>
          <w:trHeight w:val="20"/>
        </w:trPr>
        <w:tc>
          <w:tcPr>
            <w:tcW w:w="2052" w:type="pct"/>
            <w:noWrap/>
            <w:hideMark/>
          </w:tcPr>
          <w:p w14:paraId="768A1297" w14:textId="77777777" w:rsidR="00E1733A" w:rsidRPr="00A14A9A" w:rsidRDefault="00E1733A" w:rsidP="00DA1D69">
            <w:pPr>
              <w:rPr>
                <w:rFonts w:ascii="Arial Narrow" w:eastAsia="Calibri" w:hAnsi="Arial Narrow" w:cs="Times New Roman"/>
                <w:sz w:val="20"/>
                <w:lang w:eastAsia="sk-SK"/>
              </w:rPr>
            </w:pPr>
            <w:r w:rsidRPr="00A14A9A">
              <w:rPr>
                <w:rFonts w:ascii="Arial Narrow" w:eastAsia="Calibri" w:hAnsi="Arial Narrow" w:cs="Times New Roman"/>
                <w:color w:val="000000"/>
                <w:sz w:val="20"/>
                <w:lang w:eastAsia="sk-SK"/>
              </w:rPr>
              <w:t xml:space="preserve">OP </w:t>
            </w:r>
            <w:proofErr w:type="spellStart"/>
            <w:r w:rsidRPr="00A14A9A">
              <w:rPr>
                <w:rFonts w:ascii="Arial Narrow" w:eastAsia="Calibri" w:hAnsi="Arial Narrow" w:cs="Times New Roman"/>
                <w:color w:val="000000"/>
                <w:sz w:val="20"/>
                <w:lang w:eastAsia="sk-SK"/>
              </w:rPr>
              <w:t>VaI</w:t>
            </w:r>
            <w:proofErr w:type="spellEnd"/>
            <w:r w:rsidRPr="00A14A9A">
              <w:rPr>
                <w:rFonts w:ascii="Arial Narrow" w:eastAsia="Calibri" w:hAnsi="Arial Narrow" w:cs="Times New Roman"/>
                <w:color w:val="000000"/>
                <w:sz w:val="20"/>
                <w:lang w:eastAsia="sk-SK"/>
              </w:rPr>
              <w:t xml:space="preserve"> </w:t>
            </w:r>
          </w:p>
        </w:tc>
        <w:tc>
          <w:tcPr>
            <w:tcW w:w="2948" w:type="pct"/>
            <w:noWrap/>
            <w:vAlign w:val="center"/>
            <w:hideMark/>
          </w:tcPr>
          <w:p w14:paraId="29F8242B" w14:textId="77777777" w:rsidR="00E1733A" w:rsidRPr="00A14A9A" w:rsidRDefault="00E1733A" w:rsidP="00DA1D69">
            <w:pPr>
              <w:jc w:val="right"/>
              <w:rPr>
                <w:rFonts w:ascii="Arial Narrow" w:eastAsia="Calibri" w:hAnsi="Arial Narrow" w:cs="Times New Roman"/>
                <w:sz w:val="20"/>
                <w:lang w:eastAsia="sk-SK"/>
              </w:rPr>
            </w:pPr>
            <w:r w:rsidRPr="00A14A9A">
              <w:rPr>
                <w:rFonts w:ascii="Arial Narrow" w:eastAsia="Calibri" w:hAnsi="Arial Narrow" w:cs="Times New Roman"/>
                <w:color w:val="000000"/>
                <w:sz w:val="20"/>
                <w:lang w:eastAsia="sk-SK"/>
              </w:rPr>
              <w:t xml:space="preserve">                  81 451 152   </w:t>
            </w:r>
          </w:p>
        </w:tc>
      </w:tr>
      <w:tr w:rsidR="00E1733A" w:rsidRPr="00AA6A86" w14:paraId="30216933" w14:textId="77777777" w:rsidTr="00DA1D69">
        <w:trPr>
          <w:trHeight w:val="20"/>
        </w:trPr>
        <w:tc>
          <w:tcPr>
            <w:tcW w:w="2052" w:type="pct"/>
            <w:noWrap/>
            <w:hideMark/>
          </w:tcPr>
          <w:p w14:paraId="4B5E4095" w14:textId="77777777" w:rsidR="00E1733A" w:rsidRPr="00A14A9A" w:rsidRDefault="00E1733A" w:rsidP="00DA1D69">
            <w:pPr>
              <w:rPr>
                <w:rFonts w:ascii="Arial Narrow" w:eastAsia="Calibri" w:hAnsi="Arial Narrow" w:cs="Times New Roman"/>
                <w:sz w:val="20"/>
                <w:lang w:eastAsia="sk-SK"/>
              </w:rPr>
            </w:pPr>
            <w:r w:rsidRPr="00A14A9A">
              <w:rPr>
                <w:rFonts w:ascii="Arial Narrow" w:eastAsia="Calibri" w:hAnsi="Arial Narrow" w:cs="Times New Roman"/>
                <w:color w:val="000000"/>
                <w:sz w:val="20"/>
                <w:lang w:eastAsia="sk-SK"/>
              </w:rPr>
              <w:t>IROP</w:t>
            </w:r>
          </w:p>
        </w:tc>
        <w:tc>
          <w:tcPr>
            <w:tcW w:w="2948" w:type="pct"/>
            <w:noWrap/>
            <w:vAlign w:val="center"/>
            <w:hideMark/>
          </w:tcPr>
          <w:p w14:paraId="79E06220" w14:textId="77777777" w:rsidR="00E1733A" w:rsidRPr="00A14A9A" w:rsidRDefault="00E1733A" w:rsidP="00DA1D69">
            <w:pPr>
              <w:jc w:val="right"/>
              <w:rPr>
                <w:rFonts w:ascii="Arial Narrow" w:eastAsia="Calibri" w:hAnsi="Arial Narrow" w:cs="Times New Roman"/>
                <w:sz w:val="20"/>
                <w:lang w:eastAsia="sk-SK"/>
              </w:rPr>
            </w:pPr>
            <w:r w:rsidRPr="00A14A9A">
              <w:rPr>
                <w:rFonts w:ascii="Arial Narrow" w:eastAsia="Calibri" w:hAnsi="Arial Narrow" w:cs="Times New Roman"/>
                <w:color w:val="000000"/>
                <w:sz w:val="20"/>
                <w:lang w:eastAsia="sk-SK"/>
              </w:rPr>
              <w:t xml:space="preserve">                  38 892 342   </w:t>
            </w:r>
          </w:p>
        </w:tc>
      </w:tr>
      <w:tr w:rsidR="00E1733A" w:rsidRPr="00AA6A86" w14:paraId="5087F1DD" w14:textId="77777777" w:rsidTr="00DA1D69">
        <w:trPr>
          <w:trHeight w:val="20"/>
        </w:trPr>
        <w:tc>
          <w:tcPr>
            <w:tcW w:w="2052" w:type="pct"/>
            <w:noWrap/>
            <w:hideMark/>
          </w:tcPr>
          <w:p w14:paraId="0CCDA1DF" w14:textId="77777777" w:rsidR="00E1733A" w:rsidRPr="00A14A9A" w:rsidRDefault="00E1733A" w:rsidP="00DA1D69">
            <w:pPr>
              <w:rPr>
                <w:rFonts w:ascii="Arial Narrow" w:eastAsia="Calibri" w:hAnsi="Arial Narrow" w:cs="Calibri"/>
                <w:sz w:val="20"/>
                <w:lang w:eastAsia="sk-SK"/>
              </w:rPr>
            </w:pPr>
            <w:r w:rsidRPr="00A14A9A">
              <w:rPr>
                <w:rFonts w:ascii="Arial Narrow" w:eastAsia="Calibri" w:hAnsi="Arial Narrow" w:cs="Times New Roman"/>
                <w:color w:val="000000"/>
                <w:sz w:val="20"/>
                <w:lang w:eastAsia="sk-SK"/>
              </w:rPr>
              <w:t>OP RH</w:t>
            </w:r>
          </w:p>
        </w:tc>
        <w:tc>
          <w:tcPr>
            <w:tcW w:w="2948" w:type="pct"/>
            <w:noWrap/>
            <w:vAlign w:val="center"/>
            <w:hideMark/>
          </w:tcPr>
          <w:p w14:paraId="47C7A168" w14:textId="77777777" w:rsidR="00E1733A" w:rsidRPr="00A14A9A" w:rsidRDefault="00E1733A" w:rsidP="00DA1D69">
            <w:pPr>
              <w:jc w:val="right"/>
              <w:rPr>
                <w:rFonts w:ascii="Arial Narrow" w:eastAsia="Calibri" w:hAnsi="Arial Narrow" w:cs="Times New Roman"/>
                <w:sz w:val="20"/>
                <w:lang w:eastAsia="sk-SK"/>
              </w:rPr>
            </w:pPr>
            <w:r w:rsidRPr="00A14A9A">
              <w:rPr>
                <w:rFonts w:ascii="Arial Narrow" w:eastAsia="Calibri" w:hAnsi="Arial Narrow" w:cs="Times New Roman"/>
                <w:color w:val="000000"/>
                <w:sz w:val="20"/>
                <w:lang w:eastAsia="sk-SK"/>
              </w:rPr>
              <w:t xml:space="preserve">                    1 884 875   </w:t>
            </w:r>
          </w:p>
        </w:tc>
      </w:tr>
      <w:tr w:rsidR="00E1733A" w:rsidRPr="00AA6A86" w14:paraId="7B9C00E5" w14:textId="77777777" w:rsidTr="00DA1D69">
        <w:trPr>
          <w:trHeight w:val="20"/>
        </w:trPr>
        <w:tc>
          <w:tcPr>
            <w:tcW w:w="2052" w:type="pct"/>
            <w:noWrap/>
            <w:hideMark/>
          </w:tcPr>
          <w:p w14:paraId="0A569862" w14:textId="77777777" w:rsidR="00E1733A" w:rsidRPr="00A14A9A" w:rsidRDefault="00E1733A" w:rsidP="00DA1D69">
            <w:pPr>
              <w:rPr>
                <w:rFonts w:ascii="Arial Narrow" w:eastAsia="Times New Roman" w:hAnsi="Arial Narrow" w:cs="Times New Roman"/>
                <w:b/>
                <w:sz w:val="20"/>
                <w:lang w:eastAsia="sk-SK"/>
              </w:rPr>
            </w:pPr>
            <w:r w:rsidRPr="00A14A9A">
              <w:rPr>
                <w:rFonts w:ascii="Arial Narrow" w:eastAsia="Times New Roman" w:hAnsi="Arial Narrow" w:cs="Times New Roman"/>
                <w:b/>
                <w:sz w:val="20"/>
                <w:lang w:eastAsia="sk-SK"/>
              </w:rPr>
              <w:t>Spolu:</w:t>
            </w:r>
          </w:p>
        </w:tc>
        <w:tc>
          <w:tcPr>
            <w:tcW w:w="2948" w:type="pct"/>
            <w:noWrap/>
            <w:vAlign w:val="center"/>
            <w:hideMark/>
          </w:tcPr>
          <w:p w14:paraId="3720AD10" w14:textId="77777777" w:rsidR="00E1733A" w:rsidRPr="00A14A9A" w:rsidRDefault="00E1733A" w:rsidP="00DA1D69">
            <w:pPr>
              <w:jc w:val="right"/>
              <w:rPr>
                <w:rFonts w:ascii="Arial Narrow" w:eastAsia="Calibri" w:hAnsi="Arial Narrow" w:cs="Calibri"/>
                <w:b/>
                <w:sz w:val="20"/>
                <w:lang w:eastAsia="sk-SK"/>
              </w:rPr>
            </w:pPr>
            <w:r w:rsidRPr="00A14A9A">
              <w:rPr>
                <w:rFonts w:ascii="Arial Narrow" w:eastAsia="Calibri" w:hAnsi="Arial Narrow" w:cs="Times New Roman"/>
                <w:b/>
                <w:bCs/>
                <w:color w:val="000000"/>
                <w:sz w:val="20"/>
                <w:lang w:eastAsia="sk-SK"/>
              </w:rPr>
              <w:t xml:space="preserve">               122 228 369   </w:t>
            </w:r>
          </w:p>
        </w:tc>
      </w:tr>
    </w:tbl>
    <w:p w14:paraId="2ADB5956" w14:textId="77777777" w:rsidR="00E1733A" w:rsidRPr="00A52F01" w:rsidRDefault="00E1733A" w:rsidP="00E1733A">
      <w:pPr>
        <w:autoSpaceDE w:val="0"/>
        <w:autoSpaceDN w:val="0"/>
        <w:adjustRightInd w:val="0"/>
        <w:spacing w:after="120"/>
        <w:jc w:val="both"/>
        <w:rPr>
          <w:rFonts w:eastAsia="Calibri" w:cs="Bariol-Light"/>
          <w:i/>
          <w:color w:val="000000"/>
          <w:sz w:val="18"/>
          <w:szCs w:val="20"/>
        </w:rPr>
      </w:pPr>
      <w:r w:rsidRPr="00A52F01">
        <w:rPr>
          <w:rFonts w:eastAsia="Calibri" w:cs="Bariol-Light"/>
          <w:i/>
          <w:color w:val="000000"/>
          <w:sz w:val="18"/>
          <w:szCs w:val="20"/>
        </w:rPr>
        <w:t>Zdroj: MF SR</w:t>
      </w:r>
    </w:p>
    <w:p w14:paraId="3BFF13BB" w14:textId="75C947BB" w:rsidR="00E1733A" w:rsidRPr="00EE4B7A" w:rsidRDefault="00E1733A" w:rsidP="00E1733A">
      <w:pPr>
        <w:spacing w:before="100" w:after="100"/>
        <w:ind w:firstLine="709"/>
        <w:jc w:val="both"/>
        <w:rPr>
          <w:rFonts w:eastAsia="Calibri" w:cs="Times New Roman"/>
        </w:rPr>
      </w:pPr>
      <w:r w:rsidRPr="00EE4B7A">
        <w:rPr>
          <w:rFonts w:eastAsia="Calibri" w:cs="Times New Roman"/>
        </w:rPr>
        <w:t>K 31.</w:t>
      </w:r>
      <w:r>
        <w:rPr>
          <w:rFonts w:eastAsia="Calibri" w:cs="Times New Roman"/>
        </w:rPr>
        <w:t xml:space="preserve"> </w:t>
      </w:r>
      <w:r w:rsidRPr="00EE4B7A">
        <w:rPr>
          <w:rFonts w:eastAsia="Calibri" w:cs="Times New Roman"/>
        </w:rPr>
        <w:t>12.</w:t>
      </w:r>
      <w:r>
        <w:rPr>
          <w:rFonts w:eastAsia="Calibri" w:cs="Times New Roman"/>
        </w:rPr>
        <w:t xml:space="preserve"> </w:t>
      </w:r>
      <w:r w:rsidRPr="00EE4B7A">
        <w:rPr>
          <w:rFonts w:eastAsia="Calibri" w:cs="Times New Roman"/>
        </w:rPr>
        <w:t xml:space="preserve">2019 sa sleduje finančný míľnik v zmysle pravidla </w:t>
      </w:r>
      <w:r>
        <w:rPr>
          <w:rFonts w:eastAsia="Calibri" w:cs="Times New Roman"/>
        </w:rPr>
        <w:t>n</w:t>
      </w:r>
      <w:r w:rsidRPr="00EE4B7A">
        <w:rPr>
          <w:rFonts w:eastAsia="Calibri" w:cs="Times New Roman"/>
        </w:rPr>
        <w:t>+3 vo</w:t>
      </w:r>
      <w:r>
        <w:rPr>
          <w:rFonts w:eastAsia="Calibri" w:cs="Times New Roman"/>
        </w:rPr>
        <w:t xml:space="preserve"> výške 1 411 </w:t>
      </w:r>
      <w:r w:rsidRPr="00EE4B7A">
        <w:rPr>
          <w:rFonts w:eastAsia="Calibri" w:cs="Times New Roman"/>
        </w:rPr>
        <w:t>01</w:t>
      </w:r>
      <w:r>
        <w:rPr>
          <w:rFonts w:eastAsia="Calibri" w:cs="Times New Roman"/>
        </w:rPr>
        <w:t>0</w:t>
      </w:r>
      <w:r w:rsidRPr="00EE4B7A">
        <w:rPr>
          <w:rFonts w:eastAsia="Calibri" w:cs="Times New Roman"/>
        </w:rPr>
        <w:t xml:space="preserve"> </w:t>
      </w:r>
      <w:r>
        <w:rPr>
          <w:rFonts w:eastAsia="Calibri" w:cs="Times New Roman"/>
        </w:rPr>
        <w:t>tis</w:t>
      </w:r>
      <w:r w:rsidRPr="00EE4B7A">
        <w:rPr>
          <w:rFonts w:eastAsia="Calibri" w:cs="Times New Roman"/>
        </w:rPr>
        <w:t>. eur. Na základe stavu deklarovaných výdavkov k 30.</w:t>
      </w:r>
      <w:r>
        <w:rPr>
          <w:rFonts w:eastAsia="Calibri" w:cs="Times New Roman"/>
        </w:rPr>
        <w:t xml:space="preserve"> </w:t>
      </w:r>
      <w:r w:rsidRPr="00EE4B7A">
        <w:rPr>
          <w:rFonts w:eastAsia="Calibri" w:cs="Times New Roman"/>
        </w:rPr>
        <w:t>9.</w:t>
      </w:r>
      <w:r>
        <w:rPr>
          <w:rFonts w:eastAsia="Calibri" w:cs="Times New Roman"/>
        </w:rPr>
        <w:t xml:space="preserve"> </w:t>
      </w:r>
      <w:r w:rsidRPr="00EE4B7A">
        <w:rPr>
          <w:rFonts w:eastAsia="Calibri" w:cs="Times New Roman"/>
        </w:rPr>
        <w:t>2019 je pre jeho splnenie potrebné predložiť E</w:t>
      </w:r>
      <w:r>
        <w:rPr>
          <w:rFonts w:eastAsia="Calibri" w:cs="Times New Roman"/>
        </w:rPr>
        <w:t>K výdavky v minimálnej výške 556</w:t>
      </w:r>
      <w:r w:rsidR="00B339DA">
        <w:rPr>
          <w:rFonts w:eastAsia="Calibri" w:cs="Times New Roman"/>
        </w:rPr>
        <w:t> </w:t>
      </w:r>
      <w:r w:rsidRPr="00EE4B7A">
        <w:rPr>
          <w:rFonts w:eastAsia="Calibri" w:cs="Times New Roman"/>
        </w:rPr>
        <w:t>03</w:t>
      </w:r>
      <w:r>
        <w:rPr>
          <w:rFonts w:eastAsia="Calibri" w:cs="Times New Roman"/>
        </w:rPr>
        <w:t>0</w:t>
      </w:r>
      <w:r w:rsidR="00B339DA">
        <w:rPr>
          <w:rFonts w:eastAsia="Calibri" w:cs="Times New Roman"/>
        </w:rPr>
        <w:t> </w:t>
      </w:r>
      <w:r>
        <w:rPr>
          <w:rFonts w:eastAsia="Calibri" w:cs="Times New Roman"/>
        </w:rPr>
        <w:t>tis</w:t>
      </w:r>
      <w:r w:rsidRPr="00EE4B7A">
        <w:rPr>
          <w:rFonts w:eastAsia="Calibri" w:cs="Times New Roman"/>
        </w:rPr>
        <w:t>. eur. Tento míľnik pre rok 2019 bol k 30.</w:t>
      </w:r>
      <w:r>
        <w:rPr>
          <w:rFonts w:eastAsia="Calibri" w:cs="Times New Roman"/>
        </w:rPr>
        <w:t xml:space="preserve"> </w:t>
      </w:r>
      <w:r w:rsidRPr="00EE4B7A">
        <w:rPr>
          <w:rFonts w:eastAsia="Calibri" w:cs="Times New Roman"/>
        </w:rPr>
        <w:t>9.</w:t>
      </w:r>
      <w:r>
        <w:rPr>
          <w:rFonts w:eastAsia="Calibri" w:cs="Times New Roman"/>
        </w:rPr>
        <w:t xml:space="preserve"> </w:t>
      </w:r>
      <w:r w:rsidRPr="00EE4B7A">
        <w:rPr>
          <w:rFonts w:eastAsia="Calibri" w:cs="Times New Roman"/>
        </w:rPr>
        <w:t>2019 splnený pre 4 OP: O</w:t>
      </w:r>
      <w:r w:rsidR="00B339DA">
        <w:rPr>
          <w:rFonts w:eastAsia="Calibri" w:cs="Times New Roman"/>
        </w:rPr>
        <w:t>P II, OP Ľudské zdroje, OP TP a </w:t>
      </w:r>
      <w:r w:rsidRPr="00EE4B7A">
        <w:rPr>
          <w:rFonts w:eastAsia="Calibri" w:cs="Times New Roman"/>
        </w:rPr>
        <w:t>Program spolupráce INTERACT III.</w:t>
      </w:r>
    </w:p>
    <w:p w14:paraId="43A4BE75" w14:textId="547BD107" w:rsidR="00E1733A" w:rsidRPr="00EE4B7A" w:rsidRDefault="00E1733A" w:rsidP="00E1733A">
      <w:pPr>
        <w:spacing w:before="100" w:after="100"/>
        <w:ind w:firstLine="709"/>
        <w:jc w:val="both"/>
        <w:rPr>
          <w:rFonts w:eastAsia="Calibri" w:cs="Times New Roman"/>
        </w:rPr>
      </w:pPr>
      <w:r w:rsidRPr="00EE4B7A">
        <w:rPr>
          <w:rFonts w:eastAsia="Calibri" w:cs="Times New Roman"/>
        </w:rPr>
        <w:t>V roku 2017 Slovensku už v O</w:t>
      </w:r>
      <w:r>
        <w:rPr>
          <w:rFonts w:eastAsia="Calibri" w:cs="Times New Roman"/>
        </w:rPr>
        <w:t xml:space="preserve">P Výskum a inovácie prepadlo 26 </w:t>
      </w:r>
      <w:r w:rsidRPr="00EE4B7A">
        <w:rPr>
          <w:rFonts w:eastAsia="Calibri" w:cs="Times New Roman"/>
        </w:rPr>
        <w:t>97</w:t>
      </w:r>
      <w:r>
        <w:rPr>
          <w:rFonts w:eastAsia="Calibri" w:cs="Times New Roman"/>
        </w:rPr>
        <w:t>0</w:t>
      </w:r>
      <w:r w:rsidRPr="00EE4B7A">
        <w:rPr>
          <w:rFonts w:eastAsia="Calibri" w:cs="Times New Roman"/>
        </w:rPr>
        <w:t xml:space="preserve"> </w:t>
      </w:r>
      <w:r>
        <w:rPr>
          <w:rFonts w:eastAsia="Calibri" w:cs="Times New Roman"/>
        </w:rPr>
        <w:t>tis. eur a v roku 2018 až 81 </w:t>
      </w:r>
      <w:r w:rsidRPr="00EE4B7A">
        <w:rPr>
          <w:rFonts w:eastAsia="Calibri" w:cs="Times New Roman"/>
        </w:rPr>
        <w:t>45</w:t>
      </w:r>
      <w:r>
        <w:rPr>
          <w:rFonts w:eastAsia="Calibri" w:cs="Times New Roman"/>
        </w:rPr>
        <w:t>0 tis.</w:t>
      </w:r>
      <w:r w:rsidRPr="00EE4B7A">
        <w:rPr>
          <w:rFonts w:eastAsia="Calibri" w:cs="Times New Roman"/>
        </w:rPr>
        <w:t xml:space="preserve"> eur. Dôvodom boli najmä dve 300-miliónové zastavené výzvy, ktoré boli určené na vedu, výskum a inovácie. Zároveň SR prijala dva varovné listy pre OP Výskum a inovácie a Integrovaný operačný program. V rámci OP Výskum a inovácie nebola zo strany EK pozastavená možnosť predkladania žiadostí o platbu na EK. Pre Integrovaný operačný program požaduje EK</w:t>
      </w:r>
      <w:r>
        <w:rPr>
          <w:rFonts w:eastAsia="Calibri" w:cs="Times New Roman"/>
        </w:rPr>
        <w:t>,</w:t>
      </w:r>
      <w:r w:rsidRPr="00EE4B7A">
        <w:rPr>
          <w:rFonts w:eastAsia="Calibri" w:cs="Times New Roman"/>
        </w:rPr>
        <w:t xml:space="preserve"> v prípade zaslania žiadosti o platbu na EK</w:t>
      </w:r>
      <w:r>
        <w:rPr>
          <w:rFonts w:eastAsia="Calibri" w:cs="Times New Roman"/>
        </w:rPr>
        <w:t>,</w:t>
      </w:r>
      <w:r w:rsidR="00A50171">
        <w:rPr>
          <w:rFonts w:eastAsia="Calibri" w:cs="Times New Roman"/>
        </w:rPr>
        <w:t xml:space="preserve"> vy</w:t>
      </w:r>
      <w:r w:rsidRPr="00EE4B7A">
        <w:rPr>
          <w:rFonts w:eastAsia="Calibri" w:cs="Times New Roman"/>
        </w:rPr>
        <w:t>hlásenie, že deklarované výdavky nie sú spochybniteľné vo vzťahu k vyjadreniam vo varovnom liste.</w:t>
      </w:r>
    </w:p>
    <w:p w14:paraId="504BEB76" w14:textId="75FA3A8A" w:rsidR="00E1733A" w:rsidRDefault="00E1733A" w:rsidP="00E1733A">
      <w:pPr>
        <w:spacing w:after="120"/>
        <w:ind w:firstLine="709"/>
        <w:jc w:val="both"/>
        <w:rPr>
          <w:rFonts w:eastAsia="Calibri" w:cs="Arial"/>
        </w:rPr>
      </w:pPr>
      <w:r>
        <w:rPr>
          <w:rFonts w:eastAsia="Calibri" w:cs="Arial"/>
        </w:rPr>
        <w:t>V nasledujúcej tabuľke sú uvedené ú</w:t>
      </w:r>
      <w:r w:rsidRPr="00EE4B7A">
        <w:rPr>
          <w:rFonts w:eastAsia="Calibri" w:cs="Arial"/>
        </w:rPr>
        <w:t>daje o výške finančných o</w:t>
      </w:r>
      <w:r w:rsidR="00A50171">
        <w:rPr>
          <w:rFonts w:eastAsia="Calibri" w:cs="Arial"/>
        </w:rPr>
        <w:t>práv v programovom období 2014 až</w:t>
      </w:r>
      <w:r w:rsidRPr="00EE4B7A">
        <w:rPr>
          <w:rFonts w:eastAsia="Calibri" w:cs="Arial"/>
        </w:rPr>
        <w:t xml:space="preserve"> 2020 z titulu nezrovnalostí zohľadnených voči čerpaniu operačných programov v rámci uzatvárania s E</w:t>
      </w:r>
      <w:r>
        <w:rPr>
          <w:rFonts w:eastAsia="Calibri" w:cs="Arial"/>
        </w:rPr>
        <w:t>K</w:t>
      </w:r>
      <w:r w:rsidRPr="00EE4B7A">
        <w:rPr>
          <w:rFonts w:eastAsia="Calibri" w:cs="Arial"/>
        </w:rPr>
        <w:t xml:space="preserve"> k 30.</w:t>
      </w:r>
      <w:r>
        <w:rPr>
          <w:rFonts w:eastAsia="Calibri" w:cs="Arial"/>
        </w:rPr>
        <w:t xml:space="preserve"> </w:t>
      </w:r>
      <w:r w:rsidRPr="00EE4B7A">
        <w:rPr>
          <w:rFonts w:eastAsia="Calibri" w:cs="Arial"/>
        </w:rPr>
        <w:t>9.</w:t>
      </w:r>
      <w:r>
        <w:rPr>
          <w:rFonts w:eastAsia="Calibri" w:cs="Arial"/>
        </w:rPr>
        <w:t xml:space="preserve"> </w:t>
      </w:r>
      <w:r w:rsidRPr="00EE4B7A">
        <w:rPr>
          <w:rFonts w:eastAsia="Calibri" w:cs="Arial"/>
        </w:rPr>
        <w:t>2019.</w:t>
      </w:r>
    </w:p>
    <w:tbl>
      <w:tblPr>
        <w:tblOverlap w:val="never"/>
        <w:tblW w:w="5000" w:type="pct"/>
        <w:tblCellMar>
          <w:left w:w="10" w:type="dxa"/>
          <w:right w:w="10" w:type="dxa"/>
        </w:tblCellMar>
        <w:tblLook w:val="0000" w:firstRow="0" w:lastRow="0" w:firstColumn="0" w:lastColumn="0" w:noHBand="0" w:noVBand="0"/>
      </w:tblPr>
      <w:tblGrid>
        <w:gridCol w:w="4628"/>
        <w:gridCol w:w="2305"/>
        <w:gridCol w:w="2413"/>
      </w:tblGrid>
      <w:tr w:rsidR="00E1733A" w:rsidRPr="00773868" w14:paraId="12943CBA" w14:textId="77777777" w:rsidTr="00DA1D69">
        <w:trPr>
          <w:trHeight w:val="20"/>
        </w:trPr>
        <w:tc>
          <w:tcPr>
            <w:tcW w:w="2476" w:type="pct"/>
            <w:vMerge w:val="restart"/>
            <w:tcBorders>
              <w:top w:val="single" w:sz="4" w:space="0" w:color="auto"/>
              <w:left w:val="single" w:sz="4" w:space="0" w:color="auto"/>
              <w:right w:val="single" w:sz="4" w:space="0" w:color="FFFFFF"/>
            </w:tcBorders>
            <w:shd w:val="clear" w:color="auto" w:fill="0070C0"/>
            <w:vAlign w:val="center"/>
          </w:tcPr>
          <w:p w14:paraId="0B94EAA2" w14:textId="77777777" w:rsidR="00E1733A" w:rsidRPr="00773868" w:rsidRDefault="00E1733A" w:rsidP="00DA1D69">
            <w:pPr>
              <w:widowControl w:val="0"/>
              <w:jc w:val="center"/>
              <w:rPr>
                <w:rFonts w:eastAsia="Arial Narrow" w:cs="Arial Narrow"/>
                <w:b/>
                <w:color w:val="FFFFFF"/>
                <w:sz w:val="20"/>
                <w:szCs w:val="20"/>
              </w:rPr>
            </w:pPr>
            <w:r w:rsidRPr="00773868">
              <w:rPr>
                <w:rFonts w:eastAsia="Arial" w:cs="Arial"/>
                <w:b/>
                <w:color w:val="FFFFFF"/>
                <w:sz w:val="20"/>
                <w:szCs w:val="20"/>
                <w:lang w:eastAsia="sk-SK" w:bidi="sk-SK"/>
              </w:rPr>
              <w:t>Operačný program</w:t>
            </w:r>
          </w:p>
        </w:tc>
        <w:tc>
          <w:tcPr>
            <w:tcW w:w="2524" w:type="pct"/>
            <w:gridSpan w:val="2"/>
            <w:tcBorders>
              <w:top w:val="single" w:sz="4" w:space="0" w:color="auto"/>
              <w:left w:val="single" w:sz="4" w:space="0" w:color="FFFFFF"/>
              <w:bottom w:val="single" w:sz="4" w:space="0" w:color="FFFFFF"/>
              <w:right w:val="single" w:sz="4" w:space="0" w:color="auto"/>
            </w:tcBorders>
            <w:shd w:val="clear" w:color="auto" w:fill="0070C0"/>
            <w:vAlign w:val="bottom"/>
          </w:tcPr>
          <w:p w14:paraId="6AF9F761" w14:textId="176E49AA" w:rsidR="00E1733A" w:rsidRPr="00773868" w:rsidRDefault="00E1733A" w:rsidP="00DA1D69">
            <w:pPr>
              <w:widowControl w:val="0"/>
              <w:jc w:val="center"/>
              <w:rPr>
                <w:rFonts w:eastAsia="Arial Narrow" w:cs="Arial Narrow"/>
                <w:b/>
                <w:color w:val="FFFFFF"/>
                <w:sz w:val="20"/>
                <w:szCs w:val="20"/>
              </w:rPr>
            </w:pPr>
            <w:r w:rsidRPr="00773868">
              <w:rPr>
                <w:rFonts w:eastAsia="Arial" w:cs="Arial"/>
                <w:b/>
                <w:color w:val="FFFFFF"/>
                <w:sz w:val="20"/>
                <w:szCs w:val="20"/>
                <w:lang w:eastAsia="sk-SK" w:bidi="sk-SK"/>
              </w:rPr>
              <w:t>Nezrovnalosti a</w:t>
            </w:r>
            <w:r>
              <w:rPr>
                <w:rFonts w:eastAsia="Arial" w:cs="Arial"/>
                <w:b/>
                <w:color w:val="FFFFFF"/>
                <w:sz w:val="20"/>
                <w:szCs w:val="20"/>
                <w:lang w:eastAsia="sk-SK" w:bidi="sk-SK"/>
              </w:rPr>
              <w:t> </w:t>
            </w:r>
            <w:proofErr w:type="spellStart"/>
            <w:r w:rsidRPr="00773868">
              <w:rPr>
                <w:rFonts w:eastAsia="Arial" w:cs="Arial"/>
                <w:b/>
                <w:color w:val="FFFFFF"/>
                <w:sz w:val="20"/>
                <w:szCs w:val="20"/>
                <w:lang w:eastAsia="sk-SK" w:bidi="sk-SK"/>
              </w:rPr>
              <w:t>vratky</w:t>
            </w:r>
            <w:proofErr w:type="spellEnd"/>
            <w:r w:rsidR="00C72D97">
              <w:rPr>
                <w:rFonts w:eastAsia="Arial" w:cs="Arial"/>
                <w:b/>
                <w:color w:val="FFFFFF"/>
                <w:sz w:val="20"/>
                <w:szCs w:val="20"/>
                <w:lang w:eastAsia="sk-SK" w:bidi="sk-SK"/>
              </w:rPr>
              <w:t xml:space="preserve"> (v eur</w:t>
            </w:r>
            <w:r>
              <w:rPr>
                <w:rFonts w:eastAsia="Arial" w:cs="Arial"/>
                <w:b/>
                <w:color w:val="FFFFFF"/>
                <w:sz w:val="20"/>
                <w:szCs w:val="20"/>
                <w:lang w:eastAsia="sk-SK" w:bidi="sk-SK"/>
              </w:rPr>
              <w:t>)</w:t>
            </w:r>
          </w:p>
        </w:tc>
      </w:tr>
      <w:tr w:rsidR="00E1733A" w:rsidRPr="00773868" w14:paraId="26D2FEF2" w14:textId="77777777" w:rsidTr="00DA1D69">
        <w:trPr>
          <w:trHeight w:val="20"/>
        </w:trPr>
        <w:tc>
          <w:tcPr>
            <w:tcW w:w="2476" w:type="pct"/>
            <w:vMerge/>
            <w:tcBorders>
              <w:left w:val="single" w:sz="4" w:space="0" w:color="auto"/>
              <w:right w:val="single" w:sz="4" w:space="0" w:color="FFFFFF"/>
            </w:tcBorders>
            <w:shd w:val="clear" w:color="auto" w:fill="FFFFFF"/>
            <w:vAlign w:val="center"/>
          </w:tcPr>
          <w:p w14:paraId="5BEA620B" w14:textId="77777777" w:rsidR="00E1733A" w:rsidRPr="00773868" w:rsidRDefault="00E1733A" w:rsidP="00DA1D69">
            <w:pPr>
              <w:spacing w:after="160" w:line="259" w:lineRule="auto"/>
              <w:rPr>
                <w:rFonts w:eastAsia="Calibri" w:cs="Times New Roman"/>
                <w:b/>
                <w:color w:val="FFFFFF"/>
                <w:sz w:val="20"/>
                <w:szCs w:val="20"/>
              </w:rPr>
            </w:pPr>
          </w:p>
        </w:tc>
        <w:tc>
          <w:tcPr>
            <w:tcW w:w="1233" w:type="pct"/>
            <w:tcBorders>
              <w:top w:val="single" w:sz="4" w:space="0" w:color="FFFFFF"/>
              <w:left w:val="single" w:sz="4" w:space="0" w:color="FFFFFF"/>
              <w:right w:val="single" w:sz="4" w:space="0" w:color="FFFFFF"/>
            </w:tcBorders>
            <w:shd w:val="clear" w:color="auto" w:fill="0070C0"/>
            <w:vAlign w:val="bottom"/>
          </w:tcPr>
          <w:p w14:paraId="49C01BDC" w14:textId="77777777" w:rsidR="00E1733A" w:rsidRPr="00773868" w:rsidRDefault="00E1733A" w:rsidP="00DA1D69">
            <w:pPr>
              <w:widowControl w:val="0"/>
              <w:jc w:val="center"/>
              <w:rPr>
                <w:rFonts w:eastAsia="Arial Narrow" w:cs="Arial Narrow"/>
                <w:b/>
                <w:color w:val="FFFFFF"/>
                <w:sz w:val="20"/>
                <w:szCs w:val="20"/>
              </w:rPr>
            </w:pPr>
            <w:r w:rsidRPr="00773868">
              <w:rPr>
                <w:rFonts w:eastAsia="Arial" w:cs="Arial"/>
                <w:b/>
                <w:color w:val="FFFFFF"/>
                <w:sz w:val="20"/>
                <w:szCs w:val="20"/>
                <w:lang w:eastAsia="sk-SK" w:bidi="sk-SK"/>
              </w:rPr>
              <w:t>EÚ zdroj</w:t>
            </w:r>
          </w:p>
        </w:tc>
        <w:tc>
          <w:tcPr>
            <w:tcW w:w="1291" w:type="pct"/>
            <w:tcBorders>
              <w:top w:val="single" w:sz="4" w:space="0" w:color="FFFFFF"/>
              <w:left w:val="single" w:sz="4" w:space="0" w:color="FFFFFF"/>
              <w:right w:val="single" w:sz="4" w:space="0" w:color="auto"/>
            </w:tcBorders>
            <w:shd w:val="clear" w:color="auto" w:fill="0070C0"/>
            <w:vAlign w:val="bottom"/>
          </w:tcPr>
          <w:p w14:paraId="69F994EC" w14:textId="77777777" w:rsidR="00E1733A" w:rsidRPr="00773868" w:rsidRDefault="00E1733A" w:rsidP="00DA1D69">
            <w:pPr>
              <w:widowControl w:val="0"/>
              <w:jc w:val="center"/>
              <w:rPr>
                <w:rFonts w:eastAsia="Arial Narrow" w:cs="Arial Narrow"/>
                <w:b/>
                <w:color w:val="FFFFFF"/>
                <w:sz w:val="20"/>
                <w:szCs w:val="20"/>
              </w:rPr>
            </w:pPr>
            <w:r w:rsidRPr="00773868">
              <w:rPr>
                <w:rFonts w:eastAsia="Arial" w:cs="Arial"/>
                <w:b/>
                <w:color w:val="FFFFFF"/>
                <w:sz w:val="20"/>
                <w:szCs w:val="20"/>
                <w:lang w:eastAsia="sk-SK" w:bidi="sk-SK"/>
              </w:rPr>
              <w:t xml:space="preserve">ŠR zdroj </w:t>
            </w:r>
          </w:p>
        </w:tc>
      </w:tr>
      <w:tr w:rsidR="00E1733A" w:rsidRPr="00773868" w14:paraId="63F1B250" w14:textId="77777777" w:rsidTr="00DA1D69">
        <w:trPr>
          <w:trHeight w:val="20"/>
        </w:trPr>
        <w:tc>
          <w:tcPr>
            <w:tcW w:w="2476" w:type="pct"/>
            <w:tcBorders>
              <w:top w:val="single" w:sz="4" w:space="0" w:color="auto"/>
              <w:left w:val="single" w:sz="4" w:space="0" w:color="auto"/>
            </w:tcBorders>
            <w:shd w:val="clear" w:color="auto" w:fill="FFFFFF"/>
            <w:vAlign w:val="bottom"/>
          </w:tcPr>
          <w:p w14:paraId="078B6242"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Integrovaná infraštruktúra</w:t>
            </w:r>
          </w:p>
        </w:tc>
        <w:tc>
          <w:tcPr>
            <w:tcW w:w="1233" w:type="pct"/>
            <w:tcBorders>
              <w:top w:val="single" w:sz="4" w:space="0" w:color="auto"/>
              <w:left w:val="single" w:sz="4" w:space="0" w:color="auto"/>
            </w:tcBorders>
            <w:shd w:val="clear" w:color="auto" w:fill="FFFFFF"/>
            <w:vAlign w:val="bottom"/>
          </w:tcPr>
          <w:p w14:paraId="09453760"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15 128 471,72</w:t>
            </w:r>
          </w:p>
        </w:tc>
        <w:tc>
          <w:tcPr>
            <w:tcW w:w="1291" w:type="pct"/>
            <w:tcBorders>
              <w:top w:val="single" w:sz="4" w:space="0" w:color="auto"/>
              <w:left w:val="single" w:sz="4" w:space="0" w:color="auto"/>
              <w:right w:val="single" w:sz="4" w:space="0" w:color="auto"/>
            </w:tcBorders>
            <w:shd w:val="clear" w:color="auto" w:fill="FFFFFF"/>
            <w:vAlign w:val="bottom"/>
          </w:tcPr>
          <w:p w14:paraId="3F6A1699"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2 630 122,59</w:t>
            </w:r>
          </w:p>
        </w:tc>
      </w:tr>
      <w:tr w:rsidR="00E1733A" w:rsidRPr="00773868" w14:paraId="686E68C6" w14:textId="77777777" w:rsidTr="00DA1D69">
        <w:trPr>
          <w:trHeight w:val="20"/>
        </w:trPr>
        <w:tc>
          <w:tcPr>
            <w:tcW w:w="2476" w:type="pct"/>
            <w:tcBorders>
              <w:top w:val="single" w:sz="4" w:space="0" w:color="auto"/>
              <w:left w:val="single" w:sz="4" w:space="0" w:color="auto"/>
            </w:tcBorders>
            <w:shd w:val="clear" w:color="auto" w:fill="FFFFFF"/>
            <w:vAlign w:val="bottom"/>
          </w:tcPr>
          <w:p w14:paraId="4A5292E2"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Kvalita životného prostredia</w:t>
            </w:r>
          </w:p>
        </w:tc>
        <w:tc>
          <w:tcPr>
            <w:tcW w:w="1233" w:type="pct"/>
            <w:tcBorders>
              <w:top w:val="single" w:sz="4" w:space="0" w:color="auto"/>
              <w:left w:val="single" w:sz="4" w:space="0" w:color="auto"/>
            </w:tcBorders>
            <w:shd w:val="clear" w:color="auto" w:fill="FFFFFF"/>
            <w:vAlign w:val="bottom"/>
          </w:tcPr>
          <w:p w14:paraId="5CD9D08D"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12 632 529,46</w:t>
            </w:r>
          </w:p>
        </w:tc>
        <w:tc>
          <w:tcPr>
            <w:tcW w:w="1291" w:type="pct"/>
            <w:tcBorders>
              <w:top w:val="single" w:sz="4" w:space="0" w:color="auto"/>
              <w:left w:val="single" w:sz="4" w:space="0" w:color="auto"/>
              <w:right w:val="single" w:sz="4" w:space="0" w:color="auto"/>
            </w:tcBorders>
            <w:shd w:val="clear" w:color="auto" w:fill="FFFFFF"/>
            <w:vAlign w:val="bottom"/>
          </w:tcPr>
          <w:p w14:paraId="2B229301"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1 011 607,01</w:t>
            </w:r>
          </w:p>
        </w:tc>
      </w:tr>
      <w:tr w:rsidR="00E1733A" w:rsidRPr="00773868" w14:paraId="39B3E6A4" w14:textId="77777777" w:rsidTr="00DA1D69">
        <w:trPr>
          <w:trHeight w:val="20"/>
        </w:trPr>
        <w:tc>
          <w:tcPr>
            <w:tcW w:w="2476" w:type="pct"/>
            <w:tcBorders>
              <w:top w:val="single" w:sz="4" w:space="0" w:color="auto"/>
              <w:left w:val="single" w:sz="4" w:space="0" w:color="auto"/>
            </w:tcBorders>
            <w:shd w:val="clear" w:color="auto" w:fill="FFFFFF"/>
            <w:vAlign w:val="bottom"/>
          </w:tcPr>
          <w:p w14:paraId="6EB664D8"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Ľudské zdroje</w:t>
            </w:r>
          </w:p>
        </w:tc>
        <w:tc>
          <w:tcPr>
            <w:tcW w:w="1233" w:type="pct"/>
            <w:tcBorders>
              <w:top w:val="single" w:sz="4" w:space="0" w:color="auto"/>
              <w:left w:val="single" w:sz="4" w:space="0" w:color="auto"/>
            </w:tcBorders>
            <w:shd w:val="clear" w:color="auto" w:fill="FFFFFF"/>
            <w:vAlign w:val="bottom"/>
          </w:tcPr>
          <w:p w14:paraId="6647A867"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17 470 825,07</w:t>
            </w:r>
          </w:p>
        </w:tc>
        <w:tc>
          <w:tcPr>
            <w:tcW w:w="1291" w:type="pct"/>
            <w:tcBorders>
              <w:top w:val="single" w:sz="4" w:space="0" w:color="auto"/>
              <w:left w:val="single" w:sz="4" w:space="0" w:color="auto"/>
              <w:right w:val="single" w:sz="4" w:space="0" w:color="auto"/>
            </w:tcBorders>
            <w:shd w:val="clear" w:color="auto" w:fill="FFFFFF"/>
            <w:vAlign w:val="bottom"/>
          </w:tcPr>
          <w:p w14:paraId="66147406"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3 115285,16</w:t>
            </w:r>
          </w:p>
        </w:tc>
      </w:tr>
      <w:tr w:rsidR="00E1733A" w:rsidRPr="00773868" w14:paraId="000CEBB3" w14:textId="77777777" w:rsidTr="00DA1D69">
        <w:trPr>
          <w:trHeight w:val="20"/>
        </w:trPr>
        <w:tc>
          <w:tcPr>
            <w:tcW w:w="2476" w:type="pct"/>
            <w:tcBorders>
              <w:top w:val="single" w:sz="4" w:space="0" w:color="auto"/>
              <w:left w:val="single" w:sz="4" w:space="0" w:color="auto"/>
            </w:tcBorders>
            <w:shd w:val="clear" w:color="auto" w:fill="FFFFFF"/>
            <w:vAlign w:val="bottom"/>
          </w:tcPr>
          <w:p w14:paraId="45A400F6"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Výskum a inovácie</w:t>
            </w:r>
          </w:p>
        </w:tc>
        <w:tc>
          <w:tcPr>
            <w:tcW w:w="1233" w:type="pct"/>
            <w:tcBorders>
              <w:top w:val="single" w:sz="4" w:space="0" w:color="auto"/>
              <w:left w:val="single" w:sz="4" w:space="0" w:color="auto"/>
            </w:tcBorders>
            <w:shd w:val="clear" w:color="auto" w:fill="FFFFFF"/>
            <w:vAlign w:val="bottom"/>
          </w:tcPr>
          <w:p w14:paraId="3FC5BFF9"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1 101 609,28</w:t>
            </w:r>
          </w:p>
        </w:tc>
        <w:tc>
          <w:tcPr>
            <w:tcW w:w="1291" w:type="pct"/>
            <w:tcBorders>
              <w:top w:val="single" w:sz="4" w:space="0" w:color="auto"/>
              <w:left w:val="single" w:sz="4" w:space="0" w:color="auto"/>
              <w:right w:val="single" w:sz="4" w:space="0" w:color="auto"/>
            </w:tcBorders>
            <w:shd w:val="clear" w:color="auto" w:fill="FFFFFF"/>
            <w:vAlign w:val="bottom"/>
          </w:tcPr>
          <w:p w14:paraId="20628ECC"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151 338,39</w:t>
            </w:r>
          </w:p>
        </w:tc>
      </w:tr>
      <w:tr w:rsidR="00E1733A" w:rsidRPr="00773868" w14:paraId="380DAEE8" w14:textId="77777777" w:rsidTr="00DA1D69">
        <w:trPr>
          <w:trHeight w:val="20"/>
        </w:trPr>
        <w:tc>
          <w:tcPr>
            <w:tcW w:w="2476" w:type="pct"/>
            <w:tcBorders>
              <w:top w:val="single" w:sz="4" w:space="0" w:color="auto"/>
              <w:left w:val="single" w:sz="4" w:space="0" w:color="auto"/>
            </w:tcBorders>
            <w:shd w:val="clear" w:color="auto" w:fill="FFFFFF"/>
            <w:vAlign w:val="bottom"/>
          </w:tcPr>
          <w:p w14:paraId="0ABADF5D"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Integrovaný regionálny OP</w:t>
            </w:r>
          </w:p>
        </w:tc>
        <w:tc>
          <w:tcPr>
            <w:tcW w:w="1233" w:type="pct"/>
            <w:tcBorders>
              <w:top w:val="single" w:sz="4" w:space="0" w:color="auto"/>
              <w:left w:val="single" w:sz="4" w:space="0" w:color="auto"/>
            </w:tcBorders>
            <w:shd w:val="clear" w:color="auto" w:fill="FFFFFF"/>
            <w:vAlign w:val="bottom"/>
          </w:tcPr>
          <w:p w14:paraId="3E17A224"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367 465,76</w:t>
            </w:r>
          </w:p>
        </w:tc>
        <w:tc>
          <w:tcPr>
            <w:tcW w:w="1291" w:type="pct"/>
            <w:tcBorders>
              <w:top w:val="single" w:sz="4" w:space="0" w:color="auto"/>
              <w:left w:val="single" w:sz="4" w:space="0" w:color="auto"/>
              <w:right w:val="single" w:sz="4" w:space="0" w:color="auto"/>
            </w:tcBorders>
            <w:shd w:val="clear" w:color="auto" w:fill="FFFFFF"/>
            <w:vAlign w:val="bottom"/>
          </w:tcPr>
          <w:p w14:paraId="2BB41EC8"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59 265,06</w:t>
            </w:r>
          </w:p>
        </w:tc>
      </w:tr>
      <w:tr w:rsidR="00E1733A" w:rsidRPr="00773868" w14:paraId="4FBA3818" w14:textId="77777777" w:rsidTr="00DA1D69">
        <w:trPr>
          <w:trHeight w:val="20"/>
        </w:trPr>
        <w:tc>
          <w:tcPr>
            <w:tcW w:w="2476" w:type="pct"/>
            <w:tcBorders>
              <w:top w:val="single" w:sz="4" w:space="0" w:color="auto"/>
              <w:left w:val="single" w:sz="4" w:space="0" w:color="auto"/>
            </w:tcBorders>
            <w:shd w:val="clear" w:color="auto" w:fill="FFFFFF"/>
            <w:vAlign w:val="bottom"/>
          </w:tcPr>
          <w:p w14:paraId="7FFBC25C"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Efektívna verejná správa</w:t>
            </w:r>
          </w:p>
        </w:tc>
        <w:tc>
          <w:tcPr>
            <w:tcW w:w="1233" w:type="pct"/>
            <w:tcBorders>
              <w:top w:val="single" w:sz="4" w:space="0" w:color="auto"/>
              <w:left w:val="single" w:sz="4" w:space="0" w:color="auto"/>
            </w:tcBorders>
            <w:shd w:val="clear" w:color="auto" w:fill="FFFFFF"/>
            <w:vAlign w:val="bottom"/>
          </w:tcPr>
          <w:p w14:paraId="785C3995"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37 679,44</w:t>
            </w:r>
          </w:p>
        </w:tc>
        <w:tc>
          <w:tcPr>
            <w:tcW w:w="1291" w:type="pct"/>
            <w:tcBorders>
              <w:top w:val="single" w:sz="4" w:space="0" w:color="auto"/>
              <w:left w:val="single" w:sz="4" w:space="0" w:color="auto"/>
              <w:right w:val="single" w:sz="4" w:space="0" w:color="auto"/>
            </w:tcBorders>
            <w:shd w:val="clear" w:color="auto" w:fill="FFFFFF"/>
            <w:vAlign w:val="bottom"/>
          </w:tcPr>
          <w:p w14:paraId="0519F435"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10 196,68</w:t>
            </w:r>
          </w:p>
        </w:tc>
      </w:tr>
      <w:tr w:rsidR="00E1733A" w:rsidRPr="00773868" w14:paraId="68122872" w14:textId="77777777" w:rsidTr="00DA1D69">
        <w:trPr>
          <w:trHeight w:val="20"/>
        </w:trPr>
        <w:tc>
          <w:tcPr>
            <w:tcW w:w="2476" w:type="pct"/>
            <w:tcBorders>
              <w:top w:val="single" w:sz="4" w:space="0" w:color="auto"/>
              <w:left w:val="single" w:sz="4" w:space="0" w:color="auto"/>
            </w:tcBorders>
            <w:shd w:val="clear" w:color="auto" w:fill="FFFFFF"/>
            <w:vAlign w:val="bottom"/>
          </w:tcPr>
          <w:p w14:paraId="3606DC51"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Technická pomoc</w:t>
            </w:r>
          </w:p>
        </w:tc>
        <w:tc>
          <w:tcPr>
            <w:tcW w:w="1233" w:type="pct"/>
            <w:tcBorders>
              <w:top w:val="single" w:sz="4" w:space="0" w:color="auto"/>
              <w:left w:val="single" w:sz="4" w:space="0" w:color="auto"/>
            </w:tcBorders>
            <w:shd w:val="clear" w:color="auto" w:fill="FFFFFF"/>
            <w:vAlign w:val="bottom"/>
          </w:tcPr>
          <w:p w14:paraId="403EE2F9"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28 274,16</w:t>
            </w:r>
          </w:p>
        </w:tc>
        <w:tc>
          <w:tcPr>
            <w:tcW w:w="1291" w:type="pct"/>
            <w:tcBorders>
              <w:top w:val="single" w:sz="4" w:space="0" w:color="auto"/>
              <w:left w:val="single" w:sz="4" w:space="0" w:color="auto"/>
              <w:right w:val="single" w:sz="4" w:space="0" w:color="auto"/>
            </w:tcBorders>
            <w:shd w:val="clear" w:color="auto" w:fill="FFFFFF"/>
            <w:vAlign w:val="bottom"/>
          </w:tcPr>
          <w:p w14:paraId="4796323D"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4 634,10</w:t>
            </w:r>
          </w:p>
        </w:tc>
      </w:tr>
      <w:tr w:rsidR="00E1733A" w:rsidRPr="00773868" w14:paraId="0D0402EA" w14:textId="77777777" w:rsidTr="00DA1D69">
        <w:trPr>
          <w:trHeight w:val="20"/>
        </w:trPr>
        <w:tc>
          <w:tcPr>
            <w:tcW w:w="2476" w:type="pct"/>
            <w:tcBorders>
              <w:top w:val="single" w:sz="4" w:space="0" w:color="auto"/>
              <w:left w:val="single" w:sz="4" w:space="0" w:color="auto"/>
            </w:tcBorders>
            <w:shd w:val="clear" w:color="auto" w:fill="FFFFFF"/>
            <w:vAlign w:val="bottom"/>
          </w:tcPr>
          <w:p w14:paraId="1BA698E6"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 xml:space="preserve">Program </w:t>
            </w:r>
            <w:proofErr w:type="spellStart"/>
            <w:r w:rsidRPr="00773868">
              <w:rPr>
                <w:rFonts w:eastAsia="Arial" w:cs="Arial"/>
                <w:color w:val="000000"/>
                <w:sz w:val="20"/>
                <w:szCs w:val="20"/>
                <w:lang w:eastAsia="sk-SK" w:bidi="sk-SK"/>
              </w:rPr>
              <w:t>Interreg</w:t>
            </w:r>
            <w:proofErr w:type="spellEnd"/>
            <w:r w:rsidRPr="00773868">
              <w:rPr>
                <w:rFonts w:eastAsia="Arial" w:cs="Arial"/>
                <w:color w:val="000000"/>
                <w:sz w:val="20"/>
                <w:szCs w:val="20"/>
                <w:lang w:eastAsia="sk-SK" w:bidi="sk-SK"/>
              </w:rPr>
              <w:t xml:space="preserve"> V-A SK-CZ</w:t>
            </w:r>
          </w:p>
        </w:tc>
        <w:tc>
          <w:tcPr>
            <w:tcW w:w="1233" w:type="pct"/>
            <w:tcBorders>
              <w:top w:val="single" w:sz="4" w:space="0" w:color="auto"/>
              <w:left w:val="single" w:sz="4" w:space="0" w:color="auto"/>
            </w:tcBorders>
            <w:shd w:val="clear" w:color="auto" w:fill="FFFFFF"/>
            <w:vAlign w:val="bottom"/>
          </w:tcPr>
          <w:p w14:paraId="61447037"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5 631,25</w:t>
            </w:r>
          </w:p>
        </w:tc>
        <w:tc>
          <w:tcPr>
            <w:tcW w:w="1291" w:type="pct"/>
            <w:tcBorders>
              <w:top w:val="single" w:sz="4" w:space="0" w:color="auto"/>
              <w:left w:val="single" w:sz="4" w:space="0" w:color="auto"/>
              <w:right w:val="single" w:sz="4" w:space="0" w:color="auto"/>
            </w:tcBorders>
            <w:shd w:val="clear" w:color="auto" w:fill="FFFFFF"/>
            <w:vAlign w:val="bottom"/>
          </w:tcPr>
          <w:p w14:paraId="1991E4D2"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331,25</w:t>
            </w:r>
          </w:p>
        </w:tc>
      </w:tr>
      <w:tr w:rsidR="00E1733A" w:rsidRPr="00773868" w14:paraId="2D662F15" w14:textId="77777777" w:rsidTr="00DA1D69">
        <w:trPr>
          <w:trHeight w:val="20"/>
        </w:trPr>
        <w:tc>
          <w:tcPr>
            <w:tcW w:w="2476" w:type="pct"/>
            <w:tcBorders>
              <w:top w:val="single" w:sz="4" w:space="0" w:color="auto"/>
              <w:left w:val="single" w:sz="4" w:space="0" w:color="auto"/>
            </w:tcBorders>
            <w:shd w:val="clear" w:color="auto" w:fill="FFFFFF"/>
            <w:vAlign w:val="bottom"/>
          </w:tcPr>
          <w:p w14:paraId="6DF08E71"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 xml:space="preserve">Program </w:t>
            </w:r>
            <w:proofErr w:type="spellStart"/>
            <w:r w:rsidRPr="00773868">
              <w:rPr>
                <w:rFonts w:eastAsia="Arial" w:cs="Arial"/>
                <w:color w:val="000000"/>
                <w:sz w:val="20"/>
                <w:szCs w:val="20"/>
                <w:lang w:eastAsia="sk-SK" w:bidi="sk-SK"/>
              </w:rPr>
              <w:t>Interreg</w:t>
            </w:r>
            <w:proofErr w:type="spellEnd"/>
            <w:r w:rsidRPr="00773868">
              <w:rPr>
                <w:rFonts w:eastAsia="Arial" w:cs="Arial"/>
                <w:color w:val="000000"/>
                <w:sz w:val="20"/>
                <w:szCs w:val="20"/>
                <w:lang w:eastAsia="sk-SK" w:bidi="sk-SK"/>
              </w:rPr>
              <w:t xml:space="preserve"> V-A SK-AT</w:t>
            </w:r>
          </w:p>
        </w:tc>
        <w:tc>
          <w:tcPr>
            <w:tcW w:w="1233" w:type="pct"/>
            <w:tcBorders>
              <w:top w:val="single" w:sz="4" w:space="0" w:color="auto"/>
              <w:left w:val="single" w:sz="4" w:space="0" w:color="auto"/>
            </w:tcBorders>
            <w:shd w:val="clear" w:color="auto" w:fill="FFFFFF"/>
            <w:vAlign w:val="bottom"/>
          </w:tcPr>
          <w:p w14:paraId="4095712C"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2 473,11</w:t>
            </w:r>
          </w:p>
        </w:tc>
        <w:tc>
          <w:tcPr>
            <w:tcW w:w="1291" w:type="pct"/>
            <w:tcBorders>
              <w:top w:val="single" w:sz="4" w:space="0" w:color="auto"/>
              <w:left w:val="single" w:sz="4" w:space="0" w:color="auto"/>
              <w:right w:val="single" w:sz="4" w:space="0" w:color="auto"/>
            </w:tcBorders>
            <w:shd w:val="clear" w:color="auto" w:fill="FFFFFF"/>
            <w:vAlign w:val="bottom"/>
          </w:tcPr>
          <w:p w14:paraId="40238305"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217,43</w:t>
            </w:r>
          </w:p>
        </w:tc>
      </w:tr>
      <w:tr w:rsidR="00E1733A" w:rsidRPr="00773868" w14:paraId="6C23F52D" w14:textId="77777777" w:rsidTr="00DA1D69">
        <w:trPr>
          <w:trHeight w:val="20"/>
        </w:trPr>
        <w:tc>
          <w:tcPr>
            <w:tcW w:w="2476" w:type="pct"/>
            <w:tcBorders>
              <w:top w:val="single" w:sz="4" w:space="0" w:color="auto"/>
              <w:left w:val="single" w:sz="4" w:space="0" w:color="auto"/>
            </w:tcBorders>
            <w:shd w:val="clear" w:color="auto" w:fill="FFFFFF"/>
            <w:vAlign w:val="bottom"/>
          </w:tcPr>
          <w:p w14:paraId="4429116B"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 xml:space="preserve">PS </w:t>
            </w:r>
            <w:r w:rsidRPr="00773868">
              <w:rPr>
                <w:rFonts w:eastAsia="Arial" w:cs="Arial"/>
                <w:color w:val="000000"/>
                <w:sz w:val="20"/>
                <w:szCs w:val="20"/>
                <w:lang w:val="en-US" w:bidi="en-US"/>
              </w:rPr>
              <w:t>INTERACT III*</w:t>
            </w:r>
          </w:p>
        </w:tc>
        <w:tc>
          <w:tcPr>
            <w:tcW w:w="1233" w:type="pct"/>
            <w:tcBorders>
              <w:top w:val="single" w:sz="4" w:space="0" w:color="auto"/>
              <w:left w:val="single" w:sz="4" w:space="0" w:color="auto"/>
            </w:tcBorders>
            <w:shd w:val="clear" w:color="auto" w:fill="FFFFFF"/>
            <w:vAlign w:val="bottom"/>
          </w:tcPr>
          <w:p w14:paraId="768E1913"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35 205,57</w:t>
            </w:r>
          </w:p>
        </w:tc>
        <w:tc>
          <w:tcPr>
            <w:tcW w:w="1291" w:type="pct"/>
            <w:tcBorders>
              <w:top w:val="single" w:sz="4" w:space="0" w:color="auto"/>
              <w:left w:val="single" w:sz="4" w:space="0" w:color="auto"/>
              <w:right w:val="single" w:sz="4" w:space="0" w:color="auto"/>
            </w:tcBorders>
            <w:shd w:val="clear" w:color="auto" w:fill="FFFFFF"/>
            <w:vAlign w:val="bottom"/>
          </w:tcPr>
          <w:p w14:paraId="4464DAA0"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6 212,76</w:t>
            </w:r>
          </w:p>
        </w:tc>
      </w:tr>
      <w:tr w:rsidR="00E1733A" w:rsidRPr="00773868" w14:paraId="5A53EF7A" w14:textId="77777777" w:rsidTr="00DA1D69">
        <w:trPr>
          <w:trHeight w:val="20"/>
        </w:trPr>
        <w:tc>
          <w:tcPr>
            <w:tcW w:w="2476" w:type="pct"/>
            <w:tcBorders>
              <w:top w:val="single" w:sz="4" w:space="0" w:color="auto"/>
              <w:left w:val="single" w:sz="4" w:space="0" w:color="auto"/>
            </w:tcBorders>
            <w:shd w:val="clear" w:color="auto" w:fill="FFFFFF"/>
            <w:vAlign w:val="center"/>
          </w:tcPr>
          <w:p w14:paraId="3A81C35F" w14:textId="77777777" w:rsidR="00E1733A" w:rsidRPr="00773868" w:rsidRDefault="00E1733A" w:rsidP="00DA1D69">
            <w:pPr>
              <w:widowControl w:val="0"/>
              <w:rPr>
                <w:rFonts w:eastAsia="Arial Narrow" w:cs="Arial Narrow"/>
                <w:sz w:val="20"/>
                <w:szCs w:val="20"/>
              </w:rPr>
            </w:pPr>
            <w:r w:rsidRPr="00773868">
              <w:rPr>
                <w:rFonts w:eastAsia="Arial" w:cs="Arial"/>
                <w:color w:val="000000"/>
                <w:sz w:val="20"/>
                <w:szCs w:val="20"/>
                <w:lang w:eastAsia="sk-SK" w:bidi="sk-SK"/>
              </w:rPr>
              <w:t>OP Rybné hospodárstvo</w:t>
            </w:r>
          </w:p>
        </w:tc>
        <w:tc>
          <w:tcPr>
            <w:tcW w:w="1233" w:type="pct"/>
            <w:tcBorders>
              <w:top w:val="single" w:sz="4" w:space="0" w:color="auto"/>
              <w:left w:val="single" w:sz="4" w:space="0" w:color="auto"/>
            </w:tcBorders>
            <w:shd w:val="clear" w:color="auto" w:fill="FFFFFF"/>
            <w:vAlign w:val="bottom"/>
          </w:tcPr>
          <w:p w14:paraId="1F30EF73"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0,00</w:t>
            </w:r>
          </w:p>
        </w:tc>
        <w:tc>
          <w:tcPr>
            <w:tcW w:w="1291" w:type="pct"/>
            <w:tcBorders>
              <w:top w:val="single" w:sz="4" w:space="0" w:color="auto"/>
              <w:left w:val="single" w:sz="4" w:space="0" w:color="auto"/>
              <w:right w:val="single" w:sz="4" w:space="0" w:color="auto"/>
            </w:tcBorders>
            <w:shd w:val="clear" w:color="auto" w:fill="FFFFFF"/>
            <w:vAlign w:val="bottom"/>
          </w:tcPr>
          <w:p w14:paraId="335EE3BF" w14:textId="77777777" w:rsidR="00E1733A" w:rsidRPr="00773868" w:rsidRDefault="00E1733A" w:rsidP="00DA1D69">
            <w:pPr>
              <w:widowControl w:val="0"/>
              <w:jc w:val="right"/>
              <w:rPr>
                <w:rFonts w:eastAsia="Arial Narrow" w:cs="Arial Narrow"/>
                <w:sz w:val="20"/>
                <w:szCs w:val="20"/>
              </w:rPr>
            </w:pPr>
            <w:r w:rsidRPr="00773868">
              <w:rPr>
                <w:rFonts w:eastAsia="Arial Narrow" w:cs="Arial Narrow"/>
                <w:color w:val="000000"/>
                <w:sz w:val="20"/>
                <w:szCs w:val="20"/>
                <w:lang w:eastAsia="sk-SK" w:bidi="sk-SK"/>
              </w:rPr>
              <w:t>0,00</w:t>
            </w:r>
          </w:p>
        </w:tc>
      </w:tr>
      <w:tr w:rsidR="00E1733A" w:rsidRPr="00773868" w14:paraId="767A5A5B" w14:textId="77777777" w:rsidTr="00DA1D69">
        <w:trPr>
          <w:trHeight w:val="20"/>
        </w:trPr>
        <w:tc>
          <w:tcPr>
            <w:tcW w:w="2476" w:type="pct"/>
            <w:tcBorders>
              <w:top w:val="single" w:sz="4" w:space="0" w:color="auto"/>
              <w:left w:val="single" w:sz="4" w:space="0" w:color="auto"/>
              <w:bottom w:val="single" w:sz="4" w:space="0" w:color="auto"/>
            </w:tcBorders>
            <w:shd w:val="clear" w:color="auto" w:fill="FFFFFF"/>
          </w:tcPr>
          <w:p w14:paraId="6116F409" w14:textId="77777777" w:rsidR="00E1733A" w:rsidRPr="00773868" w:rsidRDefault="00E1733A" w:rsidP="00DA1D69">
            <w:pPr>
              <w:widowControl w:val="0"/>
              <w:rPr>
                <w:rFonts w:eastAsia="Arial Narrow" w:cs="Arial Narrow"/>
                <w:b/>
                <w:sz w:val="20"/>
                <w:szCs w:val="20"/>
              </w:rPr>
            </w:pPr>
            <w:r w:rsidRPr="00773868">
              <w:rPr>
                <w:rFonts w:eastAsia="Arial" w:cs="Arial"/>
                <w:b/>
                <w:color w:val="000000"/>
                <w:sz w:val="20"/>
                <w:szCs w:val="20"/>
                <w:lang w:eastAsia="sk-SK" w:bidi="sk-SK"/>
              </w:rPr>
              <w:t>SPOLU</w:t>
            </w:r>
          </w:p>
        </w:tc>
        <w:tc>
          <w:tcPr>
            <w:tcW w:w="1233" w:type="pct"/>
            <w:tcBorders>
              <w:top w:val="single" w:sz="4" w:space="0" w:color="auto"/>
              <w:left w:val="single" w:sz="4" w:space="0" w:color="auto"/>
              <w:bottom w:val="single" w:sz="4" w:space="0" w:color="auto"/>
            </w:tcBorders>
            <w:shd w:val="clear" w:color="auto" w:fill="FFFFFF"/>
          </w:tcPr>
          <w:p w14:paraId="489CD982" w14:textId="77777777" w:rsidR="00E1733A" w:rsidRPr="00773868" w:rsidRDefault="00E1733A" w:rsidP="00DA1D69">
            <w:pPr>
              <w:widowControl w:val="0"/>
              <w:jc w:val="right"/>
              <w:rPr>
                <w:rFonts w:eastAsia="Arial Narrow" w:cs="Arial Narrow"/>
                <w:b/>
                <w:sz w:val="20"/>
                <w:szCs w:val="20"/>
              </w:rPr>
            </w:pPr>
            <w:r w:rsidRPr="00773868">
              <w:rPr>
                <w:rFonts w:eastAsia="Arial" w:cs="Arial"/>
                <w:b/>
                <w:color w:val="000000"/>
                <w:sz w:val="20"/>
                <w:szCs w:val="20"/>
                <w:lang w:eastAsia="sk-SK" w:bidi="sk-SK"/>
              </w:rPr>
              <w:t>46 810 164,82</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14:paraId="44511AB5" w14:textId="77777777" w:rsidR="00E1733A" w:rsidRPr="00773868" w:rsidRDefault="00E1733A" w:rsidP="00DA1D69">
            <w:pPr>
              <w:widowControl w:val="0"/>
              <w:jc w:val="right"/>
              <w:rPr>
                <w:rFonts w:eastAsia="Arial Narrow" w:cs="Arial Narrow"/>
                <w:b/>
                <w:sz w:val="20"/>
                <w:szCs w:val="20"/>
              </w:rPr>
            </w:pPr>
            <w:r w:rsidRPr="00773868">
              <w:rPr>
                <w:rFonts w:eastAsia="Arial" w:cs="Arial"/>
                <w:b/>
                <w:color w:val="000000"/>
                <w:sz w:val="20"/>
                <w:szCs w:val="20"/>
                <w:lang w:eastAsia="sk-SK" w:bidi="sk-SK"/>
              </w:rPr>
              <w:t>6 989 210,43</w:t>
            </w:r>
          </w:p>
        </w:tc>
      </w:tr>
    </w:tbl>
    <w:p w14:paraId="4EE955A3" w14:textId="77777777" w:rsidR="00E1733A" w:rsidRPr="00AA6A86" w:rsidRDefault="00E1733A" w:rsidP="00980D89">
      <w:pPr>
        <w:autoSpaceDE w:val="0"/>
        <w:autoSpaceDN w:val="0"/>
        <w:adjustRightInd w:val="0"/>
        <w:spacing w:before="60" w:after="60"/>
        <w:jc w:val="both"/>
        <w:rPr>
          <w:rFonts w:eastAsia="Calibri" w:cs="Bariol-Light"/>
          <w:i/>
          <w:color w:val="000000"/>
          <w:sz w:val="18"/>
          <w:szCs w:val="20"/>
        </w:rPr>
      </w:pPr>
      <w:r w:rsidRPr="00AA6A86">
        <w:rPr>
          <w:rFonts w:eastAsia="Calibri" w:cs="Bariol-Light"/>
          <w:i/>
          <w:color w:val="000000"/>
          <w:sz w:val="18"/>
          <w:szCs w:val="20"/>
        </w:rPr>
        <w:t>Zdroj: MF SR</w:t>
      </w:r>
    </w:p>
    <w:p w14:paraId="613F8443" w14:textId="77777777" w:rsidR="005B3D19" w:rsidRDefault="006926C2" w:rsidP="00980D89">
      <w:pPr>
        <w:pStyle w:val="Nadpis1"/>
        <w:numPr>
          <w:ilvl w:val="0"/>
          <w:numId w:val="1"/>
        </w:numPr>
        <w:spacing w:before="60" w:after="60"/>
        <w:ind w:left="714" w:hanging="357"/>
      </w:pPr>
      <w:bookmarkStart w:id="38" w:name="_Toc24098454"/>
      <w:r>
        <w:lastRenderedPageBreak/>
        <w:t>Návrh súhrnného rozpočtu ostatných subjektov verejnej správy na rok 2020</w:t>
      </w:r>
      <w:bookmarkEnd w:id="38"/>
    </w:p>
    <w:p w14:paraId="4D022985" w14:textId="1C34E9F7" w:rsidR="004539A4" w:rsidRDefault="004539A4" w:rsidP="00980D89">
      <w:pPr>
        <w:pStyle w:val="Nadpis2"/>
        <w:spacing w:before="60" w:after="60"/>
        <w:ind w:left="357"/>
      </w:pPr>
      <w:bookmarkStart w:id="39" w:name="_Toc24098455"/>
      <w:r>
        <w:t>6.1 Rozpočet obcí a VÚC</w:t>
      </w:r>
      <w:bookmarkEnd w:id="39"/>
    </w:p>
    <w:p w14:paraId="1610318C" w14:textId="32C4A3B3" w:rsidR="0018649B" w:rsidRPr="0018665D" w:rsidRDefault="0018649B" w:rsidP="00980D89">
      <w:pPr>
        <w:spacing w:before="60" w:after="60"/>
        <w:ind w:firstLine="708"/>
        <w:jc w:val="both"/>
      </w:pPr>
      <w:r w:rsidRPr="0018665D">
        <w:t>Návrh súhrnného</w:t>
      </w:r>
      <w:r>
        <w:t xml:space="preserve"> rozpočtu obcí a VÚC na rok 2020</w:t>
      </w:r>
      <w:r w:rsidRPr="0018665D">
        <w:t xml:space="preserve"> je regulovaný zákonom o rozpočtových pravidlách územnej samosprávy. Rozpočty územnej samosprávy podľa týchto zákonov tvoria rozpočty obcí a VÚC.</w:t>
      </w:r>
      <w:r w:rsidR="00796D9A">
        <w:t xml:space="preserve"> </w:t>
      </w:r>
      <w:r w:rsidRPr="0018665D">
        <w:t>Na účely z</w:t>
      </w:r>
      <w:r>
        <w:t>ostavenia návrhu RVS na rok 2020</w:t>
      </w:r>
      <w:r w:rsidRPr="0018665D">
        <w:t xml:space="preserve"> bol MF SR vypracovaný súhrnný návrh rozpočtov za obce a VÚC, ktorý je len indikatívny. Obce a </w:t>
      </w:r>
      <w:r w:rsidR="00796D9A">
        <w:t>VÚC</w:t>
      </w:r>
      <w:r w:rsidRPr="0018665D">
        <w:t xml:space="preserve"> zostavujú svoje rozpočty v súlade so zákonom o rozpočtových</w:t>
      </w:r>
      <w:r w:rsidR="001C40A6">
        <w:t xml:space="preserve"> pravidlách územnej samosprávy – </w:t>
      </w:r>
      <w:r w:rsidRPr="0018665D">
        <w:t xml:space="preserve">pri postupe predkladania a schvaľovania rozpočtu obce sa riadia zákonom o obecnom zriadení a VÚC zákonom o samospráve vyšších územných celkov. Zostavovanie rozpočtu obce a rozpočtu VÚC vychádza predovšetkým z viacročného rozpočtu, z určeného podielu na výnosoch daní v správe štátu </w:t>
      </w:r>
      <w:r w:rsidR="001C40A6">
        <w:t>(</w:t>
      </w:r>
      <w:r w:rsidRPr="0018665D">
        <w:t>ustanovených osobitným predpisom</w:t>
      </w:r>
      <w:r w:rsidR="001C40A6">
        <w:t>)</w:t>
      </w:r>
      <w:r w:rsidRPr="0018665D">
        <w:t xml:space="preserve"> a zo schváleného</w:t>
      </w:r>
      <w:r w:rsidR="00796D9A">
        <w:t xml:space="preserve"> RVS</w:t>
      </w:r>
      <w:r w:rsidRPr="0018665D">
        <w:t xml:space="preserve">. </w:t>
      </w:r>
    </w:p>
    <w:p w14:paraId="06497C9D" w14:textId="118A3DBF" w:rsidR="0018649B" w:rsidRPr="0018665D" w:rsidRDefault="001C40A6" w:rsidP="00980D89">
      <w:pPr>
        <w:spacing w:before="60" w:after="60"/>
        <w:ind w:firstLine="708"/>
        <w:jc w:val="both"/>
      </w:pPr>
      <w:r>
        <w:t>Pri</w:t>
      </w:r>
      <w:r w:rsidR="0018649B">
        <w:t> </w:t>
      </w:r>
      <w:r w:rsidR="0018649B" w:rsidRPr="0018665D">
        <w:t>rozpočtovaní</w:t>
      </w:r>
      <w:r w:rsidR="0018649B">
        <w:t xml:space="preserve"> príjmov </w:t>
      </w:r>
      <w:r w:rsidR="0018649B" w:rsidRPr="0018665D">
        <w:t>súhrnného rozpočtu obcí a VÚC na ro</w:t>
      </w:r>
      <w:r w:rsidR="0018649B">
        <w:t>k 2020 sa vychádzalo zo septembrovej prognózy daňových príjmo</w:t>
      </w:r>
      <w:r>
        <w:t>v verejnej správy na roky 2020 až</w:t>
      </w:r>
      <w:r w:rsidR="0018649B">
        <w:t xml:space="preserve"> 2022</w:t>
      </w:r>
      <w:r w:rsidR="00796D9A">
        <w:t>.</w:t>
      </w:r>
      <w:r w:rsidR="0018649B">
        <w:t xml:space="preserve"> </w:t>
      </w:r>
      <w:r w:rsidR="00796D9A">
        <w:t>V</w:t>
      </w:r>
      <w:r w:rsidR="0018649B">
        <w:t> rozpočtovaní</w:t>
      </w:r>
      <w:r w:rsidR="0018649B" w:rsidRPr="0018665D">
        <w:t xml:space="preserve"> výdavkov sa vychádzalo z Pr</w:t>
      </w:r>
      <w:r w:rsidR="0018649B">
        <w:t>ogramu stability SR na roky 2019 až 2022</w:t>
      </w:r>
      <w:r w:rsidR="0018649B" w:rsidRPr="0018665D">
        <w:t>, pričom sa zohľadňovali špecifiká obcí a</w:t>
      </w:r>
      <w:r>
        <w:t> </w:t>
      </w:r>
      <w:r w:rsidR="0018649B" w:rsidRPr="0018665D">
        <w:t>VÚC</w:t>
      </w:r>
      <w:r>
        <w:t>,</w:t>
      </w:r>
      <w:r w:rsidR="0018649B" w:rsidRPr="0018665D">
        <w:t xml:space="preserve"> a</w:t>
      </w:r>
      <w:r>
        <w:t>ko aj z</w:t>
      </w:r>
      <w:r w:rsidR="0018649B" w:rsidRPr="0018665D">
        <w:t> ustanovenia zákona o rozpočtových pravidlách územnej samosprávy a</w:t>
      </w:r>
      <w:r>
        <w:t xml:space="preserve"> zo </w:t>
      </w:r>
      <w:r w:rsidR="0018649B" w:rsidRPr="0018665D">
        <w:t>zákona o rozpočtovej zodpovednosti.</w:t>
      </w:r>
    </w:p>
    <w:p w14:paraId="4C3E41B7" w14:textId="53478B0C" w:rsidR="0018649B" w:rsidRPr="0018665D" w:rsidRDefault="0018649B" w:rsidP="00980D89">
      <w:pPr>
        <w:spacing w:before="60" w:after="60"/>
        <w:ind w:firstLine="708"/>
        <w:jc w:val="both"/>
      </w:pPr>
      <w:r w:rsidRPr="0018665D">
        <w:t>Porovnanie bilančného zostatku obcí a VÚC na akruálnej báze v metodike ESA 20</w:t>
      </w:r>
      <w:r>
        <w:t>10 v návrhu rozpočtu na rok 2020</w:t>
      </w:r>
      <w:r w:rsidRPr="0018665D">
        <w:t xml:space="preserve"> so </w:t>
      </w:r>
      <w:r>
        <w:t>schváleným rozpočtom na rok 2019</w:t>
      </w:r>
      <w:r w:rsidRPr="0018665D">
        <w:t xml:space="preserve"> a skutoč</w:t>
      </w:r>
      <w:r>
        <w:t>ným plnením rozpočtu za rok 2018</w:t>
      </w:r>
      <w:r w:rsidR="00796D9A">
        <w:t xml:space="preserve"> obsahuje nasledujúca tabuľka.</w:t>
      </w:r>
    </w:p>
    <w:tbl>
      <w:tblPr>
        <w:tblStyle w:val="Mriekatabuky"/>
        <w:tblW w:w="5000" w:type="pct"/>
        <w:tblLook w:val="04A0" w:firstRow="1" w:lastRow="0" w:firstColumn="1" w:lastColumn="0" w:noHBand="0" w:noVBand="1"/>
      </w:tblPr>
      <w:tblGrid>
        <w:gridCol w:w="3257"/>
        <w:gridCol w:w="1153"/>
        <w:gridCol w:w="1234"/>
        <w:gridCol w:w="1234"/>
        <w:gridCol w:w="1234"/>
        <w:gridCol w:w="1234"/>
      </w:tblGrid>
      <w:tr w:rsidR="0018649B" w:rsidRPr="00784F60" w14:paraId="360531C0" w14:textId="77777777" w:rsidTr="00A97AC3">
        <w:trPr>
          <w:trHeight w:val="113"/>
          <w:tblHeader/>
        </w:trPr>
        <w:tc>
          <w:tcPr>
            <w:tcW w:w="1742"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0B6BE98B" w14:textId="78AE8F0E" w:rsidR="0018649B" w:rsidRDefault="00A97AC3" w:rsidP="00E06664">
            <w:pPr>
              <w:jc w:val="center"/>
              <w:rPr>
                <w:rFonts w:eastAsia="Calibri"/>
                <w:b/>
                <w:bCs/>
                <w:color w:val="FFFFFF" w:themeColor="background1"/>
                <w:sz w:val="20"/>
                <w:szCs w:val="20"/>
              </w:rPr>
            </w:pPr>
            <w:r>
              <w:rPr>
                <w:rFonts w:eastAsia="Calibri"/>
                <w:b/>
                <w:bCs/>
                <w:color w:val="FFFFFF" w:themeColor="background1"/>
                <w:sz w:val="20"/>
                <w:szCs w:val="20"/>
              </w:rPr>
              <w:t>Hospodárenie ostatných subjektov VS</w:t>
            </w:r>
          </w:p>
          <w:p w14:paraId="45EB27BA" w14:textId="77777777" w:rsidR="0018649B" w:rsidRPr="00784F60" w:rsidRDefault="0018649B" w:rsidP="00E06664">
            <w:pPr>
              <w:jc w:val="center"/>
              <w:rPr>
                <w:rFonts w:eastAsia="Calibri"/>
                <w:b/>
                <w:color w:val="FFFFFF" w:themeColor="background1"/>
                <w:sz w:val="20"/>
                <w:szCs w:val="20"/>
              </w:rPr>
            </w:pPr>
            <w:r>
              <w:rPr>
                <w:rFonts w:eastAsia="Calibri"/>
                <w:b/>
                <w:bCs/>
                <w:color w:val="FFFFFF" w:themeColor="background1"/>
                <w:sz w:val="20"/>
                <w:szCs w:val="20"/>
              </w:rPr>
              <w:t>(v tis. eur)</w:t>
            </w:r>
          </w:p>
        </w:tc>
        <w:tc>
          <w:tcPr>
            <w:tcW w:w="617"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695FE72E" w14:textId="77777777" w:rsidR="0018649B" w:rsidRPr="00784F60" w:rsidRDefault="0018649B" w:rsidP="00E06664">
            <w:pPr>
              <w:jc w:val="center"/>
              <w:rPr>
                <w:b/>
                <w:color w:val="FFFFFF" w:themeColor="background1"/>
                <w:sz w:val="20"/>
                <w:szCs w:val="20"/>
              </w:rPr>
            </w:pPr>
            <w:r w:rsidRPr="00784F60">
              <w:rPr>
                <w:b/>
                <w:color w:val="FFFFFF" w:themeColor="background1"/>
                <w:sz w:val="20"/>
                <w:szCs w:val="20"/>
              </w:rPr>
              <w:t>Skutočnosť</w:t>
            </w:r>
          </w:p>
          <w:p w14:paraId="1F34BD09" w14:textId="77777777" w:rsidR="0018649B" w:rsidRPr="00784F60" w:rsidRDefault="0018649B" w:rsidP="00E06664">
            <w:pPr>
              <w:jc w:val="center"/>
              <w:rPr>
                <w:b/>
                <w:color w:val="FFFFFF" w:themeColor="background1"/>
                <w:sz w:val="20"/>
                <w:szCs w:val="20"/>
              </w:rPr>
            </w:pPr>
            <w:r>
              <w:rPr>
                <w:b/>
                <w:color w:val="FFFFFF" w:themeColor="background1"/>
                <w:sz w:val="20"/>
                <w:szCs w:val="20"/>
              </w:rPr>
              <w:t>2018</w:t>
            </w:r>
          </w:p>
        </w:tc>
        <w:tc>
          <w:tcPr>
            <w:tcW w:w="1320"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4544B645" w14:textId="77777777" w:rsidR="0018649B" w:rsidRPr="00784F60" w:rsidRDefault="0018649B" w:rsidP="00E06664">
            <w:pPr>
              <w:jc w:val="center"/>
              <w:rPr>
                <w:b/>
                <w:color w:val="FFFFFF" w:themeColor="background1"/>
                <w:sz w:val="20"/>
                <w:szCs w:val="20"/>
              </w:rPr>
            </w:pPr>
            <w:r w:rsidRPr="00784F60">
              <w:rPr>
                <w:b/>
                <w:color w:val="FFFFFF" w:themeColor="background1"/>
                <w:sz w:val="20"/>
                <w:szCs w:val="20"/>
              </w:rPr>
              <w:t>Rozpočet</w:t>
            </w:r>
          </w:p>
        </w:tc>
        <w:tc>
          <w:tcPr>
            <w:tcW w:w="66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8115126" w14:textId="77777777" w:rsidR="0018649B" w:rsidRPr="00784F60" w:rsidRDefault="0018649B" w:rsidP="00E06664">
            <w:pPr>
              <w:jc w:val="center"/>
              <w:rPr>
                <w:b/>
                <w:color w:val="FFFFFF" w:themeColor="background1"/>
                <w:sz w:val="20"/>
                <w:szCs w:val="20"/>
              </w:rPr>
            </w:pPr>
            <w:r w:rsidRPr="00784F60">
              <w:rPr>
                <w:b/>
                <w:color w:val="FFFFFF" w:themeColor="background1"/>
                <w:sz w:val="20"/>
                <w:szCs w:val="20"/>
              </w:rPr>
              <w:t>Rozdiel</w:t>
            </w:r>
          </w:p>
        </w:tc>
        <w:tc>
          <w:tcPr>
            <w:tcW w:w="660"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18D57B0C" w14:textId="77777777" w:rsidR="00A97AC3" w:rsidRDefault="00A97AC3" w:rsidP="00E06664">
            <w:pPr>
              <w:jc w:val="center"/>
              <w:rPr>
                <w:b/>
                <w:color w:val="FFFFFF" w:themeColor="background1"/>
                <w:sz w:val="20"/>
                <w:szCs w:val="20"/>
              </w:rPr>
            </w:pPr>
            <w:r>
              <w:rPr>
                <w:b/>
                <w:color w:val="FFFFFF" w:themeColor="background1"/>
                <w:sz w:val="20"/>
                <w:szCs w:val="20"/>
              </w:rPr>
              <w:t>Podiel</w:t>
            </w:r>
          </w:p>
          <w:p w14:paraId="4B632813" w14:textId="7747CECD" w:rsidR="0018649B" w:rsidRPr="00784F60" w:rsidRDefault="0018649B" w:rsidP="00E06664">
            <w:pPr>
              <w:jc w:val="center"/>
              <w:rPr>
                <w:b/>
                <w:color w:val="FFFFFF" w:themeColor="background1"/>
                <w:sz w:val="20"/>
                <w:szCs w:val="20"/>
              </w:rPr>
            </w:pPr>
            <w:r w:rsidRPr="00784F60">
              <w:rPr>
                <w:b/>
                <w:color w:val="FFFFFF" w:themeColor="background1"/>
                <w:sz w:val="20"/>
                <w:szCs w:val="20"/>
              </w:rPr>
              <w:t>(v %)</w:t>
            </w:r>
          </w:p>
        </w:tc>
      </w:tr>
      <w:tr w:rsidR="0018649B" w:rsidRPr="00784F60" w14:paraId="7C61B939" w14:textId="77777777" w:rsidTr="00A97AC3">
        <w:trPr>
          <w:trHeight w:val="113"/>
          <w:tblHeader/>
        </w:trPr>
        <w:tc>
          <w:tcPr>
            <w:tcW w:w="1742"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00526C38" w14:textId="77777777" w:rsidR="0018649B" w:rsidRPr="00784F60" w:rsidRDefault="0018649B" w:rsidP="00E06664">
            <w:pPr>
              <w:rPr>
                <w:rFonts w:eastAsia="Calibri"/>
                <w:b/>
                <w:color w:val="FFFFFF" w:themeColor="background1"/>
                <w:sz w:val="20"/>
                <w:szCs w:val="20"/>
              </w:rPr>
            </w:pPr>
          </w:p>
        </w:tc>
        <w:tc>
          <w:tcPr>
            <w:tcW w:w="617"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50E4F2C" w14:textId="77777777" w:rsidR="0018649B" w:rsidRPr="00784F60" w:rsidRDefault="0018649B" w:rsidP="00E06664">
            <w:pPr>
              <w:rPr>
                <w:b/>
                <w:color w:val="FFFFFF" w:themeColor="background1"/>
                <w:sz w:val="20"/>
                <w:szCs w:val="20"/>
              </w:rPr>
            </w:pPr>
          </w:p>
        </w:tc>
        <w:tc>
          <w:tcPr>
            <w:tcW w:w="6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410038FB" w14:textId="77777777" w:rsidR="0018649B" w:rsidRPr="00784F60" w:rsidRDefault="0018649B" w:rsidP="00E06664">
            <w:pPr>
              <w:jc w:val="center"/>
              <w:rPr>
                <w:b/>
                <w:color w:val="FFFFFF" w:themeColor="background1"/>
                <w:sz w:val="20"/>
                <w:szCs w:val="20"/>
              </w:rPr>
            </w:pPr>
            <w:r>
              <w:rPr>
                <w:b/>
                <w:color w:val="FFFFFF" w:themeColor="background1"/>
                <w:sz w:val="20"/>
                <w:szCs w:val="20"/>
              </w:rPr>
              <w:t>2019</w:t>
            </w:r>
          </w:p>
        </w:tc>
        <w:tc>
          <w:tcPr>
            <w:tcW w:w="6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4096CFEC" w14:textId="77777777" w:rsidR="0018649B" w:rsidRPr="00784F60" w:rsidRDefault="0018649B" w:rsidP="00E06664">
            <w:pPr>
              <w:jc w:val="center"/>
              <w:rPr>
                <w:b/>
                <w:color w:val="FFFFFF" w:themeColor="background1"/>
                <w:sz w:val="20"/>
                <w:szCs w:val="20"/>
              </w:rPr>
            </w:pPr>
            <w:r>
              <w:rPr>
                <w:b/>
                <w:color w:val="FFFFFF" w:themeColor="background1"/>
                <w:sz w:val="20"/>
                <w:szCs w:val="20"/>
              </w:rPr>
              <w:t>2020</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4B3694C" w14:textId="77777777" w:rsidR="0018649B" w:rsidRPr="00784F60" w:rsidRDefault="0018649B" w:rsidP="00E06664">
            <w:pPr>
              <w:rPr>
                <w:b/>
                <w:color w:val="FFFFFF" w:themeColor="background1"/>
                <w:sz w:val="20"/>
                <w:szCs w:val="20"/>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21DB7D46" w14:textId="77777777" w:rsidR="0018649B" w:rsidRPr="00784F60" w:rsidRDefault="0018649B" w:rsidP="00E06664">
            <w:pPr>
              <w:rPr>
                <w:b/>
                <w:color w:val="FFFFFF" w:themeColor="background1"/>
                <w:sz w:val="20"/>
                <w:szCs w:val="20"/>
              </w:rPr>
            </w:pPr>
          </w:p>
        </w:tc>
      </w:tr>
      <w:tr w:rsidR="0018649B" w:rsidRPr="00616C71" w14:paraId="5EA15FC6" w14:textId="77777777" w:rsidTr="00A97AC3">
        <w:trPr>
          <w:trHeight w:val="113"/>
          <w:tblHeader/>
        </w:trPr>
        <w:tc>
          <w:tcPr>
            <w:tcW w:w="1742" w:type="pct"/>
            <w:tcBorders>
              <w:top w:val="single" w:sz="4" w:space="0" w:color="auto"/>
              <w:left w:val="single" w:sz="4" w:space="0" w:color="auto"/>
              <w:bottom w:val="single" w:sz="4" w:space="0" w:color="auto"/>
              <w:right w:val="single" w:sz="4" w:space="0" w:color="auto"/>
            </w:tcBorders>
            <w:vAlign w:val="center"/>
            <w:hideMark/>
          </w:tcPr>
          <w:p w14:paraId="4C0BB4E5" w14:textId="77777777" w:rsidR="0018649B" w:rsidRPr="00616C71" w:rsidRDefault="0018649B" w:rsidP="00E06664">
            <w:pPr>
              <w:jc w:val="center"/>
              <w:rPr>
                <w:bCs/>
                <w:sz w:val="20"/>
                <w:szCs w:val="20"/>
              </w:rPr>
            </w:pPr>
            <w:r w:rsidRPr="00616C71">
              <w:rPr>
                <w:bCs/>
                <w:sz w:val="20"/>
                <w:szCs w:val="20"/>
              </w:rPr>
              <w:t>a</w:t>
            </w:r>
          </w:p>
        </w:tc>
        <w:tc>
          <w:tcPr>
            <w:tcW w:w="617" w:type="pct"/>
            <w:tcBorders>
              <w:top w:val="single" w:sz="4" w:space="0" w:color="auto"/>
              <w:left w:val="single" w:sz="4" w:space="0" w:color="auto"/>
              <w:bottom w:val="single" w:sz="4" w:space="0" w:color="auto"/>
              <w:right w:val="single" w:sz="4" w:space="0" w:color="auto"/>
            </w:tcBorders>
            <w:hideMark/>
          </w:tcPr>
          <w:p w14:paraId="78279253" w14:textId="77777777" w:rsidR="0018649B" w:rsidRPr="00616C71" w:rsidRDefault="0018649B" w:rsidP="00E06664">
            <w:pPr>
              <w:jc w:val="center"/>
              <w:rPr>
                <w:sz w:val="20"/>
                <w:szCs w:val="20"/>
              </w:rPr>
            </w:pPr>
            <w:r w:rsidRPr="00616C71">
              <w:rPr>
                <w:sz w:val="20"/>
                <w:szCs w:val="20"/>
              </w:rPr>
              <w:t>1</w:t>
            </w:r>
          </w:p>
        </w:tc>
        <w:tc>
          <w:tcPr>
            <w:tcW w:w="660" w:type="pct"/>
            <w:tcBorders>
              <w:top w:val="single" w:sz="4" w:space="0" w:color="auto"/>
              <w:left w:val="single" w:sz="4" w:space="0" w:color="auto"/>
              <w:bottom w:val="single" w:sz="4" w:space="0" w:color="auto"/>
              <w:right w:val="single" w:sz="4" w:space="0" w:color="auto"/>
            </w:tcBorders>
            <w:hideMark/>
          </w:tcPr>
          <w:p w14:paraId="212571E4" w14:textId="77777777" w:rsidR="0018649B" w:rsidRPr="00616C71" w:rsidRDefault="0018649B" w:rsidP="00E06664">
            <w:pPr>
              <w:jc w:val="center"/>
              <w:rPr>
                <w:sz w:val="20"/>
                <w:szCs w:val="20"/>
              </w:rPr>
            </w:pPr>
            <w:r w:rsidRPr="00616C71">
              <w:rPr>
                <w:sz w:val="20"/>
                <w:szCs w:val="20"/>
              </w:rPr>
              <w:t>2</w:t>
            </w:r>
          </w:p>
        </w:tc>
        <w:tc>
          <w:tcPr>
            <w:tcW w:w="660" w:type="pct"/>
            <w:tcBorders>
              <w:top w:val="single" w:sz="4" w:space="0" w:color="auto"/>
              <w:left w:val="single" w:sz="4" w:space="0" w:color="auto"/>
              <w:bottom w:val="single" w:sz="4" w:space="0" w:color="auto"/>
              <w:right w:val="single" w:sz="4" w:space="0" w:color="auto"/>
            </w:tcBorders>
            <w:hideMark/>
          </w:tcPr>
          <w:p w14:paraId="348EF57F" w14:textId="77777777" w:rsidR="0018649B" w:rsidRPr="00616C71" w:rsidRDefault="0018649B" w:rsidP="00E06664">
            <w:pPr>
              <w:jc w:val="center"/>
              <w:rPr>
                <w:sz w:val="20"/>
                <w:szCs w:val="20"/>
              </w:rPr>
            </w:pPr>
            <w:r w:rsidRPr="00616C71">
              <w:rPr>
                <w:sz w:val="20"/>
                <w:szCs w:val="20"/>
              </w:rPr>
              <w:t>3</w:t>
            </w:r>
          </w:p>
        </w:tc>
        <w:tc>
          <w:tcPr>
            <w:tcW w:w="660" w:type="pct"/>
            <w:tcBorders>
              <w:top w:val="single" w:sz="4" w:space="0" w:color="auto"/>
              <w:left w:val="single" w:sz="4" w:space="0" w:color="auto"/>
              <w:bottom w:val="single" w:sz="4" w:space="0" w:color="auto"/>
              <w:right w:val="single" w:sz="4" w:space="0" w:color="auto"/>
            </w:tcBorders>
            <w:hideMark/>
          </w:tcPr>
          <w:p w14:paraId="6B6CCF6B" w14:textId="77777777" w:rsidR="0018649B" w:rsidRPr="00616C71" w:rsidRDefault="0018649B" w:rsidP="00E06664">
            <w:pPr>
              <w:jc w:val="center"/>
              <w:rPr>
                <w:sz w:val="20"/>
                <w:szCs w:val="20"/>
              </w:rPr>
            </w:pPr>
            <w:r w:rsidRPr="00616C71">
              <w:rPr>
                <w:sz w:val="20"/>
                <w:szCs w:val="20"/>
              </w:rPr>
              <w:t>3-2</w:t>
            </w:r>
          </w:p>
        </w:tc>
        <w:tc>
          <w:tcPr>
            <w:tcW w:w="660" w:type="pct"/>
            <w:tcBorders>
              <w:top w:val="single" w:sz="4" w:space="0" w:color="auto"/>
              <w:left w:val="single" w:sz="4" w:space="0" w:color="auto"/>
              <w:bottom w:val="single" w:sz="4" w:space="0" w:color="auto"/>
              <w:right w:val="single" w:sz="4" w:space="0" w:color="auto"/>
            </w:tcBorders>
            <w:hideMark/>
          </w:tcPr>
          <w:p w14:paraId="485E243F" w14:textId="77777777" w:rsidR="0018649B" w:rsidRPr="00616C71" w:rsidRDefault="0018649B" w:rsidP="00E06664">
            <w:pPr>
              <w:jc w:val="center"/>
              <w:rPr>
                <w:sz w:val="20"/>
                <w:szCs w:val="20"/>
              </w:rPr>
            </w:pPr>
            <w:r w:rsidRPr="00616C71">
              <w:rPr>
                <w:sz w:val="20"/>
                <w:szCs w:val="20"/>
              </w:rPr>
              <w:t>3/2*100</w:t>
            </w:r>
          </w:p>
        </w:tc>
      </w:tr>
      <w:tr w:rsidR="0018649B" w:rsidRPr="00616C71" w14:paraId="31E4A4F5" w14:textId="77777777" w:rsidTr="00A97AC3">
        <w:trPr>
          <w:trHeight w:val="113"/>
        </w:trPr>
        <w:tc>
          <w:tcPr>
            <w:tcW w:w="1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4156E" w14:textId="77777777" w:rsidR="0018649B" w:rsidRPr="00616C71" w:rsidRDefault="0018649B" w:rsidP="00E06664">
            <w:pPr>
              <w:rPr>
                <w:bCs/>
                <w:sz w:val="20"/>
                <w:szCs w:val="20"/>
              </w:rPr>
            </w:pPr>
            <w:r w:rsidRPr="00616C71">
              <w:rPr>
                <w:bCs/>
                <w:iCs/>
                <w:sz w:val="20"/>
                <w:szCs w:val="20"/>
              </w:rPr>
              <w:t>Príjmy obcí a VÚC spolu</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70962" w14:textId="77777777" w:rsidR="0018649B" w:rsidRPr="00616C71" w:rsidRDefault="0018649B" w:rsidP="00E06664">
            <w:pPr>
              <w:jc w:val="right"/>
              <w:rPr>
                <w:sz w:val="20"/>
                <w:szCs w:val="20"/>
              </w:rPr>
            </w:pPr>
            <w:r>
              <w:rPr>
                <w:sz w:val="20"/>
                <w:szCs w:val="20"/>
              </w:rPr>
              <w:t>6 836 881</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FC826" w14:textId="77777777" w:rsidR="0018649B" w:rsidRPr="00616C71" w:rsidRDefault="0018649B" w:rsidP="00E06664">
            <w:pPr>
              <w:jc w:val="right"/>
              <w:rPr>
                <w:sz w:val="20"/>
                <w:szCs w:val="20"/>
              </w:rPr>
            </w:pPr>
            <w:r w:rsidRPr="00616C71">
              <w:rPr>
                <w:sz w:val="20"/>
                <w:szCs w:val="20"/>
              </w:rPr>
              <w:t>6</w:t>
            </w:r>
            <w:r>
              <w:rPr>
                <w:sz w:val="20"/>
                <w:szCs w:val="20"/>
              </w:rPr>
              <w:t> 405 307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E2196" w14:textId="77777777" w:rsidR="0018649B" w:rsidRPr="00616C71" w:rsidRDefault="0018649B" w:rsidP="00E06664">
            <w:pPr>
              <w:jc w:val="right"/>
              <w:rPr>
                <w:sz w:val="20"/>
                <w:szCs w:val="20"/>
              </w:rPr>
            </w:pPr>
            <w:r>
              <w:rPr>
                <w:sz w:val="20"/>
                <w:szCs w:val="20"/>
              </w:rPr>
              <w:t>6 843 167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B51C7" w14:textId="77777777" w:rsidR="0018649B" w:rsidRPr="00736E60" w:rsidRDefault="0018649B" w:rsidP="00E06664">
            <w:pPr>
              <w:jc w:val="right"/>
              <w:rPr>
                <w:sz w:val="20"/>
                <w:szCs w:val="20"/>
              </w:rPr>
            </w:pPr>
            <w:r w:rsidRPr="00736E60">
              <w:rPr>
                <w:sz w:val="20"/>
                <w:szCs w:val="20"/>
              </w:rPr>
              <w:t>437</w:t>
            </w:r>
            <w:r>
              <w:rPr>
                <w:sz w:val="20"/>
                <w:szCs w:val="20"/>
              </w:rPr>
              <w:t xml:space="preserve"> </w:t>
            </w:r>
            <w:r w:rsidRPr="00736E60">
              <w:rPr>
                <w:sz w:val="20"/>
                <w:szCs w:val="20"/>
              </w:rPr>
              <w:t>860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9D3AC7" w14:textId="77777777" w:rsidR="0018649B" w:rsidRPr="00736E60" w:rsidRDefault="0018649B" w:rsidP="00E06664">
            <w:pPr>
              <w:jc w:val="right"/>
              <w:rPr>
                <w:sz w:val="20"/>
                <w:szCs w:val="20"/>
              </w:rPr>
            </w:pPr>
            <w:r w:rsidRPr="00736E60">
              <w:rPr>
                <w:sz w:val="20"/>
                <w:szCs w:val="20"/>
              </w:rPr>
              <w:t>106,8</w:t>
            </w:r>
          </w:p>
        </w:tc>
      </w:tr>
      <w:tr w:rsidR="0018649B" w:rsidRPr="00616C71" w14:paraId="7513B7EC" w14:textId="77777777" w:rsidTr="00A97AC3">
        <w:trPr>
          <w:trHeight w:val="113"/>
        </w:trPr>
        <w:tc>
          <w:tcPr>
            <w:tcW w:w="1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91B7A" w14:textId="77777777" w:rsidR="0018649B" w:rsidRPr="00616C71" w:rsidRDefault="0018649B" w:rsidP="00E06664">
            <w:pPr>
              <w:rPr>
                <w:bCs/>
                <w:sz w:val="20"/>
                <w:szCs w:val="20"/>
              </w:rPr>
            </w:pPr>
            <w:r w:rsidRPr="00616C71">
              <w:rPr>
                <w:bCs/>
                <w:iCs/>
                <w:sz w:val="20"/>
                <w:szCs w:val="20"/>
              </w:rPr>
              <w:t>Výdavky obcí a VÚC spolu</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FF44F" w14:textId="77777777" w:rsidR="0018649B" w:rsidRPr="00616C71" w:rsidRDefault="0018649B" w:rsidP="00E06664">
            <w:pPr>
              <w:jc w:val="right"/>
              <w:rPr>
                <w:sz w:val="20"/>
                <w:szCs w:val="20"/>
              </w:rPr>
            </w:pPr>
            <w:r>
              <w:rPr>
                <w:sz w:val="20"/>
                <w:szCs w:val="20"/>
              </w:rPr>
              <w:t>6 251 393</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C3E22" w14:textId="77777777" w:rsidR="0018649B" w:rsidRPr="00616C71" w:rsidRDefault="0018649B" w:rsidP="00E06664">
            <w:pPr>
              <w:jc w:val="right"/>
              <w:rPr>
                <w:sz w:val="20"/>
                <w:szCs w:val="20"/>
              </w:rPr>
            </w:pPr>
            <w:r>
              <w:rPr>
                <w:sz w:val="20"/>
                <w:szCs w:val="20"/>
              </w:rPr>
              <w:t>5 839 730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88A79" w14:textId="77777777" w:rsidR="0018649B" w:rsidRPr="00616C71" w:rsidRDefault="0018649B" w:rsidP="00E06664">
            <w:pPr>
              <w:jc w:val="right"/>
              <w:rPr>
                <w:sz w:val="20"/>
                <w:szCs w:val="20"/>
              </w:rPr>
            </w:pPr>
            <w:r>
              <w:rPr>
                <w:sz w:val="20"/>
                <w:szCs w:val="20"/>
              </w:rPr>
              <w:t>6 387 082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521FE" w14:textId="77777777" w:rsidR="0018649B" w:rsidRPr="00736E60" w:rsidRDefault="0018649B" w:rsidP="00E06664">
            <w:pPr>
              <w:jc w:val="right"/>
              <w:rPr>
                <w:sz w:val="20"/>
                <w:szCs w:val="20"/>
              </w:rPr>
            </w:pPr>
            <w:r w:rsidRPr="00736E60">
              <w:rPr>
                <w:sz w:val="20"/>
                <w:szCs w:val="20"/>
              </w:rPr>
              <w:t>547</w:t>
            </w:r>
            <w:r>
              <w:rPr>
                <w:sz w:val="20"/>
                <w:szCs w:val="20"/>
              </w:rPr>
              <w:t xml:space="preserve"> </w:t>
            </w:r>
            <w:r w:rsidRPr="00736E60">
              <w:rPr>
                <w:sz w:val="20"/>
                <w:szCs w:val="20"/>
              </w:rPr>
              <w:t>352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15E58A" w14:textId="77777777" w:rsidR="0018649B" w:rsidRPr="00736E60" w:rsidRDefault="0018649B" w:rsidP="00E06664">
            <w:pPr>
              <w:jc w:val="right"/>
              <w:rPr>
                <w:sz w:val="20"/>
                <w:szCs w:val="20"/>
              </w:rPr>
            </w:pPr>
            <w:r w:rsidRPr="00736E60">
              <w:rPr>
                <w:sz w:val="20"/>
                <w:szCs w:val="20"/>
              </w:rPr>
              <w:t>109,4</w:t>
            </w:r>
          </w:p>
        </w:tc>
      </w:tr>
      <w:tr w:rsidR="0018649B" w:rsidRPr="00616C71" w14:paraId="3B8E25CD" w14:textId="77777777" w:rsidTr="00A97AC3">
        <w:trPr>
          <w:trHeight w:val="113"/>
        </w:trPr>
        <w:tc>
          <w:tcPr>
            <w:tcW w:w="1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3BBF1" w14:textId="77777777" w:rsidR="0018649B" w:rsidRPr="00616C71" w:rsidRDefault="0018649B" w:rsidP="00E06664">
            <w:pPr>
              <w:rPr>
                <w:bCs/>
                <w:sz w:val="20"/>
                <w:szCs w:val="20"/>
              </w:rPr>
            </w:pPr>
            <w:r w:rsidRPr="00616C71">
              <w:rPr>
                <w:bCs/>
                <w:iCs/>
                <w:sz w:val="20"/>
                <w:szCs w:val="20"/>
              </w:rPr>
              <w:t>Celkový prebytok obcí a VÚC spolu</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DD2E9" w14:textId="77777777" w:rsidR="0018649B" w:rsidRPr="00292F8E" w:rsidRDefault="0018649B" w:rsidP="00E06664">
            <w:pPr>
              <w:jc w:val="right"/>
            </w:pPr>
            <w:r w:rsidRPr="004E7E61">
              <w:rPr>
                <w:sz w:val="20"/>
                <w:szCs w:val="20"/>
              </w:rPr>
              <w:t>585 488</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0FD9F" w14:textId="77777777" w:rsidR="0018649B" w:rsidRDefault="0018649B" w:rsidP="00E06664">
            <w:pPr>
              <w:jc w:val="right"/>
            </w:pPr>
            <w:r w:rsidRPr="00B84E3A">
              <w:rPr>
                <w:sz w:val="20"/>
                <w:szCs w:val="20"/>
              </w:rPr>
              <w:t>565 577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EB9D1" w14:textId="77777777" w:rsidR="0018649B" w:rsidRPr="00844EAF" w:rsidRDefault="0018649B" w:rsidP="00E06664">
            <w:pPr>
              <w:jc w:val="right"/>
              <w:rPr>
                <w:sz w:val="20"/>
                <w:szCs w:val="20"/>
              </w:rPr>
            </w:pPr>
            <w:r w:rsidRPr="00844EAF">
              <w:rPr>
                <w:sz w:val="20"/>
                <w:szCs w:val="20"/>
              </w:rPr>
              <w:t>456 085</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B66E9" w14:textId="77777777" w:rsidR="0018649B" w:rsidRPr="00736E60" w:rsidRDefault="0018649B" w:rsidP="00E06664">
            <w:pPr>
              <w:jc w:val="right"/>
              <w:rPr>
                <w:sz w:val="20"/>
                <w:szCs w:val="20"/>
              </w:rPr>
            </w:pPr>
            <w:r w:rsidRPr="00736E60">
              <w:rPr>
                <w:sz w:val="20"/>
                <w:szCs w:val="20"/>
              </w:rPr>
              <w:t>-109</w:t>
            </w:r>
            <w:r>
              <w:rPr>
                <w:sz w:val="20"/>
                <w:szCs w:val="20"/>
              </w:rPr>
              <w:t xml:space="preserve"> </w:t>
            </w:r>
            <w:r w:rsidRPr="00736E60">
              <w:rPr>
                <w:sz w:val="20"/>
                <w:szCs w:val="20"/>
              </w:rPr>
              <w:t>492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7C645" w14:textId="77777777" w:rsidR="0018649B" w:rsidRPr="00736E60" w:rsidRDefault="0018649B" w:rsidP="00E06664">
            <w:pPr>
              <w:jc w:val="right"/>
              <w:rPr>
                <w:sz w:val="20"/>
                <w:szCs w:val="20"/>
              </w:rPr>
            </w:pPr>
            <w:r w:rsidRPr="00736E60">
              <w:rPr>
                <w:sz w:val="20"/>
                <w:szCs w:val="20"/>
              </w:rPr>
              <w:t>80,6</w:t>
            </w:r>
          </w:p>
        </w:tc>
      </w:tr>
      <w:tr w:rsidR="0018649B" w:rsidRPr="00616C71" w14:paraId="28D93385" w14:textId="77777777" w:rsidTr="00A97AC3">
        <w:trPr>
          <w:trHeight w:val="113"/>
        </w:trPr>
        <w:tc>
          <w:tcPr>
            <w:tcW w:w="1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CF021" w14:textId="77777777" w:rsidR="0018649B" w:rsidRPr="00616C71" w:rsidRDefault="0018649B" w:rsidP="00E06664">
            <w:pPr>
              <w:rPr>
                <w:bCs/>
                <w:i/>
                <w:iCs/>
                <w:sz w:val="20"/>
                <w:szCs w:val="20"/>
              </w:rPr>
            </w:pPr>
            <w:r w:rsidRPr="00616C71">
              <w:rPr>
                <w:bCs/>
                <w:i/>
                <w:iCs/>
                <w:sz w:val="20"/>
                <w:szCs w:val="20"/>
              </w:rPr>
              <w:t>vylúčenie finančných operácií</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506D8" w14:textId="77777777" w:rsidR="0018649B" w:rsidRPr="00616C71" w:rsidRDefault="0018649B" w:rsidP="00E06664">
            <w:pPr>
              <w:jc w:val="right"/>
              <w:rPr>
                <w:sz w:val="20"/>
                <w:szCs w:val="20"/>
              </w:rPr>
            </w:pPr>
            <w:r>
              <w:rPr>
                <w:sz w:val="20"/>
                <w:szCs w:val="20"/>
              </w:rPr>
              <w:t>-486 829</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452AC" w14:textId="77777777" w:rsidR="0018649B" w:rsidRPr="00616C71" w:rsidRDefault="0018649B" w:rsidP="00E06664">
            <w:pPr>
              <w:jc w:val="right"/>
              <w:rPr>
                <w:sz w:val="20"/>
                <w:szCs w:val="20"/>
              </w:rPr>
            </w:pPr>
            <w:r>
              <w:rPr>
                <w:sz w:val="20"/>
                <w:szCs w:val="20"/>
              </w:rPr>
              <w:t>-209 000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49841" w14:textId="77777777" w:rsidR="0018649B" w:rsidRPr="00616C71" w:rsidRDefault="0018649B" w:rsidP="00E06664">
            <w:pPr>
              <w:jc w:val="right"/>
              <w:rPr>
                <w:sz w:val="20"/>
                <w:szCs w:val="20"/>
              </w:rPr>
            </w:pPr>
            <w:r>
              <w:rPr>
                <w:sz w:val="20"/>
                <w:szCs w:val="20"/>
              </w:rPr>
              <w:t>-219 000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1D48C" w14:textId="77777777" w:rsidR="0018649B" w:rsidRPr="00736E60" w:rsidRDefault="0018649B" w:rsidP="00E06664">
            <w:pPr>
              <w:jc w:val="right"/>
              <w:rPr>
                <w:sz w:val="20"/>
                <w:szCs w:val="20"/>
              </w:rPr>
            </w:pPr>
            <w:r w:rsidRPr="00736E60">
              <w:rPr>
                <w:sz w:val="20"/>
                <w:szCs w:val="20"/>
              </w:rPr>
              <w:t>-10</w:t>
            </w:r>
            <w:r>
              <w:rPr>
                <w:sz w:val="20"/>
                <w:szCs w:val="20"/>
              </w:rPr>
              <w:t xml:space="preserve"> </w:t>
            </w:r>
            <w:r w:rsidRPr="00736E60">
              <w:rPr>
                <w:sz w:val="20"/>
                <w:szCs w:val="20"/>
              </w:rPr>
              <w:t>000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3DE04" w14:textId="77777777" w:rsidR="0018649B" w:rsidRPr="00736E60" w:rsidRDefault="0018649B" w:rsidP="00E06664">
            <w:pPr>
              <w:jc w:val="right"/>
              <w:rPr>
                <w:sz w:val="20"/>
                <w:szCs w:val="20"/>
              </w:rPr>
            </w:pPr>
            <w:r w:rsidRPr="00736E60">
              <w:rPr>
                <w:sz w:val="20"/>
                <w:szCs w:val="20"/>
              </w:rPr>
              <w:t>104,8</w:t>
            </w:r>
          </w:p>
        </w:tc>
      </w:tr>
      <w:tr w:rsidR="0018649B" w:rsidRPr="00616C71" w14:paraId="7A7BD0A4" w14:textId="77777777" w:rsidTr="00A97AC3">
        <w:trPr>
          <w:trHeight w:val="113"/>
        </w:trPr>
        <w:tc>
          <w:tcPr>
            <w:tcW w:w="1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A36A8" w14:textId="77777777" w:rsidR="0018649B" w:rsidRPr="00616C71" w:rsidRDefault="0018649B" w:rsidP="00E06664">
            <w:pPr>
              <w:rPr>
                <w:bCs/>
                <w:i/>
                <w:iCs/>
                <w:sz w:val="20"/>
                <w:szCs w:val="20"/>
              </w:rPr>
            </w:pPr>
            <w:r w:rsidRPr="00616C71">
              <w:rPr>
                <w:bCs/>
                <w:i/>
                <w:iCs/>
                <w:sz w:val="20"/>
                <w:szCs w:val="20"/>
              </w:rPr>
              <w:t>zahrnutie časového rozlíšenia  a ostatné úpravy</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F8D7E" w14:textId="77777777" w:rsidR="0018649B" w:rsidRPr="00616C71" w:rsidRDefault="0018649B" w:rsidP="00E06664">
            <w:pPr>
              <w:jc w:val="right"/>
              <w:rPr>
                <w:sz w:val="20"/>
                <w:szCs w:val="20"/>
              </w:rPr>
            </w:pPr>
            <w:r>
              <w:rPr>
                <w:sz w:val="20"/>
                <w:szCs w:val="20"/>
              </w:rPr>
              <w:t>- 25 161</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3F909" w14:textId="77777777" w:rsidR="0018649B" w:rsidRPr="00616C71" w:rsidRDefault="0018649B" w:rsidP="00E06664">
            <w:pPr>
              <w:jc w:val="right"/>
              <w:rPr>
                <w:sz w:val="20"/>
                <w:szCs w:val="20"/>
              </w:rPr>
            </w:pPr>
            <w:r w:rsidRPr="00616C71">
              <w:rPr>
                <w:sz w:val="20"/>
                <w:szCs w:val="2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59514" w14:textId="77777777" w:rsidR="0018649B" w:rsidRPr="00616C71" w:rsidRDefault="0018649B" w:rsidP="00E06664">
            <w:pPr>
              <w:jc w:val="right"/>
              <w:rPr>
                <w:sz w:val="20"/>
                <w:szCs w:val="20"/>
              </w:rPr>
            </w:pPr>
            <w:r>
              <w:rPr>
                <w:sz w:val="20"/>
                <w:szCs w:val="2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4ECB1" w14:textId="77777777" w:rsidR="0018649B" w:rsidRPr="00736E60" w:rsidRDefault="0018649B" w:rsidP="00E06664">
            <w:pPr>
              <w:jc w:val="right"/>
              <w:rPr>
                <w:sz w:val="20"/>
                <w:szCs w:val="20"/>
              </w:rPr>
            </w:pPr>
            <w:r w:rsidRPr="00736E60">
              <w:rPr>
                <w:sz w:val="20"/>
                <w:szCs w:val="2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926A1" w14:textId="77777777" w:rsidR="0018649B" w:rsidRPr="00736E60" w:rsidRDefault="0018649B" w:rsidP="00E06664">
            <w:pPr>
              <w:jc w:val="right"/>
              <w:rPr>
                <w:sz w:val="20"/>
                <w:szCs w:val="20"/>
              </w:rPr>
            </w:pPr>
            <w:r>
              <w:rPr>
                <w:sz w:val="20"/>
                <w:szCs w:val="20"/>
              </w:rPr>
              <w:t>-</w:t>
            </w:r>
          </w:p>
        </w:tc>
      </w:tr>
      <w:tr w:rsidR="0018649B" w:rsidRPr="00616C71" w14:paraId="11BC9D30" w14:textId="77777777" w:rsidTr="00A97AC3">
        <w:trPr>
          <w:trHeight w:val="113"/>
        </w:trPr>
        <w:tc>
          <w:tcPr>
            <w:tcW w:w="17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0021D4" w14:textId="77777777" w:rsidR="0018649B" w:rsidRPr="00616C71" w:rsidRDefault="0018649B" w:rsidP="00E06664">
            <w:pPr>
              <w:rPr>
                <w:bCs/>
                <w:sz w:val="20"/>
                <w:szCs w:val="20"/>
              </w:rPr>
            </w:pPr>
            <w:r w:rsidRPr="00616C71">
              <w:rPr>
                <w:bCs/>
                <w:iCs/>
                <w:sz w:val="20"/>
                <w:szCs w:val="20"/>
              </w:rPr>
              <w:t xml:space="preserve">Prebytok(+)/schodok (-) obcí a </w:t>
            </w:r>
            <w:r w:rsidRPr="00616C71">
              <w:rPr>
                <w:bCs/>
                <w:sz w:val="20"/>
                <w:szCs w:val="20"/>
              </w:rPr>
              <w:t>VÚC spolu (ESA 2010)</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EC4C4" w14:textId="77777777" w:rsidR="0018649B" w:rsidRPr="00616C71" w:rsidRDefault="0018649B" w:rsidP="00E06664">
            <w:pPr>
              <w:jc w:val="right"/>
              <w:rPr>
                <w:sz w:val="20"/>
                <w:szCs w:val="20"/>
              </w:rPr>
            </w:pPr>
            <w:r>
              <w:rPr>
                <w:sz w:val="20"/>
                <w:szCs w:val="20"/>
              </w:rPr>
              <w:t>73 498</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F6BB1" w14:textId="77777777" w:rsidR="0018649B" w:rsidRPr="00616C71" w:rsidRDefault="0018649B" w:rsidP="00E06664">
            <w:pPr>
              <w:jc w:val="right"/>
              <w:rPr>
                <w:sz w:val="20"/>
                <w:szCs w:val="20"/>
              </w:rPr>
            </w:pPr>
            <w:r>
              <w:rPr>
                <w:sz w:val="20"/>
                <w:szCs w:val="20"/>
              </w:rPr>
              <w:t>356 577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352FF" w14:textId="77777777" w:rsidR="0018649B" w:rsidRPr="00616C71" w:rsidRDefault="0018649B" w:rsidP="00E06664">
            <w:pPr>
              <w:jc w:val="right"/>
              <w:rPr>
                <w:sz w:val="20"/>
                <w:szCs w:val="20"/>
              </w:rPr>
            </w:pPr>
            <w:r>
              <w:rPr>
                <w:sz w:val="20"/>
                <w:szCs w:val="20"/>
              </w:rPr>
              <w:t>237 085</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3D77A" w14:textId="77777777" w:rsidR="0018649B" w:rsidRPr="00736E60" w:rsidRDefault="0018649B" w:rsidP="00E06664">
            <w:pPr>
              <w:jc w:val="right"/>
              <w:rPr>
                <w:sz w:val="20"/>
                <w:szCs w:val="20"/>
              </w:rPr>
            </w:pPr>
            <w:r w:rsidRPr="00736E60">
              <w:rPr>
                <w:sz w:val="20"/>
                <w:szCs w:val="20"/>
              </w:rPr>
              <w:t>-119</w:t>
            </w:r>
            <w:r>
              <w:rPr>
                <w:sz w:val="20"/>
                <w:szCs w:val="20"/>
              </w:rPr>
              <w:t xml:space="preserve"> </w:t>
            </w:r>
            <w:r w:rsidRPr="00736E60">
              <w:rPr>
                <w:sz w:val="20"/>
                <w:szCs w:val="20"/>
              </w:rPr>
              <w:t>492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E512B" w14:textId="77777777" w:rsidR="0018649B" w:rsidRPr="00736E60" w:rsidRDefault="0018649B" w:rsidP="00E06664">
            <w:pPr>
              <w:jc w:val="right"/>
              <w:rPr>
                <w:sz w:val="20"/>
                <w:szCs w:val="20"/>
              </w:rPr>
            </w:pPr>
            <w:r w:rsidRPr="00736E60">
              <w:rPr>
                <w:sz w:val="20"/>
                <w:szCs w:val="20"/>
              </w:rPr>
              <w:t>66,5</w:t>
            </w:r>
          </w:p>
        </w:tc>
      </w:tr>
    </w:tbl>
    <w:p w14:paraId="0BE7079E" w14:textId="77777777" w:rsidR="0018649B" w:rsidRPr="00A97AC3" w:rsidRDefault="0018649B" w:rsidP="0018649B">
      <w:pPr>
        <w:spacing w:after="120"/>
        <w:jc w:val="both"/>
        <w:rPr>
          <w:rFonts w:eastAsiaTheme="minorEastAsia"/>
          <w:i/>
          <w:sz w:val="20"/>
        </w:rPr>
      </w:pPr>
      <w:r w:rsidRPr="00A97AC3">
        <w:rPr>
          <w:rFonts w:eastAsiaTheme="minorEastAsia"/>
          <w:i/>
          <w:sz w:val="18"/>
          <w:szCs w:val="20"/>
        </w:rPr>
        <w:t>Zdroj: Návrh RVS na roky 2020 až 2022</w:t>
      </w:r>
    </w:p>
    <w:p w14:paraId="391BEF52" w14:textId="1B692BDB" w:rsidR="0018649B" w:rsidRPr="00613C0D" w:rsidRDefault="0018649B" w:rsidP="0018649B">
      <w:pPr>
        <w:spacing w:after="120"/>
        <w:ind w:firstLine="708"/>
        <w:jc w:val="both"/>
        <w:rPr>
          <w:b/>
        </w:rPr>
      </w:pPr>
      <w:r w:rsidRPr="00613C0D">
        <w:rPr>
          <w:b/>
        </w:rPr>
        <w:t xml:space="preserve">V roku 2020 sa zhorší medziročný bilančný zostatok obcí a VÚC na akruálnej báze v metodike ESA 2010 o 119 492 tis. eur </w:t>
      </w:r>
      <w:r w:rsidR="00172718">
        <w:rPr>
          <w:b/>
        </w:rPr>
        <w:t xml:space="preserve">a to </w:t>
      </w:r>
      <w:r w:rsidRPr="00613C0D">
        <w:rPr>
          <w:b/>
        </w:rPr>
        <w:t>na úroveň 237 085 tis. eur.</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84140" w:rsidRPr="00B339DA" w14:paraId="0D5494EE" w14:textId="77777777" w:rsidTr="002A798B">
        <w:trPr>
          <w:trHeight w:val="189"/>
        </w:trPr>
        <w:tc>
          <w:tcPr>
            <w:tcW w:w="5000" w:type="pct"/>
            <w:tcBorders>
              <w:top w:val="single" w:sz="4" w:space="0" w:color="auto"/>
              <w:left w:val="nil"/>
              <w:bottom w:val="single" w:sz="4" w:space="0" w:color="auto"/>
              <w:right w:val="nil"/>
            </w:tcBorders>
            <w:shd w:val="clear" w:color="auto" w:fill="0070C0"/>
            <w:hideMark/>
          </w:tcPr>
          <w:p w14:paraId="78F5EB66" w14:textId="77777777" w:rsidR="00684140" w:rsidRPr="00B339DA" w:rsidRDefault="00684140" w:rsidP="002A798B">
            <w:pPr>
              <w:jc w:val="both"/>
              <w:rPr>
                <w:b/>
                <w:color w:val="FFFFFF" w:themeColor="background1"/>
              </w:rPr>
            </w:pPr>
            <w:r w:rsidRPr="00B339DA">
              <w:rPr>
                <w:b/>
                <w:color w:val="FFFFFF" w:themeColor="background1"/>
              </w:rPr>
              <w:t>Porovnanie medziročnej zmeny príjmov obcí a ŠR (v %)</w:t>
            </w:r>
          </w:p>
        </w:tc>
      </w:tr>
      <w:tr w:rsidR="00684140" w:rsidRPr="004F5B9B" w14:paraId="7DCF8AC5" w14:textId="77777777" w:rsidTr="002A798B">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14:paraId="00E21F18" w14:textId="77777777" w:rsidR="00684140" w:rsidRPr="00B339DA" w:rsidRDefault="00684140" w:rsidP="002A798B">
            <w:pPr>
              <w:jc w:val="both"/>
            </w:pPr>
            <w:r w:rsidRPr="00B339DA">
              <w:rPr>
                <w:noProof/>
                <w:lang w:eastAsia="sk-SK"/>
              </w:rPr>
              <w:drawing>
                <wp:inline distT="0" distB="0" distL="0" distR="0" wp14:anchorId="10772792" wp14:editId="4A1A31B6">
                  <wp:extent cx="5907405" cy="1821180"/>
                  <wp:effectExtent l="0" t="0" r="0" b="762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E0BAA78" w14:textId="77777777" w:rsidR="00684140" w:rsidRPr="00684140" w:rsidRDefault="00684140" w:rsidP="00684140">
      <w:pPr>
        <w:spacing w:after="120"/>
        <w:jc w:val="both"/>
        <w:rPr>
          <w:i/>
          <w:color w:val="000000"/>
          <w:sz w:val="18"/>
          <w:szCs w:val="20"/>
        </w:rPr>
      </w:pPr>
      <w:r w:rsidRPr="00684140">
        <w:rPr>
          <w:i/>
          <w:color w:val="000000"/>
          <w:sz w:val="18"/>
          <w:szCs w:val="20"/>
        </w:rPr>
        <w:t>Zdroj: Návrh RVS na roky 2020 - 2021</w:t>
      </w:r>
    </w:p>
    <w:p w14:paraId="6485517A" w14:textId="37589BAD" w:rsidR="00684140" w:rsidRDefault="00684140" w:rsidP="00980D89">
      <w:pPr>
        <w:spacing w:before="60" w:after="60"/>
        <w:ind w:firstLine="708"/>
        <w:jc w:val="both"/>
      </w:pPr>
      <w:r w:rsidRPr="00684140">
        <w:rPr>
          <w:b/>
        </w:rPr>
        <w:tab/>
      </w:r>
      <w:r w:rsidRPr="00684140">
        <w:t xml:space="preserve">Kým </w:t>
      </w:r>
      <w:r w:rsidRPr="00684140">
        <w:rPr>
          <w:b/>
        </w:rPr>
        <w:t>príjmy ŠR od roku 2017 rástli priemerným ročným tempom 3,45 %, pri obciach to bolo 7,1 % a pri VÚC dokonca 8,3 %.</w:t>
      </w:r>
      <w:r w:rsidRPr="00684140">
        <w:t xml:space="preserve"> Aj pri porovnaní návrhu rozpočtu na rok 2020 so schváleným rozpočtom na rok 2019 rastú príjmy VÚC (9,12</w:t>
      </w:r>
      <w:r>
        <w:t xml:space="preserve"> </w:t>
      </w:r>
      <w:r w:rsidRPr="00684140">
        <w:t>%</w:t>
      </w:r>
      <w:r w:rsidR="00172718">
        <w:t>) a obcí rýchlejšie (6,04 %) než</w:t>
      </w:r>
      <w:r w:rsidRPr="00684140">
        <w:t xml:space="preserve"> príjmy ŠR (2,53 %).</w:t>
      </w:r>
    </w:p>
    <w:p w14:paraId="76AC26B7" w14:textId="2338E74B" w:rsidR="00BB7209" w:rsidRPr="004539A4" w:rsidRDefault="00BB7209" w:rsidP="00980D89">
      <w:pPr>
        <w:pStyle w:val="Nadpis3"/>
        <w:spacing w:before="60" w:after="60"/>
        <w:ind w:left="709"/>
        <w:rPr>
          <w:color w:val="0070C0"/>
        </w:rPr>
      </w:pPr>
      <w:bookmarkStart w:id="40" w:name="_Toc480788340"/>
      <w:bookmarkStart w:id="41" w:name="_Toc481657175"/>
      <w:bookmarkStart w:id="42" w:name="_Toc10096303"/>
      <w:bookmarkStart w:id="43" w:name="_Toc24098456"/>
      <w:bookmarkEnd w:id="0"/>
      <w:bookmarkEnd w:id="1"/>
      <w:bookmarkEnd w:id="2"/>
      <w:r w:rsidRPr="004539A4">
        <w:rPr>
          <w:color w:val="0070C0"/>
        </w:rPr>
        <w:t>6.1</w:t>
      </w:r>
      <w:r w:rsidR="004539A4" w:rsidRPr="004539A4">
        <w:rPr>
          <w:color w:val="0070C0"/>
        </w:rPr>
        <w:t xml:space="preserve"> 1</w:t>
      </w:r>
      <w:r w:rsidRPr="004539A4">
        <w:rPr>
          <w:color w:val="0070C0"/>
        </w:rPr>
        <w:tab/>
      </w:r>
      <w:r w:rsidR="00AE4DF3" w:rsidRPr="004539A4">
        <w:rPr>
          <w:color w:val="0070C0"/>
        </w:rPr>
        <w:t xml:space="preserve"> </w:t>
      </w:r>
      <w:r w:rsidR="006926C2" w:rsidRPr="004539A4">
        <w:rPr>
          <w:color w:val="0070C0"/>
        </w:rPr>
        <w:t xml:space="preserve">Rozpočet </w:t>
      </w:r>
      <w:r w:rsidRPr="004539A4">
        <w:rPr>
          <w:color w:val="0070C0"/>
        </w:rPr>
        <w:t>obcí</w:t>
      </w:r>
      <w:bookmarkEnd w:id="40"/>
      <w:bookmarkEnd w:id="41"/>
      <w:bookmarkEnd w:id="42"/>
      <w:bookmarkEnd w:id="43"/>
    </w:p>
    <w:p w14:paraId="18F0937F" w14:textId="26315CFD" w:rsidR="0018649B" w:rsidRPr="00524413" w:rsidRDefault="0018649B" w:rsidP="00980D89">
      <w:pPr>
        <w:spacing w:before="60" w:after="60"/>
        <w:ind w:firstLine="708"/>
        <w:jc w:val="both"/>
      </w:pPr>
      <w:r w:rsidRPr="001A1403">
        <w:t>Návrh súh</w:t>
      </w:r>
      <w:r>
        <w:t>rnného rozpočtu obcí na rok 2020</w:t>
      </w:r>
      <w:r w:rsidRPr="001A1403">
        <w:t xml:space="preserve"> je zostavený indikatívne</w:t>
      </w:r>
      <w:r>
        <w:t>,</w:t>
      </w:r>
      <w:r w:rsidRPr="001A1403">
        <w:t xml:space="preserve"> vzhľadom na ich zákonnú samostatnosť finančného hospodárenia. </w:t>
      </w:r>
      <w:r w:rsidRPr="00524413">
        <w:t>Porovnanie bilančného zostatku obcí na akruálnej báze v metodike ESA 2010 v návrhu rozpočtu na rok 2020 so schváleným rozpočtom na rok 2019 a skutočný</w:t>
      </w:r>
      <w:r w:rsidR="00796D9A">
        <w:t>m plnením rozpočtu za rok 2018 obsahuje nasledujúca tabuľka o hospodárení obcí.</w:t>
      </w:r>
    </w:p>
    <w:tbl>
      <w:tblPr>
        <w:tblStyle w:val="Mriekatabuky"/>
        <w:tblW w:w="5000" w:type="pct"/>
        <w:tblLook w:val="04A0" w:firstRow="1" w:lastRow="0" w:firstColumn="1" w:lastColumn="0" w:noHBand="0" w:noVBand="1"/>
      </w:tblPr>
      <w:tblGrid>
        <w:gridCol w:w="2985"/>
        <w:gridCol w:w="1273"/>
        <w:gridCol w:w="1273"/>
        <w:gridCol w:w="1273"/>
        <w:gridCol w:w="1273"/>
        <w:gridCol w:w="1269"/>
      </w:tblGrid>
      <w:tr w:rsidR="0018649B" w:rsidRPr="00524413" w14:paraId="7CBFCE41" w14:textId="77777777" w:rsidTr="00840D58">
        <w:trPr>
          <w:trHeight w:val="20"/>
          <w:tblHeader/>
        </w:trPr>
        <w:tc>
          <w:tcPr>
            <w:tcW w:w="1597"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605722D6" w14:textId="1A8DE952" w:rsidR="0018649B" w:rsidRPr="00524413" w:rsidRDefault="00A97AC3" w:rsidP="00E06664">
            <w:pPr>
              <w:jc w:val="center"/>
              <w:rPr>
                <w:rFonts w:eastAsia="Calibri"/>
                <w:b/>
                <w:bCs/>
                <w:color w:val="FFFFFF" w:themeColor="background1"/>
                <w:sz w:val="20"/>
                <w:szCs w:val="20"/>
              </w:rPr>
            </w:pPr>
            <w:r>
              <w:rPr>
                <w:rFonts w:eastAsia="Calibri"/>
                <w:b/>
                <w:bCs/>
                <w:color w:val="FFFFFF" w:themeColor="background1"/>
                <w:sz w:val="20"/>
                <w:szCs w:val="20"/>
              </w:rPr>
              <w:lastRenderedPageBreak/>
              <w:t>Hospodárenie obcí</w:t>
            </w:r>
          </w:p>
          <w:p w14:paraId="09E05253" w14:textId="77777777" w:rsidR="0018649B" w:rsidRPr="00524413" w:rsidRDefault="0018649B" w:rsidP="00E06664">
            <w:pPr>
              <w:jc w:val="center"/>
              <w:rPr>
                <w:rFonts w:eastAsia="Calibri"/>
                <w:b/>
                <w:color w:val="FFFFFF" w:themeColor="background1"/>
                <w:sz w:val="20"/>
                <w:szCs w:val="20"/>
              </w:rPr>
            </w:pPr>
            <w:r w:rsidRPr="00524413">
              <w:rPr>
                <w:rFonts w:eastAsia="Calibri"/>
                <w:b/>
                <w:bCs/>
                <w:color w:val="FFFFFF" w:themeColor="background1"/>
                <w:sz w:val="20"/>
                <w:szCs w:val="20"/>
              </w:rPr>
              <w:t>(v tis. eur)</w:t>
            </w:r>
          </w:p>
        </w:tc>
        <w:tc>
          <w:tcPr>
            <w:tcW w:w="681"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DC2E0D0" w14:textId="77777777" w:rsidR="0018649B" w:rsidRPr="00524413" w:rsidRDefault="0018649B" w:rsidP="00E06664">
            <w:pPr>
              <w:jc w:val="center"/>
              <w:rPr>
                <w:b/>
                <w:color w:val="FFFFFF" w:themeColor="background1"/>
                <w:sz w:val="20"/>
                <w:szCs w:val="20"/>
              </w:rPr>
            </w:pPr>
            <w:r w:rsidRPr="00524413">
              <w:rPr>
                <w:b/>
                <w:color w:val="FFFFFF" w:themeColor="background1"/>
                <w:sz w:val="20"/>
                <w:szCs w:val="20"/>
              </w:rPr>
              <w:t>Skutočnosť</w:t>
            </w:r>
          </w:p>
          <w:p w14:paraId="38378147" w14:textId="77777777" w:rsidR="0018649B" w:rsidRPr="00524413" w:rsidRDefault="0018649B" w:rsidP="00E06664">
            <w:pPr>
              <w:jc w:val="center"/>
              <w:rPr>
                <w:b/>
                <w:color w:val="FFFFFF" w:themeColor="background1"/>
                <w:sz w:val="20"/>
                <w:szCs w:val="20"/>
              </w:rPr>
            </w:pPr>
            <w:r>
              <w:rPr>
                <w:b/>
                <w:color w:val="FFFFFF" w:themeColor="background1"/>
                <w:sz w:val="20"/>
                <w:szCs w:val="20"/>
              </w:rPr>
              <w:t>2018</w:t>
            </w:r>
          </w:p>
        </w:tc>
        <w:tc>
          <w:tcPr>
            <w:tcW w:w="1361"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4467420E" w14:textId="77777777" w:rsidR="0018649B" w:rsidRPr="00524413" w:rsidRDefault="0018649B" w:rsidP="00E06664">
            <w:pPr>
              <w:jc w:val="center"/>
              <w:rPr>
                <w:b/>
                <w:color w:val="FFFFFF" w:themeColor="background1"/>
                <w:sz w:val="20"/>
                <w:szCs w:val="20"/>
              </w:rPr>
            </w:pPr>
            <w:r w:rsidRPr="00524413">
              <w:rPr>
                <w:b/>
                <w:color w:val="FFFFFF" w:themeColor="background1"/>
                <w:sz w:val="20"/>
                <w:szCs w:val="20"/>
              </w:rPr>
              <w:t>Rozpočet</w:t>
            </w:r>
          </w:p>
        </w:tc>
        <w:tc>
          <w:tcPr>
            <w:tcW w:w="681"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485DF4F1" w14:textId="77777777" w:rsidR="0018649B" w:rsidRPr="00524413" w:rsidRDefault="0018649B" w:rsidP="00E06664">
            <w:pPr>
              <w:jc w:val="center"/>
              <w:rPr>
                <w:b/>
                <w:color w:val="FFFFFF" w:themeColor="background1"/>
                <w:sz w:val="20"/>
                <w:szCs w:val="20"/>
              </w:rPr>
            </w:pPr>
            <w:r w:rsidRPr="00524413">
              <w:rPr>
                <w:b/>
                <w:color w:val="FFFFFF" w:themeColor="background1"/>
                <w:sz w:val="20"/>
                <w:szCs w:val="20"/>
              </w:rPr>
              <w:t>Rozdiel</w:t>
            </w:r>
          </w:p>
        </w:tc>
        <w:tc>
          <w:tcPr>
            <w:tcW w:w="681"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38994A51" w14:textId="77777777" w:rsidR="00A97AC3" w:rsidRDefault="0018649B" w:rsidP="00A97AC3">
            <w:pPr>
              <w:jc w:val="center"/>
              <w:rPr>
                <w:b/>
                <w:color w:val="FFFFFF" w:themeColor="background1"/>
                <w:sz w:val="20"/>
                <w:szCs w:val="20"/>
              </w:rPr>
            </w:pPr>
            <w:r w:rsidRPr="00524413">
              <w:rPr>
                <w:b/>
                <w:color w:val="FFFFFF" w:themeColor="background1"/>
                <w:sz w:val="20"/>
                <w:szCs w:val="20"/>
              </w:rPr>
              <w:t>Podiel</w:t>
            </w:r>
          </w:p>
          <w:p w14:paraId="578AA3EE" w14:textId="33F77D93" w:rsidR="0018649B" w:rsidRPr="00524413" w:rsidRDefault="0018649B" w:rsidP="00A97AC3">
            <w:pPr>
              <w:jc w:val="center"/>
              <w:rPr>
                <w:b/>
                <w:color w:val="FFFFFF" w:themeColor="background1"/>
                <w:sz w:val="20"/>
                <w:szCs w:val="20"/>
              </w:rPr>
            </w:pPr>
            <w:r w:rsidRPr="00524413">
              <w:rPr>
                <w:b/>
                <w:color w:val="FFFFFF" w:themeColor="background1"/>
                <w:sz w:val="20"/>
                <w:szCs w:val="20"/>
              </w:rPr>
              <w:t>(v %)</w:t>
            </w:r>
          </w:p>
        </w:tc>
      </w:tr>
      <w:tr w:rsidR="0018649B" w:rsidRPr="00524413" w14:paraId="32DB762D" w14:textId="77777777" w:rsidTr="00840D58">
        <w:trPr>
          <w:trHeight w:val="20"/>
          <w:tblHeader/>
        </w:trPr>
        <w:tc>
          <w:tcPr>
            <w:tcW w:w="1597"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655889EC" w14:textId="77777777" w:rsidR="0018649B" w:rsidRPr="00524413" w:rsidRDefault="0018649B" w:rsidP="00E06664">
            <w:pPr>
              <w:rPr>
                <w:rFonts w:eastAsia="Calibri"/>
                <w:b/>
                <w:color w:val="FFFFFF" w:themeColor="background1"/>
                <w:sz w:val="20"/>
                <w:szCs w:val="20"/>
              </w:rPr>
            </w:pPr>
          </w:p>
        </w:tc>
        <w:tc>
          <w:tcPr>
            <w:tcW w:w="681"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0B01BBF" w14:textId="77777777" w:rsidR="0018649B" w:rsidRPr="00524413" w:rsidRDefault="0018649B" w:rsidP="00E06664">
            <w:pPr>
              <w:rPr>
                <w:b/>
                <w:color w:val="FFFFFF" w:themeColor="background1"/>
                <w:sz w:val="20"/>
                <w:szCs w:val="20"/>
              </w:rPr>
            </w:pP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4F252F46" w14:textId="77777777" w:rsidR="0018649B" w:rsidRPr="00524413" w:rsidRDefault="0018649B" w:rsidP="00E06664">
            <w:pPr>
              <w:jc w:val="center"/>
              <w:rPr>
                <w:b/>
                <w:color w:val="FFFFFF" w:themeColor="background1"/>
                <w:sz w:val="20"/>
                <w:szCs w:val="20"/>
              </w:rPr>
            </w:pPr>
            <w:r>
              <w:rPr>
                <w:b/>
                <w:color w:val="FFFFFF" w:themeColor="background1"/>
                <w:sz w:val="20"/>
                <w:szCs w:val="20"/>
              </w:rPr>
              <w:t>2019</w:t>
            </w: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609375CE" w14:textId="77777777" w:rsidR="0018649B" w:rsidRPr="00524413" w:rsidRDefault="0018649B" w:rsidP="00E06664">
            <w:pPr>
              <w:jc w:val="center"/>
              <w:rPr>
                <w:b/>
                <w:color w:val="FFFFFF" w:themeColor="background1"/>
                <w:sz w:val="20"/>
                <w:szCs w:val="20"/>
              </w:rPr>
            </w:pPr>
            <w:r>
              <w:rPr>
                <w:b/>
                <w:color w:val="FFFFFF" w:themeColor="background1"/>
                <w:sz w:val="20"/>
                <w:szCs w:val="20"/>
              </w:rPr>
              <w:t>2020</w:t>
            </w:r>
          </w:p>
        </w:tc>
        <w:tc>
          <w:tcPr>
            <w:tcW w:w="681"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41B56D3" w14:textId="77777777" w:rsidR="0018649B" w:rsidRPr="00524413" w:rsidRDefault="0018649B" w:rsidP="00E06664">
            <w:pPr>
              <w:rPr>
                <w:b/>
                <w:color w:val="FFFFFF" w:themeColor="background1"/>
                <w:sz w:val="20"/>
                <w:szCs w:val="20"/>
              </w:rPr>
            </w:pPr>
          </w:p>
        </w:tc>
        <w:tc>
          <w:tcPr>
            <w:tcW w:w="681" w:type="pct"/>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77DEA135" w14:textId="77777777" w:rsidR="0018649B" w:rsidRPr="00524413" w:rsidRDefault="0018649B" w:rsidP="00E06664">
            <w:pPr>
              <w:rPr>
                <w:b/>
                <w:color w:val="FFFFFF" w:themeColor="background1"/>
                <w:sz w:val="20"/>
                <w:szCs w:val="20"/>
              </w:rPr>
            </w:pPr>
          </w:p>
        </w:tc>
      </w:tr>
      <w:tr w:rsidR="0018649B" w:rsidRPr="00524413" w14:paraId="5DFE6B64" w14:textId="77777777" w:rsidTr="00840D58">
        <w:trPr>
          <w:trHeight w:val="20"/>
          <w:tblHeader/>
        </w:trPr>
        <w:tc>
          <w:tcPr>
            <w:tcW w:w="1597" w:type="pct"/>
            <w:tcBorders>
              <w:top w:val="single" w:sz="4" w:space="0" w:color="auto"/>
              <w:left w:val="single" w:sz="4" w:space="0" w:color="auto"/>
              <w:bottom w:val="single" w:sz="4" w:space="0" w:color="auto"/>
              <w:right w:val="single" w:sz="4" w:space="0" w:color="auto"/>
            </w:tcBorders>
            <w:vAlign w:val="center"/>
            <w:hideMark/>
          </w:tcPr>
          <w:p w14:paraId="28516302" w14:textId="77777777" w:rsidR="0018649B" w:rsidRPr="00524413" w:rsidRDefault="0018649B" w:rsidP="00E06664">
            <w:pPr>
              <w:jc w:val="center"/>
              <w:rPr>
                <w:bCs/>
                <w:sz w:val="20"/>
                <w:szCs w:val="20"/>
              </w:rPr>
            </w:pPr>
            <w:r w:rsidRPr="00524413">
              <w:rPr>
                <w:bCs/>
                <w:sz w:val="20"/>
                <w:szCs w:val="20"/>
              </w:rPr>
              <w:t>a</w:t>
            </w:r>
          </w:p>
        </w:tc>
        <w:tc>
          <w:tcPr>
            <w:tcW w:w="681" w:type="pct"/>
            <w:tcBorders>
              <w:top w:val="single" w:sz="4" w:space="0" w:color="auto"/>
              <w:left w:val="single" w:sz="4" w:space="0" w:color="auto"/>
              <w:bottom w:val="single" w:sz="4" w:space="0" w:color="auto"/>
              <w:right w:val="single" w:sz="4" w:space="0" w:color="auto"/>
            </w:tcBorders>
            <w:hideMark/>
          </w:tcPr>
          <w:p w14:paraId="55500237" w14:textId="77777777" w:rsidR="0018649B" w:rsidRPr="00524413" w:rsidRDefault="0018649B" w:rsidP="00E06664">
            <w:pPr>
              <w:jc w:val="center"/>
              <w:rPr>
                <w:sz w:val="20"/>
                <w:szCs w:val="20"/>
              </w:rPr>
            </w:pPr>
            <w:r w:rsidRPr="00524413">
              <w:rPr>
                <w:sz w:val="20"/>
                <w:szCs w:val="20"/>
              </w:rPr>
              <w:t>1</w:t>
            </w:r>
          </w:p>
        </w:tc>
        <w:tc>
          <w:tcPr>
            <w:tcW w:w="681" w:type="pct"/>
            <w:tcBorders>
              <w:top w:val="single" w:sz="4" w:space="0" w:color="auto"/>
              <w:left w:val="single" w:sz="4" w:space="0" w:color="auto"/>
              <w:bottom w:val="single" w:sz="4" w:space="0" w:color="auto"/>
              <w:right w:val="single" w:sz="4" w:space="0" w:color="auto"/>
            </w:tcBorders>
            <w:hideMark/>
          </w:tcPr>
          <w:p w14:paraId="7971E48C" w14:textId="77777777" w:rsidR="0018649B" w:rsidRPr="00524413" w:rsidRDefault="0018649B" w:rsidP="00E06664">
            <w:pPr>
              <w:jc w:val="center"/>
              <w:rPr>
                <w:sz w:val="20"/>
                <w:szCs w:val="20"/>
              </w:rPr>
            </w:pPr>
            <w:r w:rsidRPr="00524413">
              <w:rPr>
                <w:sz w:val="20"/>
                <w:szCs w:val="20"/>
              </w:rPr>
              <w:t>2</w:t>
            </w:r>
          </w:p>
        </w:tc>
        <w:tc>
          <w:tcPr>
            <w:tcW w:w="681" w:type="pct"/>
            <w:tcBorders>
              <w:top w:val="single" w:sz="4" w:space="0" w:color="auto"/>
              <w:left w:val="single" w:sz="4" w:space="0" w:color="auto"/>
              <w:bottom w:val="single" w:sz="4" w:space="0" w:color="auto"/>
              <w:right w:val="single" w:sz="4" w:space="0" w:color="auto"/>
            </w:tcBorders>
            <w:hideMark/>
          </w:tcPr>
          <w:p w14:paraId="2159D6A2" w14:textId="77777777" w:rsidR="0018649B" w:rsidRPr="00524413" w:rsidRDefault="0018649B" w:rsidP="00E06664">
            <w:pPr>
              <w:jc w:val="center"/>
              <w:rPr>
                <w:sz w:val="20"/>
                <w:szCs w:val="20"/>
              </w:rPr>
            </w:pPr>
            <w:r w:rsidRPr="00524413">
              <w:rPr>
                <w:sz w:val="20"/>
                <w:szCs w:val="20"/>
              </w:rPr>
              <w:t>3</w:t>
            </w:r>
          </w:p>
        </w:tc>
        <w:tc>
          <w:tcPr>
            <w:tcW w:w="681" w:type="pct"/>
            <w:tcBorders>
              <w:top w:val="single" w:sz="4" w:space="0" w:color="auto"/>
              <w:left w:val="single" w:sz="4" w:space="0" w:color="auto"/>
              <w:bottom w:val="single" w:sz="4" w:space="0" w:color="auto"/>
              <w:right w:val="single" w:sz="4" w:space="0" w:color="auto"/>
            </w:tcBorders>
            <w:hideMark/>
          </w:tcPr>
          <w:p w14:paraId="0E8BBD6D" w14:textId="77777777" w:rsidR="0018649B" w:rsidRPr="00524413" w:rsidRDefault="0018649B" w:rsidP="00E06664">
            <w:pPr>
              <w:jc w:val="center"/>
              <w:rPr>
                <w:sz w:val="20"/>
                <w:szCs w:val="20"/>
              </w:rPr>
            </w:pPr>
            <w:r w:rsidRPr="00524413">
              <w:rPr>
                <w:sz w:val="20"/>
                <w:szCs w:val="20"/>
              </w:rPr>
              <w:t>3-2</w:t>
            </w:r>
          </w:p>
        </w:tc>
        <w:tc>
          <w:tcPr>
            <w:tcW w:w="681" w:type="pct"/>
            <w:tcBorders>
              <w:top w:val="single" w:sz="4" w:space="0" w:color="auto"/>
              <w:left w:val="single" w:sz="4" w:space="0" w:color="auto"/>
              <w:bottom w:val="single" w:sz="4" w:space="0" w:color="auto"/>
              <w:right w:val="single" w:sz="4" w:space="0" w:color="auto"/>
            </w:tcBorders>
            <w:hideMark/>
          </w:tcPr>
          <w:p w14:paraId="21EEB765" w14:textId="77777777" w:rsidR="0018649B" w:rsidRPr="00524413" w:rsidRDefault="0018649B" w:rsidP="00E06664">
            <w:pPr>
              <w:jc w:val="center"/>
              <w:rPr>
                <w:sz w:val="20"/>
                <w:szCs w:val="20"/>
              </w:rPr>
            </w:pPr>
            <w:r w:rsidRPr="00524413">
              <w:rPr>
                <w:sz w:val="20"/>
                <w:szCs w:val="20"/>
              </w:rPr>
              <w:t>3/2*100</w:t>
            </w:r>
          </w:p>
        </w:tc>
      </w:tr>
      <w:tr w:rsidR="0018649B" w:rsidRPr="00524413" w14:paraId="22C79D06" w14:textId="77777777" w:rsidTr="00840D58">
        <w:trPr>
          <w:trHeight w:val="20"/>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AC308" w14:textId="77777777" w:rsidR="0018649B" w:rsidRPr="00524413" w:rsidRDefault="0018649B" w:rsidP="00E06664">
            <w:pPr>
              <w:rPr>
                <w:b/>
                <w:bCs/>
                <w:sz w:val="20"/>
                <w:szCs w:val="20"/>
              </w:rPr>
            </w:pPr>
            <w:r w:rsidRPr="00524413">
              <w:rPr>
                <w:b/>
                <w:bCs/>
                <w:sz w:val="20"/>
                <w:szCs w:val="20"/>
              </w:rPr>
              <w:t>Príjmy obcí spolu</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8CC5F" w14:textId="77777777" w:rsidR="0018649B" w:rsidRPr="00524413" w:rsidRDefault="0018649B" w:rsidP="00E06664">
            <w:pPr>
              <w:jc w:val="right"/>
              <w:rPr>
                <w:b/>
                <w:bCs/>
                <w:sz w:val="20"/>
                <w:szCs w:val="20"/>
              </w:rPr>
            </w:pPr>
            <w:r>
              <w:rPr>
                <w:b/>
                <w:bCs/>
                <w:sz w:val="20"/>
                <w:szCs w:val="20"/>
              </w:rPr>
              <w:t>5 251 416</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51068" w14:textId="77777777" w:rsidR="0018649B" w:rsidRPr="00524413" w:rsidRDefault="0018649B" w:rsidP="00E06664">
            <w:pPr>
              <w:jc w:val="right"/>
              <w:rPr>
                <w:b/>
                <w:bCs/>
                <w:sz w:val="20"/>
                <w:szCs w:val="20"/>
              </w:rPr>
            </w:pPr>
            <w:r w:rsidRPr="00524413">
              <w:rPr>
                <w:b/>
                <w:bCs/>
                <w:sz w:val="20"/>
                <w:szCs w:val="20"/>
              </w:rPr>
              <w:t>4 743 170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352F5" w14:textId="77777777" w:rsidR="0018649B" w:rsidRPr="00524413" w:rsidRDefault="0018649B" w:rsidP="00E06664">
            <w:pPr>
              <w:jc w:val="right"/>
              <w:rPr>
                <w:b/>
                <w:bCs/>
                <w:sz w:val="20"/>
                <w:szCs w:val="20"/>
              </w:rPr>
            </w:pPr>
            <w:r>
              <w:rPr>
                <w:b/>
                <w:bCs/>
                <w:sz w:val="20"/>
                <w:szCs w:val="20"/>
              </w:rPr>
              <w:t>5 029 444</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22711" w14:textId="77777777" w:rsidR="0018649B" w:rsidRPr="00AC71CF" w:rsidRDefault="0018649B" w:rsidP="00E06664">
            <w:pPr>
              <w:jc w:val="right"/>
              <w:rPr>
                <w:b/>
                <w:bCs/>
                <w:sz w:val="20"/>
                <w:szCs w:val="20"/>
              </w:rPr>
            </w:pPr>
            <w:r w:rsidRPr="00AC71CF">
              <w:rPr>
                <w:b/>
                <w:bCs/>
                <w:sz w:val="20"/>
                <w:szCs w:val="20"/>
              </w:rPr>
              <w:t>286</w:t>
            </w:r>
            <w:r>
              <w:rPr>
                <w:b/>
                <w:bCs/>
                <w:sz w:val="20"/>
                <w:szCs w:val="20"/>
              </w:rPr>
              <w:t xml:space="preserve"> </w:t>
            </w:r>
            <w:r w:rsidRPr="00AC71CF">
              <w:rPr>
                <w:b/>
                <w:bCs/>
                <w:sz w:val="20"/>
                <w:szCs w:val="20"/>
              </w:rPr>
              <w:t>274</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19B82" w14:textId="77777777" w:rsidR="0018649B" w:rsidRPr="00AC71CF" w:rsidRDefault="0018649B" w:rsidP="00E06664">
            <w:pPr>
              <w:jc w:val="right"/>
              <w:rPr>
                <w:b/>
                <w:bCs/>
                <w:sz w:val="20"/>
                <w:szCs w:val="20"/>
              </w:rPr>
            </w:pPr>
            <w:r>
              <w:rPr>
                <w:b/>
                <w:bCs/>
                <w:sz w:val="20"/>
                <w:szCs w:val="20"/>
              </w:rPr>
              <w:t>106</w:t>
            </w:r>
          </w:p>
        </w:tc>
      </w:tr>
      <w:tr w:rsidR="0018649B" w:rsidRPr="00524413" w14:paraId="01B0631C" w14:textId="77777777" w:rsidTr="00840D58">
        <w:trPr>
          <w:trHeight w:val="20"/>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FBE01" w14:textId="77777777" w:rsidR="0018649B" w:rsidRPr="00524413" w:rsidRDefault="0018649B" w:rsidP="00E06664">
            <w:pPr>
              <w:rPr>
                <w:b/>
                <w:bCs/>
                <w:sz w:val="20"/>
                <w:szCs w:val="20"/>
              </w:rPr>
            </w:pPr>
            <w:r w:rsidRPr="00524413">
              <w:rPr>
                <w:b/>
                <w:bCs/>
                <w:sz w:val="20"/>
                <w:szCs w:val="20"/>
              </w:rPr>
              <w:t>Výdavky obcí spolu</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90980" w14:textId="77777777" w:rsidR="0018649B" w:rsidRPr="00524413" w:rsidRDefault="0018649B" w:rsidP="00E06664">
            <w:pPr>
              <w:jc w:val="right"/>
              <w:rPr>
                <w:b/>
                <w:bCs/>
                <w:sz w:val="20"/>
                <w:szCs w:val="20"/>
              </w:rPr>
            </w:pPr>
            <w:r>
              <w:rPr>
                <w:b/>
                <w:bCs/>
                <w:sz w:val="20"/>
                <w:szCs w:val="20"/>
              </w:rPr>
              <w:t>4 876 608</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E44DF" w14:textId="77777777" w:rsidR="0018649B" w:rsidRPr="00524413" w:rsidRDefault="0018649B" w:rsidP="00E06664">
            <w:pPr>
              <w:jc w:val="right"/>
              <w:rPr>
                <w:b/>
                <w:bCs/>
                <w:sz w:val="20"/>
                <w:szCs w:val="20"/>
              </w:rPr>
            </w:pPr>
            <w:r w:rsidRPr="00524413">
              <w:rPr>
                <w:b/>
                <w:bCs/>
                <w:sz w:val="20"/>
                <w:szCs w:val="20"/>
              </w:rPr>
              <w:t>4 388 686</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02E5" w14:textId="77777777" w:rsidR="0018649B" w:rsidRPr="00524413" w:rsidRDefault="0018649B" w:rsidP="00E06664">
            <w:pPr>
              <w:jc w:val="right"/>
              <w:rPr>
                <w:b/>
                <w:bCs/>
                <w:sz w:val="20"/>
                <w:szCs w:val="20"/>
              </w:rPr>
            </w:pPr>
            <w:r>
              <w:rPr>
                <w:b/>
                <w:bCs/>
                <w:sz w:val="20"/>
                <w:szCs w:val="20"/>
              </w:rPr>
              <w:t>4 807 562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CC389" w14:textId="77777777" w:rsidR="0018649B" w:rsidRPr="00AC71CF" w:rsidRDefault="0018649B" w:rsidP="00E06664">
            <w:pPr>
              <w:jc w:val="right"/>
              <w:rPr>
                <w:b/>
                <w:bCs/>
                <w:sz w:val="20"/>
                <w:szCs w:val="20"/>
              </w:rPr>
            </w:pPr>
            <w:r w:rsidRPr="00AC71CF">
              <w:rPr>
                <w:b/>
                <w:bCs/>
                <w:sz w:val="20"/>
                <w:szCs w:val="20"/>
              </w:rPr>
              <w:t>418</w:t>
            </w:r>
            <w:r>
              <w:rPr>
                <w:b/>
                <w:bCs/>
                <w:sz w:val="20"/>
                <w:szCs w:val="20"/>
              </w:rPr>
              <w:t xml:space="preserve"> </w:t>
            </w:r>
            <w:r w:rsidRPr="00AC71CF">
              <w:rPr>
                <w:b/>
                <w:bCs/>
                <w:sz w:val="20"/>
                <w:szCs w:val="20"/>
              </w:rPr>
              <w:t>876</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64F63" w14:textId="77777777" w:rsidR="0018649B" w:rsidRPr="00AC71CF" w:rsidRDefault="0018649B" w:rsidP="00E06664">
            <w:pPr>
              <w:jc w:val="right"/>
              <w:rPr>
                <w:b/>
                <w:bCs/>
                <w:sz w:val="20"/>
                <w:szCs w:val="20"/>
              </w:rPr>
            </w:pPr>
            <w:r w:rsidRPr="00AC71CF">
              <w:rPr>
                <w:b/>
                <w:bCs/>
                <w:sz w:val="20"/>
                <w:szCs w:val="20"/>
              </w:rPr>
              <w:t>109,5</w:t>
            </w:r>
          </w:p>
        </w:tc>
      </w:tr>
      <w:tr w:rsidR="0018649B" w:rsidRPr="00524413" w14:paraId="7006D447" w14:textId="77777777" w:rsidTr="00840D58">
        <w:trPr>
          <w:trHeight w:val="20"/>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6C9FD" w14:textId="77777777" w:rsidR="0018649B" w:rsidRPr="00524413" w:rsidRDefault="0018649B" w:rsidP="00E06664">
            <w:pPr>
              <w:rPr>
                <w:b/>
                <w:bCs/>
                <w:sz w:val="20"/>
                <w:szCs w:val="20"/>
              </w:rPr>
            </w:pPr>
            <w:r w:rsidRPr="00524413">
              <w:rPr>
                <w:b/>
                <w:bCs/>
                <w:sz w:val="20"/>
                <w:szCs w:val="20"/>
              </w:rPr>
              <w:t>Celkový prebytok obcí spolu</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FDE2E" w14:textId="77777777" w:rsidR="0018649B" w:rsidRPr="00524413" w:rsidRDefault="0018649B" w:rsidP="00E06664">
            <w:pPr>
              <w:jc w:val="right"/>
              <w:rPr>
                <w:b/>
                <w:bCs/>
                <w:sz w:val="20"/>
                <w:szCs w:val="20"/>
              </w:rPr>
            </w:pPr>
            <w:r>
              <w:rPr>
                <w:b/>
                <w:bCs/>
                <w:sz w:val="20"/>
                <w:szCs w:val="20"/>
              </w:rPr>
              <w:t>374 808</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B7170" w14:textId="77777777" w:rsidR="0018649B" w:rsidRPr="00524413" w:rsidRDefault="0018649B" w:rsidP="00E06664">
            <w:pPr>
              <w:jc w:val="right"/>
              <w:rPr>
                <w:b/>
                <w:bCs/>
                <w:sz w:val="20"/>
                <w:szCs w:val="20"/>
              </w:rPr>
            </w:pPr>
            <w:r w:rsidRPr="00524413">
              <w:rPr>
                <w:b/>
                <w:bCs/>
                <w:sz w:val="20"/>
                <w:szCs w:val="20"/>
              </w:rPr>
              <w:t>354 484</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BB0A7" w14:textId="77777777" w:rsidR="0018649B" w:rsidRPr="00524413" w:rsidRDefault="0018649B" w:rsidP="00E06664">
            <w:pPr>
              <w:jc w:val="right"/>
              <w:rPr>
                <w:b/>
                <w:bCs/>
                <w:sz w:val="20"/>
                <w:szCs w:val="20"/>
              </w:rPr>
            </w:pPr>
            <w:r>
              <w:rPr>
                <w:b/>
                <w:bCs/>
                <w:sz w:val="20"/>
                <w:szCs w:val="20"/>
              </w:rPr>
              <w:t>221 882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4BDC6" w14:textId="77777777" w:rsidR="0018649B" w:rsidRPr="00AC71CF" w:rsidRDefault="0018649B" w:rsidP="00E06664">
            <w:pPr>
              <w:jc w:val="right"/>
              <w:rPr>
                <w:b/>
                <w:bCs/>
                <w:sz w:val="20"/>
                <w:szCs w:val="20"/>
              </w:rPr>
            </w:pPr>
            <w:r w:rsidRPr="00AC71CF">
              <w:rPr>
                <w:b/>
                <w:bCs/>
                <w:sz w:val="20"/>
                <w:szCs w:val="20"/>
              </w:rPr>
              <w:t>-132</w:t>
            </w:r>
            <w:r>
              <w:rPr>
                <w:b/>
                <w:bCs/>
                <w:sz w:val="20"/>
                <w:szCs w:val="20"/>
              </w:rPr>
              <w:t xml:space="preserve"> </w:t>
            </w:r>
            <w:r w:rsidRPr="00AC71CF">
              <w:rPr>
                <w:b/>
                <w:bCs/>
                <w:sz w:val="20"/>
                <w:szCs w:val="20"/>
              </w:rPr>
              <w:t>602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13D3C" w14:textId="77777777" w:rsidR="0018649B" w:rsidRPr="00AC71CF" w:rsidRDefault="0018649B" w:rsidP="00E06664">
            <w:pPr>
              <w:jc w:val="right"/>
              <w:rPr>
                <w:b/>
                <w:bCs/>
                <w:sz w:val="20"/>
                <w:szCs w:val="20"/>
              </w:rPr>
            </w:pPr>
            <w:r w:rsidRPr="00AC71CF">
              <w:rPr>
                <w:b/>
                <w:bCs/>
                <w:sz w:val="20"/>
                <w:szCs w:val="20"/>
              </w:rPr>
              <w:t>62,6</w:t>
            </w:r>
          </w:p>
        </w:tc>
      </w:tr>
      <w:tr w:rsidR="0018649B" w:rsidRPr="00524413" w14:paraId="1CC22B1D" w14:textId="77777777" w:rsidTr="00840D58">
        <w:trPr>
          <w:trHeight w:val="20"/>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0A8B72" w14:textId="77777777" w:rsidR="0018649B" w:rsidRPr="00524413" w:rsidRDefault="0018649B" w:rsidP="00E06664">
            <w:pPr>
              <w:rPr>
                <w:bCs/>
                <w:i/>
                <w:iCs/>
                <w:sz w:val="20"/>
                <w:szCs w:val="20"/>
              </w:rPr>
            </w:pPr>
            <w:r w:rsidRPr="00524413">
              <w:rPr>
                <w:bCs/>
                <w:i/>
                <w:iCs/>
                <w:sz w:val="20"/>
                <w:szCs w:val="20"/>
              </w:rPr>
              <w:t>vylúčenie finančných operácií</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484BC" w14:textId="77777777" w:rsidR="0018649B" w:rsidRPr="00524413" w:rsidRDefault="0018649B" w:rsidP="00E06664">
            <w:pPr>
              <w:jc w:val="right"/>
              <w:rPr>
                <w:sz w:val="20"/>
                <w:szCs w:val="20"/>
              </w:rPr>
            </w:pPr>
            <w:r>
              <w:rPr>
                <w:sz w:val="20"/>
                <w:szCs w:val="20"/>
              </w:rPr>
              <w:t>-374 516</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4DE7E" w14:textId="77777777" w:rsidR="0018649B" w:rsidRPr="00524413" w:rsidRDefault="0018649B" w:rsidP="00E06664">
            <w:pPr>
              <w:jc w:val="right"/>
              <w:rPr>
                <w:sz w:val="20"/>
                <w:szCs w:val="20"/>
              </w:rPr>
            </w:pPr>
            <w:r w:rsidRPr="00524413">
              <w:rPr>
                <w:sz w:val="20"/>
                <w:szCs w:val="20"/>
              </w:rPr>
              <w:t>-120 000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8321C" w14:textId="77777777" w:rsidR="0018649B" w:rsidRPr="00524413" w:rsidRDefault="0018649B" w:rsidP="00E06664">
            <w:pPr>
              <w:jc w:val="right"/>
              <w:rPr>
                <w:sz w:val="20"/>
                <w:szCs w:val="20"/>
              </w:rPr>
            </w:pPr>
            <w:r>
              <w:rPr>
                <w:sz w:val="20"/>
                <w:szCs w:val="20"/>
              </w:rPr>
              <w:t>-120 000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727B4" w14:textId="77777777" w:rsidR="0018649B" w:rsidRPr="00AC71CF" w:rsidRDefault="0018649B" w:rsidP="00E06664">
            <w:pPr>
              <w:jc w:val="right"/>
              <w:rPr>
                <w:bCs/>
                <w:sz w:val="20"/>
                <w:szCs w:val="20"/>
              </w:rPr>
            </w:pPr>
            <w:r w:rsidRPr="00AC71CF">
              <w:rPr>
                <w:bCs/>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ADB76" w14:textId="77777777" w:rsidR="0018649B" w:rsidRPr="00AC71CF" w:rsidRDefault="0018649B" w:rsidP="00E06664">
            <w:pPr>
              <w:jc w:val="right"/>
              <w:rPr>
                <w:bCs/>
                <w:sz w:val="20"/>
                <w:szCs w:val="20"/>
              </w:rPr>
            </w:pPr>
            <w:r>
              <w:rPr>
                <w:bCs/>
                <w:sz w:val="20"/>
                <w:szCs w:val="20"/>
              </w:rPr>
              <w:t>100</w:t>
            </w:r>
          </w:p>
        </w:tc>
      </w:tr>
      <w:tr w:rsidR="0018649B" w:rsidRPr="00524413" w14:paraId="3FC1B5BF" w14:textId="77777777" w:rsidTr="00840D58">
        <w:trPr>
          <w:trHeight w:val="20"/>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CCB14" w14:textId="77777777" w:rsidR="0018649B" w:rsidRPr="00524413" w:rsidRDefault="0018649B" w:rsidP="00E06664">
            <w:pPr>
              <w:rPr>
                <w:bCs/>
                <w:i/>
                <w:iCs/>
                <w:sz w:val="20"/>
                <w:szCs w:val="20"/>
              </w:rPr>
            </w:pPr>
            <w:r w:rsidRPr="00524413">
              <w:rPr>
                <w:bCs/>
                <w:i/>
                <w:iCs/>
                <w:sz w:val="20"/>
                <w:szCs w:val="20"/>
              </w:rPr>
              <w:t>zahrnutie časového rozlíšenia a ostatné úpravy</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7AC6A" w14:textId="77777777" w:rsidR="0018649B" w:rsidRPr="00524413" w:rsidRDefault="0018649B" w:rsidP="00E06664">
            <w:pPr>
              <w:jc w:val="right"/>
              <w:rPr>
                <w:sz w:val="20"/>
                <w:szCs w:val="20"/>
              </w:rPr>
            </w:pPr>
            <w:r>
              <w:rPr>
                <w:sz w:val="20"/>
                <w:szCs w:val="20"/>
              </w:rPr>
              <w:t>-29 617</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E126F" w14:textId="77777777" w:rsidR="0018649B" w:rsidRPr="00524413" w:rsidRDefault="0018649B" w:rsidP="00E06664">
            <w:pPr>
              <w:jc w:val="right"/>
              <w:rPr>
                <w:sz w:val="20"/>
                <w:szCs w:val="20"/>
              </w:rPr>
            </w:pPr>
            <w:r w:rsidRPr="00524413">
              <w:rPr>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60172" w14:textId="77777777" w:rsidR="0018649B" w:rsidRPr="00524413" w:rsidRDefault="0018649B" w:rsidP="00E06664">
            <w:pPr>
              <w:jc w:val="right"/>
              <w:rPr>
                <w:sz w:val="20"/>
                <w:szCs w:val="20"/>
              </w:rPr>
            </w:pPr>
            <w:r>
              <w:rPr>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240B6" w14:textId="77777777" w:rsidR="0018649B" w:rsidRPr="00AC71CF" w:rsidRDefault="0018649B" w:rsidP="00E06664">
            <w:pPr>
              <w:jc w:val="right"/>
              <w:rPr>
                <w:bCs/>
                <w:sz w:val="20"/>
                <w:szCs w:val="20"/>
              </w:rPr>
            </w:pPr>
            <w:r w:rsidRPr="00AC71CF">
              <w:rPr>
                <w:bCs/>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97F33" w14:textId="77777777" w:rsidR="0018649B" w:rsidRPr="00AC71CF" w:rsidRDefault="0018649B" w:rsidP="00E06664">
            <w:pPr>
              <w:jc w:val="right"/>
              <w:rPr>
                <w:bCs/>
                <w:sz w:val="20"/>
                <w:szCs w:val="20"/>
              </w:rPr>
            </w:pPr>
            <w:r w:rsidRPr="00AC71CF">
              <w:rPr>
                <w:bCs/>
                <w:sz w:val="20"/>
                <w:szCs w:val="20"/>
              </w:rPr>
              <w:t>0,0</w:t>
            </w:r>
          </w:p>
        </w:tc>
      </w:tr>
      <w:tr w:rsidR="0018649B" w:rsidRPr="00524413" w14:paraId="53462733" w14:textId="77777777" w:rsidTr="00840D58">
        <w:trPr>
          <w:trHeight w:val="20"/>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641A6" w14:textId="77777777" w:rsidR="0018649B" w:rsidRPr="00524413" w:rsidRDefault="0018649B" w:rsidP="00E06664">
            <w:pPr>
              <w:rPr>
                <w:b/>
                <w:bCs/>
                <w:sz w:val="20"/>
                <w:szCs w:val="20"/>
              </w:rPr>
            </w:pPr>
            <w:r w:rsidRPr="00524413">
              <w:rPr>
                <w:b/>
                <w:bCs/>
                <w:sz w:val="20"/>
                <w:szCs w:val="20"/>
              </w:rPr>
              <w:t>Prebytok (+) / schodok (-) obcí spolu (ESA 2010)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127F0" w14:textId="77777777" w:rsidR="0018649B" w:rsidRPr="00524413" w:rsidRDefault="0018649B" w:rsidP="00E06664">
            <w:pPr>
              <w:jc w:val="right"/>
              <w:rPr>
                <w:b/>
                <w:sz w:val="20"/>
                <w:szCs w:val="20"/>
              </w:rPr>
            </w:pPr>
            <w:r>
              <w:rPr>
                <w:b/>
                <w:sz w:val="20"/>
                <w:szCs w:val="20"/>
              </w:rPr>
              <w:t>-29 325</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60997" w14:textId="77777777" w:rsidR="0018649B" w:rsidRPr="00524413" w:rsidRDefault="0018649B" w:rsidP="00E06664">
            <w:pPr>
              <w:jc w:val="right"/>
              <w:rPr>
                <w:b/>
                <w:sz w:val="20"/>
                <w:szCs w:val="20"/>
              </w:rPr>
            </w:pPr>
            <w:r w:rsidRPr="00524413">
              <w:rPr>
                <w:b/>
                <w:sz w:val="20"/>
                <w:szCs w:val="20"/>
              </w:rPr>
              <w:t>234 484</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AB2CE" w14:textId="77777777" w:rsidR="0018649B" w:rsidRPr="00524413" w:rsidRDefault="0018649B" w:rsidP="00E06664">
            <w:pPr>
              <w:jc w:val="right"/>
              <w:rPr>
                <w:b/>
                <w:sz w:val="20"/>
                <w:szCs w:val="20"/>
              </w:rPr>
            </w:pPr>
            <w:r>
              <w:rPr>
                <w:b/>
                <w:sz w:val="20"/>
                <w:szCs w:val="20"/>
              </w:rPr>
              <w:t>101 882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A7795" w14:textId="77777777" w:rsidR="0018649B" w:rsidRPr="00AC71CF" w:rsidRDefault="0018649B" w:rsidP="00E06664">
            <w:pPr>
              <w:jc w:val="right"/>
              <w:rPr>
                <w:b/>
                <w:bCs/>
                <w:sz w:val="20"/>
                <w:szCs w:val="20"/>
              </w:rPr>
            </w:pPr>
            <w:r w:rsidRPr="00AC71CF">
              <w:rPr>
                <w:b/>
                <w:bCs/>
                <w:sz w:val="20"/>
                <w:szCs w:val="20"/>
              </w:rPr>
              <w:t>-132</w:t>
            </w:r>
            <w:r>
              <w:rPr>
                <w:b/>
                <w:bCs/>
                <w:sz w:val="20"/>
                <w:szCs w:val="20"/>
              </w:rPr>
              <w:t xml:space="preserve"> </w:t>
            </w:r>
            <w:r w:rsidRPr="00AC71CF">
              <w:rPr>
                <w:b/>
                <w:bCs/>
                <w:sz w:val="20"/>
                <w:szCs w:val="20"/>
              </w:rPr>
              <w:t>602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BA5470" w14:textId="77777777" w:rsidR="0018649B" w:rsidRPr="00AC71CF" w:rsidRDefault="0018649B" w:rsidP="00E06664">
            <w:pPr>
              <w:jc w:val="right"/>
              <w:rPr>
                <w:b/>
                <w:bCs/>
                <w:sz w:val="20"/>
                <w:szCs w:val="20"/>
              </w:rPr>
            </w:pPr>
            <w:r w:rsidRPr="00AC71CF">
              <w:rPr>
                <w:b/>
                <w:bCs/>
                <w:sz w:val="20"/>
                <w:szCs w:val="20"/>
              </w:rPr>
              <w:t>43,4</w:t>
            </w:r>
          </w:p>
        </w:tc>
      </w:tr>
    </w:tbl>
    <w:p w14:paraId="455AB98D" w14:textId="77777777" w:rsidR="0018649B" w:rsidRPr="00A97AC3" w:rsidRDefault="0018649B" w:rsidP="0018649B">
      <w:pPr>
        <w:spacing w:after="120"/>
        <w:jc w:val="both"/>
        <w:rPr>
          <w:rFonts w:eastAsiaTheme="minorEastAsia"/>
          <w:i/>
          <w:sz w:val="20"/>
        </w:rPr>
      </w:pPr>
      <w:r w:rsidRPr="00A97AC3">
        <w:rPr>
          <w:rFonts w:eastAsiaTheme="minorEastAsia"/>
          <w:i/>
          <w:sz w:val="18"/>
          <w:szCs w:val="20"/>
        </w:rPr>
        <w:t>Zdroj: Návrh RVS na roky 2020 až 2022</w:t>
      </w:r>
    </w:p>
    <w:p w14:paraId="448D30E3" w14:textId="77777777" w:rsidR="0018649B" w:rsidRPr="00F23054" w:rsidRDefault="0018649B" w:rsidP="00980D89">
      <w:pPr>
        <w:spacing w:before="60" w:after="60"/>
        <w:ind w:firstLine="708"/>
        <w:jc w:val="both"/>
      </w:pPr>
      <w:r w:rsidRPr="00F23054">
        <w:t xml:space="preserve">Na rok 2020 sa odhaduje na akruálnej báze v metodike ESA 2010 </w:t>
      </w:r>
      <w:r w:rsidRPr="00613C0D">
        <w:rPr>
          <w:b/>
        </w:rPr>
        <w:t>prebytkové hospodárenie obcí na úrovni 101 882 tis. eur</w:t>
      </w:r>
      <w:r w:rsidRPr="00F23054">
        <w:t>, čo v porovnaní s rokom 2019 predstavuje zhoršenie hospodárenia o 132 602 tis. eur.</w:t>
      </w:r>
    </w:p>
    <w:p w14:paraId="34EBE6DA" w14:textId="53B7AD38" w:rsidR="0018649B" w:rsidRPr="008517BC" w:rsidRDefault="0018649B" w:rsidP="00980D89">
      <w:pPr>
        <w:spacing w:before="60" w:after="60"/>
        <w:ind w:firstLine="708"/>
        <w:jc w:val="both"/>
      </w:pPr>
      <w:r w:rsidRPr="00571411">
        <w:t xml:space="preserve">Porovnanie návrhu rozpočtu príjmov obcí na hotovostnej báze </w:t>
      </w:r>
      <w:r>
        <w:t>v návrhu rozpočtu na rok 2020</w:t>
      </w:r>
      <w:r w:rsidRPr="00571411">
        <w:t xml:space="preserve"> so </w:t>
      </w:r>
      <w:r>
        <w:t>schváleným rozpočtom na rok 2019</w:t>
      </w:r>
      <w:r w:rsidRPr="00571411">
        <w:t xml:space="preserve"> a skutoč</w:t>
      </w:r>
      <w:r>
        <w:t>ným plnením rozpočtu za rok 2018</w:t>
      </w:r>
      <w:r w:rsidR="001C7645">
        <w:t xml:space="preserve"> obsahuje Tabuľka 3 v prílohe. </w:t>
      </w:r>
      <w:r w:rsidRPr="008517BC">
        <w:t xml:space="preserve">Celkové príjmy obcí na hotovostnej báze sa v roku 2020 majú medziročne zvýšiť o 286 274 tis. eur na úroveň 5 029 444 tis. eur. </w:t>
      </w:r>
      <w:r w:rsidRPr="00613C0D">
        <w:rPr>
          <w:b/>
        </w:rPr>
        <w:t>Dynamika rastu príjmov sa však v porovnaní s predchádzajúcimi rokmi znižuje. Na spomalení sa podieľa najmä plánované zvýšenie nezdaniteľnej časti základu dane</w:t>
      </w:r>
      <w:r>
        <w:t xml:space="preserve"> na 21-násobok životného minima, </w:t>
      </w:r>
      <w:r w:rsidRPr="00613C0D">
        <w:rPr>
          <w:b/>
        </w:rPr>
        <w:t>ktoré ukrajuje obciam a VÚC odhadom 135 402 tis. eur z prevodu DPFO</w:t>
      </w:r>
      <w:r>
        <w:t>. Aj napriek tejto skutočnosti</w:t>
      </w:r>
      <w:r w:rsidR="00172718">
        <w:t>,</w:t>
      </w:r>
      <w:r>
        <w:t xml:space="preserve"> by podľa návrhu RVS </w:t>
      </w:r>
      <w:r w:rsidR="001C7645">
        <w:t xml:space="preserve">na rok </w:t>
      </w:r>
      <w:r>
        <w:t>2020</w:t>
      </w:r>
      <w:r w:rsidR="00172718">
        <w:t>,</w:t>
      </w:r>
      <w:r>
        <w:t xml:space="preserve"> mali príjmy z prevodu DPFO medziročne vzrásť o </w:t>
      </w:r>
      <w:r w:rsidRPr="008517BC">
        <w:t>85 686 tis. eur</w:t>
      </w:r>
      <w:r>
        <w:t xml:space="preserve">. Rizikom nenaplnenia týchto príjmov môže byť </w:t>
      </w:r>
      <w:r w:rsidR="001C7645">
        <w:t>horší ekonomický vývoj</w:t>
      </w:r>
      <w:r>
        <w:t xml:space="preserve"> a s </w:t>
      </w:r>
      <w:r w:rsidR="001C7645">
        <w:t>ním</w:t>
      </w:r>
      <w:r>
        <w:t xml:space="preserve"> súvisiace </w:t>
      </w:r>
      <w:r w:rsidR="001C7645">
        <w:t>zhoršenie na trhu práce</w:t>
      </w:r>
      <w:r>
        <w:t xml:space="preserve">. </w:t>
      </w:r>
    </w:p>
    <w:p w14:paraId="4ED8C7B4" w14:textId="24C34606" w:rsidR="0018649B" w:rsidRPr="00A97AC3" w:rsidRDefault="0018649B" w:rsidP="00980D89">
      <w:pPr>
        <w:spacing w:before="60" w:after="60"/>
        <w:ind w:firstLine="708"/>
        <w:jc w:val="both"/>
        <w:rPr>
          <w:i/>
          <w:color w:val="000000"/>
          <w:sz w:val="18"/>
          <w:szCs w:val="20"/>
        </w:rPr>
      </w:pPr>
      <w:r w:rsidRPr="008517BC">
        <w:t>Vo zvýšení rozpočtovania celkových príjmov sa má najvýznamnejšie prejaviť medzir</w:t>
      </w:r>
      <w:r w:rsidR="00840D58">
        <w:t>očné zvýšenie grantov a </w:t>
      </w:r>
      <w:r w:rsidRPr="008517BC">
        <w:t>transferov o 198 473 tis. eur</w:t>
      </w:r>
      <w:r w:rsidR="001C7645">
        <w:t>.</w:t>
      </w:r>
      <w:r w:rsidRPr="008517BC">
        <w:t xml:space="preserve"> </w:t>
      </w:r>
      <w:r w:rsidR="001C7645">
        <w:t>N</w:t>
      </w:r>
      <w:r w:rsidRPr="008517BC">
        <w:t>a</w:t>
      </w:r>
      <w:r w:rsidR="001C7645">
        <w:t xml:space="preserve"> druhej strane sa</w:t>
      </w:r>
      <w:r w:rsidRPr="008517BC">
        <w:t xml:space="preserve"> predpokladá medziročný pokles nedaňových príjmov oproti rozpočtu 2019. </w:t>
      </w:r>
    </w:p>
    <w:p w14:paraId="507132E9" w14:textId="140941CA" w:rsidR="0018649B" w:rsidRDefault="0018649B" w:rsidP="00980D89">
      <w:pPr>
        <w:spacing w:before="60" w:after="60"/>
        <w:jc w:val="both"/>
      </w:pPr>
      <w:r>
        <w:rPr>
          <w:b/>
        </w:rPr>
        <w:tab/>
      </w:r>
      <w:r w:rsidRPr="00613C0D">
        <w:rPr>
          <w:b/>
        </w:rPr>
        <w:t>Kým podiel prevodu DPFO každoročne rastie, ostatné dane</w:t>
      </w:r>
      <w:r w:rsidRPr="00613C0D">
        <w:rPr>
          <w:rStyle w:val="Odkaznapoznmkupodiarou"/>
          <w:b/>
        </w:rPr>
        <w:footnoteReference w:id="11"/>
      </w:r>
      <w:r w:rsidRPr="00613C0D">
        <w:rPr>
          <w:b/>
        </w:rPr>
        <w:t>, ktorých výšku majú obce možnosť ovplyvňovať</w:t>
      </w:r>
      <w:r w:rsidR="001C7645">
        <w:rPr>
          <w:b/>
        </w:rPr>
        <w:t>,</w:t>
      </w:r>
      <w:r w:rsidRPr="00613C0D">
        <w:rPr>
          <w:b/>
        </w:rPr>
        <w:t xml:space="preserve"> klesa</w:t>
      </w:r>
      <w:r>
        <w:rPr>
          <w:b/>
        </w:rPr>
        <w:t>jú</w:t>
      </w:r>
      <w:r w:rsidRPr="00613C0D">
        <w:rPr>
          <w:b/>
        </w:rPr>
        <w:t>.</w:t>
      </w:r>
      <w:r>
        <w:t xml:space="preserve"> Výnimkou je ib</w:t>
      </w:r>
      <w:r w:rsidR="00172718">
        <w:t>a návrh RVS na rok 2020, kedy</w:t>
      </w:r>
      <w:r>
        <w:t xml:space="preserve"> prvýkrát nepatrne poklesne podiel príjmov z DPFO a vzrastie podiel ostatných daní. </w:t>
      </w:r>
      <w:r w:rsidRPr="00613C0D">
        <w:rPr>
          <w:b/>
        </w:rPr>
        <w:t>Priestor na ovplyvňovanie príjmovej stránky svojich rozpočtov majú obce najmä v dani z nehnuteľností.</w:t>
      </w:r>
      <w:r>
        <w:t xml:space="preserve"> Tie dlhodobo tvoria len malý zdroj príjmov. Ako uvádza aj analýza IFP </w:t>
      </w:r>
      <w:r w:rsidR="00172718">
        <w:t xml:space="preserve">– </w:t>
      </w:r>
      <w:r>
        <w:t>„daň z nehnuteľností je spoločensky spravodlivejšia a ekonomicky menej škodlivá. V medzinárodnom porovnaní sa radíme ku krajinám s najnižším výnosom daní z nehnuteľností v pomere k výkonu ekonomiky, keď dosahujeme len menej ako tretinu výnosu priemeru v EÚ.“</w:t>
      </w:r>
      <w:r>
        <w:rPr>
          <w:rStyle w:val="Odkaznapoznmkupodiarou"/>
        </w:rPr>
        <w:footnoteReference w:id="12"/>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8649B" w14:paraId="1EA336F5" w14:textId="77777777" w:rsidTr="00E06664">
        <w:trPr>
          <w:trHeight w:val="189"/>
        </w:trPr>
        <w:tc>
          <w:tcPr>
            <w:tcW w:w="5000" w:type="pct"/>
            <w:tcBorders>
              <w:top w:val="single" w:sz="4" w:space="0" w:color="auto"/>
              <w:left w:val="nil"/>
              <w:bottom w:val="single" w:sz="4" w:space="0" w:color="auto"/>
              <w:right w:val="nil"/>
            </w:tcBorders>
            <w:shd w:val="clear" w:color="auto" w:fill="0070C0"/>
            <w:hideMark/>
          </w:tcPr>
          <w:p w14:paraId="21BB045D" w14:textId="25C97DC7" w:rsidR="0018649B" w:rsidRDefault="001C7645" w:rsidP="00E06664">
            <w:pPr>
              <w:jc w:val="both"/>
              <w:rPr>
                <w:b/>
                <w:color w:val="FFFFFF" w:themeColor="background1"/>
              </w:rPr>
            </w:pPr>
            <w:r>
              <w:rPr>
                <w:b/>
                <w:color w:val="FFFFFF" w:themeColor="background1"/>
              </w:rPr>
              <w:t>P</w:t>
            </w:r>
            <w:r w:rsidR="0018649B">
              <w:rPr>
                <w:b/>
                <w:color w:val="FFFFFF" w:themeColor="background1"/>
              </w:rPr>
              <w:t>odiel príjmov z prevodu DPFO a ostatných daňových príjmov na celkových daňových príjmoch obcí</w:t>
            </w:r>
            <w:r>
              <w:rPr>
                <w:b/>
                <w:color w:val="FFFFFF" w:themeColor="background1"/>
              </w:rPr>
              <w:t xml:space="preserve"> (v %)</w:t>
            </w:r>
          </w:p>
        </w:tc>
      </w:tr>
      <w:tr w:rsidR="0018649B" w14:paraId="2C643F3B" w14:textId="77777777" w:rsidTr="00B339DA">
        <w:tblPrEx>
          <w:tblCellMar>
            <w:left w:w="70" w:type="dxa"/>
            <w:right w:w="70" w:type="dxa"/>
          </w:tblCellMar>
        </w:tblPrEx>
        <w:trPr>
          <w:trHeight w:val="1814"/>
        </w:trPr>
        <w:tc>
          <w:tcPr>
            <w:tcW w:w="5000" w:type="pct"/>
            <w:tcBorders>
              <w:top w:val="single" w:sz="4" w:space="0" w:color="auto"/>
              <w:left w:val="nil"/>
              <w:bottom w:val="single" w:sz="4" w:space="0" w:color="auto"/>
              <w:right w:val="nil"/>
            </w:tcBorders>
            <w:hideMark/>
          </w:tcPr>
          <w:p w14:paraId="7680204E" w14:textId="77777777" w:rsidR="0018649B" w:rsidRDefault="0018649B" w:rsidP="00E06664">
            <w:pPr>
              <w:jc w:val="both"/>
            </w:pPr>
            <w:r>
              <w:rPr>
                <w:noProof/>
                <w:lang w:eastAsia="sk-SK"/>
              </w:rPr>
              <w:drawing>
                <wp:inline distT="0" distB="0" distL="0" distR="0" wp14:anchorId="7B13F6F5" wp14:editId="5A4E9B96">
                  <wp:extent cx="5701030" cy="1973580"/>
                  <wp:effectExtent l="0" t="0" r="0" b="7620"/>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1CDA8DAE" w14:textId="77777777" w:rsidR="0018649B" w:rsidRPr="00A97AC3" w:rsidRDefault="0018649B" w:rsidP="0018649B">
      <w:pPr>
        <w:spacing w:after="120"/>
        <w:jc w:val="both"/>
        <w:rPr>
          <w:i/>
          <w:color w:val="000000"/>
          <w:sz w:val="18"/>
          <w:szCs w:val="20"/>
        </w:rPr>
      </w:pPr>
      <w:r w:rsidRPr="00A97AC3">
        <w:rPr>
          <w:i/>
          <w:color w:val="000000"/>
          <w:sz w:val="18"/>
          <w:szCs w:val="20"/>
        </w:rPr>
        <w:t>Zdroj: Návrhy RVS</w:t>
      </w:r>
    </w:p>
    <w:tbl>
      <w:tblPr>
        <w:tblStyle w:val="Mriekatabuky"/>
        <w:tblW w:w="5000" w:type="pct"/>
        <w:shd w:val="clear" w:color="auto" w:fill="B8CCE4" w:themeFill="accent1" w:themeFillTint="66"/>
        <w:tblLook w:val="04A0" w:firstRow="1" w:lastRow="0" w:firstColumn="1" w:lastColumn="0" w:noHBand="0" w:noVBand="1"/>
      </w:tblPr>
      <w:tblGrid>
        <w:gridCol w:w="9346"/>
      </w:tblGrid>
      <w:tr w:rsidR="0018649B" w14:paraId="59EE3887" w14:textId="77777777" w:rsidTr="00E06664">
        <w:tc>
          <w:tcPr>
            <w:tcW w:w="5000" w:type="pct"/>
            <w:shd w:val="clear" w:color="auto" w:fill="B8CCE4" w:themeFill="accent1" w:themeFillTint="66"/>
          </w:tcPr>
          <w:p w14:paraId="077A1E7C" w14:textId="3625F2B4" w:rsidR="0018649B" w:rsidRPr="00ED4C44" w:rsidRDefault="0018649B" w:rsidP="00E06664">
            <w:pPr>
              <w:spacing w:after="120"/>
              <w:jc w:val="both"/>
              <w:rPr>
                <w:sz w:val="20"/>
                <w:szCs w:val="20"/>
              </w:rPr>
            </w:pPr>
            <w:r w:rsidRPr="00ED4C44">
              <w:rPr>
                <w:sz w:val="20"/>
                <w:szCs w:val="20"/>
              </w:rPr>
              <w:lastRenderedPageBreak/>
              <w:t>Cena za m</w:t>
            </w:r>
            <w:r w:rsidRPr="00ED4C44">
              <w:rPr>
                <w:sz w:val="20"/>
                <w:szCs w:val="20"/>
                <w:vertAlign w:val="superscript"/>
              </w:rPr>
              <w:t>2</w:t>
            </w:r>
            <w:r w:rsidRPr="00ED4C44">
              <w:rPr>
                <w:sz w:val="20"/>
                <w:szCs w:val="20"/>
              </w:rPr>
              <w:t xml:space="preserve"> podlahovej plochy nehnuteľnosti na bývanie v SR sa za posledných 17 rokov zvýšila 2,5</w:t>
            </w:r>
            <w:r w:rsidR="00C77DA5">
              <w:rPr>
                <w:sz w:val="20"/>
                <w:szCs w:val="20"/>
              </w:rPr>
              <w:t>-</w:t>
            </w:r>
            <w:r w:rsidRPr="00ED4C44">
              <w:rPr>
                <w:sz w:val="20"/>
                <w:szCs w:val="20"/>
              </w:rPr>
              <w:t>násobne a tento vývoj približne kopíruje aj výška dane z nehnuteľností na bývanie. Napriek tomu sú v rámci SR významné rozdiely, pokiaľ ide o výšku tejto dane a ceny za m</w:t>
            </w:r>
            <w:r w:rsidRPr="00ED4C44">
              <w:rPr>
                <w:sz w:val="20"/>
                <w:szCs w:val="20"/>
                <w:vertAlign w:val="superscript"/>
              </w:rPr>
              <w:t>2</w:t>
            </w:r>
            <w:r w:rsidRPr="00ED4C44">
              <w:rPr>
                <w:sz w:val="20"/>
                <w:szCs w:val="20"/>
              </w:rPr>
              <w:t xml:space="preserve"> podlahovej plochy.</w:t>
            </w:r>
            <w:r w:rsidRPr="00ED4C44">
              <w:rPr>
                <w:rStyle w:val="Odkaznapoznmkupodiarou"/>
                <w:sz w:val="20"/>
                <w:szCs w:val="20"/>
              </w:rPr>
              <w:footnoteReference w:id="13"/>
            </w:r>
          </w:p>
          <w:tbl>
            <w:tblPr>
              <w:tblStyle w:val="Mriekatabuky"/>
              <w:tblW w:w="9214" w:type="dxa"/>
              <w:tbl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insideH w:val="single" w:sz="8" w:space="0" w:color="DDD9C3" w:themeColor="background2" w:themeShade="E6"/>
                <w:insideV w:val="single" w:sz="8" w:space="0" w:color="DDD9C3" w:themeColor="background2" w:themeShade="E6"/>
              </w:tblBorders>
              <w:shd w:val="clear" w:color="auto" w:fill="DBE5F1" w:themeFill="accent1" w:themeFillTint="33"/>
              <w:tblLook w:val="04A0" w:firstRow="1" w:lastRow="0" w:firstColumn="1" w:lastColumn="0" w:noHBand="0" w:noVBand="1"/>
            </w:tblPr>
            <w:tblGrid>
              <w:gridCol w:w="9214"/>
            </w:tblGrid>
            <w:tr w:rsidR="0018649B" w:rsidRPr="00ED4C44" w14:paraId="373C7FEA" w14:textId="77777777" w:rsidTr="00E06664">
              <w:tc>
                <w:tcPr>
                  <w:tcW w:w="9214" w:type="dxa"/>
                  <w:shd w:val="clear" w:color="auto" w:fill="DBE5F1" w:themeFill="accent1" w:themeFillTint="33"/>
                </w:tcPr>
                <w:p w14:paraId="72F03F74" w14:textId="77777777" w:rsidR="0018649B" w:rsidRPr="00ED4C44" w:rsidRDefault="0018649B" w:rsidP="00E06664">
                  <w:pPr>
                    <w:spacing w:after="120"/>
                    <w:jc w:val="both"/>
                    <w:rPr>
                      <w:sz w:val="20"/>
                      <w:szCs w:val="20"/>
                    </w:rPr>
                  </w:pPr>
                  <w:r w:rsidRPr="00ED4C44">
                    <w:rPr>
                      <w:sz w:val="20"/>
                      <w:szCs w:val="20"/>
                    </w:rPr>
                    <w:t>Pre porovnanie situácie v rámci SR bol navrhnutý index dane z bývania</w:t>
                  </w:r>
                  <w:r w:rsidRPr="00ED4C44">
                    <w:rPr>
                      <w:rStyle w:val="Odkaznapoznmkupodiarou"/>
                      <w:sz w:val="20"/>
                      <w:szCs w:val="20"/>
                    </w:rPr>
                    <w:footnoteReference w:id="14"/>
                  </w:r>
                </w:p>
                <w:p w14:paraId="05BF3F21" w14:textId="77777777" w:rsidR="0018649B" w:rsidRPr="00ED4C44" w:rsidRDefault="0018649B" w:rsidP="00E06664">
                  <w:pPr>
                    <w:rPr>
                      <w:sz w:val="20"/>
                      <w:szCs w:val="20"/>
                    </w:rPr>
                  </w:pPr>
                  <m:oMathPara>
                    <m:oMath>
                      <m:r>
                        <w:rPr>
                          <w:rFonts w:ascii="Cambria Math" w:hAnsi="Cambria Math"/>
                          <w:sz w:val="20"/>
                          <w:szCs w:val="20"/>
                        </w:rPr>
                        <m:t>index dane z bývania=</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daň z nehnuteľností na bývanie</m:t>
                              </m:r>
                            </m:num>
                            <m:den>
                              <m:r>
                                <w:rPr>
                                  <w:rFonts w:ascii="Cambria Math" w:hAnsi="Cambria Math"/>
                                  <w:sz w:val="20"/>
                                  <w:szCs w:val="20"/>
                                </w:rPr>
                                <m:t>cena nehnuteľnosti na bývanie</m:t>
                              </m:r>
                            </m:den>
                          </m:f>
                        </m:e>
                      </m:d>
                      <m:r>
                        <w:rPr>
                          <w:rFonts w:ascii="Cambria Math" w:hAnsi="Cambria Math"/>
                          <w:sz w:val="20"/>
                          <w:szCs w:val="20"/>
                        </w:rPr>
                        <m:t>*10 000</m:t>
                      </m:r>
                    </m:oMath>
                  </m:oMathPara>
                </w:p>
                <w:p w14:paraId="14E57D61" w14:textId="77777777" w:rsidR="0018649B" w:rsidRPr="00ED4C44" w:rsidRDefault="0018649B" w:rsidP="00E06664">
                  <w:pPr>
                    <w:rPr>
                      <w:sz w:val="20"/>
                      <w:szCs w:val="20"/>
                    </w:rPr>
                  </w:pPr>
                  <w:r w:rsidRPr="00ED4C44">
                    <w:rPr>
                      <w:sz w:val="20"/>
                      <w:szCs w:val="20"/>
                    </w:rPr>
                    <w:t>kde</w:t>
                  </w:r>
                </w:p>
                <w:p w14:paraId="4307A20B" w14:textId="77777777" w:rsidR="0018649B" w:rsidRPr="00ED4C44" w:rsidRDefault="0018649B" w:rsidP="0018649B">
                  <w:pPr>
                    <w:pStyle w:val="Odsekzoznamu"/>
                    <w:numPr>
                      <w:ilvl w:val="0"/>
                      <w:numId w:val="16"/>
                    </w:numPr>
                    <w:jc w:val="both"/>
                    <w:rPr>
                      <w:sz w:val="20"/>
                      <w:szCs w:val="20"/>
                    </w:rPr>
                  </w:pPr>
                  <w:r w:rsidRPr="00ED4C44">
                    <w:rPr>
                      <w:sz w:val="20"/>
                      <w:szCs w:val="20"/>
                    </w:rPr>
                    <w:t>daň z nehnuteľností na bývanie – je krajský priemer okresnej dane z bytov, stavieb na bývanie a drobných stavieb, ktoré majú doplnkovú funkciu pre hlavnú stavbu v roku 2019 v eur/m</w:t>
                  </w:r>
                  <w:r w:rsidRPr="00ED4C44">
                    <w:rPr>
                      <w:sz w:val="20"/>
                      <w:szCs w:val="20"/>
                      <w:vertAlign w:val="superscript"/>
                    </w:rPr>
                    <w:t>2</w:t>
                  </w:r>
                </w:p>
                <w:p w14:paraId="16E0557E" w14:textId="77777777" w:rsidR="0018649B" w:rsidRPr="00ED4C44" w:rsidRDefault="0018649B" w:rsidP="0018649B">
                  <w:pPr>
                    <w:pStyle w:val="Odsekzoznamu"/>
                    <w:numPr>
                      <w:ilvl w:val="0"/>
                      <w:numId w:val="16"/>
                    </w:numPr>
                    <w:jc w:val="both"/>
                    <w:rPr>
                      <w:sz w:val="20"/>
                      <w:szCs w:val="20"/>
                    </w:rPr>
                  </w:pPr>
                  <w:r w:rsidRPr="00ED4C44">
                    <w:rPr>
                      <w:sz w:val="20"/>
                      <w:szCs w:val="20"/>
                    </w:rPr>
                    <w:t>cena nehnuteľnosti na bývanie – je priemerná cena nehnuteľnosti na bývanie v kraji SR v eur/m</w:t>
                  </w:r>
                  <w:r w:rsidRPr="00ED4C44">
                    <w:rPr>
                      <w:sz w:val="20"/>
                      <w:szCs w:val="20"/>
                      <w:vertAlign w:val="superscript"/>
                    </w:rPr>
                    <w:t>2</w:t>
                  </w:r>
                  <w:r w:rsidRPr="00ED4C44">
                    <w:rPr>
                      <w:sz w:val="20"/>
                      <w:szCs w:val="20"/>
                    </w:rPr>
                    <w:t>.</w:t>
                  </w:r>
                </w:p>
              </w:tc>
            </w:tr>
          </w:tbl>
          <w:p w14:paraId="2704163E" w14:textId="77777777" w:rsidR="0018649B" w:rsidRPr="00ED4C44" w:rsidRDefault="0018649B" w:rsidP="00E06664">
            <w:pPr>
              <w:jc w:val="both"/>
              <w:rPr>
                <w:sz w:val="20"/>
                <w:szCs w:val="20"/>
              </w:rPr>
            </w:pPr>
          </w:p>
          <w:tbl>
            <w:tblPr>
              <w:tblStyle w:val="Mriekatabuky"/>
              <w:tblW w:w="921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3"/>
              <w:gridCol w:w="4190"/>
              <w:gridCol w:w="31"/>
            </w:tblGrid>
            <w:tr w:rsidR="0018649B" w:rsidRPr="00ED4C44" w14:paraId="4B511F8C" w14:textId="77777777" w:rsidTr="00E06664">
              <w:trPr>
                <w:gridAfter w:val="1"/>
                <w:wAfter w:w="33" w:type="dxa"/>
              </w:trPr>
              <w:tc>
                <w:tcPr>
                  <w:tcW w:w="4970" w:type="dxa"/>
                  <w:shd w:val="clear" w:color="auto" w:fill="365F91" w:themeFill="accent1" w:themeFillShade="BF"/>
                </w:tcPr>
                <w:p w14:paraId="62D60104" w14:textId="77777777" w:rsidR="0018649B" w:rsidRPr="00654C6F" w:rsidRDefault="0018649B" w:rsidP="0018649B">
                  <w:pPr>
                    <w:pStyle w:val="Popis"/>
                    <w:spacing w:after="0"/>
                    <w:rPr>
                      <w:b/>
                      <w:i w:val="0"/>
                      <w:color w:val="FFFFFF" w:themeColor="background1"/>
                    </w:rPr>
                  </w:pPr>
                  <w:r w:rsidRPr="00654C6F">
                    <w:rPr>
                      <w:b/>
                      <w:i w:val="0"/>
                      <w:color w:val="FFFFFF" w:themeColor="background1"/>
                    </w:rPr>
                    <w:t>Výška dane z nehnuteľností a ceny nehnuteľnosti na bývanie v krajoch SR (eur/m</w:t>
                  </w:r>
                  <w:r w:rsidRPr="00654C6F">
                    <w:rPr>
                      <w:b/>
                      <w:i w:val="0"/>
                      <w:color w:val="FFFFFF" w:themeColor="background1"/>
                      <w:vertAlign w:val="superscript"/>
                    </w:rPr>
                    <w:t>2</w:t>
                  </w:r>
                  <w:r w:rsidRPr="00654C6F">
                    <w:rPr>
                      <w:b/>
                      <w:i w:val="0"/>
                      <w:color w:val="FFFFFF" w:themeColor="background1"/>
                    </w:rPr>
                    <w:t>, v roku 2019)</w:t>
                  </w:r>
                </w:p>
              </w:tc>
              <w:tc>
                <w:tcPr>
                  <w:tcW w:w="4211" w:type="dxa"/>
                  <w:shd w:val="clear" w:color="auto" w:fill="365F91" w:themeFill="accent1" w:themeFillShade="BF"/>
                </w:tcPr>
                <w:p w14:paraId="46F1F502" w14:textId="77777777" w:rsidR="0018649B" w:rsidRPr="00654C6F" w:rsidRDefault="0018649B" w:rsidP="0018649B">
                  <w:pPr>
                    <w:pStyle w:val="Popis"/>
                    <w:spacing w:after="0"/>
                    <w:rPr>
                      <w:b/>
                      <w:i w:val="0"/>
                      <w:color w:val="FFFFFF" w:themeColor="background1"/>
                    </w:rPr>
                  </w:pPr>
                  <w:r w:rsidRPr="00654C6F">
                    <w:rPr>
                      <w:b/>
                      <w:i w:val="0"/>
                      <w:color w:val="FFFFFF" w:themeColor="background1"/>
                    </w:rPr>
                    <w:t>Porovnanie indexu dane z bývania (v roku 2019)</w:t>
                  </w:r>
                </w:p>
              </w:tc>
            </w:tr>
            <w:tr w:rsidR="0018649B" w:rsidRPr="00ED4C44" w14:paraId="3D49C3BD" w14:textId="77777777" w:rsidTr="00E06664">
              <w:tblPrEx>
                <w:tblCellMar>
                  <w:left w:w="70" w:type="dxa"/>
                  <w:right w:w="70" w:type="dxa"/>
                </w:tblCellMar>
              </w:tblPrEx>
              <w:tc>
                <w:tcPr>
                  <w:tcW w:w="4970" w:type="dxa"/>
                  <w:shd w:val="clear" w:color="auto" w:fill="auto"/>
                </w:tcPr>
                <w:p w14:paraId="02342531" w14:textId="77777777" w:rsidR="0018649B" w:rsidRPr="00ED4C44" w:rsidRDefault="0018649B" w:rsidP="00E06664">
                  <w:pPr>
                    <w:pStyle w:val="Bezriadkovania"/>
                    <w:spacing w:line="276" w:lineRule="auto"/>
                    <w:ind w:left="-188"/>
                    <w:contextualSpacing/>
                    <w:jc w:val="both"/>
                    <w:rPr>
                      <w:b/>
                      <w:color w:val="FFFFFF" w:themeColor="background1"/>
                      <w:sz w:val="20"/>
                      <w:szCs w:val="20"/>
                    </w:rPr>
                  </w:pPr>
                  <w:r w:rsidRPr="00ED4C44">
                    <w:rPr>
                      <w:b/>
                      <w:noProof/>
                      <w:color w:val="FFFFFF" w:themeColor="background1"/>
                      <w:sz w:val="20"/>
                      <w:szCs w:val="20"/>
                    </w:rPr>
                    <w:drawing>
                      <wp:inline distT="0" distB="0" distL="0" distR="0" wp14:anchorId="43C6E463" wp14:editId="403481EE">
                        <wp:extent cx="3196425" cy="2048510"/>
                        <wp:effectExtent l="0" t="0" r="4445" b="889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15241" cy="2060569"/>
                                </a:xfrm>
                                <a:prstGeom prst="rect">
                                  <a:avLst/>
                                </a:prstGeom>
                                <a:noFill/>
                                <a:ln>
                                  <a:noFill/>
                                </a:ln>
                              </pic:spPr>
                            </pic:pic>
                          </a:graphicData>
                        </a:graphic>
                      </wp:inline>
                    </w:drawing>
                  </w:r>
                </w:p>
              </w:tc>
              <w:tc>
                <w:tcPr>
                  <w:tcW w:w="4244" w:type="dxa"/>
                  <w:gridSpan w:val="2"/>
                  <w:shd w:val="clear" w:color="auto" w:fill="auto"/>
                </w:tcPr>
                <w:p w14:paraId="2583686C" w14:textId="77777777" w:rsidR="0018649B" w:rsidRPr="00ED4C44" w:rsidRDefault="0018649B" w:rsidP="00E06664">
                  <w:pPr>
                    <w:pStyle w:val="Bezriadkovania"/>
                    <w:spacing w:line="276" w:lineRule="auto"/>
                    <w:contextualSpacing/>
                    <w:jc w:val="both"/>
                    <w:rPr>
                      <w:b/>
                      <w:color w:val="FFFFFF" w:themeColor="background1"/>
                      <w:sz w:val="20"/>
                      <w:szCs w:val="20"/>
                    </w:rPr>
                  </w:pPr>
                  <w:r w:rsidRPr="00ED4C44">
                    <w:rPr>
                      <w:b/>
                      <w:noProof/>
                      <w:color w:val="FFFFFF" w:themeColor="background1"/>
                      <w:sz w:val="20"/>
                      <w:szCs w:val="20"/>
                    </w:rPr>
                    <w:drawing>
                      <wp:inline distT="0" distB="0" distL="0" distR="0" wp14:anchorId="39696ABE" wp14:editId="1C30C85A">
                        <wp:extent cx="2451128" cy="2048984"/>
                        <wp:effectExtent l="0" t="0" r="6350" b="889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67309" cy="2062510"/>
                                </a:xfrm>
                                <a:prstGeom prst="rect">
                                  <a:avLst/>
                                </a:prstGeom>
                                <a:noFill/>
                                <a:ln>
                                  <a:noFill/>
                                </a:ln>
                              </pic:spPr>
                            </pic:pic>
                          </a:graphicData>
                        </a:graphic>
                      </wp:inline>
                    </w:drawing>
                  </w:r>
                </w:p>
              </w:tc>
            </w:tr>
            <w:tr w:rsidR="0018649B" w:rsidRPr="00ED4C44" w14:paraId="5DFF6150" w14:textId="77777777" w:rsidTr="00E06664">
              <w:tblPrEx>
                <w:tblCellMar>
                  <w:left w:w="70" w:type="dxa"/>
                  <w:right w:w="70" w:type="dxa"/>
                </w:tblCellMar>
              </w:tblPrEx>
              <w:tc>
                <w:tcPr>
                  <w:tcW w:w="4970" w:type="dxa"/>
                  <w:shd w:val="clear" w:color="auto" w:fill="auto"/>
                </w:tcPr>
                <w:p w14:paraId="51E70599" w14:textId="77777777" w:rsidR="0018649B" w:rsidRPr="00ED4C44" w:rsidRDefault="0018649B" w:rsidP="00E06664">
                  <w:pPr>
                    <w:pStyle w:val="Bezriadkovania"/>
                    <w:spacing w:line="276" w:lineRule="auto"/>
                    <w:contextualSpacing/>
                    <w:jc w:val="both"/>
                    <w:rPr>
                      <w:b/>
                      <w:i/>
                      <w:noProof/>
                      <w:color w:val="FFFFFF" w:themeColor="background1"/>
                      <w:sz w:val="20"/>
                      <w:szCs w:val="20"/>
                    </w:rPr>
                  </w:pPr>
                  <w:r w:rsidRPr="00ED4C44">
                    <w:rPr>
                      <w:i/>
                      <w:sz w:val="20"/>
                      <w:szCs w:val="20"/>
                    </w:rPr>
                    <w:t>Zdroj: sprac. NKÚ SR z podkladov NBS, PAS a MDV SR</w:t>
                  </w:r>
                </w:p>
              </w:tc>
              <w:tc>
                <w:tcPr>
                  <w:tcW w:w="4244" w:type="dxa"/>
                  <w:gridSpan w:val="2"/>
                  <w:shd w:val="clear" w:color="auto" w:fill="auto"/>
                </w:tcPr>
                <w:p w14:paraId="26CE938D" w14:textId="77777777" w:rsidR="0018649B" w:rsidRPr="00ED4C44" w:rsidRDefault="0018649B" w:rsidP="00E06664">
                  <w:pPr>
                    <w:pStyle w:val="Bezriadkovania"/>
                    <w:spacing w:line="276" w:lineRule="auto"/>
                    <w:contextualSpacing/>
                    <w:jc w:val="both"/>
                    <w:rPr>
                      <w:b/>
                      <w:i/>
                      <w:noProof/>
                      <w:color w:val="FFFFFF" w:themeColor="background1"/>
                      <w:sz w:val="20"/>
                      <w:szCs w:val="20"/>
                    </w:rPr>
                  </w:pPr>
                  <w:r w:rsidRPr="00ED4C44">
                    <w:rPr>
                      <w:i/>
                      <w:sz w:val="20"/>
                      <w:szCs w:val="20"/>
                    </w:rPr>
                    <w:t>Zdroj: NKÚ SR</w:t>
                  </w:r>
                </w:p>
              </w:tc>
            </w:tr>
          </w:tbl>
          <w:p w14:paraId="294512C8" w14:textId="77777777" w:rsidR="0018649B" w:rsidRPr="00083CDD" w:rsidRDefault="0018649B" w:rsidP="00E06664">
            <w:pPr>
              <w:spacing w:before="120" w:after="120"/>
              <w:jc w:val="both"/>
            </w:pPr>
            <w:r w:rsidRPr="00ED4C44">
              <w:rPr>
                <w:sz w:val="20"/>
                <w:szCs w:val="20"/>
              </w:rPr>
              <w:t>Najvyššia cena nehnuteľnosti na bývanie je dlhodobo v Bratislavskom kraji (2 053 eur/m</w:t>
            </w:r>
            <w:r w:rsidRPr="00ED4C44">
              <w:rPr>
                <w:sz w:val="20"/>
                <w:szCs w:val="20"/>
                <w:vertAlign w:val="superscript"/>
              </w:rPr>
              <w:t>2</w:t>
            </w:r>
            <w:r w:rsidRPr="00ED4C44">
              <w:rPr>
                <w:sz w:val="20"/>
                <w:szCs w:val="20"/>
              </w:rPr>
              <w:t>), ktorý ostatné kraje prevyšuje 1,8 až 2,5-násobne. Nominálna výška dane z nehnuteľností na bývanie je rovnako najvyššia v Bratislavskom kraji (0,416 eur/m</w:t>
            </w:r>
            <w:r w:rsidRPr="00ED4C44">
              <w:rPr>
                <w:sz w:val="20"/>
                <w:szCs w:val="20"/>
                <w:vertAlign w:val="superscript"/>
              </w:rPr>
              <w:t>2</w:t>
            </w:r>
            <w:r w:rsidRPr="00ED4C44">
              <w:rPr>
                <w:sz w:val="20"/>
                <w:szCs w:val="20"/>
              </w:rPr>
              <w:t xml:space="preserve">). Najvyššie dane z nehnuteľností vo vzťahu k ich cene však platia obyvatelia Nitrianskeho a Banskobystrického kraja (index = 2,72); najnižšie obyvatelia v Žilinskom a Bratislavskom kraji (index = 1,94 a 2,03). </w:t>
            </w:r>
            <w:r w:rsidRPr="00ED4C44">
              <w:rPr>
                <w:b/>
                <w:sz w:val="20"/>
                <w:szCs w:val="20"/>
              </w:rPr>
              <w:t>Obyvatelia Žilinského a Bratislavského kraja platia o 29 %, resp. o 26 % nižšie dane vo vzťahu k hodnote nehnuteľnosti</w:t>
            </w:r>
            <w:r w:rsidRPr="00ED4C44">
              <w:rPr>
                <w:rStyle w:val="Odkaznapoznmkupodiarou"/>
                <w:b/>
                <w:sz w:val="20"/>
                <w:szCs w:val="20"/>
              </w:rPr>
              <w:footnoteReference w:id="15"/>
            </w:r>
            <w:r w:rsidRPr="00ED4C44">
              <w:rPr>
                <w:b/>
                <w:sz w:val="20"/>
                <w:szCs w:val="20"/>
              </w:rPr>
              <w:t>, ako obyvatelia Nitrianskeho a Banskobystrického kraja.</w:t>
            </w:r>
            <w:r w:rsidRPr="00ED4C44">
              <w:rPr>
                <w:sz w:val="20"/>
                <w:szCs w:val="20"/>
              </w:rPr>
              <w:t xml:space="preserve"> Z tohto dôvodu u niektorých samospráv zostáva priestor pre vhodnejšie nastavenie týchto daní, a tým zvýšenie príjmov v rozpočte týchto samospráv.</w:t>
            </w:r>
          </w:p>
        </w:tc>
      </w:tr>
    </w:tbl>
    <w:p w14:paraId="22FB83E3" w14:textId="77777777" w:rsidR="0018649B" w:rsidRPr="007020BB" w:rsidRDefault="0018649B" w:rsidP="008A68FA">
      <w:pPr>
        <w:spacing w:before="120" w:after="120"/>
        <w:ind w:firstLine="709"/>
        <w:jc w:val="both"/>
      </w:pPr>
      <w:r w:rsidRPr="007020BB">
        <w:t>Transfery zo ŠR do rozpočtov obcí sa v roku 2020 očakávajú v celkovej sume 1,13 mld. eur, a to z týchto kapitol:</w:t>
      </w:r>
    </w:p>
    <w:p w14:paraId="25FF6413" w14:textId="26559E31" w:rsidR="0018649B" w:rsidRPr="007020BB" w:rsidRDefault="0018649B" w:rsidP="0018649B">
      <w:pPr>
        <w:pStyle w:val="Odsekzoznamu"/>
        <w:numPr>
          <w:ilvl w:val="0"/>
          <w:numId w:val="13"/>
        </w:numPr>
        <w:ind w:left="426" w:hanging="426"/>
        <w:jc w:val="both"/>
      </w:pPr>
      <w:r w:rsidRPr="007020BB">
        <w:t>M</w:t>
      </w:r>
      <w:r w:rsidR="001C7645">
        <w:t>ŠVVaŠ</w:t>
      </w:r>
      <w:r w:rsidRPr="007020BB">
        <w:t xml:space="preserve"> SR v sume 925 ti</w:t>
      </w:r>
      <w:r w:rsidR="00172718">
        <w:t xml:space="preserve">s. eur – to </w:t>
      </w:r>
      <w:r w:rsidRPr="007020BB">
        <w:t>preds</w:t>
      </w:r>
      <w:r w:rsidR="00840D58">
        <w:t>tavuje medziročný pokles o 16,7 </w:t>
      </w:r>
      <w:r w:rsidRPr="007020BB">
        <w:t>mil. eur</w:t>
      </w:r>
      <w:r w:rsidR="001C7645">
        <w:t>,</w:t>
      </w:r>
      <w:r w:rsidRPr="007020BB">
        <w:t xml:space="preserve"> z dôvodu, že v roku 2019 boli alokované prostriedky EÚ prostredníctvom OP Vzdelávanie, ktoré</w:t>
      </w:r>
      <w:r w:rsidR="001C7645">
        <w:t xml:space="preserve"> v rozpočte na rok 2020 chýbajú.</w:t>
      </w:r>
    </w:p>
    <w:p w14:paraId="51AEE0C1" w14:textId="35A07B25" w:rsidR="0018649B" w:rsidRPr="007020BB" w:rsidRDefault="0018649B" w:rsidP="0018649B">
      <w:pPr>
        <w:pStyle w:val="Odsekzoznamu"/>
        <w:numPr>
          <w:ilvl w:val="0"/>
          <w:numId w:val="13"/>
        </w:numPr>
        <w:ind w:left="426" w:hanging="426"/>
        <w:jc w:val="both"/>
      </w:pPr>
      <w:r w:rsidRPr="007020BB">
        <w:t>M</w:t>
      </w:r>
      <w:r w:rsidR="001C7645">
        <w:t>V</w:t>
      </w:r>
      <w:r w:rsidR="00172718">
        <w:t xml:space="preserve"> SR v sume 1,03 mld. eur – to </w:t>
      </w:r>
      <w:r w:rsidRPr="007020BB">
        <w:t xml:space="preserve">predstavuje medziročný nárast o 183 mil. eur, z dôvodu navýšenia finančných prostriedkov na prenesený výkon štátnej správy v rámci regionálneho školstva. Ten by mal v roku 2020 dosiahnuť výšku 1,01 mld. eur. Okrem tohto transferu budú putovať významnejšie sumy na </w:t>
      </w:r>
      <w:r w:rsidR="00140EC7">
        <w:t>činnosť matričných úradov (7,74 </w:t>
      </w:r>
      <w:r w:rsidRPr="007020BB">
        <w:t>mil. eur) a pa</w:t>
      </w:r>
      <w:r w:rsidR="001C7645">
        <w:t>rlamentné voľby (7,31 mil. eur).</w:t>
      </w:r>
    </w:p>
    <w:p w14:paraId="3CF11A44" w14:textId="1BFAADB4" w:rsidR="0018649B" w:rsidRPr="007020BB" w:rsidRDefault="0018649B" w:rsidP="0018649B">
      <w:pPr>
        <w:pStyle w:val="Odsekzoznamu"/>
        <w:numPr>
          <w:ilvl w:val="0"/>
          <w:numId w:val="13"/>
        </w:numPr>
        <w:ind w:left="426" w:hanging="426"/>
        <w:jc w:val="both"/>
      </w:pPr>
      <w:r w:rsidRPr="007020BB">
        <w:t>M</w:t>
      </w:r>
      <w:r w:rsidR="001C7645">
        <w:t xml:space="preserve">DV </w:t>
      </w:r>
      <w:r w:rsidR="00172718">
        <w:t>SR v sume 10 mil. eur – to</w:t>
      </w:r>
      <w:r w:rsidRPr="007020BB">
        <w:t xml:space="preserve"> predstavuje medziročný nárast o 1,89 mil. eur a je určená na financovanie preneseného výkonu štátnej správy v oblasti pozemných komunikácií – špeciálnych stavebných úradov a na úseku stavebného poriadku a bývania. Ostatné prostriedky sú určené na podporu územného rozvoja m</w:t>
      </w:r>
      <w:r w:rsidR="001C7645">
        <w:t>iest a obcí v sume 610 tis. eur.</w:t>
      </w:r>
    </w:p>
    <w:p w14:paraId="0889677E" w14:textId="79062057" w:rsidR="0018649B" w:rsidRPr="007020BB" w:rsidRDefault="0018649B" w:rsidP="0018649B">
      <w:pPr>
        <w:pStyle w:val="Odsekzoznamu"/>
        <w:numPr>
          <w:ilvl w:val="0"/>
          <w:numId w:val="13"/>
        </w:numPr>
        <w:ind w:left="426" w:hanging="426"/>
        <w:jc w:val="both"/>
      </w:pPr>
      <w:r w:rsidRPr="007020BB">
        <w:lastRenderedPageBreak/>
        <w:t>M</w:t>
      </w:r>
      <w:r w:rsidR="001C7645">
        <w:t>PSVaR</w:t>
      </w:r>
      <w:r w:rsidR="00172718">
        <w:t xml:space="preserve"> SR v sume 68 mil. eur – to </w:t>
      </w:r>
      <w:r w:rsidRPr="007020BB">
        <w:t>predstavu</w:t>
      </w:r>
      <w:r w:rsidR="00840D58">
        <w:t>je medziročný nárast o 5,4 mil. </w:t>
      </w:r>
      <w:r w:rsidRPr="007020BB">
        <w:t>eur, v čom sa premietajú financie poskytované obciam na výkon osobitného príjemcu a na financovan</w:t>
      </w:r>
      <w:r w:rsidR="001C7645">
        <w:t>ie zariadení sociálnych služieb.</w:t>
      </w:r>
    </w:p>
    <w:p w14:paraId="1A53F683" w14:textId="5C3CDA13" w:rsidR="0018649B" w:rsidRPr="00E162E4" w:rsidRDefault="0018649B" w:rsidP="0018649B">
      <w:pPr>
        <w:pStyle w:val="Odsekzoznamu"/>
        <w:numPr>
          <w:ilvl w:val="0"/>
          <w:numId w:val="15"/>
        </w:numPr>
        <w:spacing w:after="120"/>
        <w:ind w:left="426" w:hanging="426"/>
        <w:jc w:val="both"/>
      </w:pPr>
      <w:r w:rsidRPr="007020BB">
        <w:t>V</w:t>
      </w:r>
      <w:r w:rsidR="001C7645">
        <w:t>PS</w:t>
      </w:r>
      <w:r w:rsidR="00172718">
        <w:t xml:space="preserve"> v sume 18,1 mil. eur – to</w:t>
      </w:r>
      <w:r w:rsidRPr="007020BB">
        <w:t xml:space="preserve"> predstavuje nárast o 12,71 mil. eur, </w:t>
      </w:r>
      <w:r w:rsidR="00172718">
        <w:t>určených</w:t>
      </w:r>
      <w:r w:rsidR="00EE6CA8">
        <w:t xml:space="preserve"> napríklad na</w:t>
      </w:r>
      <w:r w:rsidRPr="007020BB">
        <w:t xml:space="preserve"> </w:t>
      </w:r>
      <w:r w:rsidR="00EE6CA8">
        <w:t>financovanie</w:t>
      </w:r>
      <w:r w:rsidRPr="007020BB">
        <w:t xml:space="preserve"> individuálnych potrieb obcí, záchranu a obnovu kultúrnych pamiatok.</w:t>
      </w:r>
    </w:p>
    <w:p w14:paraId="2224B9BD" w14:textId="4A67BE2E" w:rsidR="0018649B" w:rsidRDefault="0018649B" w:rsidP="0018649B">
      <w:pPr>
        <w:spacing w:after="120"/>
        <w:ind w:firstLine="426"/>
        <w:jc w:val="both"/>
        <w:rPr>
          <w:highlight w:val="yellow"/>
        </w:rPr>
      </w:pPr>
      <w:r w:rsidRPr="007020BB">
        <w:t xml:space="preserve">Výraznejší medziročný nárast transferov pre obce sa očakáva aj z Environmentálneho fondu. Ten má poskytnúť </w:t>
      </w:r>
      <w:r w:rsidR="00EE6CA8">
        <w:t>obciam 88,4 mil. eur, čo je o 14,8</w:t>
      </w:r>
      <w:r w:rsidRPr="007020BB">
        <w:t xml:space="preserve"> mil. eur viac oproti rozpočtu na rok 2019.</w:t>
      </w:r>
      <w:r w:rsidRPr="007B539D">
        <w:rPr>
          <w:highlight w:val="yellow"/>
        </w:rPr>
        <w:t xml:space="preserve"> </w:t>
      </w:r>
    </w:p>
    <w:p w14:paraId="75F63956" w14:textId="0D8E34E5" w:rsidR="0018649B" w:rsidRPr="0048210D" w:rsidRDefault="0018649B" w:rsidP="00EE6CA8">
      <w:pPr>
        <w:spacing w:after="120"/>
        <w:ind w:firstLine="708"/>
        <w:jc w:val="both"/>
      </w:pPr>
      <w:r w:rsidRPr="00613C0D">
        <w:rPr>
          <w:b/>
        </w:rPr>
        <w:t>Do rozpočtov obcí z transferov neboli zahrnuté zdroje z prostriedkov EÚ.</w:t>
      </w:r>
      <w:r w:rsidRPr="0048210D">
        <w:t xml:space="preserve"> Dôvodom je, že ich rozpočtové kapitoly predbežne nezapájajú</w:t>
      </w:r>
      <w:r>
        <w:t xml:space="preserve">. To má za následok veľké rozdiely medzi schváleným rozpočtom a skutočnosťou. </w:t>
      </w:r>
    </w:p>
    <w:p w14:paraId="22DB935C" w14:textId="48CAD81B" w:rsidR="0018649B" w:rsidRPr="00E92E86" w:rsidRDefault="001C7645" w:rsidP="0018649B">
      <w:pPr>
        <w:spacing w:after="120"/>
        <w:ind w:firstLine="708"/>
        <w:jc w:val="both"/>
      </w:pPr>
      <w:r w:rsidRPr="00862361">
        <w:t>Porovnanie návrhu rozpočtu výdavkov obcí na hotovostnej báze v návrhu rozpočtu na r</w:t>
      </w:r>
      <w:r>
        <w:t>ok 2020 so </w:t>
      </w:r>
      <w:r w:rsidRPr="00862361">
        <w:t>schváleným rozpočtom na rok 2019 a skutočn</w:t>
      </w:r>
      <w:r>
        <w:t xml:space="preserve">ým plnením rozpočtu za rok 2018 obsahuje Tabuľka 4 v prílohe. </w:t>
      </w:r>
      <w:r w:rsidR="0018649B" w:rsidRPr="00613C0D">
        <w:rPr>
          <w:b/>
        </w:rPr>
        <w:t>Riziko vyvstáva pri výdavkoch na mzdy a odvody. Navrhovaná suma nemusí po zapracovaní všetkých legislatívnych zmien postačovať.</w:t>
      </w:r>
      <w:r w:rsidR="0018649B" w:rsidRPr="00E92E86">
        <w:t xml:space="preserve"> </w:t>
      </w:r>
      <w:r w:rsidR="0018649B">
        <w:t>Tlak na rozpočty obcí na rok 2020</w:t>
      </w:r>
      <w:r w:rsidR="0018649B" w:rsidRPr="00E92E86">
        <w:t xml:space="preserve"> môže nastať aj v prípade nedostatku prostriedkov na tovary a služby v súvislosti s avizovaným nárastom cien energií a vznikom nových úloh pre obce v dôsledku legislatívnych zmien.</w:t>
      </w:r>
      <w:r w:rsidR="0018649B">
        <w:t xml:space="preserve"> NKÚ SR pozitívne hodnotí medziročný nárast kapitálových výdavkov.</w:t>
      </w:r>
    </w:p>
    <w:p w14:paraId="5CB101F1" w14:textId="77777777" w:rsidR="0018649B" w:rsidRDefault="0018649B" w:rsidP="0018649B">
      <w:pPr>
        <w:spacing w:after="120"/>
        <w:ind w:firstLine="708"/>
        <w:jc w:val="both"/>
      </w:pPr>
      <w:r w:rsidRPr="00E92E86">
        <w:t>K ostatným výdavkovým položkám o</w:t>
      </w:r>
      <w:r>
        <w:t>rientačného rozpočtu na rok 2020</w:t>
      </w:r>
      <w:r w:rsidRPr="00E92E86">
        <w:t xml:space="preserve"> nemá NKÚ SR zásadné pripomienky</w:t>
      </w:r>
      <w:r>
        <w:t>.</w:t>
      </w:r>
    </w:p>
    <w:tbl>
      <w:tblPr>
        <w:tblStyle w:val="Mriekatabuky"/>
        <w:tblW w:w="5000" w:type="pct"/>
        <w:shd w:val="clear" w:color="auto" w:fill="B8CCE4" w:themeFill="accent1" w:themeFillTint="66"/>
        <w:tblLook w:val="04A0" w:firstRow="1" w:lastRow="0" w:firstColumn="1" w:lastColumn="0" w:noHBand="0" w:noVBand="1"/>
      </w:tblPr>
      <w:tblGrid>
        <w:gridCol w:w="9346"/>
      </w:tblGrid>
      <w:tr w:rsidR="0018649B" w14:paraId="4901864A" w14:textId="77777777" w:rsidTr="008A68FA">
        <w:tc>
          <w:tcPr>
            <w:tcW w:w="5000" w:type="pct"/>
            <w:shd w:val="clear" w:color="auto" w:fill="B8CCE4" w:themeFill="accent1" w:themeFillTint="66"/>
          </w:tcPr>
          <w:p w14:paraId="0DA46C5F" w14:textId="77777777" w:rsidR="0018649B" w:rsidRPr="00E53439" w:rsidRDefault="0018649B" w:rsidP="00E75CE0">
            <w:pPr>
              <w:autoSpaceDE w:val="0"/>
              <w:autoSpaceDN w:val="0"/>
              <w:adjustRightInd w:val="0"/>
              <w:spacing w:after="120"/>
              <w:jc w:val="both"/>
              <w:rPr>
                <w:rFonts w:cs="ArialNarrow"/>
                <w:sz w:val="20"/>
                <w:szCs w:val="20"/>
              </w:rPr>
            </w:pPr>
            <w:r w:rsidRPr="00E53439">
              <w:rPr>
                <w:sz w:val="20"/>
                <w:szCs w:val="20"/>
              </w:rPr>
              <w:t xml:space="preserve">Vláda SR </w:t>
            </w:r>
            <w:r w:rsidRPr="00E53439">
              <w:rPr>
                <w:rFonts w:cs="ArialNarrow"/>
                <w:sz w:val="20"/>
                <w:szCs w:val="20"/>
              </w:rPr>
              <w:t>schválila v apríli 2012 program ESO (Efektívna, spoľahlivá a otvorená verejná správa), v rámci ktorého je jednou z hlavných úloh do roku 2020 optimalizácia procesov a výkonu samosprávy.</w:t>
            </w:r>
            <w:r w:rsidRPr="007619C5">
              <w:rPr>
                <w:rFonts w:cs="ArialNarrow"/>
                <w:sz w:val="20"/>
                <w:szCs w:val="20"/>
                <w:vertAlign w:val="superscript"/>
              </w:rPr>
              <w:footnoteReference w:id="16"/>
            </w:r>
            <w:r w:rsidRPr="00E53439">
              <w:rPr>
                <w:rFonts w:cs="ArialNarrow"/>
                <w:sz w:val="20"/>
                <w:szCs w:val="20"/>
              </w:rPr>
              <w:t xml:space="preserve"> Napriek tomu, že vláda považuje reformu ESO za jednu zo svojich priorít, samotné MV SR v národnej stratégii reformy verejnej správy priznalo veľké rezervy.</w:t>
            </w:r>
            <w:r w:rsidRPr="007619C5">
              <w:rPr>
                <w:rFonts w:cs="ArialNarrow"/>
                <w:sz w:val="20"/>
                <w:szCs w:val="20"/>
                <w:vertAlign w:val="superscript"/>
              </w:rPr>
              <w:footnoteReference w:id="17"/>
            </w:r>
            <w:r w:rsidRPr="00E53439">
              <w:rPr>
                <w:rFonts w:cs="ArialNarrow"/>
                <w:sz w:val="20"/>
                <w:szCs w:val="20"/>
              </w:rPr>
              <w:t xml:space="preserve"> Preto sa v</w:t>
            </w:r>
            <w:r w:rsidRPr="00E53439">
              <w:rPr>
                <w:sz w:val="20"/>
                <w:szCs w:val="20"/>
              </w:rPr>
              <w:t> roku 2019 NKÚ SR zameral aj na fungovanie samosprávy.</w:t>
            </w:r>
          </w:p>
          <w:p w14:paraId="77DE289D" w14:textId="77777777" w:rsidR="0018649B" w:rsidRPr="00E53439" w:rsidRDefault="0018649B" w:rsidP="00E75CE0">
            <w:pPr>
              <w:autoSpaceDE w:val="0"/>
              <w:autoSpaceDN w:val="0"/>
              <w:adjustRightInd w:val="0"/>
              <w:spacing w:after="120"/>
              <w:jc w:val="both"/>
              <w:rPr>
                <w:sz w:val="20"/>
                <w:szCs w:val="20"/>
              </w:rPr>
            </w:pPr>
            <w:r w:rsidRPr="00E53439">
              <w:rPr>
                <w:b/>
                <w:sz w:val="20"/>
                <w:szCs w:val="20"/>
              </w:rPr>
              <w:t>Kontrola plnenia opatrení z kontrolnej akcie zameranej na e-</w:t>
            </w:r>
            <w:proofErr w:type="spellStart"/>
            <w:r w:rsidRPr="00E53439">
              <w:rPr>
                <w:b/>
                <w:sz w:val="20"/>
                <w:szCs w:val="20"/>
              </w:rPr>
              <w:t>Government</w:t>
            </w:r>
            <w:proofErr w:type="spellEnd"/>
            <w:r w:rsidRPr="007619C5">
              <w:rPr>
                <w:sz w:val="20"/>
                <w:szCs w:val="20"/>
                <w:vertAlign w:val="superscript"/>
              </w:rPr>
              <w:footnoteReference w:id="18"/>
            </w:r>
            <w:r w:rsidRPr="00E53439">
              <w:rPr>
                <w:sz w:val="20"/>
                <w:szCs w:val="20"/>
              </w:rPr>
              <w:t xml:space="preserve"> potvrdila správnosť a efektívnosť prijatých opatrení a odporúčaní kontrolórov. Opatrenia boli účinné v 80 % prípadov a NKÚ SR prispel k výraznému zlepšeniu pripravenosti samospráv na poskytovanie </w:t>
            </w:r>
            <w:proofErr w:type="spellStart"/>
            <w:r w:rsidRPr="00E53439">
              <w:rPr>
                <w:sz w:val="20"/>
                <w:szCs w:val="20"/>
              </w:rPr>
              <w:t>eGov</w:t>
            </w:r>
            <w:proofErr w:type="spellEnd"/>
            <w:r w:rsidRPr="00E53439">
              <w:rPr>
                <w:sz w:val="20"/>
                <w:szCs w:val="20"/>
              </w:rPr>
              <w:t xml:space="preserve"> služieb občanom. NKÚ SR konštatuje, že napriek investíciám do </w:t>
            </w:r>
            <w:proofErr w:type="spellStart"/>
            <w:r w:rsidRPr="00E53439">
              <w:rPr>
                <w:sz w:val="20"/>
                <w:szCs w:val="20"/>
              </w:rPr>
              <w:t>eGov</w:t>
            </w:r>
            <w:proofErr w:type="spellEnd"/>
            <w:r w:rsidRPr="00E53439">
              <w:rPr>
                <w:sz w:val="20"/>
                <w:szCs w:val="20"/>
              </w:rPr>
              <w:t xml:space="preserve"> a informatizácie nebol dosiahnutý želaný cieľ v segmente fyzické osoby/občania. Aj keď je informatizácia jedným z mála úspešných IT projektov, na jeho rozvoj bude potrebná výraznejšia aktivita na celoštátnej úrovni.</w:t>
            </w:r>
          </w:p>
          <w:p w14:paraId="20C90067" w14:textId="7A1BDE12" w:rsidR="0018649B" w:rsidRPr="00E53439" w:rsidRDefault="0018649B" w:rsidP="00E75CE0">
            <w:pPr>
              <w:autoSpaceDE w:val="0"/>
              <w:autoSpaceDN w:val="0"/>
              <w:adjustRightInd w:val="0"/>
              <w:spacing w:after="120"/>
              <w:jc w:val="both"/>
              <w:rPr>
                <w:sz w:val="20"/>
                <w:szCs w:val="20"/>
              </w:rPr>
            </w:pPr>
            <w:r w:rsidRPr="00E53439">
              <w:rPr>
                <w:sz w:val="20"/>
                <w:szCs w:val="20"/>
              </w:rPr>
              <w:t>V niektorých obciach</w:t>
            </w:r>
            <w:r w:rsidRPr="007619C5">
              <w:rPr>
                <w:sz w:val="20"/>
                <w:szCs w:val="20"/>
                <w:vertAlign w:val="superscript"/>
              </w:rPr>
              <w:footnoteReference w:id="19"/>
            </w:r>
            <w:r w:rsidRPr="00E53439">
              <w:rPr>
                <w:sz w:val="20"/>
                <w:szCs w:val="20"/>
              </w:rPr>
              <w:t xml:space="preserve"> NKÚ SR vykonal </w:t>
            </w:r>
            <w:r w:rsidRPr="00E53439">
              <w:rPr>
                <w:b/>
                <w:sz w:val="20"/>
                <w:szCs w:val="20"/>
              </w:rPr>
              <w:t>kontroly zamerané na hospodárenie s verejnými prostriedkami a nakladanie s majetkom</w:t>
            </w:r>
            <w:r w:rsidRPr="00E53439">
              <w:rPr>
                <w:sz w:val="20"/>
                <w:szCs w:val="20"/>
              </w:rPr>
              <w:t>. V súvislosti s pretrvávajúcimi problémami obcí so zabezpečením dodržiavania legislatívy</w:t>
            </w:r>
            <w:r w:rsidRPr="007619C5">
              <w:rPr>
                <w:sz w:val="20"/>
                <w:szCs w:val="20"/>
                <w:vertAlign w:val="superscript"/>
              </w:rPr>
              <w:footnoteReference w:id="20"/>
            </w:r>
            <w:r w:rsidRPr="00E53439">
              <w:rPr>
                <w:sz w:val="20"/>
                <w:szCs w:val="20"/>
              </w:rPr>
              <w:t>, NKÚ SR podporuje otvorenie širšej diskusie o ďalšom smerovaní komunálnej reformy, o deľbe kompetencií, o konsolidácii sídelnej štruktúry a o fiškálnej decentralizácii. V súvislosti s pretrvávajúcimi problémami v oblasti účtovníctva a rozpočtovníctva NKÚ SR odporučil MF SR pristúpiť k úprave legislatívy týkajúcej sa finančnej kontroly. MV SR odporučil zvážiť nový systémový prístup k vytváraniu sídiel spoločných obecných úradov a vytvorenie centrálneho orgánu zodpovedného za manažment nevyhnutných modernizačných zmien vo verejnej správe. Vzhľadom na opätovne zisťovanú neúčinnosť vnútorných kontrolných</w:t>
            </w:r>
            <w:r w:rsidR="00172718">
              <w:rPr>
                <w:sz w:val="20"/>
                <w:szCs w:val="20"/>
              </w:rPr>
              <w:t xml:space="preserve"> mechanizmov NKÚ SR navrhol</w:t>
            </w:r>
            <w:r w:rsidRPr="00E53439">
              <w:rPr>
                <w:sz w:val="20"/>
                <w:szCs w:val="20"/>
              </w:rPr>
              <w:t xml:space="preserve"> prijať</w:t>
            </w:r>
            <w:r w:rsidR="00172718">
              <w:rPr>
                <w:sz w:val="20"/>
                <w:szCs w:val="20"/>
              </w:rPr>
              <w:t xml:space="preserve"> aj</w:t>
            </w:r>
            <w:r w:rsidRPr="00E53439">
              <w:rPr>
                <w:sz w:val="20"/>
                <w:szCs w:val="20"/>
              </w:rPr>
              <w:t xml:space="preserve"> systémové opatrenia na posilnenie vnútorného kontrolného systému. </w:t>
            </w:r>
          </w:p>
          <w:p w14:paraId="5A214283" w14:textId="4D5F690F" w:rsidR="0018649B" w:rsidRPr="00E53439" w:rsidRDefault="0018649B" w:rsidP="0032658A">
            <w:pPr>
              <w:autoSpaceDE w:val="0"/>
              <w:autoSpaceDN w:val="0"/>
              <w:adjustRightInd w:val="0"/>
              <w:jc w:val="both"/>
            </w:pPr>
            <w:r w:rsidRPr="00E53439">
              <w:rPr>
                <w:sz w:val="20"/>
                <w:szCs w:val="20"/>
              </w:rPr>
              <w:t xml:space="preserve">Na príklade a podnetoch </w:t>
            </w:r>
            <w:r w:rsidR="0032658A">
              <w:rPr>
                <w:b/>
                <w:sz w:val="20"/>
                <w:szCs w:val="20"/>
              </w:rPr>
              <w:t>z hlavného mesta Bratislava</w:t>
            </w:r>
            <w:r w:rsidRPr="00E53439">
              <w:rPr>
                <w:b/>
                <w:sz w:val="20"/>
                <w:szCs w:val="20"/>
              </w:rPr>
              <w:t xml:space="preserve"> boli identifikované viaceré kľúčové výzvy</w:t>
            </w:r>
            <w:r w:rsidRPr="00E53439">
              <w:rPr>
                <w:sz w:val="20"/>
                <w:szCs w:val="20"/>
              </w:rPr>
              <w:t>. Vo vzťa</w:t>
            </w:r>
            <w:r w:rsidR="00172718">
              <w:rPr>
                <w:sz w:val="20"/>
                <w:szCs w:val="20"/>
              </w:rPr>
              <w:t xml:space="preserve">hu k mladým rodinám sú to najmä – </w:t>
            </w:r>
            <w:r w:rsidRPr="00E53439">
              <w:rPr>
                <w:sz w:val="20"/>
                <w:szCs w:val="20"/>
              </w:rPr>
              <w:t>slabá podpora bývania a nedostatočná kapacita v materských školách. Pričom v oblasti bývania stále nie je splnený cieľ výstavby nájomných bytov pre nájomcov z reštituovaných domov. V</w:t>
            </w:r>
            <w:r w:rsidR="00C77DA5">
              <w:rPr>
                <w:sz w:val="20"/>
                <w:szCs w:val="20"/>
              </w:rPr>
              <w:t xml:space="preserve"> materských školách </w:t>
            </w:r>
            <w:r w:rsidRPr="00E53439">
              <w:rPr>
                <w:sz w:val="20"/>
                <w:szCs w:val="20"/>
              </w:rPr>
              <w:t>sa zvyšuje tlak na kapacitné možnosti, ktorý bude v blízkom horizonte narastať a následne sa prenesie aj na základné školy. Pri získavaní zdrojov na riešenie týchto výziev z EŠIF má B</w:t>
            </w:r>
            <w:r w:rsidR="0032658A">
              <w:rPr>
                <w:sz w:val="20"/>
                <w:szCs w:val="20"/>
              </w:rPr>
              <w:t>ratislava</w:t>
            </w:r>
            <w:r w:rsidRPr="00E53439">
              <w:rPr>
                <w:sz w:val="20"/>
                <w:szCs w:val="20"/>
              </w:rPr>
              <w:t xml:space="preserve"> v rámci SR znevýhodnené postavenie. Okrem iného, dodatočný zdrojový potenciál možno vytvoriť aj reformou miestnych daní.</w:t>
            </w:r>
            <w:r w:rsidRPr="00E53439">
              <w:rPr>
                <w:rFonts w:cs="ArialNarrow"/>
                <w:sz w:val="20"/>
                <w:szCs w:val="20"/>
              </w:rPr>
              <w:t xml:space="preserve"> </w:t>
            </w:r>
            <w:r w:rsidR="0032658A">
              <w:rPr>
                <w:sz w:val="20"/>
                <w:szCs w:val="20"/>
              </w:rPr>
              <w:t>Obyvateľ Bratislavy</w:t>
            </w:r>
            <w:r w:rsidRPr="00E53439">
              <w:rPr>
                <w:sz w:val="20"/>
                <w:szCs w:val="20"/>
              </w:rPr>
              <w:t xml:space="preserve"> je považovaný za obyvateľa mesta aj mestskej časti, avšak v niektorých prípadoch nevie priamo ovplyvňovať dianie v susednej </w:t>
            </w:r>
            <w:r w:rsidR="00C77DA5">
              <w:rPr>
                <w:sz w:val="20"/>
                <w:szCs w:val="20"/>
              </w:rPr>
              <w:t>mestskej časti</w:t>
            </w:r>
            <w:r w:rsidRPr="00E53439">
              <w:rPr>
                <w:sz w:val="20"/>
                <w:szCs w:val="20"/>
              </w:rPr>
              <w:t xml:space="preserve">, aj keď sa ho priamo týka. Zvlášť, ak sa zložité kompetencie a prílišná fragmentácia samosprávy premietajú aj do rozdielov v príjmoch a výdavkoch, ako aj do rozdielnej efektívnosti </w:t>
            </w:r>
            <w:r w:rsidR="00C77DA5">
              <w:rPr>
                <w:sz w:val="20"/>
                <w:szCs w:val="20"/>
              </w:rPr>
              <w:t>mestských častí</w:t>
            </w:r>
            <w:r w:rsidRPr="00E53439">
              <w:rPr>
                <w:sz w:val="20"/>
                <w:szCs w:val="20"/>
              </w:rPr>
              <w:t>.</w:t>
            </w:r>
          </w:p>
        </w:tc>
      </w:tr>
    </w:tbl>
    <w:p w14:paraId="5A899188" w14:textId="1F0116CC" w:rsidR="00BB7209" w:rsidRPr="004539A4" w:rsidRDefault="00BB7209" w:rsidP="004539A4">
      <w:pPr>
        <w:pStyle w:val="Nadpis3"/>
        <w:spacing w:before="120" w:after="120"/>
        <w:ind w:left="709"/>
        <w:rPr>
          <w:color w:val="0070C0"/>
        </w:rPr>
      </w:pPr>
      <w:bookmarkStart w:id="44" w:name="_Toc480788341"/>
      <w:bookmarkStart w:id="45" w:name="_Toc481657176"/>
      <w:bookmarkStart w:id="46" w:name="_Toc10096304"/>
      <w:bookmarkStart w:id="47" w:name="_Toc24098457"/>
      <w:r w:rsidRPr="004539A4">
        <w:rPr>
          <w:color w:val="0070C0"/>
        </w:rPr>
        <w:lastRenderedPageBreak/>
        <w:t>6.2</w:t>
      </w:r>
      <w:r w:rsidR="004539A4">
        <w:rPr>
          <w:color w:val="0070C0"/>
        </w:rPr>
        <w:t>.2</w:t>
      </w:r>
      <w:r w:rsidRPr="004539A4">
        <w:rPr>
          <w:color w:val="0070C0"/>
        </w:rPr>
        <w:tab/>
      </w:r>
      <w:r w:rsidR="006E42C6" w:rsidRPr="004539A4">
        <w:rPr>
          <w:color w:val="0070C0"/>
        </w:rPr>
        <w:t xml:space="preserve"> </w:t>
      </w:r>
      <w:r w:rsidR="006926C2" w:rsidRPr="004539A4">
        <w:rPr>
          <w:color w:val="0070C0"/>
        </w:rPr>
        <w:t>Rozpočet</w:t>
      </w:r>
      <w:r w:rsidRPr="004539A4">
        <w:rPr>
          <w:color w:val="0070C0"/>
        </w:rPr>
        <w:t xml:space="preserve"> VÚC</w:t>
      </w:r>
      <w:bookmarkEnd w:id="44"/>
      <w:bookmarkEnd w:id="45"/>
      <w:bookmarkEnd w:id="46"/>
      <w:bookmarkEnd w:id="47"/>
    </w:p>
    <w:p w14:paraId="6AA107A3" w14:textId="77777777" w:rsidR="008A68FA" w:rsidRPr="002405B4" w:rsidRDefault="008A68FA" w:rsidP="008A68FA">
      <w:pPr>
        <w:spacing w:after="120"/>
        <w:ind w:firstLine="708"/>
        <w:jc w:val="both"/>
      </w:pPr>
      <w:r>
        <w:t xml:space="preserve">VÚC </w:t>
      </w:r>
      <w:r w:rsidRPr="002405B4">
        <w:t>zabezpečujú financovanie samosprávnych kompetencií p</w:t>
      </w:r>
      <w:r>
        <w:t xml:space="preserve">redovšetkým z daňových príjmov. </w:t>
      </w:r>
      <w:r w:rsidRPr="002405B4">
        <w:t>Prostredníctvom dotácií z príslušných kapitol ŠR sa financujú kompetencie preneseného výkonu štátnej správy na úseku školstva a úlohy spojené s regionálnym rozvojom, ochranou životného prostredia, ako aj realizácia projektov spolufinancovaných zo štrukturálnych fondov a Kohézneho fondu EÚ.</w:t>
      </w:r>
    </w:p>
    <w:p w14:paraId="3EAEF45F" w14:textId="52375162" w:rsidR="008A68FA" w:rsidRPr="002405B4" w:rsidRDefault="008A68FA" w:rsidP="008A68FA">
      <w:pPr>
        <w:spacing w:after="120"/>
        <w:ind w:firstLine="708"/>
        <w:jc w:val="both"/>
      </w:pPr>
      <w:r w:rsidRPr="002405B4">
        <w:t>Porovnanie bilančného zostatku VÚC na akruálnej báze v metodike ESA 20</w:t>
      </w:r>
      <w:r>
        <w:t>10 v návrhu rozpočtu na rok 2020</w:t>
      </w:r>
      <w:r w:rsidRPr="002405B4">
        <w:t xml:space="preserve"> so </w:t>
      </w:r>
      <w:r>
        <w:t>schváleným rozpočtom na rok 2019</w:t>
      </w:r>
      <w:r w:rsidRPr="002405B4">
        <w:t xml:space="preserve"> a skutoč</w:t>
      </w:r>
      <w:r w:rsidR="00306ED2">
        <w:t>ným plnením rozpočtu za rok 2018 obsahuje nasledujúca tabuľka.</w:t>
      </w:r>
    </w:p>
    <w:tbl>
      <w:tblPr>
        <w:tblStyle w:val="Mriekatabuky"/>
        <w:tblW w:w="5000" w:type="pct"/>
        <w:tblLook w:val="04A0" w:firstRow="1" w:lastRow="0" w:firstColumn="1" w:lastColumn="0" w:noHBand="0" w:noVBand="1"/>
      </w:tblPr>
      <w:tblGrid>
        <w:gridCol w:w="2988"/>
        <w:gridCol w:w="1272"/>
        <w:gridCol w:w="1271"/>
        <w:gridCol w:w="1273"/>
        <w:gridCol w:w="1271"/>
        <w:gridCol w:w="1271"/>
      </w:tblGrid>
      <w:tr w:rsidR="008A68FA" w:rsidRPr="002405B4" w14:paraId="2A49CEA3" w14:textId="77777777" w:rsidTr="008A68FA">
        <w:trPr>
          <w:trHeight w:val="236"/>
          <w:tblHeader/>
        </w:trPr>
        <w:tc>
          <w:tcPr>
            <w:tcW w:w="1597"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58E1B986" w14:textId="1692E619" w:rsidR="008A68FA" w:rsidRPr="002405B4" w:rsidRDefault="00A97AC3" w:rsidP="00236949">
            <w:pPr>
              <w:jc w:val="center"/>
              <w:rPr>
                <w:rFonts w:eastAsia="Calibri"/>
                <w:b/>
                <w:bCs/>
                <w:color w:val="FFFFFF" w:themeColor="background1"/>
                <w:sz w:val="20"/>
                <w:szCs w:val="20"/>
              </w:rPr>
            </w:pPr>
            <w:r>
              <w:rPr>
                <w:rFonts w:eastAsia="Calibri"/>
                <w:b/>
                <w:bCs/>
                <w:color w:val="FFFFFF" w:themeColor="background1"/>
                <w:sz w:val="20"/>
                <w:szCs w:val="20"/>
              </w:rPr>
              <w:t>Hospodárenie VÚC</w:t>
            </w:r>
          </w:p>
          <w:p w14:paraId="669741CA" w14:textId="77777777" w:rsidR="008A68FA" w:rsidRPr="002405B4" w:rsidRDefault="008A68FA" w:rsidP="00236949">
            <w:pPr>
              <w:jc w:val="center"/>
              <w:rPr>
                <w:rFonts w:eastAsia="Calibri"/>
                <w:b/>
                <w:color w:val="FFFFFF" w:themeColor="background1"/>
                <w:sz w:val="20"/>
                <w:szCs w:val="20"/>
              </w:rPr>
            </w:pPr>
            <w:r w:rsidRPr="002405B4">
              <w:rPr>
                <w:rFonts w:eastAsia="Calibri"/>
                <w:b/>
                <w:bCs/>
                <w:color w:val="FFFFFF" w:themeColor="background1"/>
                <w:sz w:val="20"/>
                <w:szCs w:val="20"/>
              </w:rPr>
              <w:t>(v tis. eur)</w:t>
            </w:r>
          </w:p>
        </w:tc>
        <w:tc>
          <w:tcPr>
            <w:tcW w:w="68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53C3C2BD" w14:textId="77777777" w:rsidR="008A68FA" w:rsidRPr="002405B4" w:rsidRDefault="008A68FA" w:rsidP="00236949">
            <w:pPr>
              <w:jc w:val="center"/>
              <w:rPr>
                <w:b/>
                <w:color w:val="FFFFFF" w:themeColor="background1"/>
                <w:sz w:val="20"/>
                <w:szCs w:val="20"/>
              </w:rPr>
            </w:pPr>
            <w:r w:rsidRPr="002405B4">
              <w:rPr>
                <w:b/>
                <w:color w:val="FFFFFF" w:themeColor="background1"/>
                <w:sz w:val="20"/>
                <w:szCs w:val="20"/>
              </w:rPr>
              <w:t>Skutočnosť</w:t>
            </w:r>
          </w:p>
          <w:p w14:paraId="1812BD21" w14:textId="77777777" w:rsidR="008A68FA" w:rsidRPr="002405B4" w:rsidRDefault="008A68FA" w:rsidP="00236949">
            <w:pPr>
              <w:jc w:val="center"/>
              <w:rPr>
                <w:b/>
                <w:color w:val="FFFFFF" w:themeColor="background1"/>
                <w:sz w:val="20"/>
                <w:szCs w:val="20"/>
              </w:rPr>
            </w:pPr>
            <w:r>
              <w:rPr>
                <w:b/>
                <w:color w:val="FFFFFF" w:themeColor="background1"/>
                <w:sz w:val="20"/>
                <w:szCs w:val="20"/>
              </w:rPr>
              <w:t>2018</w:t>
            </w:r>
          </w:p>
        </w:tc>
        <w:tc>
          <w:tcPr>
            <w:tcW w:w="1361"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21EE671E" w14:textId="77777777" w:rsidR="008A68FA" w:rsidRPr="002405B4" w:rsidRDefault="008A68FA" w:rsidP="00236949">
            <w:pPr>
              <w:jc w:val="center"/>
              <w:rPr>
                <w:b/>
                <w:color w:val="FFFFFF" w:themeColor="background1"/>
                <w:sz w:val="20"/>
                <w:szCs w:val="20"/>
              </w:rPr>
            </w:pPr>
            <w:r w:rsidRPr="002405B4">
              <w:rPr>
                <w:b/>
                <w:color w:val="FFFFFF" w:themeColor="background1"/>
                <w:sz w:val="20"/>
                <w:szCs w:val="20"/>
              </w:rPr>
              <w:t>Rozpočet</w:t>
            </w:r>
          </w:p>
        </w:tc>
        <w:tc>
          <w:tcPr>
            <w:tcW w:w="68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51F6B25A" w14:textId="77777777" w:rsidR="008A68FA" w:rsidRPr="002405B4" w:rsidRDefault="008A68FA" w:rsidP="00236949">
            <w:pPr>
              <w:jc w:val="center"/>
              <w:rPr>
                <w:b/>
                <w:color w:val="FFFFFF" w:themeColor="background1"/>
                <w:sz w:val="20"/>
                <w:szCs w:val="20"/>
              </w:rPr>
            </w:pPr>
            <w:r w:rsidRPr="002405B4">
              <w:rPr>
                <w:b/>
                <w:color w:val="FFFFFF" w:themeColor="background1"/>
                <w:sz w:val="20"/>
                <w:szCs w:val="20"/>
              </w:rPr>
              <w:t>Rozdiel</w:t>
            </w:r>
          </w:p>
        </w:tc>
        <w:tc>
          <w:tcPr>
            <w:tcW w:w="680"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05A7495D" w14:textId="77777777" w:rsidR="00A97AC3" w:rsidRDefault="00A97AC3" w:rsidP="00236949">
            <w:pPr>
              <w:jc w:val="center"/>
              <w:rPr>
                <w:b/>
                <w:color w:val="FFFFFF" w:themeColor="background1"/>
                <w:sz w:val="20"/>
                <w:szCs w:val="20"/>
              </w:rPr>
            </w:pPr>
            <w:r>
              <w:rPr>
                <w:b/>
                <w:color w:val="FFFFFF" w:themeColor="background1"/>
                <w:sz w:val="20"/>
                <w:szCs w:val="20"/>
              </w:rPr>
              <w:t>Podiel</w:t>
            </w:r>
          </w:p>
          <w:p w14:paraId="00251957" w14:textId="642F4CEF" w:rsidR="008A68FA" w:rsidRPr="002405B4" w:rsidRDefault="008A68FA" w:rsidP="00236949">
            <w:pPr>
              <w:jc w:val="center"/>
              <w:rPr>
                <w:b/>
                <w:color w:val="FFFFFF" w:themeColor="background1"/>
                <w:sz w:val="20"/>
                <w:szCs w:val="20"/>
              </w:rPr>
            </w:pPr>
            <w:r w:rsidRPr="002405B4">
              <w:rPr>
                <w:b/>
                <w:color w:val="FFFFFF" w:themeColor="background1"/>
                <w:sz w:val="20"/>
                <w:szCs w:val="20"/>
              </w:rPr>
              <w:t>(v %)</w:t>
            </w:r>
          </w:p>
        </w:tc>
      </w:tr>
      <w:tr w:rsidR="008A68FA" w:rsidRPr="002405B4" w14:paraId="57D4D712" w14:textId="77777777" w:rsidTr="008A68FA">
        <w:trPr>
          <w:trHeight w:val="246"/>
          <w:tblHeader/>
        </w:trPr>
        <w:tc>
          <w:tcPr>
            <w:tcW w:w="1597"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6C890740" w14:textId="77777777" w:rsidR="008A68FA" w:rsidRPr="002405B4" w:rsidRDefault="008A68FA" w:rsidP="00236949">
            <w:pPr>
              <w:rPr>
                <w:rFonts w:eastAsia="Calibri"/>
                <w:b/>
                <w:color w:val="FFFFFF" w:themeColor="background1"/>
                <w:sz w:val="20"/>
                <w:szCs w:val="20"/>
              </w:rPr>
            </w:pPr>
          </w:p>
        </w:tc>
        <w:tc>
          <w:tcPr>
            <w:tcW w:w="680"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5FE807C7" w14:textId="77777777" w:rsidR="008A68FA" w:rsidRPr="002405B4" w:rsidRDefault="008A68FA" w:rsidP="00236949">
            <w:pPr>
              <w:rPr>
                <w:b/>
                <w:color w:val="FFFFFF" w:themeColor="background1"/>
                <w:sz w:val="20"/>
                <w:szCs w:val="20"/>
              </w:rPr>
            </w:pPr>
          </w:p>
        </w:tc>
        <w:tc>
          <w:tcPr>
            <w:tcW w:w="68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637F3BED" w14:textId="77777777" w:rsidR="008A68FA" w:rsidRPr="002405B4" w:rsidRDefault="008A68FA" w:rsidP="00236949">
            <w:pPr>
              <w:jc w:val="center"/>
              <w:rPr>
                <w:b/>
                <w:color w:val="FFFFFF" w:themeColor="background1"/>
                <w:sz w:val="20"/>
                <w:szCs w:val="20"/>
              </w:rPr>
            </w:pPr>
            <w:r>
              <w:rPr>
                <w:b/>
                <w:color w:val="FFFFFF" w:themeColor="background1"/>
                <w:sz w:val="20"/>
                <w:szCs w:val="20"/>
              </w:rPr>
              <w:t>2019</w:t>
            </w: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232ADCC0" w14:textId="77777777" w:rsidR="008A68FA" w:rsidRPr="002405B4" w:rsidRDefault="008A68FA" w:rsidP="00236949">
            <w:pPr>
              <w:jc w:val="center"/>
              <w:rPr>
                <w:b/>
                <w:color w:val="FFFFFF" w:themeColor="background1"/>
                <w:sz w:val="20"/>
                <w:szCs w:val="20"/>
              </w:rPr>
            </w:pPr>
            <w:r>
              <w:rPr>
                <w:b/>
                <w:color w:val="FFFFFF" w:themeColor="background1"/>
                <w:sz w:val="20"/>
                <w:szCs w:val="20"/>
              </w:rPr>
              <w:t>2020</w:t>
            </w:r>
          </w:p>
        </w:tc>
        <w:tc>
          <w:tcPr>
            <w:tcW w:w="680"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3E636992" w14:textId="77777777" w:rsidR="008A68FA" w:rsidRPr="002405B4" w:rsidRDefault="008A68FA" w:rsidP="00236949">
            <w:pPr>
              <w:rPr>
                <w:b/>
                <w:color w:val="FFFFFF" w:themeColor="background1"/>
                <w:sz w:val="20"/>
                <w:szCs w:val="20"/>
              </w:rPr>
            </w:pPr>
          </w:p>
        </w:tc>
        <w:tc>
          <w:tcPr>
            <w:tcW w:w="680" w:type="pct"/>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06D5EC3F" w14:textId="77777777" w:rsidR="008A68FA" w:rsidRPr="002405B4" w:rsidRDefault="008A68FA" w:rsidP="00236949">
            <w:pPr>
              <w:rPr>
                <w:b/>
                <w:color w:val="FFFFFF" w:themeColor="background1"/>
                <w:sz w:val="20"/>
                <w:szCs w:val="20"/>
              </w:rPr>
            </w:pPr>
          </w:p>
        </w:tc>
      </w:tr>
      <w:tr w:rsidR="008A68FA" w:rsidRPr="002405B4" w14:paraId="778B8591" w14:textId="77777777" w:rsidTr="008A68FA">
        <w:trPr>
          <w:trHeight w:val="236"/>
          <w:tblHeader/>
        </w:trPr>
        <w:tc>
          <w:tcPr>
            <w:tcW w:w="1597" w:type="pct"/>
            <w:tcBorders>
              <w:top w:val="single" w:sz="4" w:space="0" w:color="auto"/>
              <w:left w:val="single" w:sz="4" w:space="0" w:color="auto"/>
              <w:bottom w:val="single" w:sz="4" w:space="0" w:color="auto"/>
              <w:right w:val="single" w:sz="4" w:space="0" w:color="auto"/>
            </w:tcBorders>
            <w:vAlign w:val="center"/>
            <w:hideMark/>
          </w:tcPr>
          <w:p w14:paraId="1B4BB17F" w14:textId="77777777" w:rsidR="008A68FA" w:rsidRPr="002405B4" w:rsidRDefault="008A68FA" w:rsidP="00236949">
            <w:pPr>
              <w:jc w:val="center"/>
              <w:rPr>
                <w:bCs/>
                <w:sz w:val="20"/>
                <w:szCs w:val="20"/>
              </w:rPr>
            </w:pPr>
            <w:r w:rsidRPr="002405B4">
              <w:rPr>
                <w:bCs/>
                <w:sz w:val="20"/>
                <w:szCs w:val="20"/>
              </w:rPr>
              <w:t>a</w:t>
            </w:r>
          </w:p>
        </w:tc>
        <w:tc>
          <w:tcPr>
            <w:tcW w:w="680" w:type="pct"/>
            <w:tcBorders>
              <w:top w:val="single" w:sz="4" w:space="0" w:color="auto"/>
              <w:left w:val="single" w:sz="4" w:space="0" w:color="auto"/>
              <w:bottom w:val="single" w:sz="4" w:space="0" w:color="auto"/>
              <w:right w:val="single" w:sz="4" w:space="0" w:color="auto"/>
            </w:tcBorders>
            <w:hideMark/>
          </w:tcPr>
          <w:p w14:paraId="41E51474" w14:textId="77777777" w:rsidR="008A68FA" w:rsidRPr="002405B4" w:rsidRDefault="008A68FA" w:rsidP="00236949">
            <w:pPr>
              <w:jc w:val="center"/>
              <w:rPr>
                <w:sz w:val="20"/>
                <w:szCs w:val="20"/>
              </w:rPr>
            </w:pPr>
            <w:r w:rsidRPr="002405B4">
              <w:rPr>
                <w:sz w:val="20"/>
                <w:szCs w:val="20"/>
              </w:rPr>
              <w:t>1</w:t>
            </w:r>
          </w:p>
        </w:tc>
        <w:tc>
          <w:tcPr>
            <w:tcW w:w="680" w:type="pct"/>
            <w:tcBorders>
              <w:top w:val="single" w:sz="4" w:space="0" w:color="auto"/>
              <w:left w:val="single" w:sz="4" w:space="0" w:color="auto"/>
              <w:bottom w:val="single" w:sz="4" w:space="0" w:color="auto"/>
              <w:right w:val="single" w:sz="4" w:space="0" w:color="auto"/>
            </w:tcBorders>
            <w:hideMark/>
          </w:tcPr>
          <w:p w14:paraId="0C4E6C47" w14:textId="77777777" w:rsidR="008A68FA" w:rsidRPr="002405B4" w:rsidRDefault="008A68FA" w:rsidP="00236949">
            <w:pPr>
              <w:jc w:val="center"/>
              <w:rPr>
                <w:sz w:val="20"/>
                <w:szCs w:val="20"/>
              </w:rPr>
            </w:pPr>
            <w:r w:rsidRPr="002405B4">
              <w:rPr>
                <w:sz w:val="20"/>
                <w:szCs w:val="20"/>
              </w:rPr>
              <w:t>2</w:t>
            </w:r>
          </w:p>
        </w:tc>
        <w:tc>
          <w:tcPr>
            <w:tcW w:w="681" w:type="pct"/>
            <w:tcBorders>
              <w:top w:val="single" w:sz="4" w:space="0" w:color="auto"/>
              <w:left w:val="single" w:sz="4" w:space="0" w:color="auto"/>
              <w:bottom w:val="single" w:sz="4" w:space="0" w:color="auto"/>
              <w:right w:val="single" w:sz="4" w:space="0" w:color="auto"/>
            </w:tcBorders>
            <w:hideMark/>
          </w:tcPr>
          <w:p w14:paraId="379C93DE" w14:textId="77777777" w:rsidR="008A68FA" w:rsidRPr="002405B4" w:rsidRDefault="008A68FA" w:rsidP="00236949">
            <w:pPr>
              <w:jc w:val="center"/>
              <w:rPr>
                <w:sz w:val="20"/>
                <w:szCs w:val="20"/>
              </w:rPr>
            </w:pPr>
            <w:r w:rsidRPr="002405B4">
              <w:rPr>
                <w:sz w:val="20"/>
                <w:szCs w:val="20"/>
              </w:rPr>
              <w:t>3</w:t>
            </w:r>
          </w:p>
        </w:tc>
        <w:tc>
          <w:tcPr>
            <w:tcW w:w="680" w:type="pct"/>
            <w:tcBorders>
              <w:top w:val="single" w:sz="4" w:space="0" w:color="auto"/>
              <w:left w:val="single" w:sz="4" w:space="0" w:color="auto"/>
              <w:bottom w:val="single" w:sz="4" w:space="0" w:color="auto"/>
              <w:right w:val="single" w:sz="4" w:space="0" w:color="auto"/>
            </w:tcBorders>
            <w:hideMark/>
          </w:tcPr>
          <w:p w14:paraId="0CE18EB5" w14:textId="77777777" w:rsidR="008A68FA" w:rsidRPr="002405B4" w:rsidRDefault="008A68FA" w:rsidP="00236949">
            <w:pPr>
              <w:jc w:val="center"/>
              <w:rPr>
                <w:sz w:val="20"/>
                <w:szCs w:val="20"/>
              </w:rPr>
            </w:pPr>
            <w:r w:rsidRPr="002405B4">
              <w:rPr>
                <w:sz w:val="20"/>
                <w:szCs w:val="20"/>
              </w:rPr>
              <w:t>3-2</w:t>
            </w:r>
          </w:p>
        </w:tc>
        <w:tc>
          <w:tcPr>
            <w:tcW w:w="680" w:type="pct"/>
            <w:tcBorders>
              <w:top w:val="single" w:sz="4" w:space="0" w:color="auto"/>
              <w:left w:val="single" w:sz="4" w:space="0" w:color="auto"/>
              <w:bottom w:val="single" w:sz="4" w:space="0" w:color="auto"/>
              <w:right w:val="single" w:sz="4" w:space="0" w:color="auto"/>
            </w:tcBorders>
            <w:hideMark/>
          </w:tcPr>
          <w:p w14:paraId="442C6E2D" w14:textId="77777777" w:rsidR="008A68FA" w:rsidRPr="002405B4" w:rsidRDefault="008A68FA" w:rsidP="00236949">
            <w:pPr>
              <w:jc w:val="center"/>
              <w:rPr>
                <w:sz w:val="20"/>
                <w:szCs w:val="20"/>
              </w:rPr>
            </w:pPr>
            <w:r w:rsidRPr="002405B4">
              <w:rPr>
                <w:sz w:val="20"/>
                <w:szCs w:val="20"/>
              </w:rPr>
              <w:t>3/2*100</w:t>
            </w:r>
          </w:p>
        </w:tc>
      </w:tr>
      <w:tr w:rsidR="008A68FA" w:rsidRPr="002405B4" w14:paraId="119F3C19" w14:textId="77777777" w:rsidTr="008A68FA">
        <w:trPr>
          <w:trHeight w:val="236"/>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007FB" w14:textId="77777777" w:rsidR="008A68FA" w:rsidRPr="002405B4" w:rsidRDefault="008A68FA" w:rsidP="00236949">
            <w:pPr>
              <w:rPr>
                <w:bCs/>
                <w:sz w:val="20"/>
                <w:szCs w:val="20"/>
              </w:rPr>
            </w:pPr>
            <w:r w:rsidRPr="002405B4">
              <w:rPr>
                <w:bCs/>
                <w:sz w:val="20"/>
                <w:szCs w:val="20"/>
              </w:rPr>
              <w:t>Príjmy VÚC spolu</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F0F36" w14:textId="77777777" w:rsidR="008A68FA" w:rsidRPr="002405B4" w:rsidRDefault="008A68FA" w:rsidP="00236949">
            <w:pPr>
              <w:jc w:val="right"/>
              <w:rPr>
                <w:bCs/>
                <w:sz w:val="20"/>
                <w:szCs w:val="20"/>
              </w:rPr>
            </w:pPr>
            <w:r w:rsidRPr="00D93805">
              <w:rPr>
                <w:bCs/>
                <w:sz w:val="20"/>
                <w:szCs w:val="20"/>
              </w:rPr>
              <w:t>1 585 465</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75B18" w14:textId="77777777" w:rsidR="008A68FA" w:rsidRPr="002405B4" w:rsidRDefault="008A68FA" w:rsidP="00236949">
            <w:pPr>
              <w:jc w:val="right"/>
              <w:rPr>
                <w:bCs/>
                <w:sz w:val="20"/>
                <w:szCs w:val="20"/>
              </w:rPr>
            </w:pPr>
            <w:r w:rsidRPr="002405B4">
              <w:rPr>
                <w:bCs/>
                <w:sz w:val="20"/>
                <w:szCs w:val="20"/>
              </w:rPr>
              <w:t>1 662 137</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E5E58" w14:textId="77777777" w:rsidR="008A68FA" w:rsidRPr="00D93805" w:rsidRDefault="008A68FA" w:rsidP="00236949">
            <w:pPr>
              <w:jc w:val="right"/>
              <w:rPr>
                <w:bCs/>
                <w:sz w:val="20"/>
                <w:szCs w:val="20"/>
              </w:rPr>
            </w:pPr>
            <w:r w:rsidRPr="00AB5228">
              <w:rPr>
                <w:bCs/>
                <w:sz w:val="20"/>
                <w:szCs w:val="20"/>
              </w:rPr>
              <w:t xml:space="preserve">1 813 723 </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61967" w14:textId="77777777" w:rsidR="008A68FA" w:rsidRPr="00D93805" w:rsidRDefault="008A68FA" w:rsidP="00236949">
            <w:pPr>
              <w:jc w:val="right"/>
              <w:rPr>
                <w:bCs/>
                <w:sz w:val="20"/>
                <w:szCs w:val="20"/>
              </w:rPr>
            </w:pPr>
            <w:r w:rsidRPr="00D93805">
              <w:rPr>
                <w:bCs/>
                <w:sz w:val="20"/>
                <w:szCs w:val="20"/>
              </w:rPr>
              <w:t>151</w:t>
            </w:r>
            <w:r>
              <w:rPr>
                <w:bCs/>
                <w:sz w:val="20"/>
                <w:szCs w:val="20"/>
              </w:rPr>
              <w:t xml:space="preserve"> </w:t>
            </w:r>
            <w:r w:rsidRPr="00D93805">
              <w:rPr>
                <w:bCs/>
                <w:sz w:val="20"/>
                <w:szCs w:val="20"/>
              </w:rPr>
              <w:t>586</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9708B" w14:textId="77777777" w:rsidR="008A68FA" w:rsidRPr="00D93805" w:rsidRDefault="008A68FA" w:rsidP="00236949">
            <w:pPr>
              <w:jc w:val="right"/>
              <w:rPr>
                <w:bCs/>
                <w:sz w:val="20"/>
                <w:szCs w:val="20"/>
              </w:rPr>
            </w:pPr>
            <w:r w:rsidRPr="00D93805">
              <w:rPr>
                <w:bCs/>
                <w:sz w:val="20"/>
                <w:szCs w:val="20"/>
              </w:rPr>
              <w:t>109,1</w:t>
            </w:r>
          </w:p>
        </w:tc>
      </w:tr>
      <w:tr w:rsidR="008A68FA" w:rsidRPr="002405B4" w14:paraId="6C23C29A" w14:textId="77777777" w:rsidTr="008A68FA">
        <w:trPr>
          <w:trHeight w:val="236"/>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13605" w14:textId="77777777" w:rsidR="008A68FA" w:rsidRPr="002405B4" w:rsidRDefault="008A68FA" w:rsidP="00236949">
            <w:pPr>
              <w:rPr>
                <w:bCs/>
                <w:sz w:val="20"/>
                <w:szCs w:val="20"/>
              </w:rPr>
            </w:pPr>
            <w:r w:rsidRPr="002405B4">
              <w:rPr>
                <w:bCs/>
                <w:sz w:val="20"/>
                <w:szCs w:val="20"/>
              </w:rPr>
              <w:t>Výdavky VÚC spolu</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2145E" w14:textId="77777777" w:rsidR="008A68FA" w:rsidRPr="002405B4" w:rsidRDefault="008A68FA" w:rsidP="00236949">
            <w:pPr>
              <w:jc w:val="right"/>
              <w:rPr>
                <w:bCs/>
                <w:sz w:val="20"/>
                <w:szCs w:val="20"/>
              </w:rPr>
            </w:pPr>
            <w:r w:rsidRPr="00D93805">
              <w:rPr>
                <w:bCs/>
                <w:sz w:val="20"/>
                <w:szCs w:val="20"/>
              </w:rPr>
              <w:t>1 374 785</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4169E" w14:textId="77777777" w:rsidR="008A68FA" w:rsidRPr="002405B4" w:rsidRDefault="008A68FA" w:rsidP="00236949">
            <w:pPr>
              <w:jc w:val="right"/>
              <w:rPr>
                <w:bCs/>
                <w:sz w:val="20"/>
                <w:szCs w:val="20"/>
              </w:rPr>
            </w:pPr>
            <w:r w:rsidRPr="002405B4">
              <w:rPr>
                <w:bCs/>
                <w:sz w:val="20"/>
                <w:szCs w:val="20"/>
              </w:rPr>
              <w:t>1 451 044</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47547" w14:textId="77777777" w:rsidR="008A68FA" w:rsidRPr="00D93805" w:rsidRDefault="008A68FA" w:rsidP="00236949">
            <w:pPr>
              <w:jc w:val="right"/>
              <w:rPr>
                <w:bCs/>
                <w:sz w:val="20"/>
                <w:szCs w:val="20"/>
              </w:rPr>
            </w:pPr>
            <w:r w:rsidRPr="00AB5228">
              <w:rPr>
                <w:bCs/>
                <w:sz w:val="20"/>
                <w:szCs w:val="20"/>
              </w:rPr>
              <w:t xml:space="preserve">1 579 520 </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40260" w14:textId="77777777" w:rsidR="008A68FA" w:rsidRPr="00D93805" w:rsidRDefault="008A68FA" w:rsidP="00236949">
            <w:pPr>
              <w:jc w:val="right"/>
              <w:rPr>
                <w:bCs/>
                <w:sz w:val="20"/>
                <w:szCs w:val="20"/>
              </w:rPr>
            </w:pPr>
            <w:r w:rsidRPr="00D93805">
              <w:rPr>
                <w:bCs/>
                <w:sz w:val="20"/>
                <w:szCs w:val="20"/>
              </w:rPr>
              <w:t>128</w:t>
            </w:r>
            <w:r>
              <w:rPr>
                <w:bCs/>
                <w:sz w:val="20"/>
                <w:szCs w:val="20"/>
              </w:rPr>
              <w:t xml:space="preserve"> </w:t>
            </w:r>
            <w:r w:rsidRPr="00D93805">
              <w:rPr>
                <w:bCs/>
                <w:sz w:val="20"/>
                <w:szCs w:val="20"/>
              </w:rPr>
              <w:t>476</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C180F" w14:textId="77777777" w:rsidR="008A68FA" w:rsidRPr="00D93805" w:rsidRDefault="008A68FA" w:rsidP="00236949">
            <w:pPr>
              <w:jc w:val="right"/>
              <w:rPr>
                <w:bCs/>
                <w:sz w:val="20"/>
                <w:szCs w:val="20"/>
              </w:rPr>
            </w:pPr>
            <w:r w:rsidRPr="00D93805">
              <w:rPr>
                <w:bCs/>
                <w:sz w:val="20"/>
                <w:szCs w:val="20"/>
              </w:rPr>
              <w:t>108,9</w:t>
            </w:r>
          </w:p>
        </w:tc>
      </w:tr>
      <w:tr w:rsidR="008A68FA" w:rsidRPr="002405B4" w14:paraId="5E424F6F" w14:textId="77777777" w:rsidTr="008A68FA">
        <w:trPr>
          <w:trHeight w:val="236"/>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D6EE7" w14:textId="77777777" w:rsidR="008A68FA" w:rsidRPr="002405B4" w:rsidRDefault="008A68FA" w:rsidP="00236949">
            <w:pPr>
              <w:rPr>
                <w:bCs/>
                <w:sz w:val="20"/>
                <w:szCs w:val="20"/>
              </w:rPr>
            </w:pPr>
            <w:r w:rsidRPr="002405B4">
              <w:rPr>
                <w:bCs/>
                <w:sz w:val="20"/>
                <w:szCs w:val="20"/>
              </w:rPr>
              <w:t>Celkový prebytok VÚC spolu</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46F8E" w14:textId="77777777" w:rsidR="008A68FA" w:rsidRPr="002405B4" w:rsidRDefault="008A68FA" w:rsidP="00236949">
            <w:pPr>
              <w:jc w:val="right"/>
              <w:rPr>
                <w:bCs/>
                <w:sz w:val="20"/>
                <w:szCs w:val="20"/>
              </w:rPr>
            </w:pPr>
            <w:r w:rsidRPr="00D93805">
              <w:rPr>
                <w:bCs/>
                <w:sz w:val="20"/>
                <w:szCs w:val="20"/>
              </w:rPr>
              <w:t>210 680</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87A0B" w14:textId="77777777" w:rsidR="008A68FA" w:rsidRPr="002405B4" w:rsidRDefault="008A68FA" w:rsidP="00236949">
            <w:pPr>
              <w:jc w:val="right"/>
              <w:rPr>
                <w:bCs/>
                <w:sz w:val="20"/>
                <w:szCs w:val="20"/>
              </w:rPr>
            </w:pPr>
            <w:r w:rsidRPr="002405B4">
              <w:rPr>
                <w:bCs/>
                <w:sz w:val="20"/>
                <w:szCs w:val="20"/>
              </w:rPr>
              <w:t>211 093</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EE192" w14:textId="77777777" w:rsidR="008A68FA" w:rsidRPr="00D93805" w:rsidRDefault="008A68FA" w:rsidP="00236949">
            <w:pPr>
              <w:jc w:val="right"/>
              <w:rPr>
                <w:bCs/>
                <w:sz w:val="20"/>
                <w:szCs w:val="20"/>
              </w:rPr>
            </w:pPr>
            <w:r w:rsidRPr="00AB5228">
              <w:rPr>
                <w:bCs/>
                <w:sz w:val="20"/>
                <w:szCs w:val="20"/>
              </w:rPr>
              <w:t xml:space="preserve">234 203 </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07541" w14:textId="77777777" w:rsidR="008A68FA" w:rsidRPr="00D93805" w:rsidRDefault="008A68FA" w:rsidP="00236949">
            <w:pPr>
              <w:jc w:val="right"/>
              <w:rPr>
                <w:bCs/>
                <w:sz w:val="20"/>
                <w:szCs w:val="20"/>
              </w:rPr>
            </w:pPr>
            <w:r w:rsidRPr="00D93805">
              <w:rPr>
                <w:bCs/>
                <w:sz w:val="20"/>
                <w:szCs w:val="20"/>
              </w:rPr>
              <w:t>23</w:t>
            </w:r>
            <w:r>
              <w:rPr>
                <w:bCs/>
                <w:sz w:val="20"/>
                <w:szCs w:val="20"/>
              </w:rPr>
              <w:t xml:space="preserve"> </w:t>
            </w:r>
            <w:r w:rsidRPr="00D93805">
              <w:rPr>
                <w:bCs/>
                <w:sz w:val="20"/>
                <w:szCs w:val="20"/>
              </w:rPr>
              <w:t>110</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F28EF" w14:textId="77777777" w:rsidR="008A68FA" w:rsidRPr="00D93805" w:rsidRDefault="008A68FA" w:rsidP="00236949">
            <w:pPr>
              <w:jc w:val="right"/>
              <w:rPr>
                <w:bCs/>
                <w:sz w:val="20"/>
                <w:szCs w:val="20"/>
              </w:rPr>
            </w:pPr>
            <w:r w:rsidRPr="00D93805">
              <w:rPr>
                <w:bCs/>
                <w:sz w:val="20"/>
                <w:szCs w:val="20"/>
              </w:rPr>
              <w:t>110,9</w:t>
            </w:r>
          </w:p>
        </w:tc>
      </w:tr>
      <w:tr w:rsidR="008A68FA" w:rsidRPr="002405B4" w14:paraId="29842DE6" w14:textId="77777777" w:rsidTr="008A68FA">
        <w:trPr>
          <w:trHeight w:val="236"/>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E43C5" w14:textId="77777777" w:rsidR="008A68FA" w:rsidRPr="002405B4" w:rsidRDefault="008A68FA" w:rsidP="00236949">
            <w:pPr>
              <w:rPr>
                <w:bCs/>
                <w:i/>
                <w:iCs/>
                <w:sz w:val="20"/>
                <w:szCs w:val="20"/>
              </w:rPr>
            </w:pPr>
            <w:r w:rsidRPr="002405B4">
              <w:rPr>
                <w:bCs/>
                <w:i/>
                <w:iCs/>
                <w:sz w:val="20"/>
                <w:szCs w:val="20"/>
              </w:rPr>
              <w:t>vylúčenie finančných operácií</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AAC5E" w14:textId="77777777" w:rsidR="008A68FA" w:rsidRPr="002405B4" w:rsidRDefault="008A68FA" w:rsidP="00236949">
            <w:pPr>
              <w:jc w:val="right"/>
              <w:rPr>
                <w:sz w:val="20"/>
                <w:szCs w:val="20"/>
              </w:rPr>
            </w:pPr>
            <w:r w:rsidRPr="00D93805">
              <w:rPr>
                <w:sz w:val="20"/>
                <w:szCs w:val="20"/>
              </w:rPr>
              <w:t>-112 313</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356C9" w14:textId="77777777" w:rsidR="008A68FA" w:rsidRPr="002405B4" w:rsidRDefault="008A68FA" w:rsidP="00236949">
            <w:pPr>
              <w:jc w:val="right"/>
              <w:rPr>
                <w:sz w:val="20"/>
                <w:szCs w:val="20"/>
              </w:rPr>
            </w:pPr>
            <w:r w:rsidRPr="002405B4">
              <w:rPr>
                <w:sz w:val="20"/>
                <w:szCs w:val="20"/>
              </w:rPr>
              <w:t>-89 000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1F2E" w14:textId="77777777" w:rsidR="008A68FA" w:rsidRPr="00D93805" w:rsidRDefault="008A68FA" w:rsidP="00236949">
            <w:pPr>
              <w:jc w:val="right"/>
              <w:rPr>
                <w:bCs/>
                <w:sz w:val="20"/>
                <w:szCs w:val="20"/>
              </w:rPr>
            </w:pPr>
            <w:r w:rsidRPr="00AB5228">
              <w:rPr>
                <w:bCs/>
                <w:sz w:val="20"/>
                <w:szCs w:val="20"/>
              </w:rPr>
              <w:t xml:space="preserve">- 99 000 </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A1075" w14:textId="77777777" w:rsidR="008A68FA" w:rsidRPr="00D93805" w:rsidRDefault="008A68FA" w:rsidP="00236949">
            <w:pPr>
              <w:jc w:val="right"/>
              <w:rPr>
                <w:bCs/>
                <w:sz w:val="20"/>
                <w:szCs w:val="20"/>
              </w:rPr>
            </w:pPr>
            <w:r w:rsidRPr="00D93805">
              <w:rPr>
                <w:bCs/>
                <w:sz w:val="20"/>
                <w:szCs w:val="20"/>
              </w:rPr>
              <w:t>-10</w:t>
            </w:r>
            <w:r>
              <w:rPr>
                <w:bCs/>
                <w:sz w:val="20"/>
                <w:szCs w:val="20"/>
              </w:rPr>
              <w:t xml:space="preserve"> </w:t>
            </w:r>
            <w:r w:rsidRPr="00D93805">
              <w:rPr>
                <w:bCs/>
                <w:sz w:val="20"/>
                <w:szCs w:val="20"/>
              </w:rPr>
              <w:t>000</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65629" w14:textId="77777777" w:rsidR="008A68FA" w:rsidRPr="00D93805" w:rsidRDefault="008A68FA" w:rsidP="00236949">
            <w:pPr>
              <w:jc w:val="right"/>
              <w:rPr>
                <w:bCs/>
                <w:sz w:val="20"/>
                <w:szCs w:val="20"/>
              </w:rPr>
            </w:pPr>
            <w:r w:rsidRPr="00D93805">
              <w:rPr>
                <w:bCs/>
                <w:sz w:val="20"/>
                <w:szCs w:val="20"/>
              </w:rPr>
              <w:t>111,2</w:t>
            </w:r>
          </w:p>
        </w:tc>
      </w:tr>
      <w:tr w:rsidR="008A68FA" w:rsidRPr="002405B4" w14:paraId="7C676E20" w14:textId="77777777" w:rsidTr="008A68FA">
        <w:trPr>
          <w:trHeight w:val="472"/>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1A393" w14:textId="77777777" w:rsidR="008A68FA" w:rsidRPr="002405B4" w:rsidRDefault="008A68FA" w:rsidP="00236949">
            <w:pPr>
              <w:rPr>
                <w:bCs/>
                <w:i/>
                <w:iCs/>
                <w:sz w:val="20"/>
                <w:szCs w:val="20"/>
              </w:rPr>
            </w:pPr>
            <w:r w:rsidRPr="002405B4">
              <w:rPr>
                <w:bCs/>
                <w:i/>
                <w:iCs/>
                <w:sz w:val="20"/>
                <w:szCs w:val="20"/>
              </w:rPr>
              <w:t>zahrnutie časového rozlíšenia a ostatné úpravy</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D2222" w14:textId="77777777" w:rsidR="008A68FA" w:rsidRPr="002405B4" w:rsidRDefault="008A68FA" w:rsidP="00236949">
            <w:pPr>
              <w:jc w:val="right"/>
              <w:rPr>
                <w:sz w:val="20"/>
                <w:szCs w:val="20"/>
              </w:rPr>
            </w:pPr>
            <w:r w:rsidRPr="00D93805">
              <w:rPr>
                <w:sz w:val="20"/>
                <w:szCs w:val="20"/>
              </w:rPr>
              <w:t>4 456</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34320" w14:textId="77777777" w:rsidR="008A68FA" w:rsidRPr="002405B4" w:rsidRDefault="008A68FA" w:rsidP="00236949">
            <w:pPr>
              <w:jc w:val="right"/>
              <w:rPr>
                <w:sz w:val="20"/>
                <w:szCs w:val="20"/>
              </w:rPr>
            </w:pPr>
            <w:r w:rsidRPr="002405B4">
              <w:rPr>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2F51F" w14:textId="77777777" w:rsidR="008A68FA" w:rsidRPr="00D93805" w:rsidRDefault="008A68FA" w:rsidP="00236949">
            <w:pPr>
              <w:jc w:val="right"/>
              <w:rPr>
                <w:bCs/>
                <w:sz w:val="20"/>
                <w:szCs w:val="20"/>
              </w:rPr>
            </w:pPr>
            <w:r w:rsidRPr="00AB5228">
              <w:rPr>
                <w:bCs/>
                <w:sz w:val="20"/>
                <w:szCs w:val="20"/>
              </w:rPr>
              <w:t xml:space="preserve">0 </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27F93" w14:textId="77777777" w:rsidR="008A68FA" w:rsidRPr="00D93805" w:rsidRDefault="008A68FA" w:rsidP="00236949">
            <w:pPr>
              <w:jc w:val="right"/>
              <w:rPr>
                <w:bCs/>
                <w:sz w:val="20"/>
                <w:szCs w:val="20"/>
              </w:rPr>
            </w:pPr>
            <w:r w:rsidRPr="00D93805">
              <w:rPr>
                <w:bCs/>
                <w:sz w:val="20"/>
                <w:szCs w:val="20"/>
              </w:rPr>
              <w:t>0</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51805" w14:textId="77777777" w:rsidR="008A68FA" w:rsidRPr="00D93805" w:rsidRDefault="008A68FA" w:rsidP="00236949">
            <w:pPr>
              <w:jc w:val="right"/>
              <w:rPr>
                <w:bCs/>
                <w:sz w:val="20"/>
                <w:szCs w:val="20"/>
              </w:rPr>
            </w:pPr>
            <w:r>
              <w:rPr>
                <w:bCs/>
                <w:sz w:val="20"/>
                <w:szCs w:val="20"/>
              </w:rPr>
              <w:t>-</w:t>
            </w:r>
          </w:p>
        </w:tc>
      </w:tr>
      <w:tr w:rsidR="008A68FA" w:rsidRPr="002405B4" w14:paraId="28ADECC8" w14:textId="77777777" w:rsidTr="008A68FA">
        <w:trPr>
          <w:trHeight w:val="462"/>
        </w:trPr>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8BA90" w14:textId="77777777" w:rsidR="008A68FA" w:rsidRPr="002405B4" w:rsidRDefault="008A68FA" w:rsidP="00236949">
            <w:pPr>
              <w:rPr>
                <w:bCs/>
                <w:sz w:val="20"/>
                <w:szCs w:val="20"/>
              </w:rPr>
            </w:pPr>
            <w:r w:rsidRPr="002405B4">
              <w:rPr>
                <w:bCs/>
                <w:sz w:val="20"/>
                <w:szCs w:val="20"/>
              </w:rPr>
              <w:t>Prebytok (+) / schodok (-) VÚC spolu (ESA 2010)</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9E062" w14:textId="77777777" w:rsidR="008A68FA" w:rsidRPr="002405B4" w:rsidRDefault="008A68FA" w:rsidP="00236949">
            <w:pPr>
              <w:jc w:val="right"/>
              <w:rPr>
                <w:sz w:val="20"/>
                <w:szCs w:val="20"/>
              </w:rPr>
            </w:pPr>
            <w:r w:rsidRPr="00D93805">
              <w:rPr>
                <w:sz w:val="20"/>
                <w:szCs w:val="20"/>
              </w:rPr>
              <w:t>102 823</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1E0AD" w14:textId="77777777" w:rsidR="008A68FA" w:rsidRPr="002405B4" w:rsidRDefault="008A68FA" w:rsidP="00236949">
            <w:pPr>
              <w:jc w:val="right"/>
              <w:rPr>
                <w:sz w:val="20"/>
                <w:szCs w:val="20"/>
              </w:rPr>
            </w:pPr>
            <w:r w:rsidRPr="002405B4">
              <w:rPr>
                <w:sz w:val="20"/>
                <w:szCs w:val="20"/>
              </w:rPr>
              <w:t>122 093</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514DB" w14:textId="77777777" w:rsidR="008A68FA" w:rsidRPr="00D93805" w:rsidRDefault="008A68FA" w:rsidP="00236949">
            <w:pPr>
              <w:jc w:val="right"/>
              <w:rPr>
                <w:bCs/>
                <w:sz w:val="20"/>
                <w:szCs w:val="20"/>
              </w:rPr>
            </w:pPr>
            <w:r w:rsidRPr="00AB5228">
              <w:rPr>
                <w:bCs/>
                <w:sz w:val="20"/>
                <w:szCs w:val="20"/>
              </w:rPr>
              <w:t xml:space="preserve">135 203 </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DDE64" w14:textId="77777777" w:rsidR="008A68FA" w:rsidRPr="00D93805" w:rsidRDefault="008A68FA" w:rsidP="00236949">
            <w:pPr>
              <w:jc w:val="right"/>
              <w:rPr>
                <w:bCs/>
                <w:sz w:val="20"/>
                <w:szCs w:val="20"/>
              </w:rPr>
            </w:pPr>
            <w:r w:rsidRPr="00D93805">
              <w:rPr>
                <w:bCs/>
                <w:sz w:val="20"/>
                <w:szCs w:val="20"/>
              </w:rPr>
              <w:t>13</w:t>
            </w:r>
            <w:r>
              <w:rPr>
                <w:bCs/>
                <w:sz w:val="20"/>
                <w:szCs w:val="20"/>
              </w:rPr>
              <w:t xml:space="preserve"> </w:t>
            </w:r>
            <w:r w:rsidRPr="00D93805">
              <w:rPr>
                <w:bCs/>
                <w:sz w:val="20"/>
                <w:szCs w:val="20"/>
              </w:rPr>
              <w:t>110</w:t>
            </w:r>
          </w:p>
        </w:tc>
        <w:tc>
          <w:tcPr>
            <w:tcW w:w="6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96B15" w14:textId="77777777" w:rsidR="008A68FA" w:rsidRPr="00D93805" w:rsidRDefault="008A68FA" w:rsidP="00236949">
            <w:pPr>
              <w:jc w:val="right"/>
              <w:rPr>
                <w:bCs/>
                <w:sz w:val="20"/>
                <w:szCs w:val="20"/>
              </w:rPr>
            </w:pPr>
            <w:r w:rsidRPr="00D93805">
              <w:rPr>
                <w:bCs/>
                <w:sz w:val="20"/>
                <w:szCs w:val="20"/>
              </w:rPr>
              <w:t>110,7</w:t>
            </w:r>
          </w:p>
        </w:tc>
      </w:tr>
    </w:tbl>
    <w:p w14:paraId="33617A91" w14:textId="77777777" w:rsidR="008A68FA" w:rsidRPr="00A97AC3" w:rsidRDefault="008A68FA" w:rsidP="008A68FA">
      <w:pPr>
        <w:spacing w:after="120"/>
        <w:jc w:val="both"/>
        <w:rPr>
          <w:rFonts w:eastAsiaTheme="minorEastAsia"/>
          <w:i/>
          <w:sz w:val="20"/>
        </w:rPr>
      </w:pPr>
      <w:r w:rsidRPr="00A97AC3">
        <w:rPr>
          <w:rFonts w:eastAsiaTheme="minorEastAsia"/>
          <w:i/>
          <w:sz w:val="18"/>
          <w:szCs w:val="20"/>
        </w:rPr>
        <w:t>Zdroj: Návrh RVS na roky 2020 až 2022</w:t>
      </w:r>
    </w:p>
    <w:p w14:paraId="31F4B332" w14:textId="0651FF9E" w:rsidR="008A68FA" w:rsidRPr="009B30E4" w:rsidRDefault="008A68FA" w:rsidP="008A68FA">
      <w:pPr>
        <w:spacing w:after="120"/>
        <w:ind w:firstLine="708"/>
        <w:jc w:val="both"/>
      </w:pPr>
      <w:r w:rsidRPr="0016214E">
        <w:t>Bilančný zostatok VÚC na akruálnej báze v metodike ESA 2010 sa má v ro</w:t>
      </w:r>
      <w:r w:rsidR="00B339DA">
        <w:t>ku 2020 medziročne zlepšiť o 13 </w:t>
      </w:r>
      <w:r w:rsidRPr="0016214E">
        <w:t xml:space="preserve">110 tis. eur oproti rozpočtu na rok 2019 na úroveň 135 203 tis. eur. </w:t>
      </w:r>
      <w:r w:rsidRPr="00D762E8">
        <w:t>Porovnanie návrhu rozpočtu príjmov VÚC na hotovostnej bá</w:t>
      </w:r>
      <w:r>
        <w:t>ze v návrhu rozpočtu na rok 2020</w:t>
      </w:r>
      <w:r w:rsidRPr="00D762E8">
        <w:t xml:space="preserve"> so schválený</w:t>
      </w:r>
      <w:r>
        <w:t>m rozpočtom na rok 2019</w:t>
      </w:r>
      <w:r w:rsidRPr="00D762E8">
        <w:t xml:space="preserve"> a skutočným pl</w:t>
      </w:r>
      <w:r>
        <w:t>nením rozpočtu za rok 2018</w:t>
      </w:r>
      <w:r w:rsidR="00306ED2">
        <w:t xml:space="preserve"> obsahuje Tabuľka 5 v prílohe. </w:t>
      </w:r>
      <w:r w:rsidRPr="009B30E4">
        <w:t xml:space="preserve">Celkové príjmy VÚC na hotovostnej báze sa v roku 2020 majú medziročne zvýšiť o 151 586 tis. eur na úroveň 1 813 723 tis. eur, z toho najvýznamnejší rastúci podiel majú zaznamenať granty a transfery (medziročný rast o 104 814 tis. eur) a prevod DPFO (medziročný rast o 36 772 tis. eur). </w:t>
      </w:r>
    </w:p>
    <w:p w14:paraId="6255D73A" w14:textId="4D4113AF" w:rsidR="008A68FA" w:rsidRPr="006D73AE" w:rsidRDefault="008A68FA" w:rsidP="008A68FA">
      <w:pPr>
        <w:spacing w:after="120"/>
        <w:ind w:firstLine="708"/>
        <w:jc w:val="both"/>
      </w:pPr>
      <w:r w:rsidRPr="006D73AE">
        <w:t xml:space="preserve">Transfery zo ŠR do rozpočtov VÚC sa očakávajú z kapitoly MŠVVŠ SR na financovanie preneseného výkonu štátnej správy na úseku stredných škôl v zriaďovateľskej pôsobnosti VÚC a financovanie aktivít regionálneho školstva a na riešenie </w:t>
      </w:r>
      <w:r w:rsidR="00172718" w:rsidRPr="006D73AE">
        <w:t>havarijn</w:t>
      </w:r>
      <w:r w:rsidR="00172718">
        <w:t xml:space="preserve">ého stavu niektorých </w:t>
      </w:r>
      <w:r w:rsidRPr="006D73AE">
        <w:t>škôl vo výške 593 mil. eur, čo predstavuje medziročný nárast o 104 mil. eur. Ďalší transfer v hodnote 620 tis. eur bude poskytnutý z kapitoly MPSVR SR na podporu rozvoja sociálnych služieb.</w:t>
      </w:r>
      <w:r>
        <w:t xml:space="preserve"> </w:t>
      </w:r>
      <w:r w:rsidRPr="006D73AE">
        <w:t>Rovnako sa očakávajú aj transfery z Fondu na podporu umenia v sume 4,12 mil. eur a Fondu na podporu kultúry národnostných menšín v sume 152 tis. eur.</w:t>
      </w:r>
    </w:p>
    <w:p w14:paraId="644F85B9" w14:textId="164692BC" w:rsidR="008A68FA" w:rsidRDefault="008A68FA" w:rsidP="008A68FA">
      <w:pPr>
        <w:spacing w:after="120"/>
        <w:ind w:firstLine="708"/>
        <w:jc w:val="both"/>
      </w:pPr>
      <w:r w:rsidRPr="006D73AE">
        <w:t xml:space="preserve">Celkové výdavky VÚC sa v roku 2020 majú medziročne zvýšiť o 128 476 tis. eur na úroveň 1 579 520 </w:t>
      </w:r>
      <w:r w:rsidR="00306ED2">
        <w:t xml:space="preserve">tis. eur. </w:t>
      </w:r>
      <w:r w:rsidRPr="000D74F7">
        <w:t>Porovnanie návrhu rozpočtu výdavkov VÚC na hotovostnej bá</w:t>
      </w:r>
      <w:r>
        <w:t>ze v návrhu rozpočtu na rok 2020</w:t>
      </w:r>
      <w:r w:rsidRPr="000D74F7">
        <w:t xml:space="preserve"> so schváleným rozpočtom na rok 201</w:t>
      </w:r>
      <w:r>
        <w:t>9</w:t>
      </w:r>
      <w:r w:rsidRPr="000D74F7">
        <w:t xml:space="preserve"> a skutočným plnením</w:t>
      </w:r>
      <w:r>
        <w:t xml:space="preserve"> rozpočtu za rok 2018</w:t>
      </w:r>
      <w:r w:rsidR="00306ED2">
        <w:t xml:space="preserve"> obsahuje Tabuľka 6 v prílohe.</w:t>
      </w:r>
      <w:r w:rsidR="003506ED">
        <w:t xml:space="preserve"> </w:t>
      </w:r>
      <w:r w:rsidR="00172718">
        <w:t>Výdavky VÚC rastú pomalšie než</w:t>
      </w:r>
      <w:r w:rsidRPr="0087120C">
        <w:t xml:space="preserve"> príjmy, no zároveň v sebe skrývajú viac rizík. Riziko nedostatku prostriedkov vzniká najmä pri kategóri</w:t>
      </w:r>
      <w:r w:rsidR="003506ED">
        <w:t>i</w:t>
      </w:r>
      <w:r w:rsidRPr="0087120C">
        <w:t xml:space="preserve"> tovary a služby, kde dochádza k medziročnému poklesu o 18 035 tis. eur. Rovnako aj bežné transfery pravdepodobne nebudú postačovať a dôjde k ich navýšeniu počas roka, tak ako sa to očakáva aj v roku 2019</w:t>
      </w:r>
      <w:r>
        <w:t>.</w:t>
      </w:r>
    </w:p>
    <w:p w14:paraId="59C9F02F" w14:textId="77777777" w:rsidR="008A68FA" w:rsidRPr="0087120C" w:rsidRDefault="008A68FA" w:rsidP="008A68FA">
      <w:pPr>
        <w:spacing w:after="120"/>
        <w:ind w:firstLine="708"/>
        <w:jc w:val="both"/>
      </w:pPr>
      <w:r w:rsidRPr="0087120C">
        <w:t>NKÚ SR pozitívne hodnotí nárast kapitálových výdavkov, ktorý súvisí predovšetkým s výdavkami určenými do oblasti cestného hospodárstva. Zanedbaný stav ciest a mostov II. a III. triedy je dlhodobo kritizovanou témou zo strany NKÚ SR.</w:t>
      </w:r>
    </w:p>
    <w:p w14:paraId="33101D15" w14:textId="681FC42B" w:rsidR="008A68FA" w:rsidRDefault="008A68FA" w:rsidP="008A68FA">
      <w:pPr>
        <w:spacing w:after="120"/>
        <w:ind w:firstLine="708"/>
        <w:jc w:val="both"/>
        <w:rPr>
          <w:highlight w:val="yellow"/>
        </w:rPr>
      </w:pPr>
      <w:r>
        <w:t>Riziká pri zostavovaní rozpočtu v samospráve existujú najmä v nenaplnení prognózovaných daňových príjmov, vo vývoji makroekonomických ukazovateľov, v častých zmenách a novelizáciách legislatívnych</w:t>
      </w:r>
      <w:r w:rsidR="00172718">
        <w:t xml:space="preserve"> noriem, ktoré majú priamy vplyv</w:t>
      </w:r>
      <w:r>
        <w:t xml:space="preserve"> na výdavky rozpočtu obcí a VÚC. Ďalším rizikom sú projekty financované najmä z fondov EÚ. Toto </w:t>
      </w:r>
      <w:r w:rsidR="00172718">
        <w:t>riziko môže ovplyvniť príjmovú aj</w:t>
      </w:r>
      <w:r>
        <w:t> výdavkovú časť rozpočtu z dôvodu nezrefundovania rozpočtovaných príjmov</w:t>
      </w:r>
      <w:r w:rsidR="00172718">
        <w:t xml:space="preserve"> za projekty, a to z dôvodu – keď </w:t>
      </w:r>
      <w:r>
        <w:t>obce a VÚC pred predložením žiadosti o poskytnutie nenávratného finančného príspevku musia mať vypracované projektové dokumentácie, avšak projekt nemusí byť schválený.</w:t>
      </w:r>
    </w:p>
    <w:p w14:paraId="0C387896" w14:textId="77777777" w:rsidR="006926C2" w:rsidRDefault="006926C2" w:rsidP="006926C2">
      <w:pPr>
        <w:pStyle w:val="Nadpis2"/>
        <w:spacing w:before="240"/>
        <w:ind w:left="357"/>
      </w:pPr>
      <w:bookmarkStart w:id="48" w:name="_Toc24098458"/>
      <w:r>
        <w:t>6.2</w:t>
      </w:r>
      <w:r>
        <w:tab/>
        <w:t xml:space="preserve"> Rozpočet</w:t>
      </w:r>
      <w:r w:rsidRPr="00757E44">
        <w:t xml:space="preserve"> </w:t>
      </w:r>
      <w:r>
        <w:t>Sociálnej poisťovne</w:t>
      </w:r>
      <w:bookmarkEnd w:id="48"/>
    </w:p>
    <w:p w14:paraId="6D76D0AE" w14:textId="15F5EE2E" w:rsidR="00062CAC" w:rsidRPr="00247DC3" w:rsidRDefault="00062CAC" w:rsidP="00062CAC">
      <w:pPr>
        <w:spacing w:before="120" w:after="120"/>
        <w:ind w:firstLine="709"/>
        <w:jc w:val="both"/>
      </w:pPr>
      <w:r>
        <w:t xml:space="preserve">Nárast zamestnanosti vytvára priaznivé podmienky pre zvýšenie príjmov Sociálnej poisťovne predovšetkým </w:t>
      </w:r>
      <w:r w:rsidRPr="00290A10">
        <w:t>z poistenia ekonomicky aktívnych osôb</w:t>
      </w:r>
      <w:r>
        <w:t>. V rozpočte na rok 2020 budú tieto odvody vyššie o 380,2 mil. eur (o 4,8 %) oproti roku 2019.</w:t>
      </w:r>
      <w:r w:rsidRPr="00290A10">
        <w:t xml:space="preserve"> </w:t>
      </w:r>
      <w:r>
        <w:t xml:space="preserve">Aj napriek tomu </w:t>
      </w:r>
      <w:r>
        <w:rPr>
          <w:rFonts w:cs="Calibri"/>
          <w:color w:val="000000"/>
        </w:rPr>
        <w:t xml:space="preserve">NKÚ SR upozorňuje na niektoré dôležité faktory, ktoré budú mať vplyv na </w:t>
      </w:r>
      <w:r>
        <w:rPr>
          <w:rFonts w:cs="Calibri"/>
          <w:color w:val="000000"/>
        </w:rPr>
        <w:lastRenderedPageBreak/>
        <w:t>udržateľnosť jej finančného plánu</w:t>
      </w:r>
      <w:r w:rsidR="001D5402">
        <w:rPr>
          <w:rFonts w:cs="Calibri"/>
          <w:color w:val="000000"/>
        </w:rPr>
        <w:t>,</w:t>
      </w:r>
      <w:r>
        <w:rPr>
          <w:rFonts w:cs="Calibri"/>
          <w:color w:val="000000"/>
        </w:rPr>
        <w:t xml:space="preserve"> a to dôchodkový vek a starnutie obyvateľstva, ustanovenie o minimálnom dôchodku, výdavky na mzdy zamestnancov Sociálnej poisťovne a možné spomalenie rastu ekonomiky.</w:t>
      </w:r>
    </w:p>
    <w:p w14:paraId="02309A47" w14:textId="34CCEA08" w:rsidR="00062CAC" w:rsidRDefault="00062CAC" w:rsidP="00062CAC">
      <w:pPr>
        <w:shd w:val="clear" w:color="auto" w:fill="FFFFFF"/>
        <w:spacing w:before="120" w:after="120"/>
        <w:ind w:firstLine="708"/>
        <w:jc w:val="both"/>
        <w:rPr>
          <w:rFonts w:eastAsia="Times New Roman" w:cs="Times New Roman"/>
          <w:color w:val="000000"/>
          <w:lang w:eastAsia="sk-SK"/>
        </w:rPr>
      </w:pPr>
      <w:r>
        <w:rPr>
          <w:rFonts w:cs="Calibri"/>
          <w:color w:val="000000"/>
        </w:rPr>
        <w:t>Je pravdepodobné, že ústavné s</w:t>
      </w:r>
      <w:r w:rsidRPr="00747161">
        <w:rPr>
          <w:rFonts w:cs="Calibri"/>
          <w:color w:val="000000"/>
        </w:rPr>
        <w:t xml:space="preserve">chválenie hornej hranice dôchodkového veku na 64 rokov </w:t>
      </w:r>
      <w:r>
        <w:rPr>
          <w:rFonts w:cs="Calibri"/>
          <w:color w:val="000000"/>
        </w:rPr>
        <w:t xml:space="preserve">v budúcnosti </w:t>
      </w:r>
      <w:r w:rsidRPr="00747161">
        <w:rPr>
          <w:rFonts w:cs="Calibri"/>
          <w:color w:val="000000"/>
        </w:rPr>
        <w:t>prispe</w:t>
      </w:r>
      <w:r>
        <w:rPr>
          <w:rFonts w:cs="Calibri"/>
          <w:color w:val="000000"/>
        </w:rPr>
        <w:t>je</w:t>
      </w:r>
      <w:r w:rsidRPr="00747161">
        <w:rPr>
          <w:rFonts w:cs="Calibri"/>
          <w:color w:val="000000"/>
        </w:rPr>
        <w:t xml:space="preserve"> k zhoršeniu finančnej situácie Sociálnej poisťovne</w:t>
      </w:r>
      <w:r>
        <w:rPr>
          <w:rFonts w:cs="Calibri"/>
          <w:color w:val="000000"/>
        </w:rPr>
        <w:t xml:space="preserve">. V </w:t>
      </w:r>
      <w:r w:rsidRPr="00747161">
        <w:rPr>
          <w:rFonts w:cs="Calibri"/>
          <w:color w:val="000000"/>
        </w:rPr>
        <w:t xml:space="preserve">návrhu rozpočtu </w:t>
      </w:r>
      <w:r>
        <w:rPr>
          <w:rFonts w:cs="Calibri"/>
          <w:color w:val="000000"/>
        </w:rPr>
        <w:t>sa opäť objavuje</w:t>
      </w:r>
      <w:r w:rsidRPr="00747161">
        <w:rPr>
          <w:rFonts w:cs="Calibri"/>
          <w:color w:val="000000"/>
        </w:rPr>
        <w:t xml:space="preserve"> </w:t>
      </w:r>
      <w:r>
        <w:rPr>
          <w:rFonts w:cs="Calibri"/>
          <w:color w:val="000000"/>
        </w:rPr>
        <w:t>deficit základného fondu starobného poistenia, ktorý je vykrytý</w:t>
      </w:r>
      <w:r w:rsidRPr="00747161">
        <w:rPr>
          <w:rFonts w:cs="Calibri"/>
          <w:color w:val="000000"/>
        </w:rPr>
        <w:t xml:space="preserve"> transf</w:t>
      </w:r>
      <w:r>
        <w:rPr>
          <w:rFonts w:cs="Calibri"/>
          <w:color w:val="000000"/>
        </w:rPr>
        <w:t>e</w:t>
      </w:r>
      <w:r w:rsidRPr="00747161">
        <w:rPr>
          <w:rFonts w:cs="Calibri"/>
          <w:color w:val="000000"/>
        </w:rPr>
        <w:t xml:space="preserve">rom zo </w:t>
      </w:r>
      <w:r w:rsidR="00F85E98">
        <w:rPr>
          <w:rFonts w:cs="Calibri"/>
          <w:color w:val="000000"/>
        </w:rPr>
        <w:t>ŠR</w:t>
      </w:r>
      <w:r w:rsidRPr="00747161">
        <w:rPr>
          <w:rFonts w:cs="Calibri"/>
          <w:color w:val="000000"/>
        </w:rPr>
        <w:t xml:space="preserve"> vo výške</w:t>
      </w:r>
      <w:r>
        <w:rPr>
          <w:rFonts w:cs="Calibri"/>
          <w:color w:val="000000"/>
        </w:rPr>
        <w:t xml:space="preserve"> 200 mil. eur v roku 2020 a 100 </w:t>
      </w:r>
      <w:r w:rsidRPr="00747161">
        <w:rPr>
          <w:rFonts w:cs="Calibri"/>
          <w:color w:val="000000"/>
        </w:rPr>
        <w:t>mil. eur v roku 2021.</w:t>
      </w:r>
      <w:r>
        <w:rPr>
          <w:rFonts w:cs="Calibri"/>
          <w:color w:val="000000"/>
        </w:rPr>
        <w:t xml:space="preserve"> Situáciu sťažuje aj prijatá novela zákona o sociálnom poistení, ktorou sa minimálne dôchodky namiesto životného minima naviažu na priemernú mzdu</w:t>
      </w:r>
      <w:r w:rsidR="00F85E98">
        <w:rPr>
          <w:rFonts w:cs="Calibri"/>
          <w:color w:val="000000"/>
        </w:rPr>
        <w:t xml:space="preserve"> v SR</w:t>
      </w:r>
      <w:r w:rsidRPr="00F935A3">
        <w:rPr>
          <w:rFonts w:cs="Calibri"/>
          <w:color w:val="000000"/>
        </w:rPr>
        <w:t xml:space="preserve">. </w:t>
      </w:r>
      <w:r w:rsidRPr="00C222FE">
        <w:rPr>
          <w:rFonts w:eastAsia="Times New Roman" w:cs="Times New Roman"/>
          <w:color w:val="000000"/>
          <w:lang w:eastAsia="sk-SK"/>
        </w:rPr>
        <w:t xml:space="preserve">Základná minimálna penzia po získaní 30 rokov dôchodkového poistenia tak bude od roku 2020 dosahovať 33 % z priemernej mzdy </w:t>
      </w:r>
      <w:r w:rsidR="00F85E98">
        <w:rPr>
          <w:rFonts w:eastAsia="Times New Roman" w:cs="Times New Roman"/>
          <w:color w:val="000000"/>
          <w:lang w:eastAsia="sk-SK"/>
        </w:rPr>
        <w:t>v SR</w:t>
      </w:r>
      <w:r w:rsidRPr="00C222FE">
        <w:rPr>
          <w:rFonts w:eastAsia="Times New Roman" w:cs="Times New Roman"/>
          <w:color w:val="000000"/>
          <w:lang w:eastAsia="sk-SK"/>
        </w:rPr>
        <w:t xml:space="preserve"> spred dvoch rokov.</w:t>
      </w:r>
      <w:r>
        <w:rPr>
          <w:rFonts w:eastAsia="Times New Roman" w:cs="Times New Roman"/>
          <w:color w:val="000000"/>
          <w:lang w:eastAsia="sk-SK"/>
        </w:rPr>
        <w:t xml:space="preserve"> </w:t>
      </w:r>
      <w:r w:rsidRPr="00C222FE">
        <w:rPr>
          <w:rFonts w:eastAsia="Times New Roman" w:cs="Times New Roman"/>
          <w:color w:val="000000"/>
          <w:lang w:eastAsia="sk-SK"/>
        </w:rPr>
        <w:t>V budúcom roku minimálny dôchodok pri 30 rokoch p</w:t>
      </w:r>
      <w:r>
        <w:rPr>
          <w:rFonts w:eastAsia="Times New Roman" w:cs="Times New Roman"/>
          <w:color w:val="000000"/>
          <w:lang w:eastAsia="sk-SK"/>
        </w:rPr>
        <w:t>oistenia dos</w:t>
      </w:r>
      <w:r w:rsidR="00F92BB1">
        <w:rPr>
          <w:rFonts w:eastAsia="Times New Roman" w:cs="Times New Roman"/>
          <w:color w:val="000000"/>
          <w:lang w:eastAsia="sk-SK"/>
        </w:rPr>
        <w:t>iahne 334,30 eur</w:t>
      </w:r>
      <w:r>
        <w:rPr>
          <w:rFonts w:eastAsia="Times New Roman" w:cs="Times New Roman"/>
          <w:color w:val="000000"/>
          <w:lang w:eastAsia="sk-SK"/>
        </w:rPr>
        <w:t>, v</w:t>
      </w:r>
      <w:r w:rsidR="00F92BB1">
        <w:rPr>
          <w:rFonts w:eastAsia="Times New Roman" w:cs="Times New Roman"/>
          <w:color w:val="000000"/>
          <w:lang w:eastAsia="sk-SK"/>
        </w:rPr>
        <w:t xml:space="preserve"> tomto roku 278,90 eur</w:t>
      </w:r>
      <w:r w:rsidRPr="00C222FE">
        <w:rPr>
          <w:rFonts w:eastAsia="Times New Roman" w:cs="Times New Roman"/>
          <w:color w:val="000000"/>
          <w:lang w:eastAsia="sk-SK"/>
        </w:rPr>
        <w:t>.</w:t>
      </w:r>
      <w:r>
        <w:rPr>
          <w:rFonts w:eastAsia="Times New Roman" w:cs="Times New Roman"/>
          <w:color w:val="000000"/>
          <w:lang w:eastAsia="sk-SK"/>
        </w:rPr>
        <w:t xml:space="preserve"> Opatrenie prinesie nárast výšky nízkych dôchodkov priemerne o 50 eur za mesiac, čo </w:t>
      </w:r>
      <w:r w:rsidR="00F85E98">
        <w:rPr>
          <w:rFonts w:eastAsia="Times New Roman" w:cs="Times New Roman"/>
          <w:color w:val="000000"/>
          <w:lang w:eastAsia="sk-SK"/>
        </w:rPr>
        <w:t xml:space="preserve">si </w:t>
      </w:r>
      <w:r>
        <w:rPr>
          <w:rFonts w:eastAsia="Times New Roman" w:cs="Times New Roman"/>
          <w:color w:val="000000"/>
          <w:lang w:eastAsia="sk-SK"/>
        </w:rPr>
        <w:t>v </w:t>
      </w:r>
      <w:r w:rsidR="00F85E98">
        <w:rPr>
          <w:rFonts w:eastAsia="Times New Roman" w:cs="Times New Roman"/>
          <w:color w:val="000000"/>
          <w:lang w:eastAsia="sk-SK"/>
        </w:rPr>
        <w:t>ŠR</w:t>
      </w:r>
      <w:r>
        <w:rPr>
          <w:rFonts w:eastAsia="Times New Roman" w:cs="Times New Roman"/>
          <w:color w:val="000000"/>
          <w:lang w:eastAsia="sk-SK"/>
        </w:rPr>
        <w:t xml:space="preserve"> vyžiada ďalších cca 150 mil. eur. </w:t>
      </w:r>
      <w:r w:rsidRPr="00062CAC">
        <w:rPr>
          <w:rFonts w:eastAsia="Times New Roman" w:cs="Times New Roman"/>
          <w:b/>
          <w:color w:val="000000"/>
          <w:lang w:eastAsia="sk-SK"/>
        </w:rPr>
        <w:t>NKÚ SR upozorňuje, že ide o nekoncepčný zásah do systému dôchodkového poistenia, ktorý narúša princíp zásluhovosti a znižuje motiváciu platiť poistné.</w:t>
      </w:r>
      <w:r>
        <w:rPr>
          <w:rFonts w:eastAsia="Times New Roman" w:cs="Times New Roman"/>
          <w:color w:val="000000"/>
          <w:lang w:eastAsia="sk-SK"/>
        </w:rPr>
        <w:t xml:space="preserve"> Sociálna poisťovňa nie je na jeho uplatnenie od 1.</w:t>
      </w:r>
      <w:r w:rsidR="00F85E98">
        <w:rPr>
          <w:rFonts w:eastAsia="Times New Roman" w:cs="Times New Roman"/>
          <w:color w:val="000000"/>
          <w:lang w:eastAsia="sk-SK"/>
        </w:rPr>
        <w:t xml:space="preserve"> </w:t>
      </w:r>
      <w:r>
        <w:rPr>
          <w:rFonts w:eastAsia="Times New Roman" w:cs="Times New Roman"/>
          <w:color w:val="000000"/>
          <w:lang w:eastAsia="sk-SK"/>
        </w:rPr>
        <w:t xml:space="preserve">januára 2020 technicky pripravená; okrem toho sa dajú očakávať ďalšie finančné nároky na jeho realizáciu v praxi. </w:t>
      </w:r>
    </w:p>
    <w:p w14:paraId="1D9B3B09" w14:textId="11269046" w:rsidR="00062CAC" w:rsidRPr="00FA4ECC" w:rsidRDefault="00062CAC" w:rsidP="00062CAC">
      <w:pPr>
        <w:shd w:val="clear" w:color="auto" w:fill="FFFFFF"/>
        <w:spacing w:before="120" w:after="120"/>
        <w:ind w:firstLine="708"/>
        <w:jc w:val="both"/>
        <w:rPr>
          <w:rFonts w:eastAsia="Times New Roman" w:cs="Times New Roman"/>
          <w:color w:val="000000"/>
          <w:lang w:eastAsia="sk-SK"/>
        </w:rPr>
      </w:pPr>
      <w:r>
        <w:t>Výdavky správneho fondu Sociálnej poisťovne</w:t>
      </w:r>
      <w:r w:rsidR="001D5402">
        <w:t>,</w:t>
      </w:r>
      <w:r>
        <w:t xml:space="preserve"> určené na mzdy a poistné jej zamestnancov</w:t>
      </w:r>
      <w:r w:rsidR="001D5402">
        <w:t>,</w:t>
      </w:r>
      <w:r w:rsidR="001C284A">
        <w:t xml:space="preserve"> sú </w:t>
      </w:r>
      <w:r>
        <w:t xml:space="preserve">podhodnotené v porovnaní s očakávaným stavom ku koncu roka 2019 (o 22,9 </w:t>
      </w:r>
      <w:r w:rsidR="001C284A">
        <w:t>mil. eur) a tiež v porovnaní so </w:t>
      </w:r>
      <w:r>
        <w:t>skutočnosťou v roku 2017 (o 14,2 mil. eur) a 2018 (o 20,7 mil. eur). Pri predpokladanom náraste počt</w:t>
      </w:r>
      <w:r w:rsidR="00F92BB1">
        <w:t>u pracovníkov v roku 2020 o 179 </w:t>
      </w:r>
      <w:r>
        <w:t>zamestnancov to vyvoláva otázky.</w:t>
      </w:r>
    </w:p>
    <w:p w14:paraId="6734864F" w14:textId="55DE0ABB" w:rsidR="00062CAC" w:rsidRDefault="00062CAC" w:rsidP="00062CAC">
      <w:pPr>
        <w:autoSpaceDE w:val="0"/>
        <w:autoSpaceDN w:val="0"/>
        <w:adjustRightInd w:val="0"/>
        <w:spacing w:before="120" w:after="120"/>
        <w:ind w:firstLine="708"/>
        <w:jc w:val="both"/>
      </w:pPr>
      <w:r w:rsidRPr="00062CAC">
        <w:rPr>
          <w:b/>
        </w:rPr>
        <w:t xml:space="preserve">Opatrenia z revízie výdavkov na politiky trhu práce a sociálne politiky sa neplnia. </w:t>
      </w:r>
      <w:r>
        <w:rPr>
          <w:rFonts w:cs="Calibri"/>
        </w:rPr>
        <w:t xml:space="preserve">Zavedenie ročného zúčtovania sociálneho poistenia, kde sa plánovala najväčšia úspora vo výške 49 mil. eur ročne, bolo presunuté na rok 2022 a v predloženom návrhu </w:t>
      </w:r>
      <w:r w:rsidR="00F85E98">
        <w:rPr>
          <w:rFonts w:cs="Calibri"/>
        </w:rPr>
        <w:t>RVS</w:t>
      </w:r>
      <w:r>
        <w:rPr>
          <w:rFonts w:cs="Calibri"/>
        </w:rPr>
        <w:t xml:space="preserve"> sa nenachádza.  Očakávané zvýšenie </w:t>
      </w:r>
      <w:r>
        <w:t>efektívnosti pobočiek Sociálnej poisťovne s plánovanou úsporou 10 mil. eur sa zatiaľ neuskutočnilo; Sociálna poisťovňa neposkytla  žiadne konkrétne výsledky, ktoré by preukázali efektívnejšie hospodárenie. Implementačná jednotka v Priebežnej im</w:t>
      </w:r>
      <w:r w:rsidR="00F85E98">
        <w:t>plementačnej správe</w:t>
      </w:r>
      <w:r w:rsidR="001D5402">
        <w:t>,</w:t>
      </w:r>
      <w:r w:rsidR="00F85E98">
        <w:t xml:space="preserve"> </w:t>
      </w:r>
      <w:r>
        <w:t>z októbra 2019</w:t>
      </w:r>
      <w:r w:rsidR="001D5402">
        <w:t>,</w:t>
      </w:r>
      <w:r>
        <w:t xml:space="preserve"> odporúča zverejniť a pravidelne aktualizovať investičný plán a definovať a predložiť implementačný plán optimalizačných opatrení </w:t>
      </w:r>
      <w:r w:rsidR="001D5402">
        <w:t>na roky 2019 až</w:t>
      </w:r>
      <w:r>
        <w:t xml:space="preserve"> 2020</w:t>
      </w:r>
      <w:r w:rsidR="001D5402">
        <w:t>,</w:t>
      </w:r>
      <w:r>
        <w:t xml:space="preserve"> vrátane vyčíslenia odhadovanej úspory.</w:t>
      </w:r>
    </w:p>
    <w:p w14:paraId="1D8252DC" w14:textId="1D2294AA" w:rsidR="00C615E3" w:rsidRDefault="00C615E3" w:rsidP="00062CAC">
      <w:pPr>
        <w:autoSpaceDE w:val="0"/>
        <w:autoSpaceDN w:val="0"/>
        <w:adjustRightInd w:val="0"/>
        <w:spacing w:before="120" w:after="120"/>
        <w:ind w:firstLine="708"/>
        <w:jc w:val="both"/>
      </w:pPr>
    </w:p>
    <w:p w14:paraId="52ADFCFF" w14:textId="2BBD1714" w:rsidR="00C615E3" w:rsidRDefault="00C615E3">
      <w:r>
        <w:br w:type="page"/>
      </w:r>
    </w:p>
    <w:p w14:paraId="651184D3" w14:textId="77777777" w:rsidR="00593EFC" w:rsidRDefault="00593EFC" w:rsidP="00593EFC">
      <w:pPr>
        <w:pStyle w:val="Nadpis1"/>
        <w:jc w:val="center"/>
      </w:pPr>
      <w:bookmarkStart w:id="49" w:name="_Toc10625374"/>
      <w:bookmarkStart w:id="50" w:name="_Toc24098459"/>
      <w:r>
        <w:lastRenderedPageBreak/>
        <w:t>Tabuľková príloha</w:t>
      </w:r>
      <w:bookmarkEnd w:id="49"/>
      <w:bookmarkEnd w:id="50"/>
    </w:p>
    <w:p w14:paraId="6C2183B7" w14:textId="77777777" w:rsidR="00593EFC" w:rsidRDefault="00593EFC" w:rsidP="006926C2"/>
    <w:p w14:paraId="5A71FBE8" w14:textId="0CE3E45E" w:rsidR="00C575DF" w:rsidRPr="00AF51B4" w:rsidRDefault="00AF51B4" w:rsidP="00AF51B4">
      <w:pPr>
        <w:rPr>
          <w:b/>
        </w:rPr>
      </w:pPr>
      <w:r w:rsidRPr="00AF51B4">
        <w:rPr>
          <w:b/>
        </w:rPr>
        <w:t xml:space="preserve">Tabuľka 1: Návrh rozpočtu príjmov </w:t>
      </w:r>
      <w:r>
        <w:rPr>
          <w:b/>
        </w:rPr>
        <w:t xml:space="preserve">na rok 2020 </w:t>
      </w:r>
      <w:r w:rsidRPr="00AF51B4">
        <w:rPr>
          <w:b/>
        </w:rPr>
        <w:t xml:space="preserve">podľa </w:t>
      </w:r>
      <w:r>
        <w:rPr>
          <w:b/>
        </w:rPr>
        <w:t>jednotlivých kapitol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2"/>
        <w:gridCol w:w="1226"/>
        <w:gridCol w:w="1228"/>
        <w:gridCol w:w="1493"/>
        <w:gridCol w:w="1170"/>
        <w:gridCol w:w="1017"/>
      </w:tblGrid>
      <w:tr w:rsidR="00AF51B4" w:rsidRPr="00C65CAA" w14:paraId="57188EE1" w14:textId="77777777" w:rsidTr="00AE303F">
        <w:trPr>
          <w:trHeight w:val="170"/>
          <w:tblHeader/>
        </w:trPr>
        <w:tc>
          <w:tcPr>
            <w:tcW w:w="1718" w:type="pct"/>
            <w:tcBorders>
              <w:right w:val="single" w:sz="4" w:space="0" w:color="FFFFFF" w:themeColor="background1"/>
            </w:tcBorders>
            <w:shd w:val="clear" w:color="auto" w:fill="0070C0"/>
            <w:vAlign w:val="center"/>
          </w:tcPr>
          <w:p w14:paraId="34512CEE"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 xml:space="preserve">Príjmy ŠR </w:t>
            </w:r>
            <w:r w:rsidRPr="00C65CAA">
              <w:rPr>
                <w:b/>
                <w:color w:val="FFFFFF" w:themeColor="background1"/>
                <w:sz w:val="20"/>
                <w:szCs w:val="20"/>
              </w:rPr>
              <w:t>(v tis. eur)</w:t>
            </w:r>
          </w:p>
        </w:tc>
        <w:tc>
          <w:tcPr>
            <w:tcW w:w="656" w:type="pct"/>
            <w:tcBorders>
              <w:left w:val="single" w:sz="4" w:space="0" w:color="FFFFFF" w:themeColor="background1"/>
              <w:right w:val="single" w:sz="4" w:space="0" w:color="FFFFFF" w:themeColor="background1"/>
            </w:tcBorders>
            <w:shd w:val="clear" w:color="auto" w:fill="0070C0"/>
            <w:vAlign w:val="center"/>
          </w:tcPr>
          <w:p w14:paraId="293567E0"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Skutočnosť</w:t>
            </w:r>
          </w:p>
          <w:p w14:paraId="00DEC5CF" w14:textId="77777777" w:rsidR="00AF51B4" w:rsidRPr="00C65CAA" w:rsidRDefault="00AF51B4" w:rsidP="00AE303F">
            <w:pPr>
              <w:jc w:val="center"/>
              <w:rPr>
                <w:b/>
                <w:bCs/>
                <w:color w:val="FFFFFF" w:themeColor="background1"/>
                <w:sz w:val="20"/>
                <w:szCs w:val="20"/>
              </w:rPr>
            </w:pPr>
            <w:r>
              <w:rPr>
                <w:b/>
                <w:bCs/>
                <w:color w:val="FFFFFF" w:themeColor="background1"/>
                <w:sz w:val="20"/>
                <w:szCs w:val="20"/>
              </w:rPr>
              <w:t>2018</w:t>
            </w:r>
          </w:p>
        </w:tc>
        <w:tc>
          <w:tcPr>
            <w:tcW w:w="657" w:type="pct"/>
            <w:tcBorders>
              <w:left w:val="single" w:sz="4" w:space="0" w:color="FFFFFF" w:themeColor="background1"/>
              <w:right w:val="single" w:sz="4" w:space="0" w:color="FFFFFF" w:themeColor="background1"/>
            </w:tcBorders>
            <w:shd w:val="clear" w:color="auto" w:fill="0070C0"/>
            <w:vAlign w:val="center"/>
          </w:tcPr>
          <w:p w14:paraId="7D5749F9"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Rozpočet</w:t>
            </w:r>
          </w:p>
          <w:p w14:paraId="18BDC302" w14:textId="77777777" w:rsidR="00AF51B4" w:rsidRPr="00C65CAA" w:rsidRDefault="00AF51B4" w:rsidP="00AE303F">
            <w:pPr>
              <w:jc w:val="center"/>
              <w:rPr>
                <w:b/>
                <w:bCs/>
                <w:color w:val="FFFFFF" w:themeColor="background1"/>
                <w:sz w:val="20"/>
                <w:szCs w:val="20"/>
              </w:rPr>
            </w:pPr>
            <w:r>
              <w:rPr>
                <w:b/>
                <w:bCs/>
                <w:color w:val="FFFFFF" w:themeColor="background1"/>
                <w:sz w:val="20"/>
                <w:szCs w:val="20"/>
              </w:rPr>
              <w:t>2019</w:t>
            </w:r>
          </w:p>
        </w:tc>
        <w:tc>
          <w:tcPr>
            <w:tcW w:w="799" w:type="pct"/>
            <w:tcBorders>
              <w:left w:val="single" w:sz="4" w:space="0" w:color="FFFFFF" w:themeColor="background1"/>
              <w:right w:val="single" w:sz="4" w:space="0" w:color="FFFFFF" w:themeColor="background1"/>
            </w:tcBorders>
            <w:shd w:val="clear" w:color="auto" w:fill="0070C0"/>
            <w:vAlign w:val="center"/>
          </w:tcPr>
          <w:p w14:paraId="42EED1CF"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Návrh rozpočtu</w:t>
            </w:r>
          </w:p>
          <w:p w14:paraId="5EF3C0DF" w14:textId="77777777" w:rsidR="00AF51B4" w:rsidRPr="00C65CAA" w:rsidRDefault="00AF51B4" w:rsidP="00AE303F">
            <w:pPr>
              <w:jc w:val="center"/>
              <w:rPr>
                <w:b/>
                <w:bCs/>
                <w:color w:val="FFFFFF" w:themeColor="background1"/>
                <w:sz w:val="20"/>
                <w:szCs w:val="20"/>
              </w:rPr>
            </w:pPr>
            <w:r>
              <w:rPr>
                <w:b/>
                <w:bCs/>
                <w:color w:val="FFFFFF" w:themeColor="background1"/>
                <w:sz w:val="20"/>
                <w:szCs w:val="20"/>
              </w:rPr>
              <w:t>2020</w:t>
            </w:r>
          </w:p>
        </w:tc>
        <w:tc>
          <w:tcPr>
            <w:tcW w:w="626" w:type="pct"/>
            <w:tcBorders>
              <w:left w:val="single" w:sz="4" w:space="0" w:color="FFFFFF" w:themeColor="background1"/>
              <w:right w:val="single" w:sz="4" w:space="0" w:color="FFFFFF" w:themeColor="background1"/>
            </w:tcBorders>
            <w:shd w:val="clear" w:color="auto" w:fill="0070C0"/>
            <w:vAlign w:val="center"/>
          </w:tcPr>
          <w:p w14:paraId="483B2093"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Rozdiel</w:t>
            </w:r>
          </w:p>
        </w:tc>
        <w:tc>
          <w:tcPr>
            <w:tcW w:w="544" w:type="pct"/>
            <w:tcBorders>
              <w:left w:val="single" w:sz="4" w:space="0" w:color="FFFFFF" w:themeColor="background1"/>
            </w:tcBorders>
            <w:shd w:val="clear" w:color="auto" w:fill="0070C0"/>
            <w:vAlign w:val="center"/>
          </w:tcPr>
          <w:p w14:paraId="1F5D8105"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 xml:space="preserve">Podiel </w:t>
            </w:r>
          </w:p>
          <w:p w14:paraId="612B5995" w14:textId="77777777" w:rsidR="00AF51B4" w:rsidRPr="00C65CAA" w:rsidRDefault="00AF51B4" w:rsidP="00AE303F">
            <w:pPr>
              <w:jc w:val="center"/>
              <w:rPr>
                <w:b/>
                <w:bCs/>
                <w:color w:val="FFFFFF" w:themeColor="background1"/>
                <w:sz w:val="20"/>
                <w:szCs w:val="20"/>
              </w:rPr>
            </w:pPr>
            <w:r w:rsidRPr="00C65CAA">
              <w:rPr>
                <w:b/>
                <w:bCs/>
                <w:color w:val="FFFFFF" w:themeColor="background1"/>
                <w:sz w:val="20"/>
                <w:szCs w:val="20"/>
              </w:rPr>
              <w:t>v %</w:t>
            </w:r>
          </w:p>
        </w:tc>
      </w:tr>
      <w:tr w:rsidR="00AF51B4" w:rsidRPr="00C65CAA" w14:paraId="6219DA85" w14:textId="77777777" w:rsidTr="00AE303F">
        <w:trPr>
          <w:trHeight w:val="170"/>
          <w:tblHeader/>
        </w:trPr>
        <w:tc>
          <w:tcPr>
            <w:tcW w:w="1718" w:type="pct"/>
            <w:shd w:val="clear" w:color="auto" w:fill="auto"/>
            <w:vAlign w:val="center"/>
            <w:hideMark/>
          </w:tcPr>
          <w:p w14:paraId="642E4133" w14:textId="77777777" w:rsidR="00AF51B4" w:rsidRPr="00C65CAA" w:rsidRDefault="00AF51B4" w:rsidP="00AE303F">
            <w:pPr>
              <w:jc w:val="center"/>
              <w:rPr>
                <w:bCs/>
                <w:sz w:val="20"/>
                <w:szCs w:val="20"/>
              </w:rPr>
            </w:pPr>
            <w:r w:rsidRPr="00C65CAA">
              <w:rPr>
                <w:bCs/>
                <w:sz w:val="20"/>
                <w:szCs w:val="20"/>
              </w:rPr>
              <w:t>a</w:t>
            </w:r>
          </w:p>
        </w:tc>
        <w:tc>
          <w:tcPr>
            <w:tcW w:w="656" w:type="pct"/>
            <w:shd w:val="clear" w:color="auto" w:fill="auto"/>
            <w:vAlign w:val="center"/>
            <w:hideMark/>
          </w:tcPr>
          <w:p w14:paraId="5D883E35" w14:textId="77777777" w:rsidR="00AF51B4" w:rsidRPr="00C65CAA" w:rsidRDefault="00AF51B4" w:rsidP="00AE303F">
            <w:pPr>
              <w:jc w:val="center"/>
              <w:rPr>
                <w:sz w:val="20"/>
                <w:szCs w:val="20"/>
              </w:rPr>
            </w:pPr>
            <w:r w:rsidRPr="00C65CAA">
              <w:rPr>
                <w:sz w:val="20"/>
                <w:szCs w:val="20"/>
              </w:rPr>
              <w:t>1</w:t>
            </w:r>
          </w:p>
        </w:tc>
        <w:tc>
          <w:tcPr>
            <w:tcW w:w="657" w:type="pct"/>
            <w:shd w:val="clear" w:color="auto" w:fill="auto"/>
            <w:vAlign w:val="center"/>
            <w:hideMark/>
          </w:tcPr>
          <w:p w14:paraId="4EC75AAF" w14:textId="77777777" w:rsidR="00AF51B4" w:rsidRPr="00C65CAA" w:rsidRDefault="00AF51B4" w:rsidP="00AE303F">
            <w:pPr>
              <w:jc w:val="center"/>
              <w:rPr>
                <w:sz w:val="20"/>
                <w:szCs w:val="20"/>
              </w:rPr>
            </w:pPr>
            <w:r w:rsidRPr="00C65CAA">
              <w:rPr>
                <w:sz w:val="20"/>
                <w:szCs w:val="20"/>
              </w:rPr>
              <w:t>2</w:t>
            </w:r>
          </w:p>
        </w:tc>
        <w:tc>
          <w:tcPr>
            <w:tcW w:w="799" w:type="pct"/>
            <w:shd w:val="clear" w:color="auto" w:fill="auto"/>
            <w:vAlign w:val="center"/>
            <w:hideMark/>
          </w:tcPr>
          <w:p w14:paraId="50EEC6D6" w14:textId="77777777" w:rsidR="00AF51B4" w:rsidRPr="00C65CAA" w:rsidRDefault="00AF51B4" w:rsidP="00AE303F">
            <w:pPr>
              <w:jc w:val="center"/>
              <w:rPr>
                <w:sz w:val="20"/>
                <w:szCs w:val="20"/>
              </w:rPr>
            </w:pPr>
            <w:r w:rsidRPr="00C65CAA">
              <w:rPr>
                <w:sz w:val="20"/>
                <w:szCs w:val="20"/>
              </w:rPr>
              <w:t>3</w:t>
            </w:r>
          </w:p>
        </w:tc>
        <w:tc>
          <w:tcPr>
            <w:tcW w:w="626" w:type="pct"/>
            <w:shd w:val="clear" w:color="auto" w:fill="auto"/>
            <w:vAlign w:val="center"/>
            <w:hideMark/>
          </w:tcPr>
          <w:p w14:paraId="734EE2B8" w14:textId="77777777" w:rsidR="00AF51B4" w:rsidRPr="00C65CAA" w:rsidRDefault="00AF51B4" w:rsidP="00AE303F">
            <w:pPr>
              <w:jc w:val="center"/>
              <w:rPr>
                <w:sz w:val="20"/>
                <w:szCs w:val="20"/>
              </w:rPr>
            </w:pPr>
            <w:r w:rsidRPr="00C65CAA">
              <w:rPr>
                <w:sz w:val="20"/>
                <w:szCs w:val="20"/>
              </w:rPr>
              <w:t>3-2</w:t>
            </w:r>
          </w:p>
        </w:tc>
        <w:tc>
          <w:tcPr>
            <w:tcW w:w="544" w:type="pct"/>
            <w:shd w:val="clear" w:color="auto" w:fill="auto"/>
            <w:vAlign w:val="center"/>
            <w:hideMark/>
          </w:tcPr>
          <w:p w14:paraId="345CAB06" w14:textId="77777777" w:rsidR="00AF51B4" w:rsidRPr="00C65CAA" w:rsidRDefault="00AF51B4" w:rsidP="00AE303F">
            <w:pPr>
              <w:jc w:val="center"/>
              <w:rPr>
                <w:sz w:val="20"/>
                <w:szCs w:val="20"/>
              </w:rPr>
            </w:pPr>
            <w:r w:rsidRPr="00C65CAA">
              <w:rPr>
                <w:sz w:val="20"/>
                <w:szCs w:val="20"/>
              </w:rPr>
              <w:t>3/2*100</w:t>
            </w:r>
          </w:p>
        </w:tc>
      </w:tr>
      <w:tr w:rsidR="00AF51B4" w:rsidRPr="00C65CAA" w14:paraId="19BB3C2C" w14:textId="77777777" w:rsidTr="00AE303F">
        <w:trPr>
          <w:trHeight w:val="227"/>
        </w:trPr>
        <w:tc>
          <w:tcPr>
            <w:tcW w:w="1718" w:type="pct"/>
            <w:shd w:val="clear" w:color="auto" w:fill="auto"/>
            <w:vAlign w:val="bottom"/>
          </w:tcPr>
          <w:p w14:paraId="14E11C40" w14:textId="77777777" w:rsidR="00AF51B4" w:rsidRPr="008B62E4" w:rsidRDefault="00AF51B4" w:rsidP="00AE303F">
            <w:pPr>
              <w:rPr>
                <w:rFonts w:eastAsia="Times New Roman" w:cs="Arial CE"/>
                <w:sz w:val="20"/>
                <w:szCs w:val="20"/>
                <w:lang w:eastAsia="sk-SK"/>
              </w:rPr>
            </w:pPr>
            <w:r w:rsidRPr="008B62E4">
              <w:rPr>
                <w:rFonts w:eastAsia="Times New Roman" w:cs="Arial"/>
                <w:b/>
                <w:bCs/>
                <w:color w:val="000000"/>
                <w:sz w:val="20"/>
                <w:szCs w:val="20"/>
                <w:lang w:eastAsia="sk-SK"/>
              </w:rPr>
              <w:t>Kapitoly ŠR spolu</w:t>
            </w:r>
            <w:r>
              <w:rPr>
                <w:rFonts w:eastAsia="Times New Roman" w:cs="Arial"/>
                <w:b/>
                <w:bCs/>
                <w:color w:val="000000"/>
                <w:sz w:val="20"/>
                <w:szCs w:val="20"/>
                <w:lang w:eastAsia="sk-SK"/>
              </w:rPr>
              <w:t>:</w:t>
            </w:r>
          </w:p>
        </w:tc>
        <w:tc>
          <w:tcPr>
            <w:tcW w:w="656" w:type="pct"/>
            <w:shd w:val="clear" w:color="auto" w:fill="auto"/>
            <w:vAlign w:val="bottom"/>
          </w:tcPr>
          <w:p w14:paraId="1B05875D" w14:textId="77777777" w:rsidR="00AF51B4" w:rsidRPr="008B62E4" w:rsidRDefault="00AF51B4" w:rsidP="00AE303F">
            <w:pPr>
              <w:jc w:val="right"/>
              <w:rPr>
                <w:rFonts w:eastAsia="Times New Roman" w:cs="Arial CE"/>
                <w:b/>
                <w:bCs/>
                <w:sz w:val="20"/>
                <w:szCs w:val="20"/>
                <w:lang w:eastAsia="sk-SK"/>
              </w:rPr>
            </w:pPr>
            <w:r w:rsidRPr="008B62E4">
              <w:rPr>
                <w:rFonts w:eastAsia="Times New Roman" w:cs="Arial CE"/>
                <w:b/>
                <w:bCs/>
                <w:sz w:val="20"/>
                <w:szCs w:val="20"/>
                <w:lang w:eastAsia="sk-SK"/>
              </w:rPr>
              <w:t>15 381 013</w:t>
            </w:r>
          </w:p>
        </w:tc>
        <w:tc>
          <w:tcPr>
            <w:tcW w:w="657" w:type="pct"/>
            <w:shd w:val="clear" w:color="auto" w:fill="auto"/>
            <w:vAlign w:val="bottom"/>
          </w:tcPr>
          <w:p w14:paraId="3E26B288" w14:textId="77777777" w:rsidR="00AF51B4" w:rsidRPr="008B62E4" w:rsidRDefault="00AF51B4" w:rsidP="00AE303F">
            <w:pPr>
              <w:jc w:val="right"/>
              <w:rPr>
                <w:rFonts w:eastAsia="Times New Roman" w:cs="Arial"/>
                <w:b/>
                <w:sz w:val="20"/>
                <w:szCs w:val="20"/>
                <w:lang w:eastAsia="sk-SK"/>
              </w:rPr>
            </w:pPr>
            <w:r w:rsidRPr="008B62E4">
              <w:rPr>
                <w:rFonts w:eastAsia="Times New Roman" w:cs="Arial"/>
                <w:b/>
                <w:sz w:val="20"/>
                <w:szCs w:val="20"/>
                <w:lang w:eastAsia="sk-SK"/>
              </w:rPr>
              <w:t>15 497 654</w:t>
            </w:r>
          </w:p>
        </w:tc>
        <w:tc>
          <w:tcPr>
            <w:tcW w:w="799" w:type="pct"/>
            <w:shd w:val="clear" w:color="auto" w:fill="auto"/>
            <w:vAlign w:val="bottom"/>
          </w:tcPr>
          <w:p w14:paraId="6D9BEAA3" w14:textId="77777777" w:rsidR="00AF51B4" w:rsidRPr="008B62E4" w:rsidRDefault="00AF51B4" w:rsidP="00AE303F">
            <w:pPr>
              <w:jc w:val="right"/>
              <w:rPr>
                <w:rFonts w:eastAsia="Times New Roman" w:cs="Arial"/>
                <w:b/>
                <w:sz w:val="20"/>
                <w:szCs w:val="20"/>
                <w:lang w:eastAsia="sk-SK"/>
              </w:rPr>
            </w:pPr>
            <w:r w:rsidRPr="008B62E4">
              <w:rPr>
                <w:rFonts w:eastAsia="Times New Roman" w:cs="Arial"/>
                <w:b/>
                <w:sz w:val="20"/>
                <w:szCs w:val="20"/>
                <w:lang w:eastAsia="sk-SK"/>
              </w:rPr>
              <w:t>15 889 512</w:t>
            </w:r>
          </w:p>
        </w:tc>
        <w:tc>
          <w:tcPr>
            <w:tcW w:w="626" w:type="pct"/>
            <w:shd w:val="clear" w:color="auto" w:fill="auto"/>
            <w:vAlign w:val="center"/>
          </w:tcPr>
          <w:p w14:paraId="11856A40" w14:textId="77777777" w:rsidR="00AF51B4" w:rsidRPr="008B62E4" w:rsidRDefault="00AF51B4" w:rsidP="00AE303F">
            <w:pPr>
              <w:jc w:val="right"/>
              <w:rPr>
                <w:rFonts w:eastAsia="Times New Roman" w:cs="Arial"/>
                <w:b/>
                <w:color w:val="000000"/>
                <w:sz w:val="20"/>
                <w:szCs w:val="20"/>
                <w:lang w:eastAsia="sk-SK"/>
              </w:rPr>
            </w:pPr>
            <w:r w:rsidRPr="008B62E4">
              <w:rPr>
                <w:rFonts w:eastAsia="Times New Roman" w:cs="Arial"/>
                <w:b/>
                <w:color w:val="000000"/>
                <w:sz w:val="20"/>
                <w:szCs w:val="20"/>
                <w:lang w:eastAsia="sk-SK"/>
              </w:rPr>
              <w:t>391 858</w:t>
            </w:r>
          </w:p>
        </w:tc>
        <w:tc>
          <w:tcPr>
            <w:tcW w:w="544" w:type="pct"/>
            <w:shd w:val="clear" w:color="auto" w:fill="auto"/>
            <w:vAlign w:val="center"/>
          </w:tcPr>
          <w:p w14:paraId="4649D69E" w14:textId="77777777" w:rsidR="00AF51B4" w:rsidRPr="008B62E4" w:rsidRDefault="00AF51B4" w:rsidP="00AE303F">
            <w:pPr>
              <w:jc w:val="right"/>
              <w:rPr>
                <w:rFonts w:eastAsia="Times New Roman" w:cs="Arial"/>
                <w:b/>
                <w:color w:val="000000"/>
                <w:sz w:val="20"/>
                <w:szCs w:val="20"/>
                <w:lang w:eastAsia="sk-SK"/>
              </w:rPr>
            </w:pPr>
            <w:r w:rsidRPr="008B62E4">
              <w:rPr>
                <w:rFonts w:eastAsia="Times New Roman" w:cs="Arial"/>
                <w:b/>
                <w:color w:val="000000"/>
                <w:sz w:val="20"/>
                <w:szCs w:val="20"/>
                <w:lang w:eastAsia="sk-SK"/>
              </w:rPr>
              <w:t>102,5</w:t>
            </w:r>
          </w:p>
        </w:tc>
      </w:tr>
      <w:tr w:rsidR="00AF51B4" w:rsidRPr="00C65CAA" w14:paraId="2D346B03" w14:textId="77777777" w:rsidTr="00AE303F">
        <w:trPr>
          <w:trHeight w:val="227"/>
        </w:trPr>
        <w:tc>
          <w:tcPr>
            <w:tcW w:w="1718" w:type="pct"/>
            <w:shd w:val="clear" w:color="auto" w:fill="auto"/>
            <w:vAlign w:val="center"/>
          </w:tcPr>
          <w:p w14:paraId="3F00367B"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Všeobecná pokladničná správa   </w:t>
            </w:r>
          </w:p>
        </w:tc>
        <w:tc>
          <w:tcPr>
            <w:tcW w:w="656" w:type="pct"/>
            <w:shd w:val="clear" w:color="auto" w:fill="auto"/>
            <w:vAlign w:val="center"/>
          </w:tcPr>
          <w:p w14:paraId="0636E601"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12 815 983</w:t>
            </w:r>
          </w:p>
        </w:tc>
        <w:tc>
          <w:tcPr>
            <w:tcW w:w="657" w:type="pct"/>
            <w:shd w:val="clear" w:color="auto" w:fill="auto"/>
            <w:vAlign w:val="center"/>
          </w:tcPr>
          <w:p w14:paraId="0322554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13 462 654</w:t>
            </w:r>
          </w:p>
        </w:tc>
        <w:tc>
          <w:tcPr>
            <w:tcW w:w="799" w:type="pct"/>
            <w:shd w:val="clear" w:color="auto" w:fill="auto"/>
            <w:vAlign w:val="center"/>
          </w:tcPr>
          <w:p w14:paraId="572D94D9"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13 831 249</w:t>
            </w:r>
          </w:p>
        </w:tc>
        <w:tc>
          <w:tcPr>
            <w:tcW w:w="626" w:type="pct"/>
            <w:shd w:val="clear" w:color="auto" w:fill="auto"/>
            <w:vAlign w:val="center"/>
          </w:tcPr>
          <w:p w14:paraId="0AB43ACE"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368 595</w:t>
            </w:r>
          </w:p>
        </w:tc>
        <w:tc>
          <w:tcPr>
            <w:tcW w:w="544" w:type="pct"/>
            <w:shd w:val="clear" w:color="auto" w:fill="auto"/>
            <w:vAlign w:val="center"/>
          </w:tcPr>
          <w:p w14:paraId="3F409F84"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102,7</w:t>
            </w:r>
          </w:p>
        </w:tc>
      </w:tr>
      <w:tr w:rsidR="00AF51B4" w:rsidRPr="00C65CAA" w14:paraId="7C3877E0" w14:textId="77777777" w:rsidTr="00AE303F">
        <w:trPr>
          <w:trHeight w:val="227"/>
        </w:trPr>
        <w:tc>
          <w:tcPr>
            <w:tcW w:w="1718" w:type="pct"/>
            <w:shd w:val="clear" w:color="auto" w:fill="auto"/>
            <w:vAlign w:val="center"/>
          </w:tcPr>
          <w:p w14:paraId="4EFA26AF"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práce, sociálnych vecí a rodiny SR </w:t>
            </w:r>
          </w:p>
        </w:tc>
        <w:tc>
          <w:tcPr>
            <w:tcW w:w="656" w:type="pct"/>
            <w:shd w:val="clear" w:color="auto" w:fill="auto"/>
            <w:vAlign w:val="center"/>
          </w:tcPr>
          <w:p w14:paraId="6DAAE42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229 341</w:t>
            </w:r>
          </w:p>
        </w:tc>
        <w:tc>
          <w:tcPr>
            <w:tcW w:w="657" w:type="pct"/>
            <w:shd w:val="clear" w:color="auto" w:fill="auto"/>
            <w:vAlign w:val="center"/>
          </w:tcPr>
          <w:p w14:paraId="5000CC6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98 172</w:t>
            </w:r>
          </w:p>
        </w:tc>
        <w:tc>
          <w:tcPr>
            <w:tcW w:w="799" w:type="pct"/>
            <w:shd w:val="clear" w:color="auto" w:fill="auto"/>
            <w:vAlign w:val="center"/>
          </w:tcPr>
          <w:p w14:paraId="49AE1921"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210 767</w:t>
            </w:r>
          </w:p>
        </w:tc>
        <w:tc>
          <w:tcPr>
            <w:tcW w:w="626" w:type="pct"/>
            <w:shd w:val="clear" w:color="auto" w:fill="auto"/>
            <w:vAlign w:val="center"/>
          </w:tcPr>
          <w:p w14:paraId="3706EA0B"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112 595</w:t>
            </w:r>
          </w:p>
        </w:tc>
        <w:tc>
          <w:tcPr>
            <w:tcW w:w="544" w:type="pct"/>
            <w:shd w:val="clear" w:color="auto" w:fill="auto"/>
            <w:vAlign w:val="center"/>
          </w:tcPr>
          <w:p w14:paraId="1F4D86C8"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214,7</w:t>
            </w:r>
          </w:p>
        </w:tc>
      </w:tr>
      <w:tr w:rsidR="00AF51B4" w:rsidRPr="00C65CAA" w14:paraId="21157DA7" w14:textId="77777777" w:rsidTr="00AE303F">
        <w:trPr>
          <w:trHeight w:val="227"/>
        </w:trPr>
        <w:tc>
          <w:tcPr>
            <w:tcW w:w="1718" w:type="pct"/>
            <w:shd w:val="clear" w:color="auto" w:fill="auto"/>
            <w:vAlign w:val="center"/>
          </w:tcPr>
          <w:p w14:paraId="1D5BC8AF"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financií SR       </w:t>
            </w:r>
          </w:p>
        </w:tc>
        <w:tc>
          <w:tcPr>
            <w:tcW w:w="656" w:type="pct"/>
            <w:shd w:val="clear" w:color="auto" w:fill="auto"/>
            <w:vAlign w:val="center"/>
          </w:tcPr>
          <w:p w14:paraId="652EA23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187 788</w:t>
            </w:r>
          </w:p>
        </w:tc>
        <w:tc>
          <w:tcPr>
            <w:tcW w:w="657" w:type="pct"/>
            <w:shd w:val="clear" w:color="auto" w:fill="auto"/>
            <w:vAlign w:val="center"/>
          </w:tcPr>
          <w:p w14:paraId="4912CEA2"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37 810</w:t>
            </w:r>
          </w:p>
        </w:tc>
        <w:tc>
          <w:tcPr>
            <w:tcW w:w="799" w:type="pct"/>
            <w:shd w:val="clear" w:color="auto" w:fill="auto"/>
            <w:vAlign w:val="center"/>
          </w:tcPr>
          <w:p w14:paraId="718DF9D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135 277</w:t>
            </w:r>
          </w:p>
        </w:tc>
        <w:tc>
          <w:tcPr>
            <w:tcW w:w="626" w:type="pct"/>
            <w:shd w:val="clear" w:color="auto" w:fill="auto"/>
            <w:vAlign w:val="center"/>
          </w:tcPr>
          <w:p w14:paraId="6EB6708A"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97 467</w:t>
            </w:r>
          </w:p>
        </w:tc>
        <w:tc>
          <w:tcPr>
            <w:tcW w:w="544" w:type="pct"/>
            <w:shd w:val="clear" w:color="auto" w:fill="auto"/>
            <w:vAlign w:val="center"/>
          </w:tcPr>
          <w:p w14:paraId="68084A41"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357,8</w:t>
            </w:r>
          </w:p>
        </w:tc>
      </w:tr>
      <w:tr w:rsidR="00AF51B4" w:rsidRPr="00C65CAA" w14:paraId="6A9BDA9E" w14:textId="77777777" w:rsidTr="00AE303F">
        <w:trPr>
          <w:trHeight w:val="227"/>
        </w:trPr>
        <w:tc>
          <w:tcPr>
            <w:tcW w:w="1718" w:type="pct"/>
            <w:shd w:val="clear" w:color="auto" w:fill="auto"/>
            <w:vAlign w:val="center"/>
          </w:tcPr>
          <w:p w14:paraId="50822192"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dopravy a výstavby SR  </w:t>
            </w:r>
          </w:p>
        </w:tc>
        <w:tc>
          <w:tcPr>
            <w:tcW w:w="656" w:type="pct"/>
            <w:shd w:val="clear" w:color="auto" w:fill="auto"/>
            <w:vAlign w:val="center"/>
          </w:tcPr>
          <w:p w14:paraId="2B4EB6D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546 444</w:t>
            </w:r>
          </w:p>
        </w:tc>
        <w:tc>
          <w:tcPr>
            <w:tcW w:w="657" w:type="pct"/>
            <w:shd w:val="clear" w:color="auto" w:fill="auto"/>
            <w:vAlign w:val="center"/>
          </w:tcPr>
          <w:p w14:paraId="05C8C639"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43 963</w:t>
            </w:r>
          </w:p>
        </w:tc>
        <w:tc>
          <w:tcPr>
            <w:tcW w:w="799" w:type="pct"/>
            <w:shd w:val="clear" w:color="auto" w:fill="auto"/>
            <w:vAlign w:val="center"/>
          </w:tcPr>
          <w:p w14:paraId="02693F12"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120 997</w:t>
            </w:r>
          </w:p>
        </w:tc>
        <w:tc>
          <w:tcPr>
            <w:tcW w:w="626" w:type="pct"/>
            <w:shd w:val="clear" w:color="auto" w:fill="auto"/>
            <w:vAlign w:val="center"/>
          </w:tcPr>
          <w:p w14:paraId="1AA53829"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77 034</w:t>
            </w:r>
          </w:p>
        </w:tc>
        <w:tc>
          <w:tcPr>
            <w:tcW w:w="544" w:type="pct"/>
            <w:shd w:val="clear" w:color="auto" w:fill="auto"/>
            <w:vAlign w:val="center"/>
          </w:tcPr>
          <w:p w14:paraId="4F682D3A"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275,2</w:t>
            </w:r>
          </w:p>
        </w:tc>
      </w:tr>
      <w:tr w:rsidR="00AF51B4" w:rsidRPr="00C65CAA" w14:paraId="249ABB5F" w14:textId="77777777" w:rsidTr="00AE303F">
        <w:trPr>
          <w:trHeight w:val="227"/>
        </w:trPr>
        <w:tc>
          <w:tcPr>
            <w:tcW w:w="1718" w:type="pct"/>
            <w:shd w:val="clear" w:color="auto" w:fill="auto"/>
            <w:vAlign w:val="center"/>
          </w:tcPr>
          <w:p w14:paraId="781EC35A"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vnútra SR         </w:t>
            </w:r>
          </w:p>
        </w:tc>
        <w:tc>
          <w:tcPr>
            <w:tcW w:w="656" w:type="pct"/>
            <w:shd w:val="clear" w:color="auto" w:fill="auto"/>
            <w:vAlign w:val="center"/>
          </w:tcPr>
          <w:p w14:paraId="4F39395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107 402</w:t>
            </w:r>
          </w:p>
        </w:tc>
        <w:tc>
          <w:tcPr>
            <w:tcW w:w="657" w:type="pct"/>
            <w:shd w:val="clear" w:color="auto" w:fill="auto"/>
            <w:vAlign w:val="center"/>
          </w:tcPr>
          <w:p w14:paraId="615ADE1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120 822</w:t>
            </w:r>
          </w:p>
        </w:tc>
        <w:tc>
          <w:tcPr>
            <w:tcW w:w="799" w:type="pct"/>
            <w:shd w:val="clear" w:color="auto" w:fill="auto"/>
            <w:vAlign w:val="center"/>
          </w:tcPr>
          <w:p w14:paraId="7606AD08"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162 465</w:t>
            </w:r>
          </w:p>
        </w:tc>
        <w:tc>
          <w:tcPr>
            <w:tcW w:w="626" w:type="pct"/>
            <w:shd w:val="clear" w:color="auto" w:fill="auto"/>
            <w:vAlign w:val="center"/>
          </w:tcPr>
          <w:p w14:paraId="79291133"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41 644</w:t>
            </w:r>
          </w:p>
        </w:tc>
        <w:tc>
          <w:tcPr>
            <w:tcW w:w="544" w:type="pct"/>
            <w:shd w:val="clear" w:color="auto" w:fill="auto"/>
            <w:vAlign w:val="center"/>
          </w:tcPr>
          <w:p w14:paraId="3785D720"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134,5</w:t>
            </w:r>
          </w:p>
        </w:tc>
      </w:tr>
      <w:tr w:rsidR="00AF51B4" w:rsidRPr="00C65CAA" w14:paraId="76628123" w14:textId="77777777" w:rsidTr="00AE303F">
        <w:trPr>
          <w:trHeight w:val="227"/>
        </w:trPr>
        <w:tc>
          <w:tcPr>
            <w:tcW w:w="1718" w:type="pct"/>
            <w:shd w:val="clear" w:color="auto" w:fill="auto"/>
            <w:vAlign w:val="center"/>
          </w:tcPr>
          <w:p w14:paraId="5F12EFB2"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Ministerstvo školstva, vedy, výskumu a športu SR</w:t>
            </w:r>
          </w:p>
        </w:tc>
        <w:tc>
          <w:tcPr>
            <w:tcW w:w="656" w:type="pct"/>
            <w:shd w:val="clear" w:color="auto" w:fill="auto"/>
            <w:vAlign w:val="center"/>
          </w:tcPr>
          <w:p w14:paraId="748264B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38 466</w:t>
            </w:r>
          </w:p>
        </w:tc>
        <w:tc>
          <w:tcPr>
            <w:tcW w:w="657" w:type="pct"/>
            <w:shd w:val="clear" w:color="auto" w:fill="auto"/>
            <w:vAlign w:val="center"/>
          </w:tcPr>
          <w:p w14:paraId="495FA82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81 529</w:t>
            </w:r>
          </w:p>
        </w:tc>
        <w:tc>
          <w:tcPr>
            <w:tcW w:w="799" w:type="pct"/>
            <w:shd w:val="clear" w:color="auto" w:fill="auto"/>
            <w:vAlign w:val="center"/>
          </w:tcPr>
          <w:p w14:paraId="75C21BC1"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107 028</w:t>
            </w:r>
          </w:p>
        </w:tc>
        <w:tc>
          <w:tcPr>
            <w:tcW w:w="626" w:type="pct"/>
            <w:shd w:val="clear" w:color="auto" w:fill="auto"/>
            <w:vAlign w:val="center"/>
          </w:tcPr>
          <w:p w14:paraId="32AFC189"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25 500</w:t>
            </w:r>
          </w:p>
        </w:tc>
        <w:tc>
          <w:tcPr>
            <w:tcW w:w="544" w:type="pct"/>
            <w:shd w:val="clear" w:color="auto" w:fill="auto"/>
            <w:vAlign w:val="center"/>
          </w:tcPr>
          <w:p w14:paraId="1BA07984"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131,3</w:t>
            </w:r>
          </w:p>
        </w:tc>
      </w:tr>
      <w:tr w:rsidR="00AF51B4" w:rsidRPr="00C65CAA" w14:paraId="70C33D2F" w14:textId="77777777" w:rsidTr="00AE303F">
        <w:trPr>
          <w:trHeight w:val="227"/>
        </w:trPr>
        <w:tc>
          <w:tcPr>
            <w:tcW w:w="1718" w:type="pct"/>
            <w:shd w:val="clear" w:color="auto" w:fill="auto"/>
            <w:vAlign w:val="center"/>
          </w:tcPr>
          <w:p w14:paraId="3C0100CB"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zdravotníctva SR  </w:t>
            </w:r>
          </w:p>
        </w:tc>
        <w:tc>
          <w:tcPr>
            <w:tcW w:w="656" w:type="pct"/>
            <w:shd w:val="clear" w:color="auto" w:fill="auto"/>
            <w:vAlign w:val="center"/>
          </w:tcPr>
          <w:p w14:paraId="0D8846F0"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37 196</w:t>
            </w:r>
          </w:p>
        </w:tc>
        <w:tc>
          <w:tcPr>
            <w:tcW w:w="657" w:type="pct"/>
            <w:shd w:val="clear" w:color="auto" w:fill="auto"/>
            <w:vAlign w:val="center"/>
          </w:tcPr>
          <w:p w14:paraId="40161AD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39 078</w:t>
            </w:r>
          </w:p>
        </w:tc>
        <w:tc>
          <w:tcPr>
            <w:tcW w:w="799" w:type="pct"/>
            <w:shd w:val="clear" w:color="auto" w:fill="auto"/>
            <w:vAlign w:val="center"/>
          </w:tcPr>
          <w:p w14:paraId="2B105FAE"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41 453</w:t>
            </w:r>
          </w:p>
        </w:tc>
        <w:tc>
          <w:tcPr>
            <w:tcW w:w="626" w:type="pct"/>
            <w:shd w:val="clear" w:color="auto" w:fill="auto"/>
            <w:vAlign w:val="center"/>
          </w:tcPr>
          <w:p w14:paraId="2E336B2E"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2 375</w:t>
            </w:r>
          </w:p>
        </w:tc>
        <w:tc>
          <w:tcPr>
            <w:tcW w:w="544" w:type="pct"/>
            <w:shd w:val="clear" w:color="auto" w:fill="auto"/>
            <w:vAlign w:val="center"/>
          </w:tcPr>
          <w:p w14:paraId="05A39CCE"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106,1</w:t>
            </w:r>
          </w:p>
        </w:tc>
      </w:tr>
      <w:tr w:rsidR="00AF51B4" w:rsidRPr="00C65CAA" w14:paraId="22F084EC" w14:textId="77777777" w:rsidTr="00AE303F">
        <w:trPr>
          <w:trHeight w:val="227"/>
        </w:trPr>
        <w:tc>
          <w:tcPr>
            <w:tcW w:w="1718" w:type="pct"/>
            <w:shd w:val="clear" w:color="auto" w:fill="auto"/>
            <w:vAlign w:val="center"/>
          </w:tcPr>
          <w:p w14:paraId="0D0F36AD"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Úrad pre verejné obstarávanie </w:t>
            </w:r>
          </w:p>
        </w:tc>
        <w:tc>
          <w:tcPr>
            <w:tcW w:w="656" w:type="pct"/>
            <w:shd w:val="clear" w:color="auto" w:fill="auto"/>
            <w:vAlign w:val="center"/>
          </w:tcPr>
          <w:p w14:paraId="1BB15567"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1 966</w:t>
            </w:r>
          </w:p>
        </w:tc>
        <w:tc>
          <w:tcPr>
            <w:tcW w:w="657" w:type="pct"/>
            <w:shd w:val="clear" w:color="auto" w:fill="auto"/>
            <w:vAlign w:val="center"/>
          </w:tcPr>
          <w:p w14:paraId="7D261FF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500</w:t>
            </w:r>
          </w:p>
        </w:tc>
        <w:tc>
          <w:tcPr>
            <w:tcW w:w="799" w:type="pct"/>
            <w:shd w:val="clear" w:color="auto" w:fill="auto"/>
            <w:vAlign w:val="center"/>
          </w:tcPr>
          <w:p w14:paraId="3AA6295E"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1 000</w:t>
            </w:r>
          </w:p>
        </w:tc>
        <w:tc>
          <w:tcPr>
            <w:tcW w:w="626" w:type="pct"/>
            <w:shd w:val="clear" w:color="auto" w:fill="auto"/>
            <w:vAlign w:val="center"/>
          </w:tcPr>
          <w:p w14:paraId="138DC9C0"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500</w:t>
            </w:r>
          </w:p>
        </w:tc>
        <w:tc>
          <w:tcPr>
            <w:tcW w:w="544" w:type="pct"/>
            <w:shd w:val="clear" w:color="auto" w:fill="auto"/>
            <w:vAlign w:val="center"/>
          </w:tcPr>
          <w:p w14:paraId="418192FB"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200</w:t>
            </w:r>
          </w:p>
        </w:tc>
      </w:tr>
      <w:tr w:rsidR="00AF51B4" w:rsidRPr="00C65CAA" w14:paraId="20ECA393" w14:textId="77777777" w:rsidTr="00AE303F">
        <w:trPr>
          <w:trHeight w:val="227"/>
        </w:trPr>
        <w:tc>
          <w:tcPr>
            <w:tcW w:w="1718" w:type="pct"/>
            <w:shd w:val="clear" w:color="auto" w:fill="auto"/>
            <w:vAlign w:val="center"/>
          </w:tcPr>
          <w:p w14:paraId="00280E21"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Správa štátnych hmotných rezerv SR</w:t>
            </w:r>
          </w:p>
        </w:tc>
        <w:tc>
          <w:tcPr>
            <w:tcW w:w="656" w:type="pct"/>
            <w:shd w:val="clear" w:color="auto" w:fill="auto"/>
            <w:vAlign w:val="center"/>
          </w:tcPr>
          <w:p w14:paraId="1BB2CAE7"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3 947</w:t>
            </w:r>
          </w:p>
        </w:tc>
        <w:tc>
          <w:tcPr>
            <w:tcW w:w="657" w:type="pct"/>
            <w:shd w:val="clear" w:color="auto" w:fill="auto"/>
            <w:vAlign w:val="center"/>
          </w:tcPr>
          <w:p w14:paraId="351EBB4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600</w:t>
            </w:r>
          </w:p>
        </w:tc>
        <w:tc>
          <w:tcPr>
            <w:tcW w:w="799" w:type="pct"/>
            <w:shd w:val="clear" w:color="auto" w:fill="auto"/>
            <w:vAlign w:val="center"/>
          </w:tcPr>
          <w:p w14:paraId="7702DC2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912</w:t>
            </w:r>
          </w:p>
        </w:tc>
        <w:tc>
          <w:tcPr>
            <w:tcW w:w="626" w:type="pct"/>
            <w:shd w:val="clear" w:color="auto" w:fill="auto"/>
            <w:vAlign w:val="center"/>
          </w:tcPr>
          <w:p w14:paraId="43C54DDD"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312</w:t>
            </w:r>
          </w:p>
        </w:tc>
        <w:tc>
          <w:tcPr>
            <w:tcW w:w="544" w:type="pct"/>
            <w:shd w:val="clear" w:color="auto" w:fill="auto"/>
            <w:vAlign w:val="center"/>
          </w:tcPr>
          <w:p w14:paraId="0348F506"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152</w:t>
            </w:r>
          </w:p>
        </w:tc>
      </w:tr>
      <w:tr w:rsidR="00AF51B4" w:rsidRPr="00C65CAA" w14:paraId="03FE5365" w14:textId="77777777" w:rsidTr="00AE303F">
        <w:trPr>
          <w:trHeight w:val="227"/>
        </w:trPr>
        <w:tc>
          <w:tcPr>
            <w:tcW w:w="1718" w:type="pct"/>
            <w:shd w:val="clear" w:color="auto" w:fill="auto"/>
            <w:vAlign w:val="center"/>
          </w:tcPr>
          <w:p w14:paraId="314C0151"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Úrad priemyselného vlastníctva SR      </w:t>
            </w:r>
          </w:p>
        </w:tc>
        <w:tc>
          <w:tcPr>
            <w:tcW w:w="656" w:type="pct"/>
            <w:shd w:val="clear" w:color="auto" w:fill="auto"/>
            <w:vAlign w:val="center"/>
          </w:tcPr>
          <w:p w14:paraId="4BDB52C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3 216</w:t>
            </w:r>
          </w:p>
        </w:tc>
        <w:tc>
          <w:tcPr>
            <w:tcW w:w="657" w:type="pct"/>
            <w:shd w:val="clear" w:color="auto" w:fill="auto"/>
            <w:vAlign w:val="center"/>
          </w:tcPr>
          <w:p w14:paraId="3803414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3 200</w:t>
            </w:r>
          </w:p>
        </w:tc>
        <w:tc>
          <w:tcPr>
            <w:tcW w:w="799" w:type="pct"/>
            <w:shd w:val="clear" w:color="auto" w:fill="auto"/>
            <w:vAlign w:val="center"/>
          </w:tcPr>
          <w:p w14:paraId="6FED4332"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3 460</w:t>
            </w:r>
          </w:p>
        </w:tc>
        <w:tc>
          <w:tcPr>
            <w:tcW w:w="626" w:type="pct"/>
            <w:shd w:val="clear" w:color="auto" w:fill="auto"/>
            <w:vAlign w:val="center"/>
          </w:tcPr>
          <w:p w14:paraId="7C37CAA6"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260</w:t>
            </w:r>
          </w:p>
        </w:tc>
        <w:tc>
          <w:tcPr>
            <w:tcW w:w="544" w:type="pct"/>
            <w:shd w:val="clear" w:color="auto" w:fill="auto"/>
            <w:vAlign w:val="center"/>
          </w:tcPr>
          <w:p w14:paraId="03663B51"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108,1</w:t>
            </w:r>
          </w:p>
        </w:tc>
      </w:tr>
      <w:tr w:rsidR="00AF51B4" w:rsidRPr="00C65CAA" w14:paraId="5EE3C883" w14:textId="77777777" w:rsidTr="00AE303F">
        <w:trPr>
          <w:trHeight w:val="227"/>
        </w:trPr>
        <w:tc>
          <w:tcPr>
            <w:tcW w:w="1718" w:type="pct"/>
            <w:shd w:val="clear" w:color="auto" w:fill="auto"/>
            <w:vAlign w:val="center"/>
          </w:tcPr>
          <w:p w14:paraId="4ED1E950"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Kancelária prezidenta SR          </w:t>
            </w:r>
          </w:p>
        </w:tc>
        <w:tc>
          <w:tcPr>
            <w:tcW w:w="656" w:type="pct"/>
            <w:shd w:val="clear" w:color="auto" w:fill="auto"/>
            <w:vAlign w:val="center"/>
          </w:tcPr>
          <w:p w14:paraId="65F06E90"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32</w:t>
            </w:r>
          </w:p>
        </w:tc>
        <w:tc>
          <w:tcPr>
            <w:tcW w:w="657" w:type="pct"/>
            <w:shd w:val="clear" w:color="auto" w:fill="auto"/>
            <w:vAlign w:val="center"/>
          </w:tcPr>
          <w:p w14:paraId="53CE759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w:t>
            </w:r>
          </w:p>
        </w:tc>
        <w:tc>
          <w:tcPr>
            <w:tcW w:w="799" w:type="pct"/>
            <w:shd w:val="clear" w:color="auto" w:fill="auto"/>
            <w:vAlign w:val="center"/>
          </w:tcPr>
          <w:p w14:paraId="3282BFB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15</w:t>
            </w:r>
          </w:p>
        </w:tc>
        <w:tc>
          <w:tcPr>
            <w:tcW w:w="626" w:type="pct"/>
            <w:shd w:val="clear" w:color="auto" w:fill="auto"/>
            <w:vAlign w:val="center"/>
          </w:tcPr>
          <w:p w14:paraId="5D015B05"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5</w:t>
            </w:r>
          </w:p>
        </w:tc>
        <w:tc>
          <w:tcPr>
            <w:tcW w:w="544" w:type="pct"/>
            <w:shd w:val="clear" w:color="auto" w:fill="auto"/>
            <w:vAlign w:val="center"/>
          </w:tcPr>
          <w:p w14:paraId="180DA79C"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150</w:t>
            </w:r>
          </w:p>
        </w:tc>
      </w:tr>
      <w:tr w:rsidR="00AF51B4" w:rsidRPr="00C65CAA" w14:paraId="3A45E4C8" w14:textId="77777777" w:rsidTr="00AE303F">
        <w:trPr>
          <w:trHeight w:val="227"/>
        </w:trPr>
        <w:tc>
          <w:tcPr>
            <w:tcW w:w="1718" w:type="pct"/>
            <w:shd w:val="clear" w:color="auto" w:fill="auto"/>
            <w:vAlign w:val="center"/>
          </w:tcPr>
          <w:p w14:paraId="6390364F"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Kancelária Národnej rady SR    </w:t>
            </w:r>
          </w:p>
        </w:tc>
        <w:tc>
          <w:tcPr>
            <w:tcW w:w="656" w:type="pct"/>
            <w:shd w:val="clear" w:color="auto" w:fill="auto"/>
            <w:vAlign w:val="center"/>
          </w:tcPr>
          <w:p w14:paraId="2E80640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1 683</w:t>
            </w:r>
          </w:p>
        </w:tc>
        <w:tc>
          <w:tcPr>
            <w:tcW w:w="657" w:type="pct"/>
            <w:shd w:val="clear" w:color="auto" w:fill="auto"/>
            <w:vAlign w:val="center"/>
          </w:tcPr>
          <w:p w14:paraId="0E8AD0B1"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1 280</w:t>
            </w:r>
          </w:p>
        </w:tc>
        <w:tc>
          <w:tcPr>
            <w:tcW w:w="799" w:type="pct"/>
            <w:shd w:val="clear" w:color="auto" w:fill="auto"/>
            <w:vAlign w:val="center"/>
          </w:tcPr>
          <w:p w14:paraId="7E74CFD8"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1 280</w:t>
            </w:r>
          </w:p>
        </w:tc>
        <w:tc>
          <w:tcPr>
            <w:tcW w:w="626" w:type="pct"/>
            <w:shd w:val="clear" w:color="auto" w:fill="auto"/>
            <w:vAlign w:val="center"/>
          </w:tcPr>
          <w:p w14:paraId="62567E7D"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2B3F6657"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24D601C1" w14:textId="77777777" w:rsidTr="00AE303F">
        <w:trPr>
          <w:trHeight w:val="227"/>
        </w:trPr>
        <w:tc>
          <w:tcPr>
            <w:tcW w:w="1718" w:type="pct"/>
            <w:shd w:val="clear" w:color="auto" w:fill="auto"/>
            <w:vAlign w:val="center"/>
          </w:tcPr>
          <w:p w14:paraId="2666A9F2"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Úrad podpredsedu vlády SR pre investície a informatizáciu</w:t>
            </w:r>
          </w:p>
        </w:tc>
        <w:tc>
          <w:tcPr>
            <w:tcW w:w="656" w:type="pct"/>
            <w:shd w:val="clear" w:color="auto" w:fill="auto"/>
            <w:vAlign w:val="center"/>
          </w:tcPr>
          <w:p w14:paraId="4B9261D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w:t>
            </w:r>
          </w:p>
        </w:tc>
        <w:tc>
          <w:tcPr>
            <w:tcW w:w="657" w:type="pct"/>
            <w:shd w:val="clear" w:color="auto" w:fill="auto"/>
            <w:vAlign w:val="center"/>
          </w:tcPr>
          <w:p w14:paraId="49C1108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0</w:t>
            </w:r>
          </w:p>
        </w:tc>
        <w:tc>
          <w:tcPr>
            <w:tcW w:w="799" w:type="pct"/>
            <w:shd w:val="clear" w:color="auto" w:fill="auto"/>
            <w:vAlign w:val="center"/>
          </w:tcPr>
          <w:p w14:paraId="0EA51D69"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0</w:t>
            </w:r>
          </w:p>
        </w:tc>
        <w:tc>
          <w:tcPr>
            <w:tcW w:w="626" w:type="pct"/>
            <w:shd w:val="clear" w:color="auto" w:fill="auto"/>
            <w:vAlign w:val="center"/>
          </w:tcPr>
          <w:p w14:paraId="6F66085A"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385B6247" w14:textId="77777777" w:rsidR="00AF51B4" w:rsidRPr="00066B36" w:rsidRDefault="00AF51B4" w:rsidP="00AE303F">
            <w:pPr>
              <w:jc w:val="center"/>
              <w:rPr>
                <w:rFonts w:eastAsia="Times New Roman" w:cs="Arial"/>
                <w:color w:val="000000"/>
                <w:sz w:val="20"/>
                <w:szCs w:val="20"/>
                <w:lang w:eastAsia="sk-SK"/>
              </w:rPr>
            </w:pPr>
            <w:r w:rsidRPr="00066B36">
              <w:rPr>
                <w:rFonts w:eastAsia="Times New Roman" w:cs="Arial"/>
                <w:color w:val="000000"/>
                <w:sz w:val="20"/>
                <w:szCs w:val="20"/>
                <w:lang w:eastAsia="sk-SK"/>
              </w:rPr>
              <w:t>-</w:t>
            </w:r>
          </w:p>
        </w:tc>
      </w:tr>
      <w:tr w:rsidR="00AF51B4" w:rsidRPr="00C65CAA" w14:paraId="15E9DE27" w14:textId="77777777" w:rsidTr="00AE303F">
        <w:trPr>
          <w:trHeight w:val="227"/>
        </w:trPr>
        <w:tc>
          <w:tcPr>
            <w:tcW w:w="1718" w:type="pct"/>
            <w:shd w:val="clear" w:color="auto" w:fill="auto"/>
            <w:vAlign w:val="center"/>
          </w:tcPr>
          <w:p w14:paraId="410E1949"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Kancelária Ústavného súdu SR                 </w:t>
            </w:r>
          </w:p>
        </w:tc>
        <w:tc>
          <w:tcPr>
            <w:tcW w:w="656" w:type="pct"/>
            <w:shd w:val="clear" w:color="auto" w:fill="auto"/>
            <w:vAlign w:val="center"/>
          </w:tcPr>
          <w:p w14:paraId="54ECECF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13</w:t>
            </w:r>
          </w:p>
        </w:tc>
        <w:tc>
          <w:tcPr>
            <w:tcW w:w="657" w:type="pct"/>
            <w:shd w:val="clear" w:color="auto" w:fill="auto"/>
            <w:vAlign w:val="center"/>
          </w:tcPr>
          <w:p w14:paraId="204CC68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w:t>
            </w:r>
          </w:p>
        </w:tc>
        <w:tc>
          <w:tcPr>
            <w:tcW w:w="799" w:type="pct"/>
            <w:shd w:val="clear" w:color="auto" w:fill="auto"/>
            <w:vAlign w:val="center"/>
          </w:tcPr>
          <w:p w14:paraId="3C6A203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w:t>
            </w:r>
          </w:p>
        </w:tc>
        <w:tc>
          <w:tcPr>
            <w:tcW w:w="626" w:type="pct"/>
            <w:shd w:val="clear" w:color="auto" w:fill="auto"/>
            <w:vAlign w:val="center"/>
          </w:tcPr>
          <w:p w14:paraId="4E627D4D"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336DC9F7"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316DF6EC" w14:textId="77777777" w:rsidTr="00AE303F">
        <w:trPr>
          <w:trHeight w:val="227"/>
        </w:trPr>
        <w:tc>
          <w:tcPr>
            <w:tcW w:w="1718" w:type="pct"/>
            <w:shd w:val="clear" w:color="auto" w:fill="auto"/>
            <w:vAlign w:val="center"/>
          </w:tcPr>
          <w:p w14:paraId="47FC3457"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Kancelária Najvyššieho súdu SR                 </w:t>
            </w:r>
          </w:p>
        </w:tc>
        <w:tc>
          <w:tcPr>
            <w:tcW w:w="656" w:type="pct"/>
            <w:shd w:val="clear" w:color="auto" w:fill="auto"/>
            <w:vAlign w:val="center"/>
          </w:tcPr>
          <w:p w14:paraId="3170D3F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15</w:t>
            </w:r>
          </w:p>
        </w:tc>
        <w:tc>
          <w:tcPr>
            <w:tcW w:w="657" w:type="pct"/>
            <w:shd w:val="clear" w:color="auto" w:fill="auto"/>
            <w:vAlign w:val="center"/>
          </w:tcPr>
          <w:p w14:paraId="50803C7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w:t>
            </w:r>
          </w:p>
        </w:tc>
        <w:tc>
          <w:tcPr>
            <w:tcW w:w="799" w:type="pct"/>
            <w:shd w:val="clear" w:color="auto" w:fill="auto"/>
            <w:vAlign w:val="center"/>
          </w:tcPr>
          <w:p w14:paraId="629D631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w:t>
            </w:r>
          </w:p>
        </w:tc>
        <w:tc>
          <w:tcPr>
            <w:tcW w:w="626" w:type="pct"/>
            <w:shd w:val="clear" w:color="auto" w:fill="auto"/>
            <w:vAlign w:val="center"/>
          </w:tcPr>
          <w:p w14:paraId="4AF082B0"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07D27F65"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04839F3E" w14:textId="77777777" w:rsidTr="00AE303F">
        <w:trPr>
          <w:trHeight w:val="227"/>
        </w:trPr>
        <w:tc>
          <w:tcPr>
            <w:tcW w:w="1718" w:type="pct"/>
            <w:shd w:val="clear" w:color="auto" w:fill="auto"/>
            <w:vAlign w:val="center"/>
          </w:tcPr>
          <w:p w14:paraId="62A67C2C"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Generálna prokuratúra SR       </w:t>
            </w:r>
          </w:p>
        </w:tc>
        <w:tc>
          <w:tcPr>
            <w:tcW w:w="656" w:type="pct"/>
            <w:shd w:val="clear" w:color="auto" w:fill="auto"/>
            <w:vAlign w:val="center"/>
          </w:tcPr>
          <w:p w14:paraId="27F685E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515</w:t>
            </w:r>
          </w:p>
        </w:tc>
        <w:tc>
          <w:tcPr>
            <w:tcW w:w="657" w:type="pct"/>
            <w:shd w:val="clear" w:color="auto" w:fill="auto"/>
            <w:vAlign w:val="center"/>
          </w:tcPr>
          <w:p w14:paraId="377C4B5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500</w:t>
            </w:r>
          </w:p>
        </w:tc>
        <w:tc>
          <w:tcPr>
            <w:tcW w:w="799" w:type="pct"/>
            <w:shd w:val="clear" w:color="auto" w:fill="auto"/>
            <w:vAlign w:val="center"/>
          </w:tcPr>
          <w:p w14:paraId="3663CAB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500</w:t>
            </w:r>
          </w:p>
        </w:tc>
        <w:tc>
          <w:tcPr>
            <w:tcW w:w="626" w:type="pct"/>
            <w:shd w:val="clear" w:color="auto" w:fill="auto"/>
            <w:vAlign w:val="center"/>
          </w:tcPr>
          <w:p w14:paraId="2D655E9F"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24EBC8D0"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23306543" w14:textId="77777777" w:rsidTr="00AE303F">
        <w:trPr>
          <w:trHeight w:val="227"/>
        </w:trPr>
        <w:tc>
          <w:tcPr>
            <w:tcW w:w="1718" w:type="pct"/>
            <w:shd w:val="clear" w:color="auto" w:fill="auto"/>
            <w:vAlign w:val="center"/>
          </w:tcPr>
          <w:p w14:paraId="4880D288"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Najvyšší kontrolný úrad SR     </w:t>
            </w:r>
          </w:p>
        </w:tc>
        <w:tc>
          <w:tcPr>
            <w:tcW w:w="656" w:type="pct"/>
            <w:shd w:val="clear" w:color="auto" w:fill="auto"/>
            <w:vAlign w:val="center"/>
          </w:tcPr>
          <w:p w14:paraId="1119906A"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w:t>
            </w:r>
          </w:p>
        </w:tc>
        <w:tc>
          <w:tcPr>
            <w:tcW w:w="657" w:type="pct"/>
            <w:shd w:val="clear" w:color="auto" w:fill="auto"/>
            <w:vAlign w:val="center"/>
          </w:tcPr>
          <w:p w14:paraId="1CC5E04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20</w:t>
            </w:r>
          </w:p>
        </w:tc>
        <w:tc>
          <w:tcPr>
            <w:tcW w:w="799" w:type="pct"/>
            <w:shd w:val="clear" w:color="auto" w:fill="auto"/>
            <w:vAlign w:val="center"/>
          </w:tcPr>
          <w:p w14:paraId="6E3A500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20</w:t>
            </w:r>
          </w:p>
        </w:tc>
        <w:tc>
          <w:tcPr>
            <w:tcW w:w="626" w:type="pct"/>
            <w:shd w:val="clear" w:color="auto" w:fill="auto"/>
            <w:vAlign w:val="center"/>
          </w:tcPr>
          <w:p w14:paraId="4E1DBC0B"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65C3CA2F"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5194C675" w14:textId="77777777" w:rsidTr="00AE303F">
        <w:trPr>
          <w:trHeight w:val="227"/>
        </w:trPr>
        <w:tc>
          <w:tcPr>
            <w:tcW w:w="1718" w:type="pct"/>
            <w:shd w:val="clear" w:color="auto" w:fill="auto"/>
            <w:vAlign w:val="center"/>
          </w:tcPr>
          <w:p w14:paraId="12A97C4E"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Slovenská informačná služba    </w:t>
            </w:r>
          </w:p>
        </w:tc>
        <w:tc>
          <w:tcPr>
            <w:tcW w:w="656" w:type="pct"/>
            <w:shd w:val="clear" w:color="auto" w:fill="auto"/>
            <w:vAlign w:val="center"/>
          </w:tcPr>
          <w:p w14:paraId="0B12825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169</w:t>
            </w:r>
          </w:p>
        </w:tc>
        <w:tc>
          <w:tcPr>
            <w:tcW w:w="657" w:type="pct"/>
            <w:shd w:val="clear" w:color="auto" w:fill="auto"/>
            <w:vAlign w:val="center"/>
          </w:tcPr>
          <w:p w14:paraId="601E504A"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130</w:t>
            </w:r>
          </w:p>
        </w:tc>
        <w:tc>
          <w:tcPr>
            <w:tcW w:w="799" w:type="pct"/>
            <w:shd w:val="clear" w:color="auto" w:fill="auto"/>
            <w:vAlign w:val="center"/>
          </w:tcPr>
          <w:p w14:paraId="05FB122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130</w:t>
            </w:r>
          </w:p>
        </w:tc>
        <w:tc>
          <w:tcPr>
            <w:tcW w:w="626" w:type="pct"/>
            <w:shd w:val="clear" w:color="auto" w:fill="auto"/>
            <w:vAlign w:val="center"/>
          </w:tcPr>
          <w:p w14:paraId="0BF54CC0"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5C8E13A7"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6CDA3425" w14:textId="77777777" w:rsidTr="00AE303F">
        <w:trPr>
          <w:trHeight w:val="227"/>
        </w:trPr>
        <w:tc>
          <w:tcPr>
            <w:tcW w:w="1718" w:type="pct"/>
            <w:shd w:val="clear" w:color="auto" w:fill="auto"/>
            <w:vAlign w:val="center"/>
          </w:tcPr>
          <w:p w14:paraId="538E59B5"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Ministerstvo zahraničných vecí a európskych záležitostí SR</w:t>
            </w:r>
          </w:p>
        </w:tc>
        <w:tc>
          <w:tcPr>
            <w:tcW w:w="656" w:type="pct"/>
            <w:shd w:val="clear" w:color="auto" w:fill="auto"/>
            <w:vAlign w:val="center"/>
          </w:tcPr>
          <w:p w14:paraId="1714617A"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2 456</w:t>
            </w:r>
          </w:p>
        </w:tc>
        <w:tc>
          <w:tcPr>
            <w:tcW w:w="657" w:type="pct"/>
            <w:shd w:val="clear" w:color="auto" w:fill="auto"/>
            <w:vAlign w:val="center"/>
          </w:tcPr>
          <w:p w14:paraId="03EC4E4E"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1 800</w:t>
            </w:r>
          </w:p>
        </w:tc>
        <w:tc>
          <w:tcPr>
            <w:tcW w:w="799" w:type="pct"/>
            <w:shd w:val="clear" w:color="auto" w:fill="auto"/>
            <w:vAlign w:val="center"/>
          </w:tcPr>
          <w:p w14:paraId="1B84B6A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1 800</w:t>
            </w:r>
          </w:p>
        </w:tc>
        <w:tc>
          <w:tcPr>
            <w:tcW w:w="626" w:type="pct"/>
            <w:shd w:val="clear" w:color="auto" w:fill="auto"/>
            <w:vAlign w:val="center"/>
          </w:tcPr>
          <w:p w14:paraId="4D6077AA"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08DBA1C8"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7FED99CB" w14:textId="77777777" w:rsidTr="00AE303F">
        <w:trPr>
          <w:trHeight w:val="227"/>
        </w:trPr>
        <w:tc>
          <w:tcPr>
            <w:tcW w:w="1718" w:type="pct"/>
            <w:shd w:val="clear" w:color="auto" w:fill="auto"/>
            <w:vAlign w:val="center"/>
          </w:tcPr>
          <w:p w14:paraId="0A0F5C04"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obrany SR         </w:t>
            </w:r>
          </w:p>
        </w:tc>
        <w:tc>
          <w:tcPr>
            <w:tcW w:w="656" w:type="pct"/>
            <w:shd w:val="clear" w:color="auto" w:fill="auto"/>
            <w:vAlign w:val="center"/>
          </w:tcPr>
          <w:p w14:paraId="0A49C09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6 980</w:t>
            </w:r>
          </w:p>
        </w:tc>
        <w:tc>
          <w:tcPr>
            <w:tcW w:w="657" w:type="pct"/>
            <w:shd w:val="clear" w:color="auto" w:fill="auto"/>
            <w:vAlign w:val="center"/>
          </w:tcPr>
          <w:p w14:paraId="4A6D86F1"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9 047</w:t>
            </w:r>
          </w:p>
        </w:tc>
        <w:tc>
          <w:tcPr>
            <w:tcW w:w="799" w:type="pct"/>
            <w:shd w:val="clear" w:color="auto" w:fill="auto"/>
            <w:vAlign w:val="center"/>
          </w:tcPr>
          <w:p w14:paraId="66DEA69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9 047</w:t>
            </w:r>
          </w:p>
        </w:tc>
        <w:tc>
          <w:tcPr>
            <w:tcW w:w="626" w:type="pct"/>
            <w:shd w:val="clear" w:color="auto" w:fill="auto"/>
            <w:vAlign w:val="center"/>
          </w:tcPr>
          <w:p w14:paraId="06A9BCEF"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38C1DAA4"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44CDEA27" w14:textId="77777777" w:rsidTr="00AE303F">
        <w:trPr>
          <w:trHeight w:val="227"/>
        </w:trPr>
        <w:tc>
          <w:tcPr>
            <w:tcW w:w="1718" w:type="pct"/>
            <w:shd w:val="clear" w:color="auto" w:fill="auto"/>
            <w:vAlign w:val="center"/>
          </w:tcPr>
          <w:p w14:paraId="5932073E"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spravodlivosti SR </w:t>
            </w:r>
          </w:p>
        </w:tc>
        <w:tc>
          <w:tcPr>
            <w:tcW w:w="656" w:type="pct"/>
            <w:shd w:val="clear" w:color="auto" w:fill="auto"/>
            <w:vAlign w:val="center"/>
          </w:tcPr>
          <w:p w14:paraId="6F4CB128"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27 712</w:t>
            </w:r>
          </w:p>
        </w:tc>
        <w:tc>
          <w:tcPr>
            <w:tcW w:w="657" w:type="pct"/>
            <w:shd w:val="clear" w:color="auto" w:fill="auto"/>
            <w:vAlign w:val="center"/>
          </w:tcPr>
          <w:p w14:paraId="6C35515A"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23 281</w:t>
            </w:r>
          </w:p>
        </w:tc>
        <w:tc>
          <w:tcPr>
            <w:tcW w:w="799" w:type="pct"/>
            <w:shd w:val="clear" w:color="auto" w:fill="auto"/>
            <w:vAlign w:val="center"/>
          </w:tcPr>
          <w:p w14:paraId="547ED36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23 281</w:t>
            </w:r>
          </w:p>
        </w:tc>
        <w:tc>
          <w:tcPr>
            <w:tcW w:w="626" w:type="pct"/>
            <w:shd w:val="clear" w:color="auto" w:fill="auto"/>
            <w:vAlign w:val="center"/>
          </w:tcPr>
          <w:p w14:paraId="2081951A"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2641C922"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7AF60ACD" w14:textId="77777777" w:rsidTr="00AE303F">
        <w:trPr>
          <w:trHeight w:val="227"/>
        </w:trPr>
        <w:tc>
          <w:tcPr>
            <w:tcW w:w="1718" w:type="pct"/>
            <w:shd w:val="clear" w:color="auto" w:fill="auto"/>
            <w:vAlign w:val="center"/>
          </w:tcPr>
          <w:p w14:paraId="2A9CBAFA"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kultúry SR        </w:t>
            </w:r>
          </w:p>
        </w:tc>
        <w:tc>
          <w:tcPr>
            <w:tcW w:w="656" w:type="pct"/>
            <w:shd w:val="clear" w:color="auto" w:fill="auto"/>
            <w:vAlign w:val="center"/>
          </w:tcPr>
          <w:p w14:paraId="59BDD65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1 387</w:t>
            </w:r>
          </w:p>
        </w:tc>
        <w:tc>
          <w:tcPr>
            <w:tcW w:w="657" w:type="pct"/>
            <w:shd w:val="clear" w:color="auto" w:fill="auto"/>
            <w:vAlign w:val="center"/>
          </w:tcPr>
          <w:p w14:paraId="62D5D44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1 500</w:t>
            </w:r>
          </w:p>
        </w:tc>
        <w:tc>
          <w:tcPr>
            <w:tcW w:w="799" w:type="pct"/>
            <w:shd w:val="clear" w:color="auto" w:fill="auto"/>
            <w:vAlign w:val="center"/>
          </w:tcPr>
          <w:p w14:paraId="403D727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1 500</w:t>
            </w:r>
          </w:p>
        </w:tc>
        <w:tc>
          <w:tcPr>
            <w:tcW w:w="626" w:type="pct"/>
            <w:shd w:val="clear" w:color="auto" w:fill="auto"/>
            <w:vAlign w:val="center"/>
          </w:tcPr>
          <w:p w14:paraId="105E4FA7"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0D226129"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37FC43F3" w14:textId="77777777" w:rsidTr="00AE303F">
        <w:trPr>
          <w:trHeight w:val="227"/>
        </w:trPr>
        <w:tc>
          <w:tcPr>
            <w:tcW w:w="1718" w:type="pct"/>
            <w:shd w:val="clear" w:color="auto" w:fill="auto"/>
            <w:vAlign w:val="center"/>
          </w:tcPr>
          <w:p w14:paraId="4C09616B"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Úrad geodézie, kartografie a katastra SR</w:t>
            </w:r>
          </w:p>
        </w:tc>
        <w:tc>
          <w:tcPr>
            <w:tcW w:w="656" w:type="pct"/>
            <w:shd w:val="clear" w:color="auto" w:fill="auto"/>
            <w:vAlign w:val="center"/>
          </w:tcPr>
          <w:p w14:paraId="1EEB24F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240</w:t>
            </w:r>
          </w:p>
        </w:tc>
        <w:tc>
          <w:tcPr>
            <w:tcW w:w="657" w:type="pct"/>
            <w:shd w:val="clear" w:color="auto" w:fill="auto"/>
            <w:vAlign w:val="center"/>
          </w:tcPr>
          <w:p w14:paraId="3DF591B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200</w:t>
            </w:r>
          </w:p>
        </w:tc>
        <w:tc>
          <w:tcPr>
            <w:tcW w:w="799" w:type="pct"/>
            <w:shd w:val="clear" w:color="auto" w:fill="auto"/>
            <w:vAlign w:val="center"/>
          </w:tcPr>
          <w:p w14:paraId="10E4C51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200</w:t>
            </w:r>
          </w:p>
        </w:tc>
        <w:tc>
          <w:tcPr>
            <w:tcW w:w="626" w:type="pct"/>
            <w:shd w:val="clear" w:color="auto" w:fill="auto"/>
            <w:vAlign w:val="center"/>
          </w:tcPr>
          <w:p w14:paraId="336AF859"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29C6501D"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73F928C2" w14:textId="77777777" w:rsidTr="00AE303F">
        <w:trPr>
          <w:trHeight w:val="227"/>
        </w:trPr>
        <w:tc>
          <w:tcPr>
            <w:tcW w:w="1718" w:type="pct"/>
            <w:shd w:val="clear" w:color="auto" w:fill="auto"/>
            <w:vAlign w:val="center"/>
          </w:tcPr>
          <w:p w14:paraId="63C78BD4"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Štatistický úrad SR            </w:t>
            </w:r>
          </w:p>
        </w:tc>
        <w:tc>
          <w:tcPr>
            <w:tcW w:w="656" w:type="pct"/>
            <w:shd w:val="clear" w:color="auto" w:fill="auto"/>
            <w:vAlign w:val="center"/>
          </w:tcPr>
          <w:p w14:paraId="794C39F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92</w:t>
            </w:r>
          </w:p>
        </w:tc>
        <w:tc>
          <w:tcPr>
            <w:tcW w:w="657" w:type="pct"/>
            <w:shd w:val="clear" w:color="auto" w:fill="auto"/>
            <w:vAlign w:val="center"/>
          </w:tcPr>
          <w:p w14:paraId="7C581BB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120</w:t>
            </w:r>
          </w:p>
        </w:tc>
        <w:tc>
          <w:tcPr>
            <w:tcW w:w="799" w:type="pct"/>
            <w:shd w:val="clear" w:color="auto" w:fill="auto"/>
            <w:vAlign w:val="center"/>
          </w:tcPr>
          <w:p w14:paraId="5B2CC9E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120</w:t>
            </w:r>
          </w:p>
        </w:tc>
        <w:tc>
          <w:tcPr>
            <w:tcW w:w="626" w:type="pct"/>
            <w:shd w:val="clear" w:color="auto" w:fill="auto"/>
            <w:vAlign w:val="center"/>
          </w:tcPr>
          <w:p w14:paraId="604A44DC"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1C4090A1"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1EB11AA3" w14:textId="77777777" w:rsidTr="00AE303F">
        <w:trPr>
          <w:trHeight w:val="227"/>
        </w:trPr>
        <w:tc>
          <w:tcPr>
            <w:tcW w:w="1718" w:type="pct"/>
            <w:shd w:val="clear" w:color="auto" w:fill="auto"/>
            <w:vAlign w:val="center"/>
          </w:tcPr>
          <w:p w14:paraId="389D8420"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Úrad pre reguláciu sieťových odvetví SR</w:t>
            </w:r>
          </w:p>
        </w:tc>
        <w:tc>
          <w:tcPr>
            <w:tcW w:w="656" w:type="pct"/>
            <w:shd w:val="clear" w:color="auto" w:fill="auto"/>
            <w:vAlign w:val="center"/>
          </w:tcPr>
          <w:p w14:paraId="0DE29DF7"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243</w:t>
            </w:r>
          </w:p>
        </w:tc>
        <w:tc>
          <w:tcPr>
            <w:tcW w:w="657" w:type="pct"/>
            <w:shd w:val="clear" w:color="auto" w:fill="auto"/>
            <w:vAlign w:val="center"/>
          </w:tcPr>
          <w:p w14:paraId="49D2B424"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1 000</w:t>
            </w:r>
          </w:p>
        </w:tc>
        <w:tc>
          <w:tcPr>
            <w:tcW w:w="799" w:type="pct"/>
            <w:shd w:val="clear" w:color="auto" w:fill="auto"/>
            <w:vAlign w:val="center"/>
          </w:tcPr>
          <w:p w14:paraId="3355B7C0"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1 000</w:t>
            </w:r>
          </w:p>
        </w:tc>
        <w:tc>
          <w:tcPr>
            <w:tcW w:w="626" w:type="pct"/>
            <w:shd w:val="clear" w:color="auto" w:fill="auto"/>
            <w:vAlign w:val="center"/>
          </w:tcPr>
          <w:p w14:paraId="7A76FF16"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4224F3FD"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49C282DA" w14:textId="77777777" w:rsidTr="00AE303F">
        <w:trPr>
          <w:trHeight w:val="227"/>
        </w:trPr>
        <w:tc>
          <w:tcPr>
            <w:tcW w:w="1718" w:type="pct"/>
            <w:shd w:val="clear" w:color="auto" w:fill="auto"/>
            <w:vAlign w:val="center"/>
          </w:tcPr>
          <w:p w14:paraId="0B579E02"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Protimonopolný úrad SR         </w:t>
            </w:r>
          </w:p>
        </w:tc>
        <w:tc>
          <w:tcPr>
            <w:tcW w:w="656" w:type="pct"/>
            <w:shd w:val="clear" w:color="auto" w:fill="auto"/>
            <w:vAlign w:val="center"/>
          </w:tcPr>
          <w:p w14:paraId="3B556E72"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5 458</w:t>
            </w:r>
          </w:p>
        </w:tc>
        <w:tc>
          <w:tcPr>
            <w:tcW w:w="657" w:type="pct"/>
            <w:shd w:val="clear" w:color="auto" w:fill="auto"/>
            <w:vAlign w:val="center"/>
          </w:tcPr>
          <w:p w14:paraId="577ADC5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200</w:t>
            </w:r>
          </w:p>
        </w:tc>
        <w:tc>
          <w:tcPr>
            <w:tcW w:w="799" w:type="pct"/>
            <w:shd w:val="clear" w:color="auto" w:fill="auto"/>
            <w:vAlign w:val="center"/>
          </w:tcPr>
          <w:p w14:paraId="1F63AFA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200</w:t>
            </w:r>
          </w:p>
        </w:tc>
        <w:tc>
          <w:tcPr>
            <w:tcW w:w="626" w:type="pct"/>
            <w:shd w:val="clear" w:color="auto" w:fill="auto"/>
            <w:vAlign w:val="center"/>
          </w:tcPr>
          <w:p w14:paraId="4E5750EB"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06C835BF"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37212C24" w14:textId="77777777" w:rsidTr="00AE303F">
        <w:trPr>
          <w:trHeight w:val="227"/>
        </w:trPr>
        <w:tc>
          <w:tcPr>
            <w:tcW w:w="1718" w:type="pct"/>
            <w:shd w:val="clear" w:color="auto" w:fill="auto"/>
            <w:vAlign w:val="center"/>
          </w:tcPr>
          <w:p w14:paraId="4622D450"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Národný bezpečnostný úrad </w:t>
            </w:r>
          </w:p>
        </w:tc>
        <w:tc>
          <w:tcPr>
            <w:tcW w:w="656" w:type="pct"/>
            <w:shd w:val="clear" w:color="auto" w:fill="auto"/>
            <w:vAlign w:val="center"/>
          </w:tcPr>
          <w:p w14:paraId="4137E937"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32</w:t>
            </w:r>
          </w:p>
        </w:tc>
        <w:tc>
          <w:tcPr>
            <w:tcW w:w="657" w:type="pct"/>
            <w:shd w:val="clear" w:color="auto" w:fill="auto"/>
            <w:vAlign w:val="center"/>
          </w:tcPr>
          <w:p w14:paraId="18FAA8E4"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22</w:t>
            </w:r>
          </w:p>
        </w:tc>
        <w:tc>
          <w:tcPr>
            <w:tcW w:w="799" w:type="pct"/>
            <w:shd w:val="clear" w:color="auto" w:fill="auto"/>
            <w:vAlign w:val="center"/>
          </w:tcPr>
          <w:p w14:paraId="632DF85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22</w:t>
            </w:r>
          </w:p>
        </w:tc>
        <w:tc>
          <w:tcPr>
            <w:tcW w:w="626" w:type="pct"/>
            <w:shd w:val="clear" w:color="auto" w:fill="auto"/>
            <w:vAlign w:val="center"/>
          </w:tcPr>
          <w:p w14:paraId="759DD0D6"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4261A5C4"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19D90627" w14:textId="77777777" w:rsidTr="00AE303F">
        <w:trPr>
          <w:trHeight w:val="227"/>
        </w:trPr>
        <w:tc>
          <w:tcPr>
            <w:tcW w:w="1718" w:type="pct"/>
            <w:shd w:val="clear" w:color="auto" w:fill="auto"/>
            <w:vAlign w:val="center"/>
          </w:tcPr>
          <w:p w14:paraId="0EA7360D"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Slovenská akadémia vied</w:t>
            </w:r>
          </w:p>
        </w:tc>
        <w:tc>
          <w:tcPr>
            <w:tcW w:w="656" w:type="pct"/>
            <w:shd w:val="clear" w:color="auto" w:fill="auto"/>
            <w:vAlign w:val="center"/>
          </w:tcPr>
          <w:p w14:paraId="3FD14373"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2 116</w:t>
            </w:r>
          </w:p>
        </w:tc>
        <w:tc>
          <w:tcPr>
            <w:tcW w:w="657" w:type="pct"/>
            <w:shd w:val="clear" w:color="auto" w:fill="auto"/>
            <w:vAlign w:val="center"/>
          </w:tcPr>
          <w:p w14:paraId="5A156B7E"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500</w:t>
            </w:r>
          </w:p>
        </w:tc>
        <w:tc>
          <w:tcPr>
            <w:tcW w:w="799" w:type="pct"/>
            <w:shd w:val="clear" w:color="auto" w:fill="auto"/>
            <w:vAlign w:val="center"/>
          </w:tcPr>
          <w:p w14:paraId="02C99D04"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500</w:t>
            </w:r>
          </w:p>
        </w:tc>
        <w:tc>
          <w:tcPr>
            <w:tcW w:w="626" w:type="pct"/>
            <w:shd w:val="clear" w:color="auto" w:fill="auto"/>
            <w:vAlign w:val="center"/>
          </w:tcPr>
          <w:p w14:paraId="0B994692"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123517A6"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100</w:t>
            </w:r>
          </w:p>
        </w:tc>
      </w:tr>
      <w:tr w:rsidR="00AF51B4" w:rsidRPr="00C65CAA" w14:paraId="2436898B" w14:textId="77777777" w:rsidTr="00AE303F">
        <w:trPr>
          <w:trHeight w:val="227"/>
        </w:trPr>
        <w:tc>
          <w:tcPr>
            <w:tcW w:w="1718" w:type="pct"/>
            <w:shd w:val="clear" w:color="auto" w:fill="auto"/>
            <w:vAlign w:val="center"/>
          </w:tcPr>
          <w:p w14:paraId="35CDBC01"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Kancelária Súdnej rady SR</w:t>
            </w:r>
          </w:p>
        </w:tc>
        <w:tc>
          <w:tcPr>
            <w:tcW w:w="656" w:type="pct"/>
            <w:shd w:val="clear" w:color="auto" w:fill="auto"/>
            <w:vAlign w:val="center"/>
          </w:tcPr>
          <w:p w14:paraId="30B24C8A"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w:t>
            </w:r>
          </w:p>
        </w:tc>
        <w:tc>
          <w:tcPr>
            <w:tcW w:w="657" w:type="pct"/>
            <w:shd w:val="clear" w:color="auto" w:fill="auto"/>
            <w:vAlign w:val="center"/>
          </w:tcPr>
          <w:p w14:paraId="432F27F1"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0</w:t>
            </w:r>
          </w:p>
        </w:tc>
        <w:tc>
          <w:tcPr>
            <w:tcW w:w="799" w:type="pct"/>
            <w:shd w:val="clear" w:color="auto" w:fill="auto"/>
            <w:vAlign w:val="center"/>
          </w:tcPr>
          <w:p w14:paraId="031C3247"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0</w:t>
            </w:r>
          </w:p>
        </w:tc>
        <w:tc>
          <w:tcPr>
            <w:tcW w:w="626" w:type="pct"/>
            <w:shd w:val="clear" w:color="auto" w:fill="auto"/>
            <w:vAlign w:val="center"/>
          </w:tcPr>
          <w:p w14:paraId="6BC18C95"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0</w:t>
            </w:r>
          </w:p>
        </w:tc>
        <w:tc>
          <w:tcPr>
            <w:tcW w:w="544" w:type="pct"/>
            <w:shd w:val="clear" w:color="auto" w:fill="auto"/>
            <w:vAlign w:val="center"/>
          </w:tcPr>
          <w:p w14:paraId="7B3B1236" w14:textId="77777777" w:rsidR="00AF51B4" w:rsidRPr="00066B36" w:rsidRDefault="00AF51B4" w:rsidP="00AE303F">
            <w:pPr>
              <w:jc w:val="center"/>
              <w:rPr>
                <w:rFonts w:eastAsia="Times New Roman" w:cs="Arial"/>
                <w:color w:val="000000"/>
                <w:sz w:val="20"/>
                <w:szCs w:val="20"/>
                <w:lang w:eastAsia="sk-SK"/>
              </w:rPr>
            </w:pPr>
            <w:r w:rsidRPr="00066B36">
              <w:rPr>
                <w:rFonts w:eastAsia="Times New Roman" w:cs="Arial"/>
                <w:color w:val="000000"/>
                <w:sz w:val="20"/>
                <w:szCs w:val="20"/>
                <w:lang w:eastAsia="sk-SK"/>
              </w:rPr>
              <w:t>-</w:t>
            </w:r>
          </w:p>
        </w:tc>
      </w:tr>
      <w:tr w:rsidR="00AF51B4" w:rsidRPr="00C65CAA" w14:paraId="349926B4" w14:textId="77777777" w:rsidTr="00AE303F">
        <w:trPr>
          <w:trHeight w:val="227"/>
        </w:trPr>
        <w:tc>
          <w:tcPr>
            <w:tcW w:w="1718" w:type="pct"/>
            <w:shd w:val="clear" w:color="auto" w:fill="auto"/>
            <w:vAlign w:val="center"/>
          </w:tcPr>
          <w:p w14:paraId="5B4770F0"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Úrad jadrového dozoru SR       </w:t>
            </w:r>
          </w:p>
        </w:tc>
        <w:tc>
          <w:tcPr>
            <w:tcW w:w="656" w:type="pct"/>
            <w:shd w:val="clear" w:color="auto" w:fill="auto"/>
            <w:vAlign w:val="center"/>
          </w:tcPr>
          <w:p w14:paraId="5EC4800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9 286</w:t>
            </w:r>
          </w:p>
        </w:tc>
        <w:tc>
          <w:tcPr>
            <w:tcW w:w="657" w:type="pct"/>
            <w:shd w:val="clear" w:color="auto" w:fill="auto"/>
            <w:vAlign w:val="center"/>
          </w:tcPr>
          <w:p w14:paraId="33715CE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9 121</w:t>
            </w:r>
          </w:p>
        </w:tc>
        <w:tc>
          <w:tcPr>
            <w:tcW w:w="799" w:type="pct"/>
            <w:shd w:val="clear" w:color="auto" w:fill="auto"/>
            <w:vAlign w:val="center"/>
          </w:tcPr>
          <w:p w14:paraId="1F05A5CB"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8 869</w:t>
            </w:r>
          </w:p>
        </w:tc>
        <w:tc>
          <w:tcPr>
            <w:tcW w:w="626" w:type="pct"/>
            <w:shd w:val="clear" w:color="auto" w:fill="auto"/>
            <w:vAlign w:val="center"/>
          </w:tcPr>
          <w:p w14:paraId="36B6261A"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-252</w:t>
            </w:r>
          </w:p>
        </w:tc>
        <w:tc>
          <w:tcPr>
            <w:tcW w:w="544" w:type="pct"/>
            <w:shd w:val="clear" w:color="auto" w:fill="auto"/>
            <w:vAlign w:val="center"/>
          </w:tcPr>
          <w:p w14:paraId="04E0869F"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97,2</w:t>
            </w:r>
          </w:p>
        </w:tc>
      </w:tr>
      <w:tr w:rsidR="00AF51B4" w:rsidRPr="00C65CAA" w14:paraId="7A2F2AB2" w14:textId="77777777" w:rsidTr="00AE303F">
        <w:trPr>
          <w:trHeight w:val="227"/>
        </w:trPr>
        <w:tc>
          <w:tcPr>
            <w:tcW w:w="1718" w:type="pct"/>
            <w:shd w:val="clear" w:color="auto" w:fill="auto"/>
            <w:vAlign w:val="center"/>
          </w:tcPr>
          <w:p w14:paraId="726E8FEB"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Úrad pre normalizáciu, metrológiu a skúšobníctvo SR</w:t>
            </w:r>
          </w:p>
        </w:tc>
        <w:tc>
          <w:tcPr>
            <w:tcW w:w="656" w:type="pct"/>
            <w:shd w:val="clear" w:color="auto" w:fill="auto"/>
            <w:vAlign w:val="center"/>
          </w:tcPr>
          <w:p w14:paraId="169423FC"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1 135</w:t>
            </w:r>
          </w:p>
        </w:tc>
        <w:tc>
          <w:tcPr>
            <w:tcW w:w="657" w:type="pct"/>
            <w:shd w:val="clear" w:color="auto" w:fill="auto"/>
            <w:vAlign w:val="center"/>
          </w:tcPr>
          <w:p w14:paraId="4C352688"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2 152</w:t>
            </w:r>
          </w:p>
        </w:tc>
        <w:tc>
          <w:tcPr>
            <w:tcW w:w="799" w:type="pct"/>
            <w:shd w:val="clear" w:color="auto" w:fill="auto"/>
            <w:vAlign w:val="center"/>
          </w:tcPr>
          <w:p w14:paraId="2E13FAC9"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1 000</w:t>
            </w:r>
          </w:p>
        </w:tc>
        <w:tc>
          <w:tcPr>
            <w:tcW w:w="626" w:type="pct"/>
            <w:shd w:val="clear" w:color="auto" w:fill="auto"/>
            <w:vAlign w:val="center"/>
          </w:tcPr>
          <w:p w14:paraId="4F88C085"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-1 152</w:t>
            </w:r>
          </w:p>
        </w:tc>
        <w:tc>
          <w:tcPr>
            <w:tcW w:w="544" w:type="pct"/>
            <w:shd w:val="clear" w:color="auto" w:fill="auto"/>
            <w:vAlign w:val="center"/>
          </w:tcPr>
          <w:p w14:paraId="4C4E7D71"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46,5</w:t>
            </w:r>
          </w:p>
        </w:tc>
      </w:tr>
      <w:tr w:rsidR="00AF51B4" w:rsidRPr="00C65CAA" w14:paraId="5B0D75E0" w14:textId="77777777" w:rsidTr="00AE303F">
        <w:trPr>
          <w:trHeight w:val="227"/>
        </w:trPr>
        <w:tc>
          <w:tcPr>
            <w:tcW w:w="1718" w:type="pct"/>
            <w:shd w:val="clear" w:color="auto" w:fill="auto"/>
            <w:vAlign w:val="center"/>
          </w:tcPr>
          <w:p w14:paraId="7E85D5E9"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Úrad vlády SR                  </w:t>
            </w:r>
          </w:p>
        </w:tc>
        <w:tc>
          <w:tcPr>
            <w:tcW w:w="656" w:type="pct"/>
            <w:shd w:val="clear" w:color="auto" w:fill="auto"/>
            <w:vAlign w:val="center"/>
          </w:tcPr>
          <w:p w14:paraId="6F6C5788"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26 608</w:t>
            </w:r>
          </w:p>
        </w:tc>
        <w:tc>
          <w:tcPr>
            <w:tcW w:w="657" w:type="pct"/>
            <w:shd w:val="clear" w:color="auto" w:fill="auto"/>
            <w:vAlign w:val="center"/>
          </w:tcPr>
          <w:p w14:paraId="2A670168"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25 821</w:t>
            </w:r>
          </w:p>
        </w:tc>
        <w:tc>
          <w:tcPr>
            <w:tcW w:w="799" w:type="pct"/>
            <w:shd w:val="clear" w:color="auto" w:fill="auto"/>
            <w:vAlign w:val="center"/>
          </w:tcPr>
          <w:p w14:paraId="4CADB624"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10 141</w:t>
            </w:r>
          </w:p>
        </w:tc>
        <w:tc>
          <w:tcPr>
            <w:tcW w:w="626" w:type="pct"/>
            <w:shd w:val="clear" w:color="auto" w:fill="auto"/>
            <w:vAlign w:val="center"/>
          </w:tcPr>
          <w:p w14:paraId="3F31683B"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-15 681</w:t>
            </w:r>
          </w:p>
        </w:tc>
        <w:tc>
          <w:tcPr>
            <w:tcW w:w="544" w:type="pct"/>
            <w:shd w:val="clear" w:color="auto" w:fill="auto"/>
            <w:vAlign w:val="center"/>
          </w:tcPr>
          <w:p w14:paraId="65788183"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39,3</w:t>
            </w:r>
          </w:p>
        </w:tc>
      </w:tr>
      <w:tr w:rsidR="00AF51B4" w:rsidRPr="00C65CAA" w14:paraId="0062D737" w14:textId="77777777" w:rsidTr="00AE303F">
        <w:trPr>
          <w:trHeight w:val="227"/>
        </w:trPr>
        <w:tc>
          <w:tcPr>
            <w:tcW w:w="1718" w:type="pct"/>
            <w:shd w:val="clear" w:color="auto" w:fill="auto"/>
            <w:vAlign w:val="center"/>
          </w:tcPr>
          <w:p w14:paraId="2E6FF2CF"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životného prostredia  SR  </w:t>
            </w:r>
          </w:p>
        </w:tc>
        <w:tc>
          <w:tcPr>
            <w:tcW w:w="656" w:type="pct"/>
            <w:shd w:val="clear" w:color="auto" w:fill="auto"/>
            <w:vAlign w:val="center"/>
          </w:tcPr>
          <w:p w14:paraId="17C2C04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325 798</w:t>
            </w:r>
          </w:p>
        </w:tc>
        <w:tc>
          <w:tcPr>
            <w:tcW w:w="657" w:type="pct"/>
            <w:shd w:val="clear" w:color="auto" w:fill="auto"/>
            <w:vAlign w:val="center"/>
          </w:tcPr>
          <w:p w14:paraId="25570570"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409 228</w:t>
            </w:r>
          </w:p>
        </w:tc>
        <w:tc>
          <w:tcPr>
            <w:tcW w:w="799" w:type="pct"/>
            <w:shd w:val="clear" w:color="auto" w:fill="auto"/>
            <w:vAlign w:val="center"/>
          </w:tcPr>
          <w:p w14:paraId="16786285"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338 807</w:t>
            </w:r>
          </w:p>
        </w:tc>
        <w:tc>
          <w:tcPr>
            <w:tcW w:w="626" w:type="pct"/>
            <w:shd w:val="clear" w:color="auto" w:fill="auto"/>
            <w:vAlign w:val="center"/>
          </w:tcPr>
          <w:p w14:paraId="23685113"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-70 422</w:t>
            </w:r>
          </w:p>
        </w:tc>
        <w:tc>
          <w:tcPr>
            <w:tcW w:w="544" w:type="pct"/>
            <w:shd w:val="clear" w:color="auto" w:fill="auto"/>
            <w:vAlign w:val="center"/>
          </w:tcPr>
          <w:p w14:paraId="73FB07B0"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82,8</w:t>
            </w:r>
          </w:p>
        </w:tc>
      </w:tr>
      <w:tr w:rsidR="00AF51B4" w:rsidRPr="00C65CAA" w14:paraId="340A2CD1" w14:textId="77777777" w:rsidTr="00AE303F">
        <w:trPr>
          <w:trHeight w:val="227"/>
        </w:trPr>
        <w:tc>
          <w:tcPr>
            <w:tcW w:w="1718" w:type="pct"/>
            <w:shd w:val="clear" w:color="auto" w:fill="auto"/>
            <w:vAlign w:val="center"/>
          </w:tcPr>
          <w:p w14:paraId="6AE6F839"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pôdohospodárstva a rozvoja vidieka SR  </w:t>
            </w:r>
          </w:p>
        </w:tc>
        <w:tc>
          <w:tcPr>
            <w:tcW w:w="656" w:type="pct"/>
            <w:shd w:val="clear" w:color="auto" w:fill="auto"/>
            <w:vAlign w:val="center"/>
          </w:tcPr>
          <w:p w14:paraId="39CD9919"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804 512</w:t>
            </w:r>
          </w:p>
        </w:tc>
        <w:tc>
          <w:tcPr>
            <w:tcW w:w="657" w:type="pct"/>
            <w:shd w:val="clear" w:color="auto" w:fill="auto"/>
            <w:vAlign w:val="center"/>
          </w:tcPr>
          <w:p w14:paraId="1F7715A6"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829 679</w:t>
            </w:r>
          </w:p>
        </w:tc>
        <w:tc>
          <w:tcPr>
            <w:tcW w:w="799" w:type="pct"/>
            <w:shd w:val="clear" w:color="auto" w:fill="auto"/>
            <w:vAlign w:val="center"/>
          </w:tcPr>
          <w:p w14:paraId="3686324F"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718 040</w:t>
            </w:r>
          </w:p>
        </w:tc>
        <w:tc>
          <w:tcPr>
            <w:tcW w:w="626" w:type="pct"/>
            <w:shd w:val="clear" w:color="auto" w:fill="auto"/>
            <w:vAlign w:val="center"/>
          </w:tcPr>
          <w:p w14:paraId="5544D298"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-111 639</w:t>
            </w:r>
          </w:p>
        </w:tc>
        <w:tc>
          <w:tcPr>
            <w:tcW w:w="544" w:type="pct"/>
            <w:shd w:val="clear" w:color="auto" w:fill="auto"/>
            <w:vAlign w:val="center"/>
          </w:tcPr>
          <w:p w14:paraId="4C4FFF83"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86,5</w:t>
            </w:r>
          </w:p>
        </w:tc>
      </w:tr>
      <w:tr w:rsidR="00AF51B4" w:rsidRPr="00C65CAA" w14:paraId="4D33996D" w14:textId="77777777" w:rsidTr="00AE303F">
        <w:trPr>
          <w:trHeight w:val="227"/>
        </w:trPr>
        <w:tc>
          <w:tcPr>
            <w:tcW w:w="1718" w:type="pct"/>
            <w:shd w:val="clear" w:color="auto" w:fill="auto"/>
            <w:vAlign w:val="center"/>
          </w:tcPr>
          <w:p w14:paraId="05661ACE" w14:textId="77777777" w:rsidR="00AF51B4" w:rsidRPr="00066B36" w:rsidRDefault="00AF51B4" w:rsidP="00AE303F">
            <w:pPr>
              <w:rPr>
                <w:rFonts w:eastAsia="Times New Roman" w:cs="Arial"/>
                <w:sz w:val="20"/>
                <w:szCs w:val="20"/>
                <w:lang w:eastAsia="sk-SK"/>
              </w:rPr>
            </w:pPr>
            <w:r w:rsidRPr="00066B36">
              <w:rPr>
                <w:rFonts w:eastAsia="Times New Roman" w:cs="Arial"/>
                <w:sz w:val="20"/>
                <w:szCs w:val="20"/>
                <w:lang w:eastAsia="sk-SK"/>
              </w:rPr>
              <w:t xml:space="preserve">Ministerstvo hospodárstva SR   </w:t>
            </w:r>
          </w:p>
        </w:tc>
        <w:tc>
          <w:tcPr>
            <w:tcW w:w="656" w:type="pct"/>
            <w:shd w:val="clear" w:color="auto" w:fill="auto"/>
            <w:vAlign w:val="center"/>
          </w:tcPr>
          <w:p w14:paraId="391F1240"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192 766</w:t>
            </w:r>
          </w:p>
        </w:tc>
        <w:tc>
          <w:tcPr>
            <w:tcW w:w="657" w:type="pct"/>
            <w:shd w:val="clear" w:color="auto" w:fill="auto"/>
            <w:vAlign w:val="center"/>
          </w:tcPr>
          <w:p w14:paraId="780BEAAD"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293 693</w:t>
            </w:r>
          </w:p>
        </w:tc>
        <w:tc>
          <w:tcPr>
            <w:tcW w:w="799" w:type="pct"/>
            <w:shd w:val="clear" w:color="auto" w:fill="auto"/>
            <w:vAlign w:val="center"/>
          </w:tcPr>
          <w:p w14:paraId="7C36EF59" w14:textId="77777777" w:rsidR="00AF51B4" w:rsidRPr="00066B36" w:rsidRDefault="00AF51B4" w:rsidP="00AE303F">
            <w:pPr>
              <w:jc w:val="right"/>
              <w:rPr>
                <w:rFonts w:eastAsia="Times New Roman" w:cs="Arial"/>
                <w:sz w:val="20"/>
                <w:szCs w:val="20"/>
                <w:lang w:eastAsia="sk-SK"/>
              </w:rPr>
            </w:pPr>
            <w:r w:rsidRPr="00066B36">
              <w:rPr>
                <w:rFonts w:eastAsia="Times New Roman" w:cs="Arial"/>
                <w:sz w:val="20"/>
                <w:szCs w:val="20"/>
                <w:lang w:eastAsia="sk-SK"/>
              </w:rPr>
              <w:t>158 409</w:t>
            </w:r>
          </w:p>
        </w:tc>
        <w:tc>
          <w:tcPr>
            <w:tcW w:w="626" w:type="pct"/>
            <w:shd w:val="clear" w:color="auto" w:fill="auto"/>
            <w:vAlign w:val="center"/>
          </w:tcPr>
          <w:p w14:paraId="628916F3"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-135 284</w:t>
            </w:r>
          </w:p>
        </w:tc>
        <w:tc>
          <w:tcPr>
            <w:tcW w:w="544" w:type="pct"/>
            <w:shd w:val="clear" w:color="auto" w:fill="auto"/>
            <w:vAlign w:val="center"/>
          </w:tcPr>
          <w:p w14:paraId="40425E97" w14:textId="77777777" w:rsidR="00AF51B4" w:rsidRPr="00066B36" w:rsidRDefault="00AF51B4" w:rsidP="00AE303F">
            <w:pPr>
              <w:jc w:val="right"/>
              <w:rPr>
                <w:rFonts w:eastAsia="Times New Roman" w:cs="Arial"/>
                <w:color w:val="000000"/>
                <w:sz w:val="20"/>
                <w:szCs w:val="20"/>
                <w:lang w:eastAsia="sk-SK"/>
              </w:rPr>
            </w:pPr>
            <w:r w:rsidRPr="00066B36">
              <w:rPr>
                <w:rFonts w:eastAsia="Times New Roman" w:cs="Arial"/>
                <w:color w:val="000000"/>
                <w:sz w:val="20"/>
                <w:szCs w:val="20"/>
                <w:lang w:eastAsia="sk-SK"/>
              </w:rPr>
              <w:t>53,9</w:t>
            </w:r>
          </w:p>
        </w:tc>
      </w:tr>
    </w:tbl>
    <w:p w14:paraId="4F91CAE1" w14:textId="77777777" w:rsidR="00AF51B4" w:rsidRPr="00AF51B4" w:rsidRDefault="00AF51B4" w:rsidP="00AF51B4">
      <w:pPr>
        <w:pStyle w:val="Zkladntext"/>
        <w:spacing w:after="100"/>
        <w:jc w:val="both"/>
        <w:rPr>
          <w:i/>
          <w:color w:val="000000"/>
          <w:sz w:val="18"/>
        </w:rPr>
      </w:pPr>
      <w:r w:rsidRPr="00AF51B4">
        <w:rPr>
          <w:i/>
          <w:color w:val="000000"/>
          <w:sz w:val="18"/>
        </w:rPr>
        <w:t>Zdroj: ŠZÚ za rok 2018, RVS na roky 2019 až 2021, Návrh RVS na roky 2020 až 2022</w:t>
      </w:r>
    </w:p>
    <w:p w14:paraId="1A7280B8" w14:textId="0779E989" w:rsidR="00AF51B4" w:rsidRDefault="00AF51B4" w:rsidP="00AF51B4"/>
    <w:p w14:paraId="6B00DE72" w14:textId="7689024C" w:rsidR="00C615E3" w:rsidRDefault="00C615E3" w:rsidP="00AF51B4"/>
    <w:p w14:paraId="012A04F1" w14:textId="4A4F5CB9" w:rsidR="00C615E3" w:rsidRDefault="00C615E3" w:rsidP="00AF51B4"/>
    <w:p w14:paraId="61A4FD05" w14:textId="5E4A80AB" w:rsidR="00C615E3" w:rsidRDefault="00C615E3" w:rsidP="00AF51B4"/>
    <w:p w14:paraId="6B3700C7" w14:textId="094BB426" w:rsidR="00C615E3" w:rsidRDefault="00C615E3" w:rsidP="00AF51B4"/>
    <w:p w14:paraId="384AB8DF" w14:textId="0DE0D006" w:rsidR="00C615E3" w:rsidRDefault="00C615E3" w:rsidP="00AF51B4"/>
    <w:p w14:paraId="04993858" w14:textId="16B6C376" w:rsidR="00C615E3" w:rsidRDefault="00C615E3" w:rsidP="00AF51B4"/>
    <w:p w14:paraId="7C755596" w14:textId="77777777" w:rsidR="00C615E3" w:rsidRDefault="00C615E3" w:rsidP="00AF51B4"/>
    <w:p w14:paraId="35C0C246" w14:textId="26650180" w:rsidR="00AF51B4" w:rsidRPr="00AF51B4" w:rsidRDefault="00AF51B4" w:rsidP="00AF51B4">
      <w:pPr>
        <w:rPr>
          <w:b/>
        </w:rPr>
      </w:pPr>
      <w:r>
        <w:rPr>
          <w:b/>
        </w:rPr>
        <w:lastRenderedPageBreak/>
        <w:t>Tabuľka 2</w:t>
      </w:r>
      <w:r w:rsidRPr="00AF51B4">
        <w:rPr>
          <w:b/>
        </w:rPr>
        <w:t xml:space="preserve">: Návrh rozpočtu </w:t>
      </w:r>
      <w:r>
        <w:rPr>
          <w:b/>
        </w:rPr>
        <w:t>výdavkov</w:t>
      </w:r>
      <w:r w:rsidRPr="00AF51B4">
        <w:rPr>
          <w:b/>
        </w:rPr>
        <w:t xml:space="preserve"> </w:t>
      </w:r>
      <w:r>
        <w:rPr>
          <w:b/>
        </w:rPr>
        <w:t xml:space="preserve">na rok 2020 </w:t>
      </w:r>
      <w:r w:rsidRPr="00AF51B4">
        <w:rPr>
          <w:b/>
        </w:rPr>
        <w:t xml:space="preserve">podľa </w:t>
      </w:r>
      <w:r>
        <w:rPr>
          <w:b/>
        </w:rPr>
        <w:t>jednotlivých kapitol</w:t>
      </w:r>
    </w:p>
    <w:tbl>
      <w:tblPr>
        <w:tblStyle w:val="Mriekatabuky"/>
        <w:tblW w:w="5000" w:type="pct"/>
        <w:tblLook w:val="04A0" w:firstRow="1" w:lastRow="0" w:firstColumn="1" w:lastColumn="0" w:noHBand="0" w:noVBand="1"/>
      </w:tblPr>
      <w:tblGrid>
        <w:gridCol w:w="3798"/>
        <w:gridCol w:w="1075"/>
        <w:gridCol w:w="1118"/>
        <w:gridCol w:w="1437"/>
        <w:gridCol w:w="1049"/>
        <w:gridCol w:w="869"/>
      </w:tblGrid>
      <w:tr w:rsidR="00AF51B4" w:rsidRPr="00C65CAA" w14:paraId="4EA344B9" w14:textId="77777777" w:rsidTr="00AF51B4">
        <w:trPr>
          <w:tblHeader/>
        </w:trPr>
        <w:tc>
          <w:tcPr>
            <w:tcW w:w="2032" w:type="pct"/>
            <w:tcBorders>
              <w:right w:val="single" w:sz="4" w:space="0" w:color="FFFFFF" w:themeColor="background1"/>
            </w:tcBorders>
            <w:shd w:val="clear" w:color="auto" w:fill="0070C0"/>
            <w:vAlign w:val="center"/>
          </w:tcPr>
          <w:p w14:paraId="0AA45E79" w14:textId="77777777" w:rsidR="00AF51B4" w:rsidRPr="00C65CAA" w:rsidRDefault="00AF51B4" w:rsidP="00AE303F">
            <w:pPr>
              <w:jc w:val="center"/>
              <w:rPr>
                <w:rFonts w:eastAsia="Calibri"/>
                <w:b/>
                <w:color w:val="FFFFFF" w:themeColor="background1"/>
                <w:sz w:val="18"/>
                <w:szCs w:val="18"/>
              </w:rPr>
            </w:pPr>
            <w:r w:rsidRPr="00C65CAA">
              <w:rPr>
                <w:rFonts w:eastAsia="Calibri"/>
                <w:b/>
                <w:bCs/>
                <w:color w:val="FFFFFF" w:themeColor="background1"/>
                <w:sz w:val="18"/>
                <w:szCs w:val="18"/>
              </w:rPr>
              <w:t xml:space="preserve">Výdavky kapitol ŠR </w:t>
            </w:r>
            <w:r w:rsidRPr="00C65CAA">
              <w:rPr>
                <w:b/>
                <w:color w:val="FFFFFF" w:themeColor="background1"/>
                <w:sz w:val="18"/>
                <w:szCs w:val="18"/>
              </w:rPr>
              <w:t>(v tis. eur)</w:t>
            </w:r>
          </w:p>
        </w:tc>
        <w:tc>
          <w:tcPr>
            <w:tcW w:w="575" w:type="pct"/>
            <w:tcBorders>
              <w:left w:val="single" w:sz="4" w:space="0" w:color="FFFFFF" w:themeColor="background1"/>
              <w:right w:val="single" w:sz="4" w:space="0" w:color="FFFFFF" w:themeColor="background1"/>
            </w:tcBorders>
            <w:shd w:val="clear" w:color="auto" w:fill="0070C0"/>
            <w:vAlign w:val="center"/>
          </w:tcPr>
          <w:p w14:paraId="5EC8FAE8" w14:textId="77777777" w:rsidR="00AF51B4" w:rsidRPr="00C65CAA" w:rsidRDefault="00AF51B4" w:rsidP="00AE303F">
            <w:pPr>
              <w:jc w:val="center"/>
              <w:rPr>
                <w:b/>
                <w:color w:val="FFFFFF" w:themeColor="background1"/>
                <w:sz w:val="18"/>
                <w:szCs w:val="18"/>
              </w:rPr>
            </w:pPr>
            <w:r w:rsidRPr="00C65CAA">
              <w:rPr>
                <w:b/>
                <w:color w:val="FFFFFF" w:themeColor="background1"/>
                <w:sz w:val="18"/>
                <w:szCs w:val="18"/>
              </w:rPr>
              <w:t>Skutočnosť</w:t>
            </w:r>
          </w:p>
          <w:p w14:paraId="5F4E83E6" w14:textId="77777777" w:rsidR="00AF51B4" w:rsidRPr="00C65CAA" w:rsidRDefault="00AF51B4" w:rsidP="00AE303F">
            <w:pPr>
              <w:jc w:val="center"/>
              <w:rPr>
                <w:b/>
                <w:color w:val="FFFFFF" w:themeColor="background1"/>
                <w:sz w:val="18"/>
                <w:szCs w:val="18"/>
              </w:rPr>
            </w:pPr>
            <w:r>
              <w:rPr>
                <w:b/>
                <w:color w:val="FFFFFF" w:themeColor="background1"/>
                <w:sz w:val="18"/>
                <w:szCs w:val="18"/>
              </w:rPr>
              <w:t>2018</w:t>
            </w:r>
          </w:p>
        </w:tc>
        <w:tc>
          <w:tcPr>
            <w:tcW w:w="598" w:type="pct"/>
            <w:tcBorders>
              <w:left w:val="single" w:sz="4" w:space="0" w:color="FFFFFF" w:themeColor="background1"/>
              <w:right w:val="single" w:sz="4" w:space="0" w:color="FFFFFF" w:themeColor="background1"/>
            </w:tcBorders>
            <w:shd w:val="clear" w:color="auto" w:fill="0070C0"/>
            <w:vAlign w:val="center"/>
          </w:tcPr>
          <w:p w14:paraId="622704CA" w14:textId="77777777" w:rsidR="00AF51B4" w:rsidRPr="00C65CAA" w:rsidRDefault="00AF51B4" w:rsidP="00AE303F">
            <w:pPr>
              <w:jc w:val="center"/>
              <w:rPr>
                <w:b/>
                <w:color w:val="FFFFFF" w:themeColor="background1"/>
                <w:sz w:val="18"/>
                <w:szCs w:val="18"/>
              </w:rPr>
            </w:pPr>
            <w:r w:rsidRPr="00C65CAA">
              <w:rPr>
                <w:b/>
                <w:color w:val="FFFFFF" w:themeColor="background1"/>
                <w:sz w:val="18"/>
                <w:szCs w:val="18"/>
              </w:rPr>
              <w:t>Rozpočet</w:t>
            </w:r>
          </w:p>
          <w:p w14:paraId="0DEFAB5A" w14:textId="77777777" w:rsidR="00AF51B4" w:rsidRPr="00C65CAA" w:rsidRDefault="00AF51B4" w:rsidP="00AE303F">
            <w:pPr>
              <w:jc w:val="center"/>
              <w:rPr>
                <w:b/>
                <w:color w:val="FFFFFF" w:themeColor="background1"/>
                <w:sz w:val="18"/>
                <w:szCs w:val="18"/>
              </w:rPr>
            </w:pPr>
            <w:r>
              <w:rPr>
                <w:b/>
                <w:color w:val="FFFFFF" w:themeColor="background1"/>
                <w:sz w:val="18"/>
                <w:szCs w:val="18"/>
              </w:rPr>
              <w:t>2019</w:t>
            </w:r>
          </w:p>
        </w:tc>
        <w:tc>
          <w:tcPr>
            <w:tcW w:w="769" w:type="pct"/>
            <w:tcBorders>
              <w:left w:val="single" w:sz="4" w:space="0" w:color="FFFFFF" w:themeColor="background1"/>
              <w:right w:val="single" w:sz="4" w:space="0" w:color="FFFFFF" w:themeColor="background1"/>
            </w:tcBorders>
            <w:shd w:val="clear" w:color="auto" w:fill="0070C0"/>
            <w:vAlign w:val="center"/>
          </w:tcPr>
          <w:p w14:paraId="3E8D59BD" w14:textId="77777777" w:rsidR="00AF51B4" w:rsidRPr="00C65CAA" w:rsidRDefault="00AF51B4" w:rsidP="00AE303F">
            <w:pPr>
              <w:jc w:val="center"/>
              <w:rPr>
                <w:b/>
                <w:color w:val="FFFFFF" w:themeColor="background1"/>
                <w:sz w:val="18"/>
                <w:szCs w:val="18"/>
              </w:rPr>
            </w:pPr>
            <w:r w:rsidRPr="00C65CAA">
              <w:rPr>
                <w:b/>
                <w:color w:val="FFFFFF" w:themeColor="background1"/>
                <w:sz w:val="18"/>
                <w:szCs w:val="18"/>
              </w:rPr>
              <w:t>Návrh rozpočtu</w:t>
            </w:r>
          </w:p>
          <w:p w14:paraId="4FB86A6C" w14:textId="77777777" w:rsidR="00AF51B4" w:rsidRPr="00C65CAA" w:rsidRDefault="00AF51B4" w:rsidP="00AE303F">
            <w:pPr>
              <w:jc w:val="center"/>
              <w:rPr>
                <w:b/>
                <w:color w:val="FFFFFF" w:themeColor="background1"/>
                <w:sz w:val="18"/>
                <w:szCs w:val="18"/>
              </w:rPr>
            </w:pPr>
            <w:r>
              <w:rPr>
                <w:b/>
                <w:color w:val="FFFFFF" w:themeColor="background1"/>
                <w:sz w:val="18"/>
                <w:szCs w:val="18"/>
              </w:rPr>
              <w:t>2020</w:t>
            </w:r>
          </w:p>
        </w:tc>
        <w:tc>
          <w:tcPr>
            <w:tcW w:w="561" w:type="pct"/>
            <w:tcBorders>
              <w:left w:val="single" w:sz="4" w:space="0" w:color="FFFFFF" w:themeColor="background1"/>
              <w:right w:val="single" w:sz="4" w:space="0" w:color="FFFFFF" w:themeColor="background1"/>
            </w:tcBorders>
            <w:shd w:val="clear" w:color="auto" w:fill="0070C0"/>
            <w:vAlign w:val="center"/>
          </w:tcPr>
          <w:p w14:paraId="70D78500" w14:textId="77777777" w:rsidR="00AF51B4" w:rsidRPr="00C65CAA" w:rsidRDefault="00AF51B4" w:rsidP="00AE303F">
            <w:pPr>
              <w:jc w:val="center"/>
              <w:rPr>
                <w:b/>
                <w:color w:val="FFFFFF" w:themeColor="background1"/>
                <w:sz w:val="18"/>
                <w:szCs w:val="18"/>
              </w:rPr>
            </w:pPr>
            <w:r w:rsidRPr="00C65CAA">
              <w:rPr>
                <w:b/>
                <w:color w:val="FFFFFF" w:themeColor="background1"/>
                <w:sz w:val="18"/>
                <w:szCs w:val="18"/>
              </w:rPr>
              <w:t>Rozdiel</w:t>
            </w:r>
          </w:p>
        </w:tc>
        <w:tc>
          <w:tcPr>
            <w:tcW w:w="465" w:type="pct"/>
            <w:tcBorders>
              <w:left w:val="single" w:sz="4" w:space="0" w:color="FFFFFF" w:themeColor="background1"/>
            </w:tcBorders>
            <w:shd w:val="clear" w:color="auto" w:fill="0070C0"/>
            <w:vAlign w:val="center"/>
          </w:tcPr>
          <w:p w14:paraId="1716540D" w14:textId="77777777" w:rsidR="00AF51B4" w:rsidRPr="00C65CAA" w:rsidRDefault="00AF51B4" w:rsidP="00AE303F">
            <w:pPr>
              <w:jc w:val="center"/>
              <w:rPr>
                <w:b/>
                <w:color w:val="FFFFFF" w:themeColor="background1"/>
                <w:sz w:val="18"/>
                <w:szCs w:val="18"/>
              </w:rPr>
            </w:pPr>
            <w:r w:rsidRPr="00C65CAA">
              <w:rPr>
                <w:b/>
                <w:color w:val="FFFFFF" w:themeColor="background1"/>
                <w:sz w:val="18"/>
                <w:szCs w:val="18"/>
              </w:rPr>
              <w:t>Podiel v %</w:t>
            </w:r>
          </w:p>
        </w:tc>
      </w:tr>
      <w:tr w:rsidR="00AF51B4" w:rsidRPr="00C65CAA" w14:paraId="75F67BCC" w14:textId="77777777" w:rsidTr="00AF51B4">
        <w:trPr>
          <w:tblHeader/>
        </w:trPr>
        <w:tc>
          <w:tcPr>
            <w:tcW w:w="2032" w:type="pct"/>
            <w:vAlign w:val="center"/>
          </w:tcPr>
          <w:p w14:paraId="68904A6A" w14:textId="77777777" w:rsidR="00AF51B4" w:rsidRPr="00C65CAA" w:rsidRDefault="00AF51B4" w:rsidP="00AE303F">
            <w:pPr>
              <w:jc w:val="center"/>
              <w:rPr>
                <w:bCs/>
                <w:color w:val="000000"/>
                <w:sz w:val="18"/>
                <w:szCs w:val="18"/>
              </w:rPr>
            </w:pPr>
            <w:r w:rsidRPr="00C65CAA">
              <w:rPr>
                <w:bCs/>
                <w:color w:val="000000"/>
                <w:sz w:val="18"/>
                <w:szCs w:val="18"/>
              </w:rPr>
              <w:t>a</w:t>
            </w:r>
          </w:p>
        </w:tc>
        <w:tc>
          <w:tcPr>
            <w:tcW w:w="575" w:type="pct"/>
          </w:tcPr>
          <w:p w14:paraId="0283C337" w14:textId="77777777" w:rsidR="00AF51B4" w:rsidRPr="00C65CAA" w:rsidRDefault="00AF51B4" w:rsidP="00AE303F">
            <w:pPr>
              <w:jc w:val="center"/>
              <w:rPr>
                <w:sz w:val="18"/>
                <w:szCs w:val="18"/>
              </w:rPr>
            </w:pPr>
            <w:r w:rsidRPr="00C65CAA">
              <w:rPr>
                <w:sz w:val="18"/>
                <w:szCs w:val="18"/>
              </w:rPr>
              <w:t>1</w:t>
            </w:r>
          </w:p>
        </w:tc>
        <w:tc>
          <w:tcPr>
            <w:tcW w:w="598" w:type="pct"/>
          </w:tcPr>
          <w:p w14:paraId="13E4CE61" w14:textId="77777777" w:rsidR="00AF51B4" w:rsidRPr="00C65CAA" w:rsidRDefault="00AF51B4" w:rsidP="00AE303F">
            <w:pPr>
              <w:jc w:val="center"/>
              <w:rPr>
                <w:sz w:val="18"/>
                <w:szCs w:val="18"/>
              </w:rPr>
            </w:pPr>
            <w:r w:rsidRPr="00C65CAA">
              <w:rPr>
                <w:sz w:val="18"/>
                <w:szCs w:val="18"/>
              </w:rPr>
              <w:t>2</w:t>
            </w:r>
          </w:p>
        </w:tc>
        <w:tc>
          <w:tcPr>
            <w:tcW w:w="769" w:type="pct"/>
          </w:tcPr>
          <w:p w14:paraId="4BCE17F6" w14:textId="77777777" w:rsidR="00AF51B4" w:rsidRPr="00C65CAA" w:rsidRDefault="00AF51B4" w:rsidP="00AE303F">
            <w:pPr>
              <w:jc w:val="center"/>
              <w:rPr>
                <w:sz w:val="18"/>
                <w:szCs w:val="18"/>
              </w:rPr>
            </w:pPr>
            <w:r w:rsidRPr="00C65CAA">
              <w:rPr>
                <w:sz w:val="18"/>
                <w:szCs w:val="18"/>
              </w:rPr>
              <w:t>3</w:t>
            </w:r>
          </w:p>
        </w:tc>
        <w:tc>
          <w:tcPr>
            <w:tcW w:w="561" w:type="pct"/>
          </w:tcPr>
          <w:p w14:paraId="3C7A161A" w14:textId="77777777" w:rsidR="00AF51B4" w:rsidRPr="00C65CAA" w:rsidRDefault="00AF51B4" w:rsidP="00AE303F">
            <w:pPr>
              <w:jc w:val="center"/>
              <w:rPr>
                <w:sz w:val="18"/>
                <w:szCs w:val="18"/>
              </w:rPr>
            </w:pPr>
            <w:r w:rsidRPr="00C65CAA">
              <w:rPr>
                <w:sz w:val="18"/>
                <w:szCs w:val="18"/>
              </w:rPr>
              <w:t>3-2</w:t>
            </w:r>
          </w:p>
        </w:tc>
        <w:tc>
          <w:tcPr>
            <w:tcW w:w="465" w:type="pct"/>
          </w:tcPr>
          <w:p w14:paraId="32AEC634" w14:textId="77777777" w:rsidR="00AF51B4" w:rsidRPr="00C65CAA" w:rsidRDefault="00AF51B4" w:rsidP="00AE303F">
            <w:pPr>
              <w:jc w:val="center"/>
              <w:rPr>
                <w:sz w:val="18"/>
                <w:szCs w:val="18"/>
              </w:rPr>
            </w:pPr>
            <w:r w:rsidRPr="00C65CAA">
              <w:rPr>
                <w:sz w:val="18"/>
                <w:szCs w:val="18"/>
              </w:rPr>
              <w:t>3/2*100</w:t>
            </w:r>
          </w:p>
        </w:tc>
      </w:tr>
      <w:tr w:rsidR="00AF51B4" w:rsidRPr="00C65CAA" w14:paraId="36353947" w14:textId="77777777" w:rsidTr="00AF51B4">
        <w:tc>
          <w:tcPr>
            <w:tcW w:w="2032" w:type="pct"/>
            <w:vAlign w:val="center"/>
          </w:tcPr>
          <w:p w14:paraId="0BF8492F" w14:textId="77777777" w:rsidR="00AF51B4" w:rsidRPr="00C65CAA" w:rsidRDefault="00AF51B4" w:rsidP="00AE303F">
            <w:pPr>
              <w:rPr>
                <w:b/>
                <w:bCs/>
                <w:color w:val="000000"/>
                <w:sz w:val="18"/>
                <w:szCs w:val="18"/>
              </w:rPr>
            </w:pPr>
            <w:r w:rsidRPr="00C65CAA">
              <w:rPr>
                <w:b/>
                <w:bCs/>
                <w:color w:val="000000"/>
                <w:sz w:val="18"/>
                <w:szCs w:val="18"/>
              </w:rPr>
              <w:t>Kapitoly ŠR spolu</w:t>
            </w:r>
          </w:p>
        </w:tc>
        <w:tc>
          <w:tcPr>
            <w:tcW w:w="575" w:type="pct"/>
            <w:vAlign w:val="bottom"/>
          </w:tcPr>
          <w:p w14:paraId="4F1C3E28" w14:textId="77777777" w:rsidR="00AF51B4" w:rsidRPr="00C56E80" w:rsidRDefault="00AF51B4" w:rsidP="00AE303F">
            <w:pPr>
              <w:jc w:val="right"/>
              <w:rPr>
                <w:rFonts w:eastAsia="Times New Roman" w:cs="Arial"/>
                <w:b/>
                <w:bCs/>
                <w:sz w:val="20"/>
                <w:szCs w:val="20"/>
                <w:lang w:eastAsia="sk-SK"/>
              </w:rPr>
            </w:pPr>
            <w:r w:rsidRPr="00C56E80">
              <w:rPr>
                <w:rFonts w:eastAsia="Times New Roman" w:cs="Arial"/>
                <w:b/>
                <w:bCs/>
                <w:sz w:val="20"/>
                <w:szCs w:val="20"/>
                <w:lang w:eastAsia="sk-SK"/>
              </w:rPr>
              <w:t>16 563 255</w:t>
            </w:r>
          </w:p>
        </w:tc>
        <w:tc>
          <w:tcPr>
            <w:tcW w:w="598" w:type="pct"/>
            <w:vAlign w:val="bottom"/>
          </w:tcPr>
          <w:p w14:paraId="09895336" w14:textId="77777777" w:rsidR="00AF51B4" w:rsidRPr="00C56E80" w:rsidRDefault="00AF51B4" w:rsidP="00AE303F">
            <w:pPr>
              <w:jc w:val="right"/>
              <w:rPr>
                <w:rFonts w:eastAsia="Times New Roman" w:cs="Arial"/>
                <w:b/>
                <w:bCs/>
                <w:sz w:val="20"/>
                <w:szCs w:val="20"/>
                <w:lang w:eastAsia="sk-SK"/>
              </w:rPr>
            </w:pPr>
            <w:r w:rsidRPr="00C56E80">
              <w:rPr>
                <w:rFonts w:eastAsia="Times New Roman" w:cs="Arial"/>
                <w:b/>
                <w:bCs/>
                <w:sz w:val="20"/>
                <w:szCs w:val="20"/>
                <w:lang w:eastAsia="sk-SK"/>
              </w:rPr>
              <w:t>17 538 901</w:t>
            </w:r>
          </w:p>
        </w:tc>
        <w:tc>
          <w:tcPr>
            <w:tcW w:w="769" w:type="pct"/>
            <w:vAlign w:val="bottom"/>
          </w:tcPr>
          <w:p w14:paraId="7449E773" w14:textId="77777777" w:rsidR="00AF51B4" w:rsidRPr="00C56E80" w:rsidRDefault="00AF51B4" w:rsidP="00AE303F">
            <w:pPr>
              <w:jc w:val="right"/>
              <w:rPr>
                <w:rFonts w:eastAsia="Times New Roman" w:cs="Arial"/>
                <w:b/>
                <w:bCs/>
                <w:sz w:val="20"/>
                <w:szCs w:val="20"/>
                <w:lang w:eastAsia="sk-SK"/>
              </w:rPr>
            </w:pPr>
            <w:r w:rsidRPr="00C56E80">
              <w:rPr>
                <w:rFonts w:eastAsia="Times New Roman" w:cs="Arial"/>
                <w:b/>
                <w:bCs/>
                <w:sz w:val="20"/>
                <w:szCs w:val="20"/>
                <w:lang w:eastAsia="sk-SK"/>
              </w:rPr>
              <w:t>18 571 741</w:t>
            </w:r>
          </w:p>
        </w:tc>
        <w:tc>
          <w:tcPr>
            <w:tcW w:w="561" w:type="pct"/>
            <w:vAlign w:val="center"/>
          </w:tcPr>
          <w:p w14:paraId="524126C1" w14:textId="77777777" w:rsidR="00AF51B4" w:rsidRPr="00C56E80" w:rsidRDefault="00AF51B4" w:rsidP="00AE303F">
            <w:pPr>
              <w:jc w:val="right"/>
              <w:rPr>
                <w:rFonts w:eastAsia="Times New Roman" w:cs="Arial"/>
                <w:b/>
                <w:bCs/>
                <w:color w:val="000000"/>
                <w:sz w:val="20"/>
                <w:szCs w:val="20"/>
                <w:lang w:eastAsia="sk-SK"/>
              </w:rPr>
            </w:pPr>
            <w:r w:rsidRPr="00C56E80">
              <w:rPr>
                <w:rFonts w:eastAsia="Times New Roman" w:cs="Arial"/>
                <w:b/>
                <w:bCs/>
                <w:color w:val="000000"/>
                <w:sz w:val="20"/>
                <w:szCs w:val="20"/>
                <w:lang w:eastAsia="sk-SK"/>
              </w:rPr>
              <w:t>1 032 840</w:t>
            </w:r>
          </w:p>
        </w:tc>
        <w:tc>
          <w:tcPr>
            <w:tcW w:w="465" w:type="pct"/>
            <w:vAlign w:val="center"/>
          </w:tcPr>
          <w:p w14:paraId="28789D3F" w14:textId="77777777" w:rsidR="00AF51B4" w:rsidRPr="00C56E80" w:rsidRDefault="00AF51B4" w:rsidP="00AE303F">
            <w:pPr>
              <w:jc w:val="right"/>
              <w:rPr>
                <w:rFonts w:eastAsia="Times New Roman" w:cs="Arial"/>
                <w:b/>
                <w:bCs/>
                <w:color w:val="000000"/>
                <w:sz w:val="20"/>
                <w:szCs w:val="20"/>
                <w:lang w:eastAsia="sk-SK"/>
              </w:rPr>
            </w:pPr>
            <w:r w:rsidRPr="00C56E80">
              <w:rPr>
                <w:rFonts w:eastAsia="Times New Roman" w:cs="Arial"/>
                <w:b/>
                <w:bCs/>
                <w:color w:val="000000"/>
                <w:sz w:val="20"/>
                <w:szCs w:val="20"/>
                <w:lang w:eastAsia="sk-SK"/>
              </w:rPr>
              <w:t>105,9</w:t>
            </w:r>
          </w:p>
        </w:tc>
      </w:tr>
      <w:tr w:rsidR="00AF51B4" w:rsidRPr="00C65CAA" w14:paraId="678BDFAD" w14:textId="77777777" w:rsidTr="00AF51B4">
        <w:tc>
          <w:tcPr>
            <w:tcW w:w="2032" w:type="pct"/>
            <w:vAlign w:val="center"/>
          </w:tcPr>
          <w:p w14:paraId="32E325E5" w14:textId="77777777" w:rsidR="00AF51B4" w:rsidRPr="007F76F3" w:rsidRDefault="00AF51B4" w:rsidP="00AE303F">
            <w:pPr>
              <w:rPr>
                <w:rFonts w:cs="Arial"/>
                <w:sz w:val="20"/>
                <w:szCs w:val="20"/>
              </w:rPr>
            </w:pPr>
            <w:r w:rsidRPr="007F76F3">
              <w:rPr>
                <w:rFonts w:cs="Arial"/>
                <w:sz w:val="20"/>
                <w:szCs w:val="20"/>
              </w:rPr>
              <w:t xml:space="preserve">Ministerstvo práce, sociálnych vecí a rodiny SR </w:t>
            </w:r>
          </w:p>
        </w:tc>
        <w:tc>
          <w:tcPr>
            <w:tcW w:w="575" w:type="pct"/>
            <w:vAlign w:val="center"/>
          </w:tcPr>
          <w:p w14:paraId="4F319882" w14:textId="77777777" w:rsidR="00AF51B4" w:rsidRPr="007F76F3" w:rsidRDefault="00AF51B4" w:rsidP="00AE303F">
            <w:pPr>
              <w:jc w:val="right"/>
              <w:rPr>
                <w:rFonts w:cs="Arial"/>
                <w:sz w:val="20"/>
                <w:szCs w:val="20"/>
              </w:rPr>
            </w:pPr>
            <w:r w:rsidRPr="007F76F3">
              <w:rPr>
                <w:rFonts w:cs="Arial"/>
                <w:sz w:val="20"/>
                <w:szCs w:val="20"/>
              </w:rPr>
              <w:t>2 331 679</w:t>
            </w:r>
          </w:p>
        </w:tc>
        <w:tc>
          <w:tcPr>
            <w:tcW w:w="598" w:type="pct"/>
            <w:vAlign w:val="center"/>
          </w:tcPr>
          <w:p w14:paraId="3CB496A8" w14:textId="77777777" w:rsidR="00AF51B4" w:rsidRPr="007F76F3" w:rsidRDefault="00AF51B4" w:rsidP="00AE303F">
            <w:pPr>
              <w:jc w:val="right"/>
              <w:rPr>
                <w:rFonts w:cs="Arial"/>
                <w:sz w:val="20"/>
                <w:szCs w:val="20"/>
              </w:rPr>
            </w:pPr>
            <w:r w:rsidRPr="007F76F3">
              <w:rPr>
                <w:rFonts w:cs="Arial"/>
                <w:sz w:val="20"/>
                <w:szCs w:val="20"/>
              </w:rPr>
              <w:t>2 300 898</w:t>
            </w:r>
          </w:p>
        </w:tc>
        <w:tc>
          <w:tcPr>
            <w:tcW w:w="769" w:type="pct"/>
            <w:vAlign w:val="center"/>
          </w:tcPr>
          <w:p w14:paraId="7704864A" w14:textId="77777777" w:rsidR="00AF51B4" w:rsidRPr="007F76F3" w:rsidRDefault="00AF51B4" w:rsidP="00AE303F">
            <w:pPr>
              <w:jc w:val="right"/>
              <w:rPr>
                <w:rFonts w:cs="Arial"/>
                <w:sz w:val="20"/>
                <w:szCs w:val="20"/>
              </w:rPr>
            </w:pPr>
            <w:r w:rsidRPr="007F76F3">
              <w:rPr>
                <w:rFonts w:cs="Arial"/>
                <w:sz w:val="20"/>
                <w:szCs w:val="20"/>
              </w:rPr>
              <w:t>2 847 720</w:t>
            </w:r>
          </w:p>
        </w:tc>
        <w:tc>
          <w:tcPr>
            <w:tcW w:w="561" w:type="pct"/>
            <w:vAlign w:val="center"/>
          </w:tcPr>
          <w:p w14:paraId="03A0CE3B" w14:textId="77777777" w:rsidR="00AF51B4" w:rsidRPr="007F76F3" w:rsidRDefault="00AF51B4" w:rsidP="00AE303F">
            <w:pPr>
              <w:jc w:val="right"/>
              <w:rPr>
                <w:rFonts w:cs="Arial"/>
                <w:color w:val="000000"/>
                <w:sz w:val="20"/>
                <w:szCs w:val="20"/>
              </w:rPr>
            </w:pPr>
            <w:r w:rsidRPr="007F76F3">
              <w:rPr>
                <w:rFonts w:cs="Arial"/>
                <w:color w:val="000000"/>
                <w:sz w:val="20"/>
                <w:szCs w:val="20"/>
              </w:rPr>
              <w:t>546 822</w:t>
            </w:r>
          </w:p>
        </w:tc>
        <w:tc>
          <w:tcPr>
            <w:tcW w:w="465" w:type="pct"/>
            <w:vAlign w:val="center"/>
          </w:tcPr>
          <w:p w14:paraId="4B145EF6" w14:textId="77777777" w:rsidR="00AF51B4" w:rsidRPr="007F76F3" w:rsidRDefault="00AF51B4" w:rsidP="00AE303F">
            <w:pPr>
              <w:jc w:val="right"/>
              <w:rPr>
                <w:rFonts w:cs="Arial"/>
                <w:color w:val="000000"/>
                <w:sz w:val="20"/>
                <w:szCs w:val="20"/>
              </w:rPr>
            </w:pPr>
            <w:r w:rsidRPr="007F76F3">
              <w:rPr>
                <w:rFonts w:cs="Arial"/>
                <w:color w:val="000000"/>
                <w:sz w:val="20"/>
                <w:szCs w:val="20"/>
              </w:rPr>
              <w:t>123,8</w:t>
            </w:r>
          </w:p>
        </w:tc>
      </w:tr>
      <w:tr w:rsidR="00AF51B4" w:rsidRPr="00C65CAA" w14:paraId="5373A6F4" w14:textId="77777777" w:rsidTr="00AF51B4">
        <w:tc>
          <w:tcPr>
            <w:tcW w:w="2032" w:type="pct"/>
            <w:vAlign w:val="center"/>
          </w:tcPr>
          <w:p w14:paraId="7C10E7A8" w14:textId="77777777" w:rsidR="00AF51B4" w:rsidRPr="007F76F3" w:rsidRDefault="00AF51B4" w:rsidP="00AE303F">
            <w:pPr>
              <w:rPr>
                <w:rFonts w:cs="Arial"/>
                <w:sz w:val="20"/>
                <w:szCs w:val="20"/>
              </w:rPr>
            </w:pPr>
            <w:r w:rsidRPr="007F76F3">
              <w:rPr>
                <w:rFonts w:cs="Arial"/>
                <w:sz w:val="20"/>
                <w:szCs w:val="20"/>
              </w:rPr>
              <w:t xml:space="preserve">Ministerstvo vnútra SR         </w:t>
            </w:r>
          </w:p>
        </w:tc>
        <w:tc>
          <w:tcPr>
            <w:tcW w:w="575" w:type="pct"/>
            <w:vAlign w:val="center"/>
          </w:tcPr>
          <w:p w14:paraId="2F9402E1" w14:textId="77777777" w:rsidR="00AF51B4" w:rsidRPr="007F76F3" w:rsidRDefault="00AF51B4" w:rsidP="00AE303F">
            <w:pPr>
              <w:jc w:val="right"/>
              <w:rPr>
                <w:rFonts w:cs="Arial"/>
                <w:sz w:val="20"/>
                <w:szCs w:val="20"/>
              </w:rPr>
            </w:pPr>
            <w:r w:rsidRPr="007F76F3">
              <w:rPr>
                <w:rFonts w:cs="Arial"/>
                <w:sz w:val="20"/>
                <w:szCs w:val="20"/>
              </w:rPr>
              <w:t>2 723 917</w:t>
            </w:r>
          </w:p>
        </w:tc>
        <w:tc>
          <w:tcPr>
            <w:tcW w:w="598" w:type="pct"/>
            <w:vAlign w:val="center"/>
          </w:tcPr>
          <w:p w14:paraId="5C3F4C7A" w14:textId="77777777" w:rsidR="00AF51B4" w:rsidRPr="007F76F3" w:rsidRDefault="00AF51B4" w:rsidP="00AE303F">
            <w:pPr>
              <w:jc w:val="right"/>
              <w:rPr>
                <w:rFonts w:cs="Arial"/>
                <w:sz w:val="20"/>
                <w:szCs w:val="20"/>
              </w:rPr>
            </w:pPr>
            <w:r w:rsidRPr="007F76F3">
              <w:rPr>
                <w:rFonts w:cs="Arial"/>
                <w:sz w:val="20"/>
                <w:szCs w:val="20"/>
              </w:rPr>
              <w:t>2 464 409</w:t>
            </w:r>
          </w:p>
        </w:tc>
        <w:tc>
          <w:tcPr>
            <w:tcW w:w="769" w:type="pct"/>
            <w:vAlign w:val="center"/>
          </w:tcPr>
          <w:p w14:paraId="0365BCE4" w14:textId="77777777" w:rsidR="00AF51B4" w:rsidRPr="007F76F3" w:rsidRDefault="00AF51B4" w:rsidP="00AE303F">
            <w:pPr>
              <w:jc w:val="right"/>
              <w:rPr>
                <w:rFonts w:cs="Arial"/>
                <w:sz w:val="20"/>
                <w:szCs w:val="20"/>
              </w:rPr>
            </w:pPr>
            <w:r w:rsidRPr="007F76F3">
              <w:rPr>
                <w:rFonts w:cs="Arial"/>
                <w:sz w:val="20"/>
                <w:szCs w:val="20"/>
              </w:rPr>
              <w:t>2 919 063</w:t>
            </w:r>
          </w:p>
        </w:tc>
        <w:tc>
          <w:tcPr>
            <w:tcW w:w="561" w:type="pct"/>
            <w:vAlign w:val="center"/>
          </w:tcPr>
          <w:p w14:paraId="710C1EC3" w14:textId="77777777" w:rsidR="00AF51B4" w:rsidRPr="007F76F3" w:rsidRDefault="00AF51B4" w:rsidP="00AE303F">
            <w:pPr>
              <w:jc w:val="right"/>
              <w:rPr>
                <w:rFonts w:cs="Arial"/>
                <w:color w:val="000000"/>
                <w:sz w:val="20"/>
                <w:szCs w:val="20"/>
              </w:rPr>
            </w:pPr>
            <w:r w:rsidRPr="007F76F3">
              <w:rPr>
                <w:rFonts w:cs="Arial"/>
                <w:color w:val="000000"/>
                <w:sz w:val="20"/>
                <w:szCs w:val="20"/>
              </w:rPr>
              <w:t>454 654</w:t>
            </w:r>
          </w:p>
        </w:tc>
        <w:tc>
          <w:tcPr>
            <w:tcW w:w="465" w:type="pct"/>
            <w:vAlign w:val="center"/>
          </w:tcPr>
          <w:p w14:paraId="790517EC" w14:textId="77777777" w:rsidR="00AF51B4" w:rsidRPr="007F76F3" w:rsidRDefault="00AF51B4" w:rsidP="00AE303F">
            <w:pPr>
              <w:jc w:val="right"/>
              <w:rPr>
                <w:rFonts w:cs="Arial"/>
                <w:color w:val="000000"/>
                <w:sz w:val="20"/>
                <w:szCs w:val="20"/>
              </w:rPr>
            </w:pPr>
            <w:r w:rsidRPr="007F76F3">
              <w:rPr>
                <w:rFonts w:cs="Arial"/>
                <w:color w:val="000000"/>
                <w:sz w:val="20"/>
                <w:szCs w:val="20"/>
              </w:rPr>
              <w:t>118,4</w:t>
            </w:r>
          </w:p>
        </w:tc>
      </w:tr>
      <w:tr w:rsidR="00AF51B4" w:rsidRPr="00C65CAA" w14:paraId="6CE30BB3" w14:textId="77777777" w:rsidTr="00AF51B4">
        <w:tc>
          <w:tcPr>
            <w:tcW w:w="2032" w:type="pct"/>
            <w:vAlign w:val="center"/>
          </w:tcPr>
          <w:p w14:paraId="16D8BFFA" w14:textId="77777777" w:rsidR="00AF51B4" w:rsidRPr="007F76F3" w:rsidRDefault="00AF51B4" w:rsidP="00AE303F">
            <w:pPr>
              <w:rPr>
                <w:rFonts w:cs="Arial"/>
                <w:sz w:val="20"/>
                <w:szCs w:val="20"/>
              </w:rPr>
            </w:pPr>
            <w:r w:rsidRPr="007F76F3">
              <w:rPr>
                <w:rFonts w:cs="Arial"/>
                <w:sz w:val="20"/>
                <w:szCs w:val="20"/>
              </w:rPr>
              <w:t>Ministerstvo školstva, vedy, výskumu a športu SR</w:t>
            </w:r>
          </w:p>
        </w:tc>
        <w:tc>
          <w:tcPr>
            <w:tcW w:w="575" w:type="pct"/>
            <w:vAlign w:val="center"/>
          </w:tcPr>
          <w:p w14:paraId="14498B6D" w14:textId="77777777" w:rsidR="00AF51B4" w:rsidRPr="007F76F3" w:rsidRDefault="00AF51B4" w:rsidP="00AE303F">
            <w:pPr>
              <w:jc w:val="right"/>
              <w:rPr>
                <w:rFonts w:cs="Arial"/>
                <w:sz w:val="20"/>
                <w:szCs w:val="20"/>
              </w:rPr>
            </w:pPr>
            <w:r w:rsidRPr="007F76F3">
              <w:rPr>
                <w:rFonts w:cs="Arial"/>
                <w:sz w:val="20"/>
                <w:szCs w:val="20"/>
              </w:rPr>
              <w:t>1 265 895</w:t>
            </w:r>
          </w:p>
        </w:tc>
        <w:tc>
          <w:tcPr>
            <w:tcW w:w="598" w:type="pct"/>
            <w:vAlign w:val="center"/>
          </w:tcPr>
          <w:p w14:paraId="64769183" w14:textId="77777777" w:rsidR="00AF51B4" w:rsidRPr="007F76F3" w:rsidRDefault="00AF51B4" w:rsidP="00AE303F">
            <w:pPr>
              <w:jc w:val="right"/>
              <w:rPr>
                <w:rFonts w:cs="Arial"/>
                <w:sz w:val="20"/>
                <w:szCs w:val="20"/>
              </w:rPr>
            </w:pPr>
            <w:r w:rsidRPr="007F76F3">
              <w:rPr>
                <w:rFonts w:cs="Arial"/>
                <w:sz w:val="20"/>
                <w:szCs w:val="20"/>
              </w:rPr>
              <w:t>1 361 103</w:t>
            </w:r>
          </w:p>
        </w:tc>
        <w:tc>
          <w:tcPr>
            <w:tcW w:w="769" w:type="pct"/>
            <w:vAlign w:val="center"/>
          </w:tcPr>
          <w:p w14:paraId="33B94248" w14:textId="77777777" w:rsidR="00AF51B4" w:rsidRPr="007F76F3" w:rsidRDefault="00AF51B4" w:rsidP="00AE303F">
            <w:pPr>
              <w:jc w:val="right"/>
              <w:rPr>
                <w:rFonts w:cs="Arial"/>
                <w:sz w:val="20"/>
                <w:szCs w:val="20"/>
              </w:rPr>
            </w:pPr>
            <w:r w:rsidRPr="007F76F3">
              <w:rPr>
                <w:rFonts w:cs="Arial"/>
                <w:sz w:val="20"/>
                <w:szCs w:val="20"/>
              </w:rPr>
              <w:t>1 581 964</w:t>
            </w:r>
          </w:p>
        </w:tc>
        <w:tc>
          <w:tcPr>
            <w:tcW w:w="561" w:type="pct"/>
            <w:vAlign w:val="center"/>
          </w:tcPr>
          <w:p w14:paraId="65308903" w14:textId="77777777" w:rsidR="00AF51B4" w:rsidRPr="007F76F3" w:rsidRDefault="00AF51B4" w:rsidP="00AE303F">
            <w:pPr>
              <w:jc w:val="right"/>
              <w:rPr>
                <w:rFonts w:cs="Arial"/>
                <w:color w:val="000000"/>
                <w:sz w:val="20"/>
                <w:szCs w:val="20"/>
              </w:rPr>
            </w:pPr>
            <w:r w:rsidRPr="007F76F3">
              <w:rPr>
                <w:rFonts w:cs="Arial"/>
                <w:color w:val="000000"/>
                <w:sz w:val="20"/>
                <w:szCs w:val="20"/>
              </w:rPr>
              <w:t>220 861</w:t>
            </w:r>
          </w:p>
        </w:tc>
        <w:tc>
          <w:tcPr>
            <w:tcW w:w="465" w:type="pct"/>
            <w:vAlign w:val="center"/>
          </w:tcPr>
          <w:p w14:paraId="12053586" w14:textId="77777777" w:rsidR="00AF51B4" w:rsidRPr="007F76F3" w:rsidRDefault="00AF51B4" w:rsidP="00AE303F">
            <w:pPr>
              <w:jc w:val="right"/>
              <w:rPr>
                <w:rFonts w:cs="Arial"/>
                <w:color w:val="000000"/>
                <w:sz w:val="20"/>
                <w:szCs w:val="20"/>
              </w:rPr>
            </w:pPr>
            <w:r w:rsidRPr="007F76F3">
              <w:rPr>
                <w:rFonts w:cs="Arial"/>
                <w:color w:val="000000"/>
                <w:sz w:val="20"/>
                <w:szCs w:val="20"/>
              </w:rPr>
              <w:t>116,2</w:t>
            </w:r>
          </w:p>
        </w:tc>
      </w:tr>
      <w:tr w:rsidR="00AF51B4" w:rsidRPr="00C65CAA" w14:paraId="4C783D12" w14:textId="77777777" w:rsidTr="00AF51B4">
        <w:tc>
          <w:tcPr>
            <w:tcW w:w="2032" w:type="pct"/>
            <w:vAlign w:val="center"/>
          </w:tcPr>
          <w:p w14:paraId="5D44D0CE" w14:textId="77777777" w:rsidR="00AF51B4" w:rsidRPr="007F76F3" w:rsidRDefault="00AF51B4" w:rsidP="00AE303F">
            <w:pPr>
              <w:rPr>
                <w:rFonts w:cs="Arial"/>
                <w:sz w:val="20"/>
                <w:szCs w:val="20"/>
              </w:rPr>
            </w:pPr>
            <w:r w:rsidRPr="007F76F3">
              <w:rPr>
                <w:rFonts w:cs="Arial"/>
                <w:sz w:val="20"/>
                <w:szCs w:val="20"/>
              </w:rPr>
              <w:t xml:space="preserve">Ministerstvo financií SR       </w:t>
            </w:r>
          </w:p>
        </w:tc>
        <w:tc>
          <w:tcPr>
            <w:tcW w:w="575" w:type="pct"/>
            <w:vAlign w:val="center"/>
          </w:tcPr>
          <w:p w14:paraId="340B5590" w14:textId="77777777" w:rsidR="00AF51B4" w:rsidRPr="007F76F3" w:rsidRDefault="00AF51B4" w:rsidP="00AE303F">
            <w:pPr>
              <w:jc w:val="right"/>
              <w:rPr>
                <w:rFonts w:cs="Arial"/>
                <w:sz w:val="20"/>
                <w:szCs w:val="20"/>
              </w:rPr>
            </w:pPr>
            <w:r w:rsidRPr="007F76F3">
              <w:rPr>
                <w:rFonts w:cs="Arial"/>
                <w:sz w:val="20"/>
                <w:szCs w:val="20"/>
              </w:rPr>
              <w:t>496 043</w:t>
            </w:r>
          </w:p>
        </w:tc>
        <w:tc>
          <w:tcPr>
            <w:tcW w:w="598" w:type="pct"/>
            <w:vAlign w:val="center"/>
          </w:tcPr>
          <w:p w14:paraId="31DE5047" w14:textId="77777777" w:rsidR="00AF51B4" w:rsidRPr="007F76F3" w:rsidRDefault="00AF51B4" w:rsidP="00AE303F">
            <w:pPr>
              <w:jc w:val="right"/>
              <w:rPr>
                <w:rFonts w:cs="Arial"/>
                <w:sz w:val="20"/>
                <w:szCs w:val="20"/>
              </w:rPr>
            </w:pPr>
            <w:r w:rsidRPr="007F76F3">
              <w:rPr>
                <w:rFonts w:cs="Arial"/>
                <w:sz w:val="20"/>
                <w:szCs w:val="20"/>
              </w:rPr>
              <w:t>420 186</w:t>
            </w:r>
          </w:p>
        </w:tc>
        <w:tc>
          <w:tcPr>
            <w:tcW w:w="769" w:type="pct"/>
            <w:vAlign w:val="center"/>
          </w:tcPr>
          <w:p w14:paraId="38BA7AE7" w14:textId="77777777" w:rsidR="00AF51B4" w:rsidRPr="007F76F3" w:rsidRDefault="00AF51B4" w:rsidP="00AE303F">
            <w:pPr>
              <w:jc w:val="right"/>
              <w:rPr>
                <w:rFonts w:cs="Arial"/>
                <w:sz w:val="20"/>
                <w:szCs w:val="20"/>
              </w:rPr>
            </w:pPr>
            <w:r w:rsidRPr="007F76F3">
              <w:rPr>
                <w:rFonts w:cs="Arial"/>
                <w:sz w:val="20"/>
                <w:szCs w:val="20"/>
              </w:rPr>
              <w:t>591 946</w:t>
            </w:r>
          </w:p>
        </w:tc>
        <w:tc>
          <w:tcPr>
            <w:tcW w:w="561" w:type="pct"/>
            <w:vAlign w:val="center"/>
          </w:tcPr>
          <w:p w14:paraId="6509B1DA" w14:textId="77777777" w:rsidR="00AF51B4" w:rsidRPr="007F76F3" w:rsidRDefault="00AF51B4" w:rsidP="00AE303F">
            <w:pPr>
              <w:jc w:val="right"/>
              <w:rPr>
                <w:rFonts w:cs="Arial"/>
                <w:color w:val="000000"/>
                <w:sz w:val="20"/>
                <w:szCs w:val="20"/>
              </w:rPr>
            </w:pPr>
            <w:r w:rsidRPr="007F76F3">
              <w:rPr>
                <w:rFonts w:cs="Arial"/>
                <w:color w:val="000000"/>
                <w:sz w:val="20"/>
                <w:szCs w:val="20"/>
              </w:rPr>
              <w:t>171 760</w:t>
            </w:r>
          </w:p>
        </w:tc>
        <w:tc>
          <w:tcPr>
            <w:tcW w:w="465" w:type="pct"/>
            <w:vAlign w:val="center"/>
          </w:tcPr>
          <w:p w14:paraId="3FF8F267" w14:textId="77777777" w:rsidR="00AF51B4" w:rsidRPr="007F76F3" w:rsidRDefault="00AF51B4" w:rsidP="00AE303F">
            <w:pPr>
              <w:jc w:val="right"/>
              <w:rPr>
                <w:rFonts w:cs="Arial"/>
                <w:color w:val="000000"/>
                <w:sz w:val="20"/>
                <w:szCs w:val="20"/>
              </w:rPr>
            </w:pPr>
            <w:r w:rsidRPr="007F76F3">
              <w:rPr>
                <w:rFonts w:cs="Arial"/>
                <w:color w:val="000000"/>
                <w:sz w:val="20"/>
                <w:szCs w:val="20"/>
              </w:rPr>
              <w:t>140,9</w:t>
            </w:r>
          </w:p>
        </w:tc>
      </w:tr>
      <w:tr w:rsidR="00AF51B4" w:rsidRPr="00C65CAA" w14:paraId="53A33CBF" w14:textId="77777777" w:rsidTr="00AF51B4">
        <w:tc>
          <w:tcPr>
            <w:tcW w:w="2032" w:type="pct"/>
            <w:vAlign w:val="center"/>
          </w:tcPr>
          <w:p w14:paraId="3BCBCBB5" w14:textId="77777777" w:rsidR="00AF51B4" w:rsidRPr="007F76F3" w:rsidRDefault="00AF51B4" w:rsidP="00AE303F">
            <w:pPr>
              <w:rPr>
                <w:rFonts w:cs="Arial"/>
                <w:sz w:val="20"/>
                <w:szCs w:val="20"/>
              </w:rPr>
            </w:pPr>
            <w:r w:rsidRPr="007F76F3">
              <w:rPr>
                <w:rFonts w:cs="Arial"/>
                <w:sz w:val="20"/>
                <w:szCs w:val="20"/>
              </w:rPr>
              <w:t xml:space="preserve">Ministerstvo zdravotníctva SR  </w:t>
            </w:r>
          </w:p>
        </w:tc>
        <w:tc>
          <w:tcPr>
            <w:tcW w:w="575" w:type="pct"/>
            <w:vAlign w:val="center"/>
          </w:tcPr>
          <w:p w14:paraId="1452B560" w14:textId="77777777" w:rsidR="00AF51B4" w:rsidRPr="007F76F3" w:rsidRDefault="00AF51B4" w:rsidP="00AE303F">
            <w:pPr>
              <w:jc w:val="right"/>
              <w:rPr>
                <w:rFonts w:cs="Arial"/>
                <w:sz w:val="20"/>
                <w:szCs w:val="20"/>
              </w:rPr>
            </w:pPr>
            <w:r w:rsidRPr="007F76F3">
              <w:rPr>
                <w:rFonts w:cs="Arial"/>
                <w:sz w:val="20"/>
                <w:szCs w:val="20"/>
              </w:rPr>
              <w:t>1 371 498</w:t>
            </w:r>
          </w:p>
        </w:tc>
        <w:tc>
          <w:tcPr>
            <w:tcW w:w="598" w:type="pct"/>
            <w:vAlign w:val="center"/>
          </w:tcPr>
          <w:p w14:paraId="4404D674" w14:textId="77777777" w:rsidR="00AF51B4" w:rsidRPr="007F76F3" w:rsidRDefault="00AF51B4" w:rsidP="00AE303F">
            <w:pPr>
              <w:jc w:val="right"/>
              <w:rPr>
                <w:rFonts w:cs="Arial"/>
                <w:sz w:val="20"/>
                <w:szCs w:val="20"/>
              </w:rPr>
            </w:pPr>
            <w:r w:rsidRPr="007F76F3">
              <w:rPr>
                <w:rFonts w:cs="Arial"/>
                <w:sz w:val="20"/>
                <w:szCs w:val="20"/>
              </w:rPr>
              <w:t>1 230 946</w:t>
            </w:r>
          </w:p>
        </w:tc>
        <w:tc>
          <w:tcPr>
            <w:tcW w:w="769" w:type="pct"/>
            <w:vAlign w:val="center"/>
          </w:tcPr>
          <w:p w14:paraId="08A3EAEC" w14:textId="77777777" w:rsidR="00AF51B4" w:rsidRPr="007F76F3" w:rsidRDefault="00AF51B4" w:rsidP="00AE303F">
            <w:pPr>
              <w:jc w:val="right"/>
              <w:rPr>
                <w:rFonts w:cs="Arial"/>
                <w:sz w:val="20"/>
                <w:szCs w:val="20"/>
              </w:rPr>
            </w:pPr>
            <w:r w:rsidRPr="007F76F3">
              <w:rPr>
                <w:rFonts w:cs="Arial"/>
                <w:sz w:val="20"/>
                <w:szCs w:val="20"/>
              </w:rPr>
              <w:t>1 330 019</w:t>
            </w:r>
          </w:p>
        </w:tc>
        <w:tc>
          <w:tcPr>
            <w:tcW w:w="561" w:type="pct"/>
            <w:vAlign w:val="center"/>
          </w:tcPr>
          <w:p w14:paraId="13781DDA" w14:textId="77777777" w:rsidR="00AF51B4" w:rsidRPr="007F76F3" w:rsidRDefault="00AF51B4" w:rsidP="00AE303F">
            <w:pPr>
              <w:jc w:val="right"/>
              <w:rPr>
                <w:rFonts w:cs="Arial"/>
                <w:color w:val="000000"/>
                <w:sz w:val="20"/>
                <w:szCs w:val="20"/>
              </w:rPr>
            </w:pPr>
            <w:r w:rsidRPr="007F76F3">
              <w:rPr>
                <w:rFonts w:cs="Arial"/>
                <w:color w:val="000000"/>
                <w:sz w:val="20"/>
                <w:szCs w:val="20"/>
              </w:rPr>
              <w:t>99 073</w:t>
            </w:r>
          </w:p>
        </w:tc>
        <w:tc>
          <w:tcPr>
            <w:tcW w:w="465" w:type="pct"/>
            <w:vAlign w:val="center"/>
          </w:tcPr>
          <w:p w14:paraId="021DFDEE" w14:textId="77777777" w:rsidR="00AF51B4" w:rsidRPr="007F76F3" w:rsidRDefault="00AF51B4" w:rsidP="00AE303F">
            <w:pPr>
              <w:jc w:val="right"/>
              <w:rPr>
                <w:rFonts w:cs="Arial"/>
                <w:color w:val="000000"/>
                <w:sz w:val="20"/>
                <w:szCs w:val="20"/>
              </w:rPr>
            </w:pPr>
            <w:r w:rsidRPr="007F76F3">
              <w:rPr>
                <w:rFonts w:cs="Arial"/>
                <w:color w:val="000000"/>
                <w:sz w:val="20"/>
                <w:szCs w:val="20"/>
              </w:rPr>
              <w:t>108,0</w:t>
            </w:r>
          </w:p>
        </w:tc>
      </w:tr>
      <w:tr w:rsidR="00AF51B4" w:rsidRPr="00C65CAA" w14:paraId="76F9E61F" w14:textId="77777777" w:rsidTr="00AF51B4">
        <w:tc>
          <w:tcPr>
            <w:tcW w:w="2032" w:type="pct"/>
            <w:vAlign w:val="center"/>
          </w:tcPr>
          <w:p w14:paraId="385E4873" w14:textId="77777777" w:rsidR="00AF51B4" w:rsidRPr="007F76F3" w:rsidRDefault="00AF51B4" w:rsidP="00AE303F">
            <w:pPr>
              <w:rPr>
                <w:rFonts w:cs="Arial"/>
                <w:sz w:val="20"/>
                <w:szCs w:val="20"/>
              </w:rPr>
            </w:pPr>
            <w:r w:rsidRPr="007F76F3">
              <w:rPr>
                <w:rFonts w:cs="Arial"/>
                <w:sz w:val="20"/>
                <w:szCs w:val="20"/>
              </w:rPr>
              <w:t xml:space="preserve">Ministerstvo kultúry SR        </w:t>
            </w:r>
          </w:p>
        </w:tc>
        <w:tc>
          <w:tcPr>
            <w:tcW w:w="575" w:type="pct"/>
            <w:vAlign w:val="center"/>
          </w:tcPr>
          <w:p w14:paraId="140E4530" w14:textId="77777777" w:rsidR="00AF51B4" w:rsidRPr="007F76F3" w:rsidRDefault="00AF51B4" w:rsidP="00AE303F">
            <w:pPr>
              <w:jc w:val="right"/>
              <w:rPr>
                <w:rFonts w:cs="Arial"/>
                <w:sz w:val="20"/>
                <w:szCs w:val="20"/>
              </w:rPr>
            </w:pPr>
            <w:r w:rsidRPr="007F76F3">
              <w:rPr>
                <w:rFonts w:cs="Arial"/>
                <w:sz w:val="20"/>
                <w:szCs w:val="20"/>
              </w:rPr>
              <w:t>284 037</w:t>
            </w:r>
          </w:p>
        </w:tc>
        <w:tc>
          <w:tcPr>
            <w:tcW w:w="598" w:type="pct"/>
            <w:vAlign w:val="center"/>
          </w:tcPr>
          <w:p w14:paraId="0280FB03" w14:textId="77777777" w:rsidR="00AF51B4" w:rsidRPr="007F76F3" w:rsidRDefault="00AF51B4" w:rsidP="00AE303F">
            <w:pPr>
              <w:jc w:val="right"/>
              <w:rPr>
                <w:rFonts w:cs="Arial"/>
                <w:sz w:val="20"/>
                <w:szCs w:val="20"/>
              </w:rPr>
            </w:pPr>
            <w:r w:rsidRPr="007F76F3">
              <w:rPr>
                <w:rFonts w:cs="Arial"/>
                <w:sz w:val="20"/>
                <w:szCs w:val="20"/>
              </w:rPr>
              <w:t>255 194</w:t>
            </w:r>
          </w:p>
        </w:tc>
        <w:tc>
          <w:tcPr>
            <w:tcW w:w="769" w:type="pct"/>
            <w:vAlign w:val="center"/>
          </w:tcPr>
          <w:p w14:paraId="292A5AE3" w14:textId="77777777" w:rsidR="00AF51B4" w:rsidRPr="007F76F3" w:rsidRDefault="00AF51B4" w:rsidP="00AE303F">
            <w:pPr>
              <w:jc w:val="right"/>
              <w:rPr>
                <w:rFonts w:cs="Arial"/>
                <w:sz w:val="20"/>
                <w:szCs w:val="20"/>
              </w:rPr>
            </w:pPr>
            <w:r w:rsidRPr="007F76F3">
              <w:rPr>
                <w:rFonts w:cs="Arial"/>
                <w:sz w:val="20"/>
                <w:szCs w:val="20"/>
              </w:rPr>
              <w:t>291 082</w:t>
            </w:r>
          </w:p>
        </w:tc>
        <w:tc>
          <w:tcPr>
            <w:tcW w:w="561" w:type="pct"/>
            <w:vAlign w:val="center"/>
          </w:tcPr>
          <w:p w14:paraId="58ED842B" w14:textId="77777777" w:rsidR="00AF51B4" w:rsidRPr="007F76F3" w:rsidRDefault="00AF51B4" w:rsidP="00AE303F">
            <w:pPr>
              <w:jc w:val="right"/>
              <w:rPr>
                <w:rFonts w:cs="Arial"/>
                <w:color w:val="000000"/>
                <w:sz w:val="20"/>
                <w:szCs w:val="20"/>
              </w:rPr>
            </w:pPr>
            <w:r w:rsidRPr="007F76F3">
              <w:rPr>
                <w:rFonts w:cs="Arial"/>
                <w:color w:val="000000"/>
                <w:sz w:val="20"/>
                <w:szCs w:val="20"/>
              </w:rPr>
              <w:t>35 888</w:t>
            </w:r>
          </w:p>
        </w:tc>
        <w:tc>
          <w:tcPr>
            <w:tcW w:w="465" w:type="pct"/>
            <w:vAlign w:val="center"/>
          </w:tcPr>
          <w:p w14:paraId="2AF43DF7" w14:textId="77777777" w:rsidR="00AF51B4" w:rsidRPr="007F76F3" w:rsidRDefault="00AF51B4" w:rsidP="00AE303F">
            <w:pPr>
              <w:jc w:val="right"/>
              <w:rPr>
                <w:rFonts w:cs="Arial"/>
                <w:color w:val="000000"/>
                <w:sz w:val="20"/>
                <w:szCs w:val="20"/>
              </w:rPr>
            </w:pPr>
            <w:r w:rsidRPr="007F76F3">
              <w:rPr>
                <w:rFonts w:cs="Arial"/>
                <w:color w:val="000000"/>
                <w:sz w:val="20"/>
                <w:szCs w:val="20"/>
              </w:rPr>
              <w:t>114,1</w:t>
            </w:r>
          </w:p>
        </w:tc>
      </w:tr>
      <w:tr w:rsidR="00AF51B4" w:rsidRPr="00C65CAA" w14:paraId="48FD63F4" w14:textId="77777777" w:rsidTr="00AF51B4">
        <w:tc>
          <w:tcPr>
            <w:tcW w:w="2032" w:type="pct"/>
            <w:vAlign w:val="center"/>
          </w:tcPr>
          <w:p w14:paraId="6BFE38B5" w14:textId="77777777" w:rsidR="00AF51B4" w:rsidRPr="007F76F3" w:rsidRDefault="00AF51B4" w:rsidP="00AE303F">
            <w:pPr>
              <w:rPr>
                <w:rFonts w:cs="Arial"/>
                <w:sz w:val="20"/>
                <w:szCs w:val="20"/>
              </w:rPr>
            </w:pPr>
            <w:r w:rsidRPr="007F76F3">
              <w:rPr>
                <w:rFonts w:cs="Arial"/>
                <w:sz w:val="20"/>
                <w:szCs w:val="20"/>
              </w:rPr>
              <w:t>Úrad podpredsedu vlády SR pre investície a informatizáciu</w:t>
            </w:r>
          </w:p>
        </w:tc>
        <w:tc>
          <w:tcPr>
            <w:tcW w:w="575" w:type="pct"/>
            <w:vAlign w:val="center"/>
          </w:tcPr>
          <w:p w14:paraId="12D264ED" w14:textId="77777777" w:rsidR="00AF51B4" w:rsidRPr="007F76F3" w:rsidRDefault="00AF51B4" w:rsidP="00AE303F">
            <w:pPr>
              <w:jc w:val="right"/>
              <w:rPr>
                <w:rFonts w:cs="Arial"/>
                <w:sz w:val="20"/>
                <w:szCs w:val="20"/>
              </w:rPr>
            </w:pPr>
            <w:r w:rsidRPr="007F76F3">
              <w:rPr>
                <w:rFonts w:cs="Arial"/>
                <w:sz w:val="20"/>
                <w:szCs w:val="20"/>
              </w:rPr>
              <w:t>28 991</w:t>
            </w:r>
          </w:p>
        </w:tc>
        <w:tc>
          <w:tcPr>
            <w:tcW w:w="598" w:type="pct"/>
            <w:vAlign w:val="center"/>
          </w:tcPr>
          <w:p w14:paraId="2C76A49A" w14:textId="77777777" w:rsidR="00AF51B4" w:rsidRPr="007F76F3" w:rsidRDefault="00AF51B4" w:rsidP="00AE303F">
            <w:pPr>
              <w:jc w:val="right"/>
              <w:rPr>
                <w:rFonts w:cs="Arial"/>
                <w:sz w:val="20"/>
                <w:szCs w:val="20"/>
              </w:rPr>
            </w:pPr>
            <w:r w:rsidRPr="007F76F3">
              <w:rPr>
                <w:rFonts w:cs="Arial"/>
                <w:sz w:val="20"/>
                <w:szCs w:val="20"/>
              </w:rPr>
              <w:t>10 487</w:t>
            </w:r>
          </w:p>
        </w:tc>
        <w:tc>
          <w:tcPr>
            <w:tcW w:w="769" w:type="pct"/>
            <w:vAlign w:val="center"/>
          </w:tcPr>
          <w:p w14:paraId="5E956CE1" w14:textId="77777777" w:rsidR="00AF51B4" w:rsidRPr="007F76F3" w:rsidRDefault="00AF51B4" w:rsidP="00AE303F">
            <w:pPr>
              <w:jc w:val="right"/>
              <w:rPr>
                <w:rFonts w:cs="Arial"/>
                <w:sz w:val="20"/>
                <w:szCs w:val="20"/>
              </w:rPr>
            </w:pPr>
            <w:r w:rsidRPr="007F76F3">
              <w:rPr>
                <w:rFonts w:cs="Arial"/>
                <w:sz w:val="20"/>
                <w:szCs w:val="20"/>
              </w:rPr>
              <w:t>35 541</w:t>
            </w:r>
          </w:p>
        </w:tc>
        <w:tc>
          <w:tcPr>
            <w:tcW w:w="561" w:type="pct"/>
            <w:vAlign w:val="center"/>
          </w:tcPr>
          <w:p w14:paraId="257ED1C6" w14:textId="77777777" w:rsidR="00AF51B4" w:rsidRPr="007F76F3" w:rsidRDefault="00AF51B4" w:rsidP="00AE303F">
            <w:pPr>
              <w:jc w:val="right"/>
              <w:rPr>
                <w:rFonts w:cs="Arial"/>
                <w:color w:val="000000"/>
                <w:sz w:val="20"/>
                <w:szCs w:val="20"/>
              </w:rPr>
            </w:pPr>
            <w:r w:rsidRPr="007F76F3">
              <w:rPr>
                <w:rFonts w:cs="Arial"/>
                <w:color w:val="000000"/>
                <w:sz w:val="20"/>
                <w:szCs w:val="20"/>
              </w:rPr>
              <w:t>25 054</w:t>
            </w:r>
          </w:p>
        </w:tc>
        <w:tc>
          <w:tcPr>
            <w:tcW w:w="465" w:type="pct"/>
            <w:vAlign w:val="center"/>
          </w:tcPr>
          <w:p w14:paraId="0D427133" w14:textId="77777777" w:rsidR="00AF51B4" w:rsidRPr="007F76F3" w:rsidRDefault="00AF51B4" w:rsidP="00AE303F">
            <w:pPr>
              <w:jc w:val="right"/>
              <w:rPr>
                <w:rFonts w:cs="Arial"/>
                <w:color w:val="000000"/>
                <w:sz w:val="20"/>
                <w:szCs w:val="20"/>
              </w:rPr>
            </w:pPr>
            <w:r w:rsidRPr="007F76F3">
              <w:rPr>
                <w:rFonts w:cs="Arial"/>
                <w:color w:val="000000"/>
                <w:sz w:val="20"/>
                <w:szCs w:val="20"/>
              </w:rPr>
              <w:t>338,9</w:t>
            </w:r>
          </w:p>
        </w:tc>
      </w:tr>
      <w:tr w:rsidR="00AF51B4" w:rsidRPr="00C65CAA" w14:paraId="178950A4" w14:textId="77777777" w:rsidTr="00AF51B4">
        <w:tc>
          <w:tcPr>
            <w:tcW w:w="2032" w:type="pct"/>
            <w:vAlign w:val="center"/>
          </w:tcPr>
          <w:p w14:paraId="3BF06AD9" w14:textId="77777777" w:rsidR="00AF51B4" w:rsidRPr="007F76F3" w:rsidRDefault="00AF51B4" w:rsidP="00AE303F">
            <w:pPr>
              <w:rPr>
                <w:rFonts w:cs="Arial"/>
                <w:sz w:val="20"/>
                <w:szCs w:val="20"/>
              </w:rPr>
            </w:pPr>
            <w:r w:rsidRPr="007F76F3">
              <w:rPr>
                <w:rFonts w:cs="Arial"/>
                <w:sz w:val="20"/>
                <w:szCs w:val="20"/>
              </w:rPr>
              <w:t xml:space="preserve">Štatistický úrad SR            </w:t>
            </w:r>
          </w:p>
        </w:tc>
        <w:tc>
          <w:tcPr>
            <w:tcW w:w="575" w:type="pct"/>
            <w:vAlign w:val="center"/>
          </w:tcPr>
          <w:p w14:paraId="113FCD31" w14:textId="77777777" w:rsidR="00AF51B4" w:rsidRPr="007F76F3" w:rsidRDefault="00AF51B4" w:rsidP="00AE303F">
            <w:pPr>
              <w:jc w:val="right"/>
              <w:rPr>
                <w:rFonts w:cs="Arial"/>
                <w:sz w:val="20"/>
                <w:szCs w:val="20"/>
              </w:rPr>
            </w:pPr>
            <w:r w:rsidRPr="007F76F3">
              <w:rPr>
                <w:rFonts w:cs="Arial"/>
                <w:sz w:val="20"/>
                <w:szCs w:val="20"/>
              </w:rPr>
              <w:t>25 527</w:t>
            </w:r>
          </w:p>
        </w:tc>
        <w:tc>
          <w:tcPr>
            <w:tcW w:w="598" w:type="pct"/>
            <w:vAlign w:val="center"/>
          </w:tcPr>
          <w:p w14:paraId="57AF99C8" w14:textId="77777777" w:rsidR="00AF51B4" w:rsidRPr="007F76F3" w:rsidRDefault="00AF51B4" w:rsidP="00AE303F">
            <w:pPr>
              <w:jc w:val="right"/>
              <w:rPr>
                <w:rFonts w:cs="Arial"/>
                <w:sz w:val="20"/>
                <w:szCs w:val="20"/>
              </w:rPr>
            </w:pPr>
            <w:r w:rsidRPr="007F76F3">
              <w:rPr>
                <w:rFonts w:cs="Arial"/>
                <w:sz w:val="20"/>
                <w:szCs w:val="20"/>
              </w:rPr>
              <w:t>32 932</w:t>
            </w:r>
          </w:p>
        </w:tc>
        <w:tc>
          <w:tcPr>
            <w:tcW w:w="769" w:type="pct"/>
            <w:vAlign w:val="center"/>
          </w:tcPr>
          <w:p w14:paraId="06AB645A" w14:textId="77777777" w:rsidR="00AF51B4" w:rsidRPr="007F76F3" w:rsidRDefault="00AF51B4" w:rsidP="00AE303F">
            <w:pPr>
              <w:jc w:val="right"/>
              <w:rPr>
                <w:rFonts w:cs="Arial"/>
                <w:sz w:val="20"/>
                <w:szCs w:val="20"/>
              </w:rPr>
            </w:pPr>
            <w:r w:rsidRPr="007F76F3">
              <w:rPr>
                <w:rFonts w:cs="Arial"/>
                <w:sz w:val="20"/>
                <w:szCs w:val="20"/>
              </w:rPr>
              <w:t>51 648</w:t>
            </w:r>
          </w:p>
        </w:tc>
        <w:tc>
          <w:tcPr>
            <w:tcW w:w="561" w:type="pct"/>
            <w:vAlign w:val="center"/>
          </w:tcPr>
          <w:p w14:paraId="78358A3D" w14:textId="77777777" w:rsidR="00AF51B4" w:rsidRPr="007F76F3" w:rsidRDefault="00AF51B4" w:rsidP="00AE303F">
            <w:pPr>
              <w:jc w:val="right"/>
              <w:rPr>
                <w:rFonts w:cs="Arial"/>
                <w:color w:val="000000"/>
                <w:sz w:val="20"/>
                <w:szCs w:val="20"/>
              </w:rPr>
            </w:pPr>
            <w:r w:rsidRPr="007F76F3">
              <w:rPr>
                <w:rFonts w:cs="Arial"/>
                <w:color w:val="000000"/>
                <w:sz w:val="20"/>
                <w:szCs w:val="20"/>
              </w:rPr>
              <w:t>18 717</w:t>
            </w:r>
          </w:p>
        </w:tc>
        <w:tc>
          <w:tcPr>
            <w:tcW w:w="465" w:type="pct"/>
            <w:vAlign w:val="center"/>
          </w:tcPr>
          <w:p w14:paraId="3905332E" w14:textId="77777777" w:rsidR="00AF51B4" w:rsidRPr="007F76F3" w:rsidRDefault="00AF51B4" w:rsidP="00AE303F">
            <w:pPr>
              <w:jc w:val="right"/>
              <w:rPr>
                <w:rFonts w:cs="Arial"/>
                <w:color w:val="000000"/>
                <w:sz w:val="20"/>
                <w:szCs w:val="20"/>
              </w:rPr>
            </w:pPr>
            <w:r w:rsidRPr="007F76F3">
              <w:rPr>
                <w:rFonts w:cs="Arial"/>
                <w:color w:val="000000"/>
                <w:sz w:val="20"/>
                <w:szCs w:val="20"/>
              </w:rPr>
              <w:t>156,8</w:t>
            </w:r>
          </w:p>
        </w:tc>
      </w:tr>
      <w:tr w:rsidR="00AF51B4" w:rsidRPr="00C65CAA" w14:paraId="65395D97" w14:textId="77777777" w:rsidTr="00AF51B4">
        <w:tc>
          <w:tcPr>
            <w:tcW w:w="2032" w:type="pct"/>
            <w:vAlign w:val="center"/>
          </w:tcPr>
          <w:p w14:paraId="09E770C2" w14:textId="77777777" w:rsidR="00AF51B4" w:rsidRPr="007F76F3" w:rsidRDefault="00AF51B4" w:rsidP="00AE303F">
            <w:pPr>
              <w:rPr>
                <w:rFonts w:cs="Arial"/>
                <w:sz w:val="20"/>
                <w:szCs w:val="20"/>
              </w:rPr>
            </w:pPr>
            <w:r w:rsidRPr="007F76F3">
              <w:rPr>
                <w:rFonts w:cs="Arial"/>
                <w:sz w:val="20"/>
                <w:szCs w:val="20"/>
              </w:rPr>
              <w:t xml:space="preserve">Ministerstvo spravodlivosti SR </w:t>
            </w:r>
          </w:p>
        </w:tc>
        <w:tc>
          <w:tcPr>
            <w:tcW w:w="575" w:type="pct"/>
            <w:vAlign w:val="center"/>
          </w:tcPr>
          <w:p w14:paraId="0EDD7967" w14:textId="77777777" w:rsidR="00AF51B4" w:rsidRPr="007F76F3" w:rsidRDefault="00AF51B4" w:rsidP="00AE303F">
            <w:pPr>
              <w:jc w:val="right"/>
              <w:rPr>
                <w:rFonts w:cs="Arial"/>
                <w:sz w:val="20"/>
                <w:szCs w:val="20"/>
              </w:rPr>
            </w:pPr>
            <w:r w:rsidRPr="007F76F3">
              <w:rPr>
                <w:rFonts w:cs="Arial"/>
                <w:sz w:val="20"/>
                <w:szCs w:val="20"/>
              </w:rPr>
              <w:t>451 312</w:t>
            </w:r>
          </w:p>
        </w:tc>
        <w:tc>
          <w:tcPr>
            <w:tcW w:w="598" w:type="pct"/>
            <w:vAlign w:val="center"/>
          </w:tcPr>
          <w:p w14:paraId="61871D5D" w14:textId="77777777" w:rsidR="00AF51B4" w:rsidRPr="007F76F3" w:rsidRDefault="00AF51B4" w:rsidP="00AE303F">
            <w:pPr>
              <w:jc w:val="right"/>
              <w:rPr>
                <w:rFonts w:cs="Arial"/>
                <w:sz w:val="20"/>
                <w:szCs w:val="20"/>
              </w:rPr>
            </w:pPr>
            <w:r w:rsidRPr="007F76F3">
              <w:rPr>
                <w:rFonts w:cs="Arial"/>
                <w:sz w:val="20"/>
                <w:szCs w:val="20"/>
              </w:rPr>
              <w:t>439 506</w:t>
            </w:r>
          </w:p>
        </w:tc>
        <w:tc>
          <w:tcPr>
            <w:tcW w:w="769" w:type="pct"/>
            <w:vAlign w:val="center"/>
          </w:tcPr>
          <w:p w14:paraId="177E546D" w14:textId="77777777" w:rsidR="00AF51B4" w:rsidRPr="007F76F3" w:rsidRDefault="00AF51B4" w:rsidP="00AE303F">
            <w:pPr>
              <w:jc w:val="right"/>
              <w:rPr>
                <w:rFonts w:cs="Arial"/>
                <w:sz w:val="20"/>
                <w:szCs w:val="20"/>
              </w:rPr>
            </w:pPr>
            <w:r w:rsidRPr="007F76F3">
              <w:rPr>
                <w:rFonts w:cs="Arial"/>
                <w:sz w:val="20"/>
                <w:szCs w:val="20"/>
              </w:rPr>
              <w:t>456 863</w:t>
            </w:r>
          </w:p>
        </w:tc>
        <w:tc>
          <w:tcPr>
            <w:tcW w:w="561" w:type="pct"/>
            <w:vAlign w:val="center"/>
          </w:tcPr>
          <w:p w14:paraId="647992B1" w14:textId="77777777" w:rsidR="00AF51B4" w:rsidRPr="007F76F3" w:rsidRDefault="00AF51B4" w:rsidP="00AE303F">
            <w:pPr>
              <w:jc w:val="right"/>
              <w:rPr>
                <w:rFonts w:cs="Arial"/>
                <w:color w:val="000000"/>
                <w:sz w:val="20"/>
                <w:szCs w:val="20"/>
              </w:rPr>
            </w:pPr>
            <w:r w:rsidRPr="007F76F3">
              <w:rPr>
                <w:rFonts w:cs="Arial"/>
                <w:color w:val="000000"/>
                <w:sz w:val="20"/>
                <w:szCs w:val="20"/>
              </w:rPr>
              <w:t>17 357</w:t>
            </w:r>
          </w:p>
        </w:tc>
        <w:tc>
          <w:tcPr>
            <w:tcW w:w="465" w:type="pct"/>
            <w:vAlign w:val="center"/>
          </w:tcPr>
          <w:p w14:paraId="26FD79E0" w14:textId="77777777" w:rsidR="00AF51B4" w:rsidRPr="007F76F3" w:rsidRDefault="00AF51B4" w:rsidP="00AE303F">
            <w:pPr>
              <w:jc w:val="right"/>
              <w:rPr>
                <w:rFonts w:cs="Arial"/>
                <w:color w:val="000000"/>
                <w:sz w:val="20"/>
                <w:szCs w:val="20"/>
              </w:rPr>
            </w:pPr>
            <w:r w:rsidRPr="007F76F3">
              <w:rPr>
                <w:rFonts w:cs="Arial"/>
                <w:color w:val="000000"/>
                <w:sz w:val="20"/>
                <w:szCs w:val="20"/>
              </w:rPr>
              <w:t>103,9</w:t>
            </w:r>
          </w:p>
        </w:tc>
      </w:tr>
      <w:tr w:rsidR="00AF51B4" w:rsidRPr="00C65CAA" w14:paraId="06FDB6D1" w14:textId="77777777" w:rsidTr="00AF51B4">
        <w:tc>
          <w:tcPr>
            <w:tcW w:w="2032" w:type="pct"/>
            <w:vAlign w:val="center"/>
          </w:tcPr>
          <w:p w14:paraId="64C8542D" w14:textId="77777777" w:rsidR="00AF51B4" w:rsidRPr="007F76F3" w:rsidRDefault="00AF51B4" w:rsidP="00AE303F">
            <w:pPr>
              <w:rPr>
                <w:rFonts w:cs="Arial"/>
                <w:sz w:val="20"/>
                <w:szCs w:val="20"/>
              </w:rPr>
            </w:pPr>
            <w:r w:rsidRPr="007F76F3">
              <w:rPr>
                <w:rFonts w:cs="Arial"/>
                <w:sz w:val="20"/>
                <w:szCs w:val="20"/>
              </w:rPr>
              <w:t xml:space="preserve">Slovenská akadémia vied        </w:t>
            </w:r>
          </w:p>
        </w:tc>
        <w:tc>
          <w:tcPr>
            <w:tcW w:w="575" w:type="pct"/>
            <w:vAlign w:val="center"/>
          </w:tcPr>
          <w:p w14:paraId="745238E2" w14:textId="77777777" w:rsidR="00AF51B4" w:rsidRPr="007F76F3" w:rsidRDefault="00AF51B4" w:rsidP="00AE303F">
            <w:pPr>
              <w:jc w:val="right"/>
              <w:rPr>
                <w:rFonts w:cs="Arial"/>
                <w:sz w:val="20"/>
                <w:szCs w:val="20"/>
              </w:rPr>
            </w:pPr>
            <w:r w:rsidRPr="007F76F3">
              <w:rPr>
                <w:rFonts w:cs="Arial"/>
                <w:sz w:val="20"/>
                <w:szCs w:val="20"/>
              </w:rPr>
              <w:t>70 375</w:t>
            </w:r>
          </w:p>
        </w:tc>
        <w:tc>
          <w:tcPr>
            <w:tcW w:w="598" w:type="pct"/>
            <w:vAlign w:val="center"/>
          </w:tcPr>
          <w:p w14:paraId="115D1D95" w14:textId="77777777" w:rsidR="00AF51B4" w:rsidRPr="007F76F3" w:rsidRDefault="00AF51B4" w:rsidP="00AE303F">
            <w:pPr>
              <w:jc w:val="right"/>
              <w:rPr>
                <w:rFonts w:cs="Arial"/>
                <w:sz w:val="20"/>
                <w:szCs w:val="20"/>
              </w:rPr>
            </w:pPr>
            <w:r w:rsidRPr="007F76F3">
              <w:rPr>
                <w:rFonts w:cs="Arial"/>
                <w:sz w:val="20"/>
                <w:szCs w:val="20"/>
              </w:rPr>
              <w:t>69 414</w:t>
            </w:r>
          </w:p>
        </w:tc>
        <w:tc>
          <w:tcPr>
            <w:tcW w:w="769" w:type="pct"/>
            <w:vAlign w:val="center"/>
          </w:tcPr>
          <w:p w14:paraId="3C448AC3" w14:textId="77777777" w:rsidR="00AF51B4" w:rsidRPr="007F76F3" w:rsidRDefault="00AF51B4" w:rsidP="00AE303F">
            <w:pPr>
              <w:jc w:val="right"/>
              <w:rPr>
                <w:rFonts w:cs="Arial"/>
                <w:sz w:val="20"/>
                <w:szCs w:val="20"/>
              </w:rPr>
            </w:pPr>
            <w:r w:rsidRPr="007F76F3">
              <w:rPr>
                <w:rFonts w:cs="Arial"/>
                <w:sz w:val="20"/>
                <w:szCs w:val="20"/>
              </w:rPr>
              <w:t>85 367</w:t>
            </w:r>
          </w:p>
        </w:tc>
        <w:tc>
          <w:tcPr>
            <w:tcW w:w="561" w:type="pct"/>
            <w:vAlign w:val="center"/>
          </w:tcPr>
          <w:p w14:paraId="2C8C2612" w14:textId="77777777" w:rsidR="00AF51B4" w:rsidRPr="007F76F3" w:rsidRDefault="00AF51B4" w:rsidP="00AE303F">
            <w:pPr>
              <w:jc w:val="right"/>
              <w:rPr>
                <w:rFonts w:cs="Arial"/>
                <w:color w:val="000000"/>
                <w:sz w:val="20"/>
                <w:szCs w:val="20"/>
              </w:rPr>
            </w:pPr>
            <w:r w:rsidRPr="007F76F3">
              <w:rPr>
                <w:rFonts w:cs="Arial"/>
                <w:color w:val="000000"/>
                <w:sz w:val="20"/>
                <w:szCs w:val="20"/>
              </w:rPr>
              <w:t>15 954</w:t>
            </w:r>
          </w:p>
        </w:tc>
        <w:tc>
          <w:tcPr>
            <w:tcW w:w="465" w:type="pct"/>
            <w:vAlign w:val="center"/>
          </w:tcPr>
          <w:p w14:paraId="179D421B" w14:textId="77777777" w:rsidR="00AF51B4" w:rsidRPr="007F76F3" w:rsidRDefault="00AF51B4" w:rsidP="00AE303F">
            <w:pPr>
              <w:jc w:val="right"/>
              <w:rPr>
                <w:rFonts w:cs="Arial"/>
                <w:color w:val="000000"/>
                <w:sz w:val="20"/>
                <w:szCs w:val="20"/>
              </w:rPr>
            </w:pPr>
            <w:r w:rsidRPr="007F76F3">
              <w:rPr>
                <w:rFonts w:cs="Arial"/>
                <w:color w:val="000000"/>
                <w:sz w:val="20"/>
                <w:szCs w:val="20"/>
              </w:rPr>
              <w:t>123,0</w:t>
            </w:r>
          </w:p>
        </w:tc>
      </w:tr>
      <w:tr w:rsidR="00AF51B4" w:rsidRPr="00C65CAA" w14:paraId="61689CEE" w14:textId="77777777" w:rsidTr="00AF51B4">
        <w:tc>
          <w:tcPr>
            <w:tcW w:w="2032" w:type="pct"/>
            <w:vAlign w:val="center"/>
          </w:tcPr>
          <w:p w14:paraId="4E5B1B75" w14:textId="77777777" w:rsidR="00AF51B4" w:rsidRPr="007F76F3" w:rsidRDefault="00AF51B4" w:rsidP="00AE303F">
            <w:pPr>
              <w:rPr>
                <w:rFonts w:cs="Arial"/>
                <w:sz w:val="20"/>
                <w:szCs w:val="20"/>
              </w:rPr>
            </w:pPr>
            <w:r w:rsidRPr="007F76F3">
              <w:rPr>
                <w:rFonts w:cs="Arial"/>
                <w:sz w:val="20"/>
                <w:szCs w:val="20"/>
              </w:rPr>
              <w:t xml:space="preserve">Slovenská informačná služba    </w:t>
            </w:r>
          </w:p>
        </w:tc>
        <w:tc>
          <w:tcPr>
            <w:tcW w:w="575" w:type="pct"/>
            <w:vAlign w:val="center"/>
          </w:tcPr>
          <w:p w14:paraId="183945CD" w14:textId="77777777" w:rsidR="00AF51B4" w:rsidRPr="007F76F3" w:rsidRDefault="00AF51B4" w:rsidP="00AE303F">
            <w:pPr>
              <w:jc w:val="right"/>
              <w:rPr>
                <w:rFonts w:cs="Arial"/>
                <w:sz w:val="20"/>
                <w:szCs w:val="20"/>
              </w:rPr>
            </w:pPr>
            <w:r w:rsidRPr="007F76F3">
              <w:rPr>
                <w:rFonts w:cs="Arial"/>
                <w:sz w:val="20"/>
                <w:szCs w:val="20"/>
              </w:rPr>
              <w:t>66 471</w:t>
            </w:r>
          </w:p>
        </w:tc>
        <w:tc>
          <w:tcPr>
            <w:tcW w:w="598" w:type="pct"/>
            <w:vAlign w:val="center"/>
          </w:tcPr>
          <w:p w14:paraId="68378B55" w14:textId="77777777" w:rsidR="00AF51B4" w:rsidRPr="007F76F3" w:rsidRDefault="00AF51B4" w:rsidP="00AE303F">
            <w:pPr>
              <w:jc w:val="right"/>
              <w:rPr>
                <w:rFonts w:cs="Arial"/>
                <w:sz w:val="20"/>
                <w:szCs w:val="20"/>
              </w:rPr>
            </w:pPr>
            <w:r w:rsidRPr="007F76F3">
              <w:rPr>
                <w:rFonts w:cs="Arial"/>
                <w:sz w:val="20"/>
                <w:szCs w:val="20"/>
              </w:rPr>
              <w:t>54 854</w:t>
            </w:r>
          </w:p>
        </w:tc>
        <w:tc>
          <w:tcPr>
            <w:tcW w:w="769" w:type="pct"/>
            <w:vAlign w:val="center"/>
          </w:tcPr>
          <w:p w14:paraId="35E92F1F" w14:textId="77777777" w:rsidR="00AF51B4" w:rsidRPr="007F76F3" w:rsidRDefault="00AF51B4" w:rsidP="00AE303F">
            <w:pPr>
              <w:jc w:val="right"/>
              <w:rPr>
                <w:rFonts w:cs="Arial"/>
                <w:sz w:val="20"/>
                <w:szCs w:val="20"/>
              </w:rPr>
            </w:pPr>
            <w:r w:rsidRPr="007F76F3">
              <w:rPr>
                <w:rFonts w:cs="Arial"/>
                <w:sz w:val="20"/>
                <w:szCs w:val="20"/>
              </w:rPr>
              <w:t>63 405</w:t>
            </w:r>
          </w:p>
        </w:tc>
        <w:tc>
          <w:tcPr>
            <w:tcW w:w="561" w:type="pct"/>
            <w:vAlign w:val="center"/>
          </w:tcPr>
          <w:p w14:paraId="4DC179AC" w14:textId="77777777" w:rsidR="00AF51B4" w:rsidRPr="007F76F3" w:rsidRDefault="00AF51B4" w:rsidP="00AE303F">
            <w:pPr>
              <w:jc w:val="right"/>
              <w:rPr>
                <w:rFonts w:cs="Arial"/>
                <w:color w:val="000000"/>
                <w:sz w:val="20"/>
                <w:szCs w:val="20"/>
              </w:rPr>
            </w:pPr>
            <w:r w:rsidRPr="007F76F3">
              <w:rPr>
                <w:rFonts w:cs="Arial"/>
                <w:color w:val="000000"/>
                <w:sz w:val="20"/>
                <w:szCs w:val="20"/>
              </w:rPr>
              <w:t>8 551</w:t>
            </w:r>
          </w:p>
        </w:tc>
        <w:tc>
          <w:tcPr>
            <w:tcW w:w="465" w:type="pct"/>
            <w:vAlign w:val="center"/>
          </w:tcPr>
          <w:p w14:paraId="1265AB48" w14:textId="77777777" w:rsidR="00AF51B4" w:rsidRPr="007F76F3" w:rsidRDefault="00AF51B4" w:rsidP="00AE303F">
            <w:pPr>
              <w:jc w:val="right"/>
              <w:rPr>
                <w:rFonts w:cs="Arial"/>
                <w:color w:val="000000"/>
                <w:sz w:val="20"/>
                <w:szCs w:val="20"/>
              </w:rPr>
            </w:pPr>
            <w:r w:rsidRPr="007F76F3">
              <w:rPr>
                <w:rFonts w:cs="Arial"/>
                <w:color w:val="000000"/>
                <w:sz w:val="20"/>
                <w:szCs w:val="20"/>
              </w:rPr>
              <w:t>115,6</w:t>
            </w:r>
          </w:p>
        </w:tc>
      </w:tr>
      <w:tr w:rsidR="00AF51B4" w:rsidRPr="00C65CAA" w14:paraId="0F1F7822" w14:textId="77777777" w:rsidTr="00AF51B4">
        <w:tc>
          <w:tcPr>
            <w:tcW w:w="2032" w:type="pct"/>
            <w:vAlign w:val="center"/>
          </w:tcPr>
          <w:p w14:paraId="05594403" w14:textId="77777777" w:rsidR="00AF51B4" w:rsidRPr="007F76F3" w:rsidRDefault="00AF51B4" w:rsidP="00AE303F">
            <w:pPr>
              <w:rPr>
                <w:rFonts w:cs="Arial"/>
                <w:sz w:val="20"/>
                <w:szCs w:val="20"/>
              </w:rPr>
            </w:pPr>
            <w:r w:rsidRPr="007F76F3">
              <w:rPr>
                <w:rFonts w:cs="Arial"/>
                <w:sz w:val="20"/>
                <w:szCs w:val="20"/>
              </w:rPr>
              <w:t xml:space="preserve">Generálna prokuratúra SR       </w:t>
            </w:r>
          </w:p>
        </w:tc>
        <w:tc>
          <w:tcPr>
            <w:tcW w:w="575" w:type="pct"/>
            <w:vAlign w:val="center"/>
          </w:tcPr>
          <w:p w14:paraId="4C92C9A2" w14:textId="77777777" w:rsidR="00AF51B4" w:rsidRPr="007F76F3" w:rsidRDefault="00AF51B4" w:rsidP="00AE303F">
            <w:pPr>
              <w:jc w:val="right"/>
              <w:rPr>
                <w:rFonts w:cs="Arial"/>
                <w:sz w:val="20"/>
                <w:szCs w:val="20"/>
              </w:rPr>
            </w:pPr>
            <w:r w:rsidRPr="007F76F3">
              <w:rPr>
                <w:rFonts w:cs="Arial"/>
                <w:sz w:val="20"/>
                <w:szCs w:val="20"/>
              </w:rPr>
              <w:t>99 805</w:t>
            </w:r>
          </w:p>
        </w:tc>
        <w:tc>
          <w:tcPr>
            <w:tcW w:w="598" w:type="pct"/>
            <w:vAlign w:val="center"/>
          </w:tcPr>
          <w:p w14:paraId="364E1B94" w14:textId="77777777" w:rsidR="00AF51B4" w:rsidRPr="007F76F3" w:rsidRDefault="00AF51B4" w:rsidP="00AE303F">
            <w:pPr>
              <w:jc w:val="right"/>
              <w:rPr>
                <w:rFonts w:cs="Arial"/>
                <w:sz w:val="20"/>
                <w:szCs w:val="20"/>
              </w:rPr>
            </w:pPr>
            <w:r w:rsidRPr="007F76F3">
              <w:rPr>
                <w:rFonts w:cs="Arial"/>
                <w:sz w:val="20"/>
                <w:szCs w:val="20"/>
              </w:rPr>
              <w:t>106 705</w:t>
            </w:r>
          </w:p>
        </w:tc>
        <w:tc>
          <w:tcPr>
            <w:tcW w:w="769" w:type="pct"/>
            <w:vAlign w:val="center"/>
          </w:tcPr>
          <w:p w14:paraId="6D84BA6E" w14:textId="77777777" w:rsidR="00AF51B4" w:rsidRPr="007F76F3" w:rsidRDefault="00AF51B4" w:rsidP="00AE303F">
            <w:pPr>
              <w:jc w:val="right"/>
              <w:rPr>
                <w:rFonts w:cs="Arial"/>
                <w:sz w:val="20"/>
                <w:szCs w:val="20"/>
              </w:rPr>
            </w:pPr>
            <w:r w:rsidRPr="007F76F3">
              <w:rPr>
                <w:rFonts w:cs="Arial"/>
                <w:sz w:val="20"/>
                <w:szCs w:val="20"/>
              </w:rPr>
              <w:t>113 791</w:t>
            </w:r>
          </w:p>
        </w:tc>
        <w:tc>
          <w:tcPr>
            <w:tcW w:w="561" w:type="pct"/>
            <w:vAlign w:val="center"/>
          </w:tcPr>
          <w:p w14:paraId="17F0FA9C" w14:textId="77777777" w:rsidR="00AF51B4" w:rsidRPr="007F76F3" w:rsidRDefault="00AF51B4" w:rsidP="00AE303F">
            <w:pPr>
              <w:jc w:val="right"/>
              <w:rPr>
                <w:rFonts w:cs="Arial"/>
                <w:color w:val="000000"/>
                <w:sz w:val="20"/>
                <w:szCs w:val="20"/>
              </w:rPr>
            </w:pPr>
            <w:r w:rsidRPr="007F76F3">
              <w:rPr>
                <w:rFonts w:cs="Arial"/>
                <w:color w:val="000000"/>
                <w:sz w:val="20"/>
                <w:szCs w:val="20"/>
              </w:rPr>
              <w:t>7 085</w:t>
            </w:r>
          </w:p>
        </w:tc>
        <w:tc>
          <w:tcPr>
            <w:tcW w:w="465" w:type="pct"/>
            <w:vAlign w:val="center"/>
          </w:tcPr>
          <w:p w14:paraId="12CAF4D6" w14:textId="77777777" w:rsidR="00AF51B4" w:rsidRPr="007F76F3" w:rsidRDefault="00AF51B4" w:rsidP="00AE303F">
            <w:pPr>
              <w:jc w:val="right"/>
              <w:rPr>
                <w:rFonts w:cs="Arial"/>
                <w:color w:val="000000"/>
                <w:sz w:val="20"/>
                <w:szCs w:val="20"/>
              </w:rPr>
            </w:pPr>
            <w:r w:rsidRPr="007F76F3">
              <w:rPr>
                <w:rFonts w:cs="Arial"/>
                <w:color w:val="000000"/>
                <w:sz w:val="20"/>
                <w:szCs w:val="20"/>
              </w:rPr>
              <w:t>106,6</w:t>
            </w:r>
          </w:p>
        </w:tc>
      </w:tr>
      <w:tr w:rsidR="00AF51B4" w:rsidRPr="00C65CAA" w14:paraId="362B82B3" w14:textId="77777777" w:rsidTr="00AF51B4">
        <w:tc>
          <w:tcPr>
            <w:tcW w:w="2032" w:type="pct"/>
            <w:vAlign w:val="center"/>
          </w:tcPr>
          <w:p w14:paraId="45506148" w14:textId="77777777" w:rsidR="00AF51B4" w:rsidRPr="007F76F3" w:rsidRDefault="00AF51B4" w:rsidP="00AE303F">
            <w:pPr>
              <w:rPr>
                <w:rFonts w:cs="Arial"/>
                <w:sz w:val="20"/>
                <w:szCs w:val="20"/>
              </w:rPr>
            </w:pPr>
            <w:r w:rsidRPr="007F76F3">
              <w:rPr>
                <w:rFonts w:cs="Arial"/>
                <w:sz w:val="20"/>
                <w:szCs w:val="20"/>
              </w:rPr>
              <w:t xml:space="preserve">Kancelária Národnej rady SR    </w:t>
            </w:r>
          </w:p>
        </w:tc>
        <w:tc>
          <w:tcPr>
            <w:tcW w:w="575" w:type="pct"/>
            <w:vAlign w:val="center"/>
          </w:tcPr>
          <w:p w14:paraId="37B0D216" w14:textId="77777777" w:rsidR="00AF51B4" w:rsidRPr="007F76F3" w:rsidRDefault="00AF51B4" w:rsidP="00AE303F">
            <w:pPr>
              <w:jc w:val="right"/>
              <w:rPr>
                <w:rFonts w:cs="Arial"/>
                <w:sz w:val="20"/>
                <w:szCs w:val="20"/>
              </w:rPr>
            </w:pPr>
            <w:r w:rsidRPr="007F76F3">
              <w:rPr>
                <w:rFonts w:cs="Arial"/>
                <w:sz w:val="20"/>
                <w:szCs w:val="20"/>
              </w:rPr>
              <w:t>32 522</w:t>
            </w:r>
          </w:p>
        </w:tc>
        <w:tc>
          <w:tcPr>
            <w:tcW w:w="598" w:type="pct"/>
            <w:vAlign w:val="center"/>
          </w:tcPr>
          <w:p w14:paraId="1578620C" w14:textId="77777777" w:rsidR="00AF51B4" w:rsidRPr="007F76F3" w:rsidRDefault="00AF51B4" w:rsidP="00AE303F">
            <w:pPr>
              <w:jc w:val="right"/>
              <w:rPr>
                <w:rFonts w:cs="Arial"/>
                <w:sz w:val="20"/>
                <w:szCs w:val="20"/>
              </w:rPr>
            </w:pPr>
            <w:r w:rsidRPr="007F76F3">
              <w:rPr>
                <w:rFonts w:cs="Arial"/>
                <w:sz w:val="20"/>
                <w:szCs w:val="20"/>
              </w:rPr>
              <w:t>31 857</w:t>
            </w:r>
          </w:p>
        </w:tc>
        <w:tc>
          <w:tcPr>
            <w:tcW w:w="769" w:type="pct"/>
            <w:vAlign w:val="center"/>
          </w:tcPr>
          <w:p w14:paraId="465627D9" w14:textId="77777777" w:rsidR="00AF51B4" w:rsidRPr="007F76F3" w:rsidRDefault="00AF51B4" w:rsidP="00AE303F">
            <w:pPr>
              <w:jc w:val="right"/>
              <w:rPr>
                <w:rFonts w:cs="Arial"/>
                <w:sz w:val="20"/>
                <w:szCs w:val="20"/>
              </w:rPr>
            </w:pPr>
            <w:r w:rsidRPr="007F76F3">
              <w:rPr>
                <w:rFonts w:cs="Arial"/>
                <w:sz w:val="20"/>
                <w:szCs w:val="20"/>
              </w:rPr>
              <w:t>38 122</w:t>
            </w:r>
          </w:p>
        </w:tc>
        <w:tc>
          <w:tcPr>
            <w:tcW w:w="561" w:type="pct"/>
            <w:vAlign w:val="center"/>
          </w:tcPr>
          <w:p w14:paraId="7243803A" w14:textId="77777777" w:rsidR="00AF51B4" w:rsidRPr="007F76F3" w:rsidRDefault="00AF51B4" w:rsidP="00AE303F">
            <w:pPr>
              <w:jc w:val="right"/>
              <w:rPr>
                <w:rFonts w:cs="Arial"/>
                <w:color w:val="000000"/>
                <w:sz w:val="20"/>
                <w:szCs w:val="20"/>
              </w:rPr>
            </w:pPr>
            <w:r w:rsidRPr="007F76F3">
              <w:rPr>
                <w:rFonts w:cs="Arial"/>
                <w:color w:val="000000"/>
                <w:sz w:val="20"/>
                <w:szCs w:val="20"/>
              </w:rPr>
              <w:t>6 265</w:t>
            </w:r>
          </w:p>
        </w:tc>
        <w:tc>
          <w:tcPr>
            <w:tcW w:w="465" w:type="pct"/>
            <w:vAlign w:val="center"/>
          </w:tcPr>
          <w:p w14:paraId="229B2D74" w14:textId="77777777" w:rsidR="00AF51B4" w:rsidRPr="007F76F3" w:rsidRDefault="00AF51B4" w:rsidP="00AE303F">
            <w:pPr>
              <w:jc w:val="right"/>
              <w:rPr>
                <w:rFonts w:cs="Arial"/>
                <w:color w:val="000000"/>
                <w:sz w:val="20"/>
                <w:szCs w:val="20"/>
              </w:rPr>
            </w:pPr>
            <w:r w:rsidRPr="007F76F3">
              <w:rPr>
                <w:rFonts w:cs="Arial"/>
                <w:color w:val="000000"/>
                <w:sz w:val="20"/>
                <w:szCs w:val="20"/>
              </w:rPr>
              <w:t>119,7</w:t>
            </w:r>
          </w:p>
        </w:tc>
      </w:tr>
      <w:tr w:rsidR="00AF51B4" w:rsidRPr="00C65CAA" w14:paraId="640C09C2" w14:textId="77777777" w:rsidTr="00AF51B4">
        <w:tc>
          <w:tcPr>
            <w:tcW w:w="2032" w:type="pct"/>
            <w:vAlign w:val="center"/>
          </w:tcPr>
          <w:p w14:paraId="3E41D269" w14:textId="77777777" w:rsidR="00AF51B4" w:rsidRPr="007F76F3" w:rsidRDefault="00AF51B4" w:rsidP="00AE303F">
            <w:pPr>
              <w:rPr>
                <w:rFonts w:cs="Arial"/>
                <w:sz w:val="20"/>
                <w:szCs w:val="20"/>
              </w:rPr>
            </w:pPr>
            <w:r w:rsidRPr="007F76F3">
              <w:rPr>
                <w:rFonts w:cs="Arial"/>
                <w:sz w:val="20"/>
                <w:szCs w:val="20"/>
              </w:rPr>
              <w:t xml:space="preserve">Ministerstvo dopravy a výstavby SR  </w:t>
            </w:r>
          </w:p>
        </w:tc>
        <w:tc>
          <w:tcPr>
            <w:tcW w:w="575" w:type="pct"/>
            <w:vAlign w:val="center"/>
          </w:tcPr>
          <w:p w14:paraId="7E31E79F" w14:textId="77777777" w:rsidR="00AF51B4" w:rsidRPr="007F76F3" w:rsidRDefault="00AF51B4" w:rsidP="00AE303F">
            <w:pPr>
              <w:jc w:val="right"/>
              <w:rPr>
                <w:rFonts w:cs="Arial"/>
                <w:sz w:val="20"/>
                <w:szCs w:val="20"/>
              </w:rPr>
            </w:pPr>
            <w:r w:rsidRPr="007F76F3">
              <w:rPr>
                <w:rFonts w:cs="Arial"/>
                <w:sz w:val="20"/>
                <w:szCs w:val="20"/>
              </w:rPr>
              <w:t>1 966 783</w:t>
            </w:r>
          </w:p>
        </w:tc>
        <w:tc>
          <w:tcPr>
            <w:tcW w:w="598" w:type="pct"/>
            <w:vAlign w:val="center"/>
          </w:tcPr>
          <w:p w14:paraId="5B8FCB07" w14:textId="77777777" w:rsidR="00AF51B4" w:rsidRPr="007F76F3" w:rsidRDefault="00AF51B4" w:rsidP="00AE303F">
            <w:pPr>
              <w:jc w:val="right"/>
              <w:rPr>
                <w:rFonts w:cs="Arial"/>
                <w:sz w:val="20"/>
                <w:szCs w:val="20"/>
              </w:rPr>
            </w:pPr>
            <w:r w:rsidRPr="007F76F3">
              <w:rPr>
                <w:rFonts w:cs="Arial"/>
                <w:sz w:val="20"/>
                <w:szCs w:val="20"/>
              </w:rPr>
              <w:t>1 153 931</w:t>
            </w:r>
          </w:p>
        </w:tc>
        <w:tc>
          <w:tcPr>
            <w:tcW w:w="769" w:type="pct"/>
            <w:vAlign w:val="center"/>
          </w:tcPr>
          <w:p w14:paraId="366CA695" w14:textId="77777777" w:rsidR="00AF51B4" w:rsidRPr="007F76F3" w:rsidRDefault="00AF51B4" w:rsidP="00AE303F">
            <w:pPr>
              <w:jc w:val="right"/>
              <w:rPr>
                <w:rFonts w:cs="Arial"/>
                <w:sz w:val="20"/>
                <w:szCs w:val="20"/>
              </w:rPr>
            </w:pPr>
            <w:r w:rsidRPr="007F76F3">
              <w:rPr>
                <w:rFonts w:cs="Arial"/>
                <w:sz w:val="20"/>
                <w:szCs w:val="20"/>
              </w:rPr>
              <w:t>1 159 324</w:t>
            </w:r>
          </w:p>
        </w:tc>
        <w:tc>
          <w:tcPr>
            <w:tcW w:w="561" w:type="pct"/>
            <w:vAlign w:val="center"/>
          </w:tcPr>
          <w:p w14:paraId="013F7035" w14:textId="77777777" w:rsidR="00AF51B4" w:rsidRPr="007F76F3" w:rsidRDefault="00AF51B4" w:rsidP="00AE303F">
            <w:pPr>
              <w:jc w:val="right"/>
              <w:rPr>
                <w:rFonts w:cs="Arial"/>
                <w:color w:val="000000"/>
                <w:sz w:val="20"/>
                <w:szCs w:val="20"/>
              </w:rPr>
            </w:pPr>
            <w:r w:rsidRPr="007F76F3">
              <w:rPr>
                <w:rFonts w:cs="Arial"/>
                <w:color w:val="000000"/>
                <w:sz w:val="20"/>
                <w:szCs w:val="20"/>
              </w:rPr>
              <w:t>5 393</w:t>
            </w:r>
          </w:p>
        </w:tc>
        <w:tc>
          <w:tcPr>
            <w:tcW w:w="465" w:type="pct"/>
            <w:vAlign w:val="center"/>
          </w:tcPr>
          <w:p w14:paraId="79C05F11" w14:textId="77777777" w:rsidR="00AF51B4" w:rsidRPr="007F76F3" w:rsidRDefault="00AF51B4" w:rsidP="00AE303F">
            <w:pPr>
              <w:jc w:val="right"/>
              <w:rPr>
                <w:rFonts w:cs="Arial"/>
                <w:color w:val="000000"/>
                <w:sz w:val="20"/>
                <w:szCs w:val="20"/>
              </w:rPr>
            </w:pPr>
            <w:r w:rsidRPr="007F76F3">
              <w:rPr>
                <w:rFonts w:cs="Arial"/>
                <w:color w:val="000000"/>
                <w:sz w:val="20"/>
                <w:szCs w:val="20"/>
              </w:rPr>
              <w:t>100,5</w:t>
            </w:r>
          </w:p>
        </w:tc>
      </w:tr>
      <w:tr w:rsidR="00AF51B4" w:rsidRPr="00C65CAA" w14:paraId="0E104DEB" w14:textId="77777777" w:rsidTr="00AF51B4">
        <w:tc>
          <w:tcPr>
            <w:tcW w:w="2032" w:type="pct"/>
            <w:vAlign w:val="center"/>
          </w:tcPr>
          <w:p w14:paraId="3CDF4326" w14:textId="77777777" w:rsidR="00AF51B4" w:rsidRPr="007F76F3" w:rsidRDefault="00AF51B4" w:rsidP="00AE303F">
            <w:pPr>
              <w:rPr>
                <w:rFonts w:cs="Arial"/>
                <w:sz w:val="20"/>
                <w:szCs w:val="20"/>
              </w:rPr>
            </w:pPr>
            <w:r w:rsidRPr="007F76F3">
              <w:rPr>
                <w:rFonts w:cs="Arial"/>
                <w:sz w:val="20"/>
                <w:szCs w:val="20"/>
              </w:rPr>
              <w:t xml:space="preserve">Úrad pre verejné obstarávanie </w:t>
            </w:r>
          </w:p>
        </w:tc>
        <w:tc>
          <w:tcPr>
            <w:tcW w:w="575" w:type="pct"/>
            <w:vAlign w:val="center"/>
          </w:tcPr>
          <w:p w14:paraId="5C1FE351" w14:textId="77777777" w:rsidR="00AF51B4" w:rsidRPr="007F76F3" w:rsidRDefault="00AF51B4" w:rsidP="00AE303F">
            <w:pPr>
              <w:jc w:val="right"/>
              <w:rPr>
                <w:rFonts w:cs="Arial"/>
                <w:sz w:val="20"/>
                <w:szCs w:val="20"/>
              </w:rPr>
            </w:pPr>
            <w:r w:rsidRPr="007F76F3">
              <w:rPr>
                <w:rFonts w:cs="Arial"/>
                <w:sz w:val="20"/>
                <w:szCs w:val="20"/>
              </w:rPr>
              <w:t>9 150</w:t>
            </w:r>
          </w:p>
        </w:tc>
        <w:tc>
          <w:tcPr>
            <w:tcW w:w="598" w:type="pct"/>
            <w:vAlign w:val="center"/>
          </w:tcPr>
          <w:p w14:paraId="4E608473" w14:textId="77777777" w:rsidR="00AF51B4" w:rsidRPr="007F76F3" w:rsidRDefault="00AF51B4" w:rsidP="00AE303F">
            <w:pPr>
              <w:jc w:val="right"/>
              <w:rPr>
                <w:rFonts w:cs="Arial"/>
                <w:sz w:val="20"/>
                <w:szCs w:val="20"/>
              </w:rPr>
            </w:pPr>
            <w:r w:rsidRPr="007F76F3">
              <w:rPr>
                <w:rFonts w:cs="Arial"/>
                <w:sz w:val="20"/>
                <w:szCs w:val="20"/>
              </w:rPr>
              <w:t>9 307</w:t>
            </w:r>
          </w:p>
        </w:tc>
        <w:tc>
          <w:tcPr>
            <w:tcW w:w="769" w:type="pct"/>
            <w:vAlign w:val="center"/>
          </w:tcPr>
          <w:p w14:paraId="67C60A70" w14:textId="77777777" w:rsidR="00AF51B4" w:rsidRPr="007F76F3" w:rsidRDefault="00AF51B4" w:rsidP="00AE303F">
            <w:pPr>
              <w:jc w:val="right"/>
              <w:rPr>
                <w:rFonts w:cs="Arial"/>
                <w:sz w:val="20"/>
                <w:szCs w:val="20"/>
              </w:rPr>
            </w:pPr>
            <w:r w:rsidRPr="007F76F3">
              <w:rPr>
                <w:rFonts w:cs="Arial"/>
                <w:sz w:val="20"/>
                <w:szCs w:val="20"/>
              </w:rPr>
              <w:t>11 416</w:t>
            </w:r>
          </w:p>
        </w:tc>
        <w:tc>
          <w:tcPr>
            <w:tcW w:w="561" w:type="pct"/>
            <w:vAlign w:val="center"/>
          </w:tcPr>
          <w:p w14:paraId="338B62A6" w14:textId="77777777" w:rsidR="00AF51B4" w:rsidRPr="007F76F3" w:rsidRDefault="00AF51B4" w:rsidP="00AE303F">
            <w:pPr>
              <w:jc w:val="right"/>
              <w:rPr>
                <w:rFonts w:cs="Arial"/>
                <w:color w:val="000000"/>
                <w:sz w:val="20"/>
                <w:szCs w:val="20"/>
              </w:rPr>
            </w:pPr>
            <w:r w:rsidRPr="007F76F3">
              <w:rPr>
                <w:rFonts w:cs="Arial"/>
                <w:color w:val="000000"/>
                <w:sz w:val="20"/>
                <w:szCs w:val="20"/>
              </w:rPr>
              <w:t>2 109</w:t>
            </w:r>
          </w:p>
        </w:tc>
        <w:tc>
          <w:tcPr>
            <w:tcW w:w="465" w:type="pct"/>
            <w:vAlign w:val="center"/>
          </w:tcPr>
          <w:p w14:paraId="05544CBB" w14:textId="77777777" w:rsidR="00AF51B4" w:rsidRPr="007F76F3" w:rsidRDefault="00AF51B4" w:rsidP="00AE303F">
            <w:pPr>
              <w:jc w:val="right"/>
              <w:rPr>
                <w:rFonts w:cs="Arial"/>
                <w:color w:val="000000"/>
                <w:sz w:val="20"/>
                <w:szCs w:val="20"/>
              </w:rPr>
            </w:pPr>
            <w:r w:rsidRPr="007F76F3">
              <w:rPr>
                <w:rFonts w:cs="Arial"/>
                <w:color w:val="000000"/>
                <w:sz w:val="20"/>
                <w:szCs w:val="20"/>
              </w:rPr>
              <w:t>122,7</w:t>
            </w:r>
          </w:p>
        </w:tc>
      </w:tr>
      <w:tr w:rsidR="00AF51B4" w:rsidRPr="00C65CAA" w14:paraId="3F0309B6" w14:textId="77777777" w:rsidTr="00AF51B4">
        <w:tc>
          <w:tcPr>
            <w:tcW w:w="2032" w:type="pct"/>
            <w:vAlign w:val="center"/>
          </w:tcPr>
          <w:p w14:paraId="2289FBC0" w14:textId="77777777" w:rsidR="00AF51B4" w:rsidRPr="007F76F3" w:rsidRDefault="00AF51B4" w:rsidP="00AE303F">
            <w:pPr>
              <w:rPr>
                <w:rFonts w:cs="Arial"/>
                <w:sz w:val="20"/>
                <w:szCs w:val="20"/>
              </w:rPr>
            </w:pPr>
            <w:r w:rsidRPr="007F76F3">
              <w:rPr>
                <w:rFonts w:cs="Arial"/>
                <w:sz w:val="20"/>
                <w:szCs w:val="20"/>
              </w:rPr>
              <w:t xml:space="preserve">Najvyšší kontrolný úrad SR     </w:t>
            </w:r>
          </w:p>
        </w:tc>
        <w:tc>
          <w:tcPr>
            <w:tcW w:w="575" w:type="pct"/>
            <w:vAlign w:val="center"/>
          </w:tcPr>
          <w:p w14:paraId="228BC440" w14:textId="77777777" w:rsidR="00AF51B4" w:rsidRPr="007F76F3" w:rsidRDefault="00AF51B4" w:rsidP="00AE303F">
            <w:pPr>
              <w:jc w:val="right"/>
              <w:rPr>
                <w:rFonts w:cs="Arial"/>
                <w:sz w:val="20"/>
                <w:szCs w:val="20"/>
              </w:rPr>
            </w:pPr>
            <w:r w:rsidRPr="007F76F3">
              <w:rPr>
                <w:rFonts w:cs="Arial"/>
                <w:sz w:val="20"/>
                <w:szCs w:val="20"/>
              </w:rPr>
              <w:t>11 003</w:t>
            </w:r>
          </w:p>
        </w:tc>
        <w:tc>
          <w:tcPr>
            <w:tcW w:w="598" w:type="pct"/>
            <w:vAlign w:val="center"/>
          </w:tcPr>
          <w:p w14:paraId="66F49A5F" w14:textId="77777777" w:rsidR="00AF51B4" w:rsidRPr="007F76F3" w:rsidRDefault="00AF51B4" w:rsidP="00AE303F">
            <w:pPr>
              <w:jc w:val="right"/>
              <w:rPr>
                <w:rFonts w:cs="Arial"/>
                <w:sz w:val="20"/>
                <w:szCs w:val="20"/>
              </w:rPr>
            </w:pPr>
            <w:r w:rsidRPr="007F76F3">
              <w:rPr>
                <w:rFonts w:cs="Arial"/>
                <w:sz w:val="20"/>
                <w:szCs w:val="20"/>
              </w:rPr>
              <w:t>10 911</w:t>
            </w:r>
          </w:p>
        </w:tc>
        <w:tc>
          <w:tcPr>
            <w:tcW w:w="769" w:type="pct"/>
            <w:vAlign w:val="center"/>
          </w:tcPr>
          <w:p w14:paraId="50D32785" w14:textId="77777777" w:rsidR="00AF51B4" w:rsidRPr="007F76F3" w:rsidRDefault="00AF51B4" w:rsidP="00AE303F">
            <w:pPr>
              <w:jc w:val="right"/>
              <w:rPr>
                <w:rFonts w:cs="Arial"/>
                <w:sz w:val="20"/>
                <w:szCs w:val="20"/>
              </w:rPr>
            </w:pPr>
            <w:r w:rsidRPr="007F76F3">
              <w:rPr>
                <w:rFonts w:cs="Arial"/>
                <w:sz w:val="20"/>
                <w:szCs w:val="20"/>
              </w:rPr>
              <w:t>12 819</w:t>
            </w:r>
          </w:p>
        </w:tc>
        <w:tc>
          <w:tcPr>
            <w:tcW w:w="561" w:type="pct"/>
            <w:vAlign w:val="center"/>
          </w:tcPr>
          <w:p w14:paraId="4FA00091" w14:textId="77777777" w:rsidR="00AF51B4" w:rsidRPr="007F76F3" w:rsidRDefault="00AF51B4" w:rsidP="00AE303F">
            <w:pPr>
              <w:jc w:val="right"/>
              <w:rPr>
                <w:rFonts w:cs="Arial"/>
                <w:color w:val="000000"/>
                <w:sz w:val="20"/>
                <w:szCs w:val="20"/>
              </w:rPr>
            </w:pPr>
            <w:r w:rsidRPr="007F76F3">
              <w:rPr>
                <w:rFonts w:cs="Arial"/>
                <w:color w:val="000000"/>
                <w:sz w:val="20"/>
                <w:szCs w:val="20"/>
              </w:rPr>
              <w:t>1 908</w:t>
            </w:r>
          </w:p>
        </w:tc>
        <w:tc>
          <w:tcPr>
            <w:tcW w:w="465" w:type="pct"/>
            <w:vAlign w:val="center"/>
          </w:tcPr>
          <w:p w14:paraId="4842A00E" w14:textId="77777777" w:rsidR="00AF51B4" w:rsidRPr="007F76F3" w:rsidRDefault="00AF51B4" w:rsidP="00AE303F">
            <w:pPr>
              <w:jc w:val="right"/>
              <w:rPr>
                <w:rFonts w:cs="Arial"/>
                <w:color w:val="000000"/>
                <w:sz w:val="20"/>
                <w:szCs w:val="20"/>
              </w:rPr>
            </w:pPr>
            <w:r w:rsidRPr="007F76F3">
              <w:rPr>
                <w:rFonts w:cs="Arial"/>
                <w:color w:val="000000"/>
                <w:sz w:val="20"/>
                <w:szCs w:val="20"/>
              </w:rPr>
              <w:t>117,5</w:t>
            </w:r>
          </w:p>
        </w:tc>
      </w:tr>
      <w:tr w:rsidR="00AF51B4" w:rsidRPr="00C65CAA" w14:paraId="6041770B" w14:textId="77777777" w:rsidTr="00AF51B4">
        <w:tc>
          <w:tcPr>
            <w:tcW w:w="2032" w:type="pct"/>
            <w:vAlign w:val="center"/>
          </w:tcPr>
          <w:p w14:paraId="72984FAC" w14:textId="77777777" w:rsidR="00AF51B4" w:rsidRPr="007F76F3" w:rsidRDefault="00AF51B4" w:rsidP="00AE303F">
            <w:pPr>
              <w:rPr>
                <w:rFonts w:cs="Arial"/>
                <w:sz w:val="20"/>
                <w:szCs w:val="20"/>
              </w:rPr>
            </w:pPr>
            <w:r w:rsidRPr="007F76F3">
              <w:rPr>
                <w:rFonts w:cs="Arial"/>
                <w:sz w:val="20"/>
                <w:szCs w:val="20"/>
              </w:rPr>
              <w:t xml:space="preserve">Národný bezpečnostný úrad </w:t>
            </w:r>
          </w:p>
        </w:tc>
        <w:tc>
          <w:tcPr>
            <w:tcW w:w="575" w:type="pct"/>
            <w:vAlign w:val="center"/>
          </w:tcPr>
          <w:p w14:paraId="58358167" w14:textId="77777777" w:rsidR="00AF51B4" w:rsidRPr="007F76F3" w:rsidRDefault="00AF51B4" w:rsidP="00AE303F">
            <w:pPr>
              <w:jc w:val="right"/>
              <w:rPr>
                <w:rFonts w:cs="Arial"/>
                <w:sz w:val="20"/>
                <w:szCs w:val="20"/>
              </w:rPr>
            </w:pPr>
            <w:r w:rsidRPr="007F76F3">
              <w:rPr>
                <w:rFonts w:cs="Arial"/>
                <w:sz w:val="20"/>
                <w:szCs w:val="20"/>
              </w:rPr>
              <w:t>11 698</w:t>
            </w:r>
          </w:p>
        </w:tc>
        <w:tc>
          <w:tcPr>
            <w:tcW w:w="598" w:type="pct"/>
            <w:vAlign w:val="center"/>
          </w:tcPr>
          <w:p w14:paraId="17B23971" w14:textId="77777777" w:rsidR="00AF51B4" w:rsidRPr="007F76F3" w:rsidRDefault="00AF51B4" w:rsidP="00AE303F">
            <w:pPr>
              <w:jc w:val="right"/>
              <w:rPr>
                <w:rFonts w:cs="Arial"/>
                <w:sz w:val="20"/>
                <w:szCs w:val="20"/>
              </w:rPr>
            </w:pPr>
            <w:r w:rsidRPr="007F76F3">
              <w:rPr>
                <w:rFonts w:cs="Arial"/>
                <w:sz w:val="20"/>
                <w:szCs w:val="20"/>
              </w:rPr>
              <w:t>10 120</w:t>
            </w:r>
          </w:p>
        </w:tc>
        <w:tc>
          <w:tcPr>
            <w:tcW w:w="769" w:type="pct"/>
            <w:vAlign w:val="center"/>
          </w:tcPr>
          <w:p w14:paraId="2B52628B" w14:textId="77777777" w:rsidR="00AF51B4" w:rsidRPr="007F76F3" w:rsidRDefault="00AF51B4" w:rsidP="00AE303F">
            <w:pPr>
              <w:jc w:val="right"/>
              <w:rPr>
                <w:rFonts w:cs="Arial"/>
                <w:sz w:val="20"/>
                <w:szCs w:val="20"/>
              </w:rPr>
            </w:pPr>
            <w:r w:rsidRPr="007F76F3">
              <w:rPr>
                <w:rFonts w:cs="Arial"/>
                <w:sz w:val="20"/>
                <w:szCs w:val="20"/>
              </w:rPr>
              <w:t>11 381</w:t>
            </w:r>
          </w:p>
        </w:tc>
        <w:tc>
          <w:tcPr>
            <w:tcW w:w="561" w:type="pct"/>
            <w:vAlign w:val="center"/>
          </w:tcPr>
          <w:p w14:paraId="129B34B5" w14:textId="77777777" w:rsidR="00AF51B4" w:rsidRPr="007F76F3" w:rsidRDefault="00AF51B4" w:rsidP="00AE303F">
            <w:pPr>
              <w:jc w:val="right"/>
              <w:rPr>
                <w:rFonts w:cs="Arial"/>
                <w:color w:val="000000"/>
                <w:sz w:val="20"/>
                <w:szCs w:val="20"/>
              </w:rPr>
            </w:pPr>
            <w:r w:rsidRPr="007F76F3">
              <w:rPr>
                <w:rFonts w:cs="Arial"/>
                <w:color w:val="000000"/>
                <w:sz w:val="20"/>
                <w:szCs w:val="20"/>
              </w:rPr>
              <w:t>1 261</w:t>
            </w:r>
          </w:p>
        </w:tc>
        <w:tc>
          <w:tcPr>
            <w:tcW w:w="465" w:type="pct"/>
            <w:vAlign w:val="center"/>
          </w:tcPr>
          <w:p w14:paraId="6741BECC" w14:textId="77777777" w:rsidR="00AF51B4" w:rsidRPr="007F76F3" w:rsidRDefault="00AF51B4" w:rsidP="00AE303F">
            <w:pPr>
              <w:jc w:val="right"/>
              <w:rPr>
                <w:rFonts w:cs="Arial"/>
                <w:color w:val="000000"/>
                <w:sz w:val="20"/>
                <w:szCs w:val="20"/>
              </w:rPr>
            </w:pPr>
            <w:r w:rsidRPr="007F76F3">
              <w:rPr>
                <w:rFonts w:cs="Arial"/>
                <w:color w:val="000000"/>
                <w:sz w:val="20"/>
                <w:szCs w:val="20"/>
              </w:rPr>
              <w:t>112,5</w:t>
            </w:r>
          </w:p>
        </w:tc>
      </w:tr>
      <w:tr w:rsidR="00AF51B4" w:rsidRPr="00C65CAA" w14:paraId="4622722F" w14:textId="77777777" w:rsidTr="00AF51B4">
        <w:tc>
          <w:tcPr>
            <w:tcW w:w="2032" w:type="pct"/>
            <w:vAlign w:val="center"/>
          </w:tcPr>
          <w:p w14:paraId="4A80C028" w14:textId="77777777" w:rsidR="00AF51B4" w:rsidRPr="007F76F3" w:rsidRDefault="00AF51B4" w:rsidP="00AE303F">
            <w:pPr>
              <w:rPr>
                <w:rFonts w:cs="Arial"/>
                <w:sz w:val="20"/>
                <w:szCs w:val="20"/>
              </w:rPr>
            </w:pPr>
            <w:r w:rsidRPr="007F76F3">
              <w:rPr>
                <w:rFonts w:cs="Arial"/>
                <w:sz w:val="20"/>
                <w:szCs w:val="20"/>
              </w:rPr>
              <w:t xml:space="preserve">Kancelária Ústavného súdu SR                 </w:t>
            </w:r>
          </w:p>
        </w:tc>
        <w:tc>
          <w:tcPr>
            <w:tcW w:w="575" w:type="pct"/>
            <w:vAlign w:val="center"/>
          </w:tcPr>
          <w:p w14:paraId="48588C3B" w14:textId="77777777" w:rsidR="00AF51B4" w:rsidRPr="007F76F3" w:rsidRDefault="00AF51B4" w:rsidP="00AE303F">
            <w:pPr>
              <w:jc w:val="right"/>
              <w:rPr>
                <w:rFonts w:cs="Arial"/>
                <w:sz w:val="20"/>
                <w:szCs w:val="20"/>
              </w:rPr>
            </w:pPr>
            <w:r w:rsidRPr="007F76F3">
              <w:rPr>
                <w:rFonts w:cs="Arial"/>
                <w:sz w:val="20"/>
                <w:szCs w:val="20"/>
              </w:rPr>
              <w:t>7 460</w:t>
            </w:r>
          </w:p>
        </w:tc>
        <w:tc>
          <w:tcPr>
            <w:tcW w:w="598" w:type="pct"/>
            <w:vAlign w:val="center"/>
          </w:tcPr>
          <w:p w14:paraId="08089B23" w14:textId="77777777" w:rsidR="00AF51B4" w:rsidRPr="007F76F3" w:rsidRDefault="00AF51B4" w:rsidP="00AE303F">
            <w:pPr>
              <w:jc w:val="right"/>
              <w:rPr>
                <w:rFonts w:cs="Arial"/>
                <w:sz w:val="20"/>
                <w:szCs w:val="20"/>
              </w:rPr>
            </w:pPr>
            <w:r w:rsidRPr="007F76F3">
              <w:rPr>
                <w:rFonts w:cs="Arial"/>
                <w:sz w:val="20"/>
                <w:szCs w:val="20"/>
              </w:rPr>
              <w:t>5 677</w:t>
            </w:r>
          </w:p>
        </w:tc>
        <w:tc>
          <w:tcPr>
            <w:tcW w:w="769" w:type="pct"/>
            <w:vAlign w:val="center"/>
          </w:tcPr>
          <w:p w14:paraId="4D34502D" w14:textId="77777777" w:rsidR="00AF51B4" w:rsidRPr="007F76F3" w:rsidRDefault="00AF51B4" w:rsidP="00AE303F">
            <w:pPr>
              <w:jc w:val="right"/>
              <w:rPr>
                <w:rFonts w:cs="Arial"/>
                <w:sz w:val="20"/>
                <w:szCs w:val="20"/>
              </w:rPr>
            </w:pPr>
            <w:r w:rsidRPr="007F76F3">
              <w:rPr>
                <w:rFonts w:cs="Arial"/>
                <w:sz w:val="20"/>
                <w:szCs w:val="20"/>
              </w:rPr>
              <w:t>6 120</w:t>
            </w:r>
          </w:p>
        </w:tc>
        <w:tc>
          <w:tcPr>
            <w:tcW w:w="561" w:type="pct"/>
            <w:vAlign w:val="center"/>
          </w:tcPr>
          <w:p w14:paraId="6AF4AC9B" w14:textId="77777777" w:rsidR="00AF51B4" w:rsidRPr="007F76F3" w:rsidRDefault="00AF51B4" w:rsidP="00AE303F">
            <w:pPr>
              <w:jc w:val="right"/>
              <w:rPr>
                <w:rFonts w:cs="Arial"/>
                <w:color w:val="000000"/>
                <w:sz w:val="20"/>
                <w:szCs w:val="20"/>
              </w:rPr>
            </w:pPr>
            <w:r w:rsidRPr="007F76F3">
              <w:rPr>
                <w:rFonts w:cs="Arial"/>
                <w:color w:val="000000"/>
                <w:sz w:val="20"/>
                <w:szCs w:val="20"/>
              </w:rPr>
              <w:t>443</w:t>
            </w:r>
          </w:p>
        </w:tc>
        <w:tc>
          <w:tcPr>
            <w:tcW w:w="465" w:type="pct"/>
            <w:vAlign w:val="center"/>
          </w:tcPr>
          <w:p w14:paraId="478EA37B" w14:textId="77777777" w:rsidR="00AF51B4" w:rsidRPr="007F76F3" w:rsidRDefault="00AF51B4" w:rsidP="00AE303F">
            <w:pPr>
              <w:jc w:val="right"/>
              <w:rPr>
                <w:rFonts w:cs="Arial"/>
                <w:color w:val="000000"/>
                <w:sz w:val="20"/>
                <w:szCs w:val="20"/>
              </w:rPr>
            </w:pPr>
            <w:r w:rsidRPr="007F76F3">
              <w:rPr>
                <w:rFonts w:cs="Arial"/>
                <w:color w:val="000000"/>
                <w:sz w:val="20"/>
                <w:szCs w:val="20"/>
              </w:rPr>
              <w:t>107,8</w:t>
            </w:r>
          </w:p>
        </w:tc>
      </w:tr>
      <w:tr w:rsidR="00AF51B4" w:rsidRPr="00C65CAA" w14:paraId="4ED7214F" w14:textId="77777777" w:rsidTr="00AF51B4">
        <w:tc>
          <w:tcPr>
            <w:tcW w:w="2032" w:type="pct"/>
            <w:vAlign w:val="center"/>
          </w:tcPr>
          <w:p w14:paraId="3283605F" w14:textId="77777777" w:rsidR="00AF51B4" w:rsidRPr="007F76F3" w:rsidRDefault="00AF51B4" w:rsidP="00AE303F">
            <w:pPr>
              <w:rPr>
                <w:rFonts w:cs="Arial"/>
                <w:sz w:val="20"/>
                <w:szCs w:val="20"/>
              </w:rPr>
            </w:pPr>
            <w:r w:rsidRPr="007F76F3">
              <w:rPr>
                <w:rFonts w:cs="Arial"/>
                <w:sz w:val="20"/>
                <w:szCs w:val="20"/>
              </w:rPr>
              <w:t xml:space="preserve">Protimonopolný úrad SR         </w:t>
            </w:r>
          </w:p>
        </w:tc>
        <w:tc>
          <w:tcPr>
            <w:tcW w:w="575" w:type="pct"/>
            <w:vAlign w:val="center"/>
          </w:tcPr>
          <w:p w14:paraId="7514FA8B" w14:textId="77777777" w:rsidR="00AF51B4" w:rsidRPr="007F76F3" w:rsidRDefault="00AF51B4" w:rsidP="00AE303F">
            <w:pPr>
              <w:jc w:val="right"/>
              <w:rPr>
                <w:rFonts w:cs="Arial"/>
                <w:sz w:val="20"/>
                <w:szCs w:val="20"/>
              </w:rPr>
            </w:pPr>
            <w:r w:rsidRPr="007F76F3">
              <w:rPr>
                <w:rFonts w:cs="Arial"/>
                <w:sz w:val="20"/>
                <w:szCs w:val="20"/>
              </w:rPr>
              <w:t>3 043</w:t>
            </w:r>
          </w:p>
        </w:tc>
        <w:tc>
          <w:tcPr>
            <w:tcW w:w="598" w:type="pct"/>
            <w:vAlign w:val="center"/>
          </w:tcPr>
          <w:p w14:paraId="40DCA520" w14:textId="77777777" w:rsidR="00AF51B4" w:rsidRPr="007F76F3" w:rsidRDefault="00AF51B4" w:rsidP="00AE303F">
            <w:pPr>
              <w:jc w:val="right"/>
              <w:rPr>
                <w:rFonts w:cs="Arial"/>
                <w:sz w:val="20"/>
                <w:szCs w:val="20"/>
              </w:rPr>
            </w:pPr>
            <w:r w:rsidRPr="007F76F3">
              <w:rPr>
                <w:rFonts w:cs="Arial"/>
                <w:sz w:val="20"/>
                <w:szCs w:val="20"/>
              </w:rPr>
              <w:t>2 877</w:t>
            </w:r>
          </w:p>
        </w:tc>
        <w:tc>
          <w:tcPr>
            <w:tcW w:w="769" w:type="pct"/>
            <w:vAlign w:val="center"/>
          </w:tcPr>
          <w:p w14:paraId="6BB79590" w14:textId="77777777" w:rsidR="00AF51B4" w:rsidRPr="007F76F3" w:rsidRDefault="00AF51B4" w:rsidP="00AE303F">
            <w:pPr>
              <w:jc w:val="right"/>
              <w:rPr>
                <w:rFonts w:cs="Arial"/>
                <w:sz w:val="20"/>
                <w:szCs w:val="20"/>
              </w:rPr>
            </w:pPr>
            <w:r w:rsidRPr="007F76F3">
              <w:rPr>
                <w:rFonts w:cs="Arial"/>
                <w:sz w:val="20"/>
                <w:szCs w:val="20"/>
              </w:rPr>
              <w:t>3 317</w:t>
            </w:r>
          </w:p>
        </w:tc>
        <w:tc>
          <w:tcPr>
            <w:tcW w:w="561" w:type="pct"/>
            <w:vAlign w:val="center"/>
          </w:tcPr>
          <w:p w14:paraId="7CF1A673" w14:textId="77777777" w:rsidR="00AF51B4" w:rsidRPr="007F76F3" w:rsidRDefault="00AF51B4" w:rsidP="00AE303F">
            <w:pPr>
              <w:jc w:val="right"/>
              <w:rPr>
                <w:rFonts w:cs="Arial"/>
                <w:color w:val="000000"/>
                <w:sz w:val="20"/>
                <w:szCs w:val="20"/>
              </w:rPr>
            </w:pPr>
            <w:r w:rsidRPr="007F76F3">
              <w:rPr>
                <w:rFonts w:cs="Arial"/>
                <w:color w:val="000000"/>
                <w:sz w:val="20"/>
                <w:szCs w:val="20"/>
              </w:rPr>
              <w:t>440</w:t>
            </w:r>
          </w:p>
        </w:tc>
        <w:tc>
          <w:tcPr>
            <w:tcW w:w="465" w:type="pct"/>
            <w:vAlign w:val="center"/>
          </w:tcPr>
          <w:p w14:paraId="5D8B94C5" w14:textId="77777777" w:rsidR="00AF51B4" w:rsidRPr="007F76F3" w:rsidRDefault="00AF51B4" w:rsidP="00AE303F">
            <w:pPr>
              <w:jc w:val="right"/>
              <w:rPr>
                <w:rFonts w:cs="Arial"/>
                <w:color w:val="000000"/>
                <w:sz w:val="20"/>
                <w:szCs w:val="20"/>
              </w:rPr>
            </w:pPr>
            <w:r w:rsidRPr="007F76F3">
              <w:rPr>
                <w:rFonts w:cs="Arial"/>
                <w:color w:val="000000"/>
                <w:sz w:val="20"/>
                <w:szCs w:val="20"/>
              </w:rPr>
              <w:t>115,3</w:t>
            </w:r>
          </w:p>
        </w:tc>
      </w:tr>
      <w:tr w:rsidR="00AF51B4" w:rsidRPr="00C65CAA" w14:paraId="5BCC4317" w14:textId="77777777" w:rsidTr="00AF51B4">
        <w:tc>
          <w:tcPr>
            <w:tcW w:w="2032" w:type="pct"/>
            <w:vAlign w:val="center"/>
          </w:tcPr>
          <w:p w14:paraId="2E25A213" w14:textId="77777777" w:rsidR="00AF51B4" w:rsidRPr="007F76F3" w:rsidRDefault="00AF51B4" w:rsidP="00AE303F">
            <w:pPr>
              <w:rPr>
                <w:rFonts w:cs="Arial"/>
                <w:sz w:val="20"/>
                <w:szCs w:val="20"/>
              </w:rPr>
            </w:pPr>
            <w:r w:rsidRPr="007F76F3">
              <w:rPr>
                <w:rFonts w:cs="Arial"/>
                <w:sz w:val="20"/>
                <w:szCs w:val="20"/>
              </w:rPr>
              <w:t xml:space="preserve">Úrad priemyselného vlastníctva SR      </w:t>
            </w:r>
          </w:p>
        </w:tc>
        <w:tc>
          <w:tcPr>
            <w:tcW w:w="575" w:type="pct"/>
            <w:vAlign w:val="center"/>
          </w:tcPr>
          <w:p w14:paraId="74C78C97" w14:textId="77777777" w:rsidR="00AF51B4" w:rsidRPr="007F76F3" w:rsidRDefault="00AF51B4" w:rsidP="00AE303F">
            <w:pPr>
              <w:jc w:val="right"/>
              <w:rPr>
                <w:rFonts w:cs="Arial"/>
                <w:sz w:val="20"/>
                <w:szCs w:val="20"/>
              </w:rPr>
            </w:pPr>
            <w:r w:rsidRPr="007F76F3">
              <w:rPr>
                <w:rFonts w:cs="Arial"/>
                <w:sz w:val="20"/>
                <w:szCs w:val="20"/>
              </w:rPr>
              <w:t>3 828</w:t>
            </w:r>
          </w:p>
        </w:tc>
        <w:tc>
          <w:tcPr>
            <w:tcW w:w="598" w:type="pct"/>
            <w:vAlign w:val="center"/>
          </w:tcPr>
          <w:p w14:paraId="266966F5" w14:textId="77777777" w:rsidR="00AF51B4" w:rsidRPr="007F76F3" w:rsidRDefault="00AF51B4" w:rsidP="00AE303F">
            <w:pPr>
              <w:jc w:val="right"/>
              <w:rPr>
                <w:rFonts w:cs="Arial"/>
                <w:sz w:val="20"/>
                <w:szCs w:val="20"/>
              </w:rPr>
            </w:pPr>
            <w:r w:rsidRPr="007F76F3">
              <w:rPr>
                <w:rFonts w:cs="Arial"/>
                <w:sz w:val="20"/>
                <w:szCs w:val="20"/>
              </w:rPr>
              <w:t>3 582</w:t>
            </w:r>
          </w:p>
        </w:tc>
        <w:tc>
          <w:tcPr>
            <w:tcW w:w="769" w:type="pct"/>
            <w:vAlign w:val="center"/>
          </w:tcPr>
          <w:p w14:paraId="349F8046" w14:textId="77777777" w:rsidR="00AF51B4" w:rsidRPr="007F76F3" w:rsidRDefault="00AF51B4" w:rsidP="00AE303F">
            <w:pPr>
              <w:jc w:val="right"/>
              <w:rPr>
                <w:rFonts w:cs="Arial"/>
                <w:sz w:val="20"/>
                <w:szCs w:val="20"/>
              </w:rPr>
            </w:pPr>
            <w:r w:rsidRPr="007F76F3">
              <w:rPr>
                <w:rFonts w:cs="Arial"/>
                <w:sz w:val="20"/>
                <w:szCs w:val="20"/>
              </w:rPr>
              <w:t>3 957</w:t>
            </w:r>
          </w:p>
        </w:tc>
        <w:tc>
          <w:tcPr>
            <w:tcW w:w="561" w:type="pct"/>
            <w:vAlign w:val="center"/>
          </w:tcPr>
          <w:p w14:paraId="6608CAE7" w14:textId="77777777" w:rsidR="00AF51B4" w:rsidRPr="007F76F3" w:rsidRDefault="00AF51B4" w:rsidP="00AE303F">
            <w:pPr>
              <w:jc w:val="right"/>
              <w:rPr>
                <w:rFonts w:cs="Arial"/>
                <w:color w:val="000000"/>
                <w:sz w:val="20"/>
                <w:szCs w:val="20"/>
              </w:rPr>
            </w:pPr>
            <w:r w:rsidRPr="007F76F3">
              <w:rPr>
                <w:rFonts w:cs="Arial"/>
                <w:color w:val="000000"/>
                <w:sz w:val="20"/>
                <w:szCs w:val="20"/>
              </w:rPr>
              <w:t>376</w:t>
            </w:r>
          </w:p>
        </w:tc>
        <w:tc>
          <w:tcPr>
            <w:tcW w:w="465" w:type="pct"/>
            <w:vAlign w:val="center"/>
          </w:tcPr>
          <w:p w14:paraId="7A5CF913" w14:textId="77777777" w:rsidR="00AF51B4" w:rsidRPr="007F76F3" w:rsidRDefault="00AF51B4" w:rsidP="00AE303F">
            <w:pPr>
              <w:jc w:val="right"/>
              <w:rPr>
                <w:rFonts w:cs="Arial"/>
                <w:color w:val="000000"/>
                <w:sz w:val="20"/>
                <w:szCs w:val="20"/>
              </w:rPr>
            </w:pPr>
            <w:r w:rsidRPr="007F76F3">
              <w:rPr>
                <w:rFonts w:cs="Arial"/>
                <w:color w:val="000000"/>
                <w:sz w:val="20"/>
                <w:szCs w:val="20"/>
              </w:rPr>
              <w:t>110,5</w:t>
            </w:r>
          </w:p>
        </w:tc>
      </w:tr>
      <w:tr w:rsidR="00AF51B4" w:rsidRPr="00C65CAA" w14:paraId="344C9EED" w14:textId="77777777" w:rsidTr="00AF51B4">
        <w:tc>
          <w:tcPr>
            <w:tcW w:w="2032" w:type="pct"/>
            <w:vAlign w:val="center"/>
          </w:tcPr>
          <w:p w14:paraId="4636A67E" w14:textId="77777777" w:rsidR="00AF51B4" w:rsidRPr="007F76F3" w:rsidRDefault="00AF51B4" w:rsidP="00AE303F">
            <w:pPr>
              <w:rPr>
                <w:rFonts w:cs="Arial"/>
                <w:sz w:val="20"/>
                <w:szCs w:val="20"/>
              </w:rPr>
            </w:pPr>
            <w:r w:rsidRPr="007F76F3">
              <w:rPr>
                <w:rFonts w:cs="Arial"/>
                <w:sz w:val="20"/>
                <w:szCs w:val="20"/>
              </w:rPr>
              <w:t>Úrad pre normalizáciu, metrológiu a skúšobníctvo SR</w:t>
            </w:r>
          </w:p>
        </w:tc>
        <w:tc>
          <w:tcPr>
            <w:tcW w:w="575" w:type="pct"/>
            <w:vAlign w:val="center"/>
          </w:tcPr>
          <w:p w14:paraId="399E0125" w14:textId="77777777" w:rsidR="00AF51B4" w:rsidRPr="007F76F3" w:rsidRDefault="00AF51B4" w:rsidP="00AE303F">
            <w:pPr>
              <w:jc w:val="right"/>
              <w:rPr>
                <w:rFonts w:cs="Arial"/>
                <w:sz w:val="20"/>
                <w:szCs w:val="20"/>
              </w:rPr>
            </w:pPr>
            <w:r w:rsidRPr="007F76F3">
              <w:rPr>
                <w:rFonts w:cs="Arial"/>
                <w:sz w:val="20"/>
                <w:szCs w:val="20"/>
              </w:rPr>
              <w:t>5 237</w:t>
            </w:r>
          </w:p>
        </w:tc>
        <w:tc>
          <w:tcPr>
            <w:tcW w:w="598" w:type="pct"/>
            <w:vAlign w:val="center"/>
          </w:tcPr>
          <w:p w14:paraId="7D9ECC51" w14:textId="77777777" w:rsidR="00AF51B4" w:rsidRPr="007F76F3" w:rsidRDefault="00AF51B4" w:rsidP="00AE303F">
            <w:pPr>
              <w:jc w:val="right"/>
              <w:rPr>
                <w:rFonts w:cs="Arial"/>
                <w:sz w:val="20"/>
                <w:szCs w:val="20"/>
              </w:rPr>
            </w:pPr>
            <w:r w:rsidRPr="007F76F3">
              <w:rPr>
                <w:rFonts w:cs="Arial"/>
                <w:sz w:val="20"/>
                <w:szCs w:val="20"/>
              </w:rPr>
              <w:t>6 160</w:t>
            </w:r>
          </w:p>
        </w:tc>
        <w:tc>
          <w:tcPr>
            <w:tcW w:w="769" w:type="pct"/>
            <w:vAlign w:val="center"/>
          </w:tcPr>
          <w:p w14:paraId="5011447F" w14:textId="77777777" w:rsidR="00AF51B4" w:rsidRPr="007F76F3" w:rsidRDefault="00AF51B4" w:rsidP="00AE303F">
            <w:pPr>
              <w:jc w:val="right"/>
              <w:rPr>
                <w:rFonts w:cs="Arial"/>
                <w:sz w:val="20"/>
                <w:szCs w:val="20"/>
              </w:rPr>
            </w:pPr>
            <w:r w:rsidRPr="007F76F3">
              <w:rPr>
                <w:rFonts w:cs="Arial"/>
                <w:sz w:val="20"/>
                <w:szCs w:val="20"/>
              </w:rPr>
              <w:t>6 511</w:t>
            </w:r>
          </w:p>
        </w:tc>
        <w:tc>
          <w:tcPr>
            <w:tcW w:w="561" w:type="pct"/>
            <w:vAlign w:val="center"/>
          </w:tcPr>
          <w:p w14:paraId="417DACC1" w14:textId="77777777" w:rsidR="00AF51B4" w:rsidRPr="007F76F3" w:rsidRDefault="00AF51B4" w:rsidP="00AE303F">
            <w:pPr>
              <w:jc w:val="right"/>
              <w:rPr>
                <w:rFonts w:cs="Arial"/>
                <w:color w:val="000000"/>
                <w:sz w:val="20"/>
                <w:szCs w:val="20"/>
              </w:rPr>
            </w:pPr>
            <w:r w:rsidRPr="007F76F3">
              <w:rPr>
                <w:rFonts w:cs="Arial"/>
                <w:color w:val="000000"/>
                <w:sz w:val="20"/>
                <w:szCs w:val="20"/>
              </w:rPr>
              <w:t>351</w:t>
            </w:r>
          </w:p>
        </w:tc>
        <w:tc>
          <w:tcPr>
            <w:tcW w:w="465" w:type="pct"/>
            <w:vAlign w:val="center"/>
          </w:tcPr>
          <w:p w14:paraId="0D59422E" w14:textId="77777777" w:rsidR="00AF51B4" w:rsidRPr="007F76F3" w:rsidRDefault="00AF51B4" w:rsidP="00AE303F">
            <w:pPr>
              <w:jc w:val="right"/>
              <w:rPr>
                <w:rFonts w:cs="Arial"/>
                <w:color w:val="000000"/>
                <w:sz w:val="20"/>
                <w:szCs w:val="20"/>
              </w:rPr>
            </w:pPr>
            <w:r w:rsidRPr="007F76F3">
              <w:rPr>
                <w:rFonts w:cs="Arial"/>
                <w:color w:val="000000"/>
                <w:sz w:val="20"/>
                <w:szCs w:val="20"/>
              </w:rPr>
              <w:t>105,7</w:t>
            </w:r>
          </w:p>
        </w:tc>
      </w:tr>
      <w:tr w:rsidR="00AF51B4" w:rsidRPr="00C65CAA" w14:paraId="6C5EA7A3" w14:textId="77777777" w:rsidTr="00AF51B4">
        <w:tc>
          <w:tcPr>
            <w:tcW w:w="2032" w:type="pct"/>
            <w:vAlign w:val="center"/>
          </w:tcPr>
          <w:p w14:paraId="7A79B71F" w14:textId="77777777" w:rsidR="00AF51B4" w:rsidRPr="007F76F3" w:rsidRDefault="00AF51B4" w:rsidP="00AE303F">
            <w:pPr>
              <w:rPr>
                <w:rFonts w:cs="Arial"/>
                <w:sz w:val="20"/>
                <w:szCs w:val="20"/>
              </w:rPr>
            </w:pPr>
            <w:r w:rsidRPr="007F76F3">
              <w:rPr>
                <w:rFonts w:cs="Arial"/>
                <w:sz w:val="20"/>
                <w:szCs w:val="20"/>
              </w:rPr>
              <w:t>Úrad pre reguláciu sieťových odvetví SR</w:t>
            </w:r>
          </w:p>
        </w:tc>
        <w:tc>
          <w:tcPr>
            <w:tcW w:w="575" w:type="pct"/>
            <w:vAlign w:val="center"/>
          </w:tcPr>
          <w:p w14:paraId="2A7315FA" w14:textId="77777777" w:rsidR="00AF51B4" w:rsidRPr="007F76F3" w:rsidRDefault="00AF51B4" w:rsidP="00AE303F">
            <w:pPr>
              <w:jc w:val="right"/>
              <w:rPr>
                <w:rFonts w:cs="Arial"/>
                <w:sz w:val="20"/>
                <w:szCs w:val="20"/>
              </w:rPr>
            </w:pPr>
            <w:r w:rsidRPr="007F76F3">
              <w:rPr>
                <w:rFonts w:cs="Arial"/>
                <w:sz w:val="20"/>
                <w:szCs w:val="20"/>
              </w:rPr>
              <w:t>4 646</w:t>
            </w:r>
          </w:p>
        </w:tc>
        <w:tc>
          <w:tcPr>
            <w:tcW w:w="598" w:type="pct"/>
            <w:vAlign w:val="center"/>
          </w:tcPr>
          <w:p w14:paraId="1C1ED916" w14:textId="77777777" w:rsidR="00AF51B4" w:rsidRPr="007F76F3" w:rsidRDefault="00AF51B4" w:rsidP="00AE303F">
            <w:pPr>
              <w:jc w:val="right"/>
              <w:rPr>
                <w:rFonts w:cs="Arial"/>
                <w:sz w:val="20"/>
                <w:szCs w:val="20"/>
              </w:rPr>
            </w:pPr>
            <w:r w:rsidRPr="007F76F3">
              <w:rPr>
                <w:rFonts w:cs="Arial"/>
                <w:sz w:val="20"/>
                <w:szCs w:val="20"/>
              </w:rPr>
              <w:t>4 472</w:t>
            </w:r>
          </w:p>
        </w:tc>
        <w:tc>
          <w:tcPr>
            <w:tcW w:w="769" w:type="pct"/>
            <w:vAlign w:val="center"/>
          </w:tcPr>
          <w:p w14:paraId="667ADC7C" w14:textId="77777777" w:rsidR="00AF51B4" w:rsidRPr="007F76F3" w:rsidRDefault="00AF51B4" w:rsidP="00AE303F">
            <w:pPr>
              <w:jc w:val="right"/>
              <w:rPr>
                <w:rFonts w:cs="Arial"/>
                <w:sz w:val="20"/>
                <w:szCs w:val="20"/>
              </w:rPr>
            </w:pPr>
            <w:r w:rsidRPr="007F76F3">
              <w:rPr>
                <w:rFonts w:cs="Arial"/>
                <w:sz w:val="20"/>
                <w:szCs w:val="20"/>
              </w:rPr>
              <w:t>4 650</w:t>
            </w:r>
          </w:p>
        </w:tc>
        <w:tc>
          <w:tcPr>
            <w:tcW w:w="561" w:type="pct"/>
            <w:vAlign w:val="center"/>
          </w:tcPr>
          <w:p w14:paraId="1269636E" w14:textId="77777777" w:rsidR="00AF51B4" w:rsidRPr="007F76F3" w:rsidRDefault="00AF51B4" w:rsidP="00AE303F">
            <w:pPr>
              <w:jc w:val="right"/>
              <w:rPr>
                <w:rFonts w:cs="Arial"/>
                <w:color w:val="000000"/>
                <w:sz w:val="20"/>
                <w:szCs w:val="20"/>
              </w:rPr>
            </w:pPr>
            <w:r w:rsidRPr="007F76F3">
              <w:rPr>
                <w:rFonts w:cs="Arial"/>
                <w:color w:val="000000"/>
                <w:sz w:val="20"/>
                <w:szCs w:val="20"/>
              </w:rPr>
              <w:t>178</w:t>
            </w:r>
          </w:p>
        </w:tc>
        <w:tc>
          <w:tcPr>
            <w:tcW w:w="465" w:type="pct"/>
            <w:vAlign w:val="center"/>
          </w:tcPr>
          <w:p w14:paraId="70183964" w14:textId="77777777" w:rsidR="00AF51B4" w:rsidRPr="007F76F3" w:rsidRDefault="00AF51B4" w:rsidP="00AE303F">
            <w:pPr>
              <w:jc w:val="right"/>
              <w:rPr>
                <w:rFonts w:cs="Arial"/>
                <w:color w:val="000000"/>
                <w:sz w:val="20"/>
                <w:szCs w:val="20"/>
              </w:rPr>
            </w:pPr>
            <w:r w:rsidRPr="007F76F3">
              <w:rPr>
                <w:rFonts w:cs="Arial"/>
                <w:color w:val="000000"/>
                <w:sz w:val="20"/>
                <w:szCs w:val="20"/>
              </w:rPr>
              <w:t>104,0</w:t>
            </w:r>
          </w:p>
        </w:tc>
      </w:tr>
      <w:tr w:rsidR="00AF51B4" w:rsidRPr="00C65CAA" w14:paraId="11E38EC7" w14:textId="77777777" w:rsidTr="00AF51B4">
        <w:tc>
          <w:tcPr>
            <w:tcW w:w="2032" w:type="pct"/>
            <w:vAlign w:val="center"/>
          </w:tcPr>
          <w:p w14:paraId="0652113A" w14:textId="77777777" w:rsidR="00AF51B4" w:rsidRPr="007F76F3" w:rsidRDefault="00AF51B4" w:rsidP="00AE303F">
            <w:pPr>
              <w:rPr>
                <w:rFonts w:cs="Arial"/>
                <w:sz w:val="20"/>
                <w:szCs w:val="20"/>
              </w:rPr>
            </w:pPr>
            <w:r w:rsidRPr="007F76F3">
              <w:rPr>
                <w:rFonts w:cs="Arial"/>
                <w:sz w:val="20"/>
                <w:szCs w:val="20"/>
              </w:rPr>
              <w:t xml:space="preserve">Kancelária prezidenta SR          </w:t>
            </w:r>
          </w:p>
        </w:tc>
        <w:tc>
          <w:tcPr>
            <w:tcW w:w="575" w:type="pct"/>
            <w:vAlign w:val="center"/>
          </w:tcPr>
          <w:p w14:paraId="156B9F09" w14:textId="77777777" w:rsidR="00AF51B4" w:rsidRPr="007F76F3" w:rsidRDefault="00AF51B4" w:rsidP="00AE303F">
            <w:pPr>
              <w:jc w:val="right"/>
              <w:rPr>
                <w:rFonts w:cs="Arial"/>
                <w:sz w:val="20"/>
                <w:szCs w:val="20"/>
              </w:rPr>
            </w:pPr>
            <w:r w:rsidRPr="007F76F3">
              <w:rPr>
                <w:rFonts w:cs="Arial"/>
                <w:sz w:val="20"/>
                <w:szCs w:val="20"/>
              </w:rPr>
              <w:t>5 573</w:t>
            </w:r>
          </w:p>
        </w:tc>
        <w:tc>
          <w:tcPr>
            <w:tcW w:w="598" w:type="pct"/>
            <w:vAlign w:val="center"/>
          </w:tcPr>
          <w:p w14:paraId="5CC0E240" w14:textId="77777777" w:rsidR="00AF51B4" w:rsidRPr="007F76F3" w:rsidRDefault="00AF51B4" w:rsidP="00AE303F">
            <w:pPr>
              <w:jc w:val="right"/>
              <w:rPr>
                <w:rFonts w:cs="Arial"/>
                <w:sz w:val="20"/>
                <w:szCs w:val="20"/>
              </w:rPr>
            </w:pPr>
            <w:r w:rsidRPr="007F76F3">
              <w:rPr>
                <w:rFonts w:cs="Arial"/>
                <w:sz w:val="20"/>
                <w:szCs w:val="20"/>
              </w:rPr>
              <w:t>4 874</w:t>
            </w:r>
          </w:p>
        </w:tc>
        <w:tc>
          <w:tcPr>
            <w:tcW w:w="769" w:type="pct"/>
            <w:vAlign w:val="center"/>
          </w:tcPr>
          <w:p w14:paraId="6EB4A41D" w14:textId="77777777" w:rsidR="00AF51B4" w:rsidRPr="007F76F3" w:rsidRDefault="00AF51B4" w:rsidP="00AE303F">
            <w:pPr>
              <w:jc w:val="right"/>
              <w:rPr>
                <w:rFonts w:cs="Arial"/>
                <w:sz w:val="20"/>
                <w:szCs w:val="20"/>
              </w:rPr>
            </w:pPr>
            <w:r w:rsidRPr="007F76F3">
              <w:rPr>
                <w:rFonts w:cs="Arial"/>
                <w:sz w:val="20"/>
                <w:szCs w:val="20"/>
              </w:rPr>
              <w:t>5 051</w:t>
            </w:r>
          </w:p>
        </w:tc>
        <w:tc>
          <w:tcPr>
            <w:tcW w:w="561" w:type="pct"/>
            <w:vAlign w:val="center"/>
          </w:tcPr>
          <w:p w14:paraId="2308D7D6" w14:textId="77777777" w:rsidR="00AF51B4" w:rsidRPr="007F76F3" w:rsidRDefault="00AF51B4" w:rsidP="00AE303F">
            <w:pPr>
              <w:jc w:val="right"/>
              <w:rPr>
                <w:rFonts w:cs="Arial"/>
                <w:color w:val="000000"/>
                <w:sz w:val="20"/>
                <w:szCs w:val="20"/>
              </w:rPr>
            </w:pPr>
            <w:r w:rsidRPr="007F76F3">
              <w:rPr>
                <w:rFonts w:cs="Arial"/>
                <w:color w:val="000000"/>
                <w:sz w:val="20"/>
                <w:szCs w:val="20"/>
              </w:rPr>
              <w:t>177</w:t>
            </w:r>
          </w:p>
        </w:tc>
        <w:tc>
          <w:tcPr>
            <w:tcW w:w="465" w:type="pct"/>
            <w:vAlign w:val="center"/>
          </w:tcPr>
          <w:p w14:paraId="254CE46A" w14:textId="77777777" w:rsidR="00AF51B4" w:rsidRPr="007F76F3" w:rsidRDefault="00AF51B4" w:rsidP="00AE303F">
            <w:pPr>
              <w:jc w:val="right"/>
              <w:rPr>
                <w:rFonts w:cs="Arial"/>
                <w:color w:val="000000"/>
                <w:sz w:val="20"/>
                <w:szCs w:val="20"/>
              </w:rPr>
            </w:pPr>
            <w:r w:rsidRPr="007F76F3">
              <w:rPr>
                <w:rFonts w:cs="Arial"/>
                <w:color w:val="000000"/>
                <w:sz w:val="20"/>
                <w:szCs w:val="20"/>
              </w:rPr>
              <w:t>103,6</w:t>
            </w:r>
          </w:p>
        </w:tc>
      </w:tr>
      <w:tr w:rsidR="00AF51B4" w:rsidRPr="00C65CAA" w14:paraId="505D4C52" w14:textId="77777777" w:rsidTr="00AF51B4">
        <w:tc>
          <w:tcPr>
            <w:tcW w:w="2032" w:type="pct"/>
            <w:vAlign w:val="center"/>
          </w:tcPr>
          <w:p w14:paraId="61E91AB8" w14:textId="77777777" w:rsidR="00AF51B4" w:rsidRPr="007F76F3" w:rsidRDefault="00AF51B4" w:rsidP="00AE303F">
            <w:pPr>
              <w:rPr>
                <w:rFonts w:cs="Arial"/>
                <w:sz w:val="20"/>
                <w:szCs w:val="20"/>
              </w:rPr>
            </w:pPr>
            <w:r w:rsidRPr="007F76F3">
              <w:rPr>
                <w:rFonts w:cs="Arial"/>
                <w:sz w:val="20"/>
                <w:szCs w:val="20"/>
              </w:rPr>
              <w:t>Kancelária Súdnej rady SR</w:t>
            </w:r>
          </w:p>
        </w:tc>
        <w:tc>
          <w:tcPr>
            <w:tcW w:w="575" w:type="pct"/>
            <w:vAlign w:val="center"/>
          </w:tcPr>
          <w:p w14:paraId="46B2E80C" w14:textId="77777777" w:rsidR="00AF51B4" w:rsidRPr="007F76F3" w:rsidRDefault="00AF51B4" w:rsidP="00AE303F">
            <w:pPr>
              <w:jc w:val="right"/>
              <w:rPr>
                <w:rFonts w:cs="Arial"/>
                <w:sz w:val="20"/>
                <w:szCs w:val="20"/>
              </w:rPr>
            </w:pPr>
            <w:r w:rsidRPr="007F76F3">
              <w:rPr>
                <w:rFonts w:cs="Arial"/>
                <w:sz w:val="20"/>
                <w:szCs w:val="20"/>
              </w:rPr>
              <w:t>993</w:t>
            </w:r>
          </w:p>
        </w:tc>
        <w:tc>
          <w:tcPr>
            <w:tcW w:w="598" w:type="pct"/>
            <w:vAlign w:val="center"/>
          </w:tcPr>
          <w:p w14:paraId="587D0114" w14:textId="77777777" w:rsidR="00AF51B4" w:rsidRPr="007F76F3" w:rsidRDefault="00AF51B4" w:rsidP="00AE303F">
            <w:pPr>
              <w:jc w:val="right"/>
              <w:rPr>
                <w:rFonts w:cs="Arial"/>
                <w:sz w:val="20"/>
                <w:szCs w:val="20"/>
              </w:rPr>
            </w:pPr>
            <w:r w:rsidRPr="007F76F3">
              <w:rPr>
                <w:rFonts w:cs="Arial"/>
                <w:sz w:val="20"/>
                <w:szCs w:val="20"/>
              </w:rPr>
              <w:t>959</w:t>
            </w:r>
          </w:p>
        </w:tc>
        <w:tc>
          <w:tcPr>
            <w:tcW w:w="769" w:type="pct"/>
            <w:vAlign w:val="center"/>
          </w:tcPr>
          <w:p w14:paraId="4E9F4B9C" w14:textId="77777777" w:rsidR="00AF51B4" w:rsidRPr="007F76F3" w:rsidRDefault="00AF51B4" w:rsidP="00AE303F">
            <w:pPr>
              <w:jc w:val="right"/>
              <w:rPr>
                <w:rFonts w:cs="Arial"/>
                <w:sz w:val="20"/>
                <w:szCs w:val="20"/>
              </w:rPr>
            </w:pPr>
            <w:r w:rsidRPr="007F76F3">
              <w:rPr>
                <w:rFonts w:cs="Arial"/>
                <w:sz w:val="20"/>
                <w:szCs w:val="20"/>
              </w:rPr>
              <w:t>1 079</w:t>
            </w:r>
          </w:p>
        </w:tc>
        <w:tc>
          <w:tcPr>
            <w:tcW w:w="561" w:type="pct"/>
            <w:vAlign w:val="center"/>
          </w:tcPr>
          <w:p w14:paraId="5024765D" w14:textId="77777777" w:rsidR="00AF51B4" w:rsidRPr="007F76F3" w:rsidRDefault="00AF51B4" w:rsidP="00AE303F">
            <w:pPr>
              <w:jc w:val="right"/>
              <w:rPr>
                <w:rFonts w:cs="Arial"/>
                <w:color w:val="000000"/>
                <w:sz w:val="20"/>
                <w:szCs w:val="20"/>
              </w:rPr>
            </w:pPr>
            <w:r w:rsidRPr="007F76F3">
              <w:rPr>
                <w:rFonts w:cs="Arial"/>
                <w:color w:val="000000"/>
                <w:sz w:val="20"/>
                <w:szCs w:val="20"/>
              </w:rPr>
              <w:t>120</w:t>
            </w:r>
          </w:p>
        </w:tc>
        <w:tc>
          <w:tcPr>
            <w:tcW w:w="465" w:type="pct"/>
            <w:vAlign w:val="center"/>
          </w:tcPr>
          <w:p w14:paraId="21DDADB2" w14:textId="77777777" w:rsidR="00AF51B4" w:rsidRPr="007F76F3" w:rsidRDefault="00AF51B4" w:rsidP="00AE303F">
            <w:pPr>
              <w:jc w:val="right"/>
              <w:rPr>
                <w:rFonts w:cs="Arial"/>
                <w:color w:val="000000"/>
                <w:sz w:val="20"/>
                <w:szCs w:val="20"/>
              </w:rPr>
            </w:pPr>
            <w:r w:rsidRPr="007F76F3">
              <w:rPr>
                <w:rFonts w:cs="Arial"/>
                <w:color w:val="000000"/>
                <w:sz w:val="20"/>
                <w:szCs w:val="20"/>
              </w:rPr>
              <w:t>112,5</w:t>
            </w:r>
          </w:p>
        </w:tc>
      </w:tr>
      <w:tr w:rsidR="00AF51B4" w:rsidRPr="00C65CAA" w14:paraId="1BEAA56B" w14:textId="77777777" w:rsidTr="00AF51B4">
        <w:tc>
          <w:tcPr>
            <w:tcW w:w="2032" w:type="pct"/>
            <w:vAlign w:val="center"/>
          </w:tcPr>
          <w:p w14:paraId="2645CAA5" w14:textId="77777777" w:rsidR="00AF51B4" w:rsidRPr="007F76F3" w:rsidRDefault="00AF51B4" w:rsidP="00AE303F">
            <w:pPr>
              <w:rPr>
                <w:rFonts w:cs="Arial"/>
                <w:sz w:val="20"/>
                <w:szCs w:val="20"/>
              </w:rPr>
            </w:pPr>
            <w:r w:rsidRPr="007F76F3">
              <w:rPr>
                <w:rFonts w:cs="Arial"/>
                <w:sz w:val="20"/>
                <w:szCs w:val="20"/>
              </w:rPr>
              <w:t xml:space="preserve">Úrad jadrového dozoru SR       </w:t>
            </w:r>
          </w:p>
        </w:tc>
        <w:tc>
          <w:tcPr>
            <w:tcW w:w="575" w:type="pct"/>
            <w:vAlign w:val="center"/>
          </w:tcPr>
          <w:p w14:paraId="5E7BE226" w14:textId="77777777" w:rsidR="00AF51B4" w:rsidRPr="007F76F3" w:rsidRDefault="00AF51B4" w:rsidP="00AE303F">
            <w:pPr>
              <w:jc w:val="right"/>
              <w:rPr>
                <w:rFonts w:cs="Arial"/>
                <w:sz w:val="20"/>
                <w:szCs w:val="20"/>
              </w:rPr>
            </w:pPr>
            <w:r w:rsidRPr="007F76F3">
              <w:rPr>
                <w:rFonts w:cs="Arial"/>
                <w:sz w:val="20"/>
                <w:szCs w:val="20"/>
              </w:rPr>
              <w:t>8 702</w:t>
            </w:r>
          </w:p>
        </w:tc>
        <w:tc>
          <w:tcPr>
            <w:tcW w:w="598" w:type="pct"/>
            <w:vAlign w:val="center"/>
          </w:tcPr>
          <w:p w14:paraId="519FAD36" w14:textId="77777777" w:rsidR="00AF51B4" w:rsidRPr="007F76F3" w:rsidRDefault="00AF51B4" w:rsidP="00AE303F">
            <w:pPr>
              <w:jc w:val="right"/>
              <w:rPr>
                <w:rFonts w:cs="Arial"/>
                <w:sz w:val="20"/>
                <w:szCs w:val="20"/>
              </w:rPr>
            </w:pPr>
            <w:r w:rsidRPr="007F76F3">
              <w:rPr>
                <w:rFonts w:cs="Arial"/>
                <w:sz w:val="20"/>
                <w:szCs w:val="20"/>
              </w:rPr>
              <w:t>9 560</w:t>
            </w:r>
          </w:p>
        </w:tc>
        <w:tc>
          <w:tcPr>
            <w:tcW w:w="769" w:type="pct"/>
            <w:vAlign w:val="center"/>
          </w:tcPr>
          <w:p w14:paraId="75C4CF8C" w14:textId="77777777" w:rsidR="00AF51B4" w:rsidRPr="007F76F3" w:rsidRDefault="00AF51B4" w:rsidP="00AE303F">
            <w:pPr>
              <w:jc w:val="right"/>
              <w:rPr>
                <w:rFonts w:cs="Arial"/>
                <w:sz w:val="20"/>
                <w:szCs w:val="20"/>
              </w:rPr>
            </w:pPr>
            <w:r w:rsidRPr="007F76F3">
              <w:rPr>
                <w:rFonts w:cs="Arial"/>
                <w:sz w:val="20"/>
                <w:szCs w:val="20"/>
              </w:rPr>
              <w:t>9 579</w:t>
            </w:r>
          </w:p>
        </w:tc>
        <w:tc>
          <w:tcPr>
            <w:tcW w:w="561" w:type="pct"/>
            <w:vAlign w:val="center"/>
          </w:tcPr>
          <w:p w14:paraId="1A5B3362" w14:textId="77777777" w:rsidR="00AF51B4" w:rsidRPr="007F76F3" w:rsidRDefault="00AF51B4" w:rsidP="00AE303F">
            <w:pPr>
              <w:jc w:val="right"/>
              <w:rPr>
                <w:rFonts w:cs="Arial"/>
                <w:color w:val="000000"/>
                <w:sz w:val="20"/>
                <w:szCs w:val="20"/>
              </w:rPr>
            </w:pPr>
            <w:r w:rsidRPr="007F76F3">
              <w:rPr>
                <w:rFonts w:cs="Arial"/>
                <w:color w:val="000000"/>
                <w:sz w:val="20"/>
                <w:szCs w:val="20"/>
              </w:rPr>
              <w:t>19</w:t>
            </w:r>
          </w:p>
        </w:tc>
        <w:tc>
          <w:tcPr>
            <w:tcW w:w="465" w:type="pct"/>
            <w:vAlign w:val="center"/>
          </w:tcPr>
          <w:p w14:paraId="37CF0474" w14:textId="77777777" w:rsidR="00AF51B4" w:rsidRPr="007F76F3" w:rsidRDefault="00AF51B4" w:rsidP="00AE303F">
            <w:pPr>
              <w:jc w:val="right"/>
              <w:rPr>
                <w:rFonts w:cs="Arial"/>
                <w:color w:val="000000"/>
                <w:sz w:val="20"/>
                <w:szCs w:val="20"/>
              </w:rPr>
            </w:pPr>
            <w:r w:rsidRPr="007F76F3">
              <w:rPr>
                <w:rFonts w:cs="Arial"/>
                <w:color w:val="000000"/>
                <w:sz w:val="20"/>
                <w:szCs w:val="20"/>
              </w:rPr>
              <w:t>100,2</w:t>
            </w:r>
          </w:p>
        </w:tc>
      </w:tr>
      <w:tr w:rsidR="00AF51B4" w:rsidRPr="00C65CAA" w14:paraId="6CA9240A" w14:textId="77777777" w:rsidTr="00AF51B4">
        <w:tc>
          <w:tcPr>
            <w:tcW w:w="2032" w:type="pct"/>
            <w:vAlign w:val="center"/>
          </w:tcPr>
          <w:p w14:paraId="13D8B418" w14:textId="77777777" w:rsidR="00AF51B4" w:rsidRPr="007F76F3" w:rsidRDefault="00AF51B4" w:rsidP="00AE303F">
            <w:pPr>
              <w:rPr>
                <w:rFonts w:cs="Arial"/>
                <w:sz w:val="20"/>
                <w:szCs w:val="20"/>
              </w:rPr>
            </w:pPr>
            <w:r w:rsidRPr="007F76F3">
              <w:rPr>
                <w:rFonts w:cs="Arial"/>
                <w:sz w:val="20"/>
                <w:szCs w:val="20"/>
              </w:rPr>
              <w:t>Správa štátnych hmotných rezerv SR</w:t>
            </w:r>
          </w:p>
        </w:tc>
        <w:tc>
          <w:tcPr>
            <w:tcW w:w="575" w:type="pct"/>
            <w:vAlign w:val="center"/>
          </w:tcPr>
          <w:p w14:paraId="7B81B55C" w14:textId="77777777" w:rsidR="00AF51B4" w:rsidRPr="007F76F3" w:rsidRDefault="00AF51B4" w:rsidP="00AE303F">
            <w:pPr>
              <w:jc w:val="right"/>
              <w:rPr>
                <w:rFonts w:cs="Arial"/>
                <w:sz w:val="20"/>
                <w:szCs w:val="20"/>
              </w:rPr>
            </w:pPr>
            <w:r w:rsidRPr="007F76F3">
              <w:rPr>
                <w:rFonts w:cs="Arial"/>
                <w:sz w:val="20"/>
                <w:szCs w:val="20"/>
              </w:rPr>
              <w:t>13 261</w:t>
            </w:r>
          </w:p>
        </w:tc>
        <w:tc>
          <w:tcPr>
            <w:tcW w:w="598" w:type="pct"/>
            <w:vAlign w:val="center"/>
          </w:tcPr>
          <w:p w14:paraId="3A1796EA" w14:textId="77777777" w:rsidR="00AF51B4" w:rsidRPr="007F76F3" w:rsidRDefault="00AF51B4" w:rsidP="00AE303F">
            <w:pPr>
              <w:jc w:val="right"/>
              <w:rPr>
                <w:rFonts w:cs="Arial"/>
                <w:sz w:val="20"/>
                <w:szCs w:val="20"/>
              </w:rPr>
            </w:pPr>
            <w:r w:rsidRPr="007F76F3">
              <w:rPr>
                <w:rFonts w:cs="Arial"/>
                <w:sz w:val="20"/>
                <w:szCs w:val="20"/>
              </w:rPr>
              <w:t>9 957</w:t>
            </w:r>
          </w:p>
        </w:tc>
        <w:tc>
          <w:tcPr>
            <w:tcW w:w="769" w:type="pct"/>
            <w:vAlign w:val="center"/>
          </w:tcPr>
          <w:p w14:paraId="360558AA" w14:textId="77777777" w:rsidR="00AF51B4" w:rsidRPr="007F76F3" w:rsidRDefault="00AF51B4" w:rsidP="00AE303F">
            <w:pPr>
              <w:jc w:val="right"/>
              <w:rPr>
                <w:rFonts w:cs="Arial"/>
                <w:sz w:val="20"/>
                <w:szCs w:val="20"/>
              </w:rPr>
            </w:pPr>
            <w:r w:rsidRPr="007F76F3">
              <w:rPr>
                <w:rFonts w:cs="Arial"/>
                <w:sz w:val="20"/>
                <w:szCs w:val="20"/>
              </w:rPr>
              <w:t>9 801</w:t>
            </w:r>
          </w:p>
        </w:tc>
        <w:tc>
          <w:tcPr>
            <w:tcW w:w="561" w:type="pct"/>
            <w:vAlign w:val="center"/>
          </w:tcPr>
          <w:p w14:paraId="06273A71" w14:textId="77777777" w:rsidR="00AF51B4" w:rsidRPr="007F76F3" w:rsidRDefault="00AF51B4" w:rsidP="00AE303F">
            <w:pPr>
              <w:jc w:val="right"/>
              <w:rPr>
                <w:rFonts w:cs="Arial"/>
                <w:color w:val="000000"/>
                <w:sz w:val="20"/>
                <w:szCs w:val="20"/>
              </w:rPr>
            </w:pPr>
            <w:r w:rsidRPr="007F76F3">
              <w:rPr>
                <w:rFonts w:cs="Arial"/>
                <w:color w:val="000000"/>
                <w:sz w:val="20"/>
                <w:szCs w:val="20"/>
              </w:rPr>
              <w:t>-156</w:t>
            </w:r>
          </w:p>
        </w:tc>
        <w:tc>
          <w:tcPr>
            <w:tcW w:w="465" w:type="pct"/>
            <w:vAlign w:val="center"/>
          </w:tcPr>
          <w:p w14:paraId="29F9BBDF" w14:textId="77777777" w:rsidR="00AF51B4" w:rsidRPr="007F76F3" w:rsidRDefault="00AF51B4" w:rsidP="00AE303F">
            <w:pPr>
              <w:jc w:val="right"/>
              <w:rPr>
                <w:rFonts w:cs="Arial"/>
                <w:color w:val="000000"/>
                <w:sz w:val="20"/>
                <w:szCs w:val="20"/>
              </w:rPr>
            </w:pPr>
            <w:r w:rsidRPr="007F76F3">
              <w:rPr>
                <w:rFonts w:cs="Arial"/>
                <w:color w:val="000000"/>
                <w:sz w:val="20"/>
                <w:szCs w:val="20"/>
              </w:rPr>
              <w:t>98,4</w:t>
            </w:r>
          </w:p>
        </w:tc>
      </w:tr>
      <w:tr w:rsidR="00AF51B4" w:rsidRPr="00C65CAA" w14:paraId="3C4C706C" w14:textId="77777777" w:rsidTr="00AF51B4">
        <w:tc>
          <w:tcPr>
            <w:tcW w:w="2032" w:type="pct"/>
            <w:vAlign w:val="center"/>
          </w:tcPr>
          <w:p w14:paraId="2FD87F28" w14:textId="77777777" w:rsidR="00AF51B4" w:rsidRPr="007F76F3" w:rsidRDefault="00AF51B4" w:rsidP="00AE303F">
            <w:pPr>
              <w:rPr>
                <w:rFonts w:cs="Arial"/>
                <w:sz w:val="20"/>
                <w:szCs w:val="20"/>
              </w:rPr>
            </w:pPr>
            <w:r w:rsidRPr="007F76F3">
              <w:rPr>
                <w:rFonts w:cs="Arial"/>
                <w:sz w:val="20"/>
                <w:szCs w:val="20"/>
              </w:rPr>
              <w:t>Úrad geodézie, kartografie a katastra SR</w:t>
            </w:r>
          </w:p>
        </w:tc>
        <w:tc>
          <w:tcPr>
            <w:tcW w:w="575" w:type="pct"/>
            <w:vAlign w:val="center"/>
          </w:tcPr>
          <w:p w14:paraId="1F92EE2F" w14:textId="77777777" w:rsidR="00AF51B4" w:rsidRPr="007F76F3" w:rsidRDefault="00AF51B4" w:rsidP="00AE303F">
            <w:pPr>
              <w:jc w:val="right"/>
              <w:rPr>
                <w:rFonts w:cs="Arial"/>
                <w:sz w:val="20"/>
                <w:szCs w:val="20"/>
              </w:rPr>
            </w:pPr>
            <w:r w:rsidRPr="007F76F3">
              <w:rPr>
                <w:rFonts w:cs="Arial"/>
                <w:sz w:val="20"/>
                <w:szCs w:val="20"/>
              </w:rPr>
              <w:t>18 868</w:t>
            </w:r>
          </w:p>
        </w:tc>
        <w:tc>
          <w:tcPr>
            <w:tcW w:w="598" w:type="pct"/>
            <w:vAlign w:val="center"/>
          </w:tcPr>
          <w:p w14:paraId="62C853F1" w14:textId="77777777" w:rsidR="00AF51B4" w:rsidRPr="007F76F3" w:rsidRDefault="00AF51B4" w:rsidP="00AE303F">
            <w:pPr>
              <w:jc w:val="right"/>
              <w:rPr>
                <w:rFonts w:cs="Arial"/>
                <w:sz w:val="20"/>
                <w:szCs w:val="20"/>
              </w:rPr>
            </w:pPr>
            <w:r w:rsidRPr="007F76F3">
              <w:rPr>
                <w:rFonts w:cs="Arial"/>
                <w:sz w:val="20"/>
                <w:szCs w:val="20"/>
              </w:rPr>
              <w:t>22 282</w:t>
            </w:r>
          </w:p>
        </w:tc>
        <w:tc>
          <w:tcPr>
            <w:tcW w:w="769" w:type="pct"/>
            <w:vAlign w:val="center"/>
          </w:tcPr>
          <w:p w14:paraId="3A4940B5" w14:textId="77777777" w:rsidR="00AF51B4" w:rsidRPr="007F76F3" w:rsidRDefault="00AF51B4" w:rsidP="00AE303F">
            <w:pPr>
              <w:jc w:val="right"/>
              <w:rPr>
                <w:rFonts w:cs="Arial"/>
                <w:sz w:val="20"/>
                <w:szCs w:val="20"/>
              </w:rPr>
            </w:pPr>
            <w:r w:rsidRPr="007F76F3">
              <w:rPr>
                <w:rFonts w:cs="Arial"/>
                <w:sz w:val="20"/>
                <w:szCs w:val="20"/>
              </w:rPr>
              <w:t>21 612</w:t>
            </w:r>
          </w:p>
        </w:tc>
        <w:tc>
          <w:tcPr>
            <w:tcW w:w="561" w:type="pct"/>
            <w:vAlign w:val="center"/>
          </w:tcPr>
          <w:p w14:paraId="274438C5" w14:textId="77777777" w:rsidR="00AF51B4" w:rsidRPr="007F76F3" w:rsidRDefault="00AF51B4" w:rsidP="00AE303F">
            <w:pPr>
              <w:jc w:val="right"/>
              <w:rPr>
                <w:rFonts w:cs="Arial"/>
                <w:color w:val="000000"/>
                <w:sz w:val="20"/>
                <w:szCs w:val="20"/>
              </w:rPr>
            </w:pPr>
            <w:r w:rsidRPr="007F76F3">
              <w:rPr>
                <w:rFonts w:cs="Arial"/>
                <w:color w:val="000000"/>
                <w:sz w:val="20"/>
                <w:szCs w:val="20"/>
              </w:rPr>
              <w:t>-670</w:t>
            </w:r>
          </w:p>
        </w:tc>
        <w:tc>
          <w:tcPr>
            <w:tcW w:w="465" w:type="pct"/>
            <w:vAlign w:val="center"/>
          </w:tcPr>
          <w:p w14:paraId="7F42AF4F" w14:textId="77777777" w:rsidR="00AF51B4" w:rsidRPr="007F76F3" w:rsidRDefault="00AF51B4" w:rsidP="00AE303F">
            <w:pPr>
              <w:jc w:val="right"/>
              <w:rPr>
                <w:rFonts w:cs="Arial"/>
                <w:color w:val="000000"/>
                <w:sz w:val="20"/>
                <w:szCs w:val="20"/>
              </w:rPr>
            </w:pPr>
            <w:r w:rsidRPr="007F76F3">
              <w:rPr>
                <w:rFonts w:cs="Arial"/>
                <w:color w:val="000000"/>
                <w:sz w:val="20"/>
                <w:szCs w:val="20"/>
              </w:rPr>
              <w:t>97,0</w:t>
            </w:r>
          </w:p>
        </w:tc>
      </w:tr>
      <w:tr w:rsidR="00AF51B4" w:rsidRPr="00C65CAA" w14:paraId="4BE06AF9" w14:textId="77777777" w:rsidTr="00AF51B4">
        <w:tc>
          <w:tcPr>
            <w:tcW w:w="2032" w:type="pct"/>
            <w:vAlign w:val="center"/>
          </w:tcPr>
          <w:p w14:paraId="5B81A97D" w14:textId="77777777" w:rsidR="00AF51B4" w:rsidRPr="007F76F3" w:rsidRDefault="00AF51B4" w:rsidP="00AE303F">
            <w:pPr>
              <w:rPr>
                <w:rFonts w:cs="Arial"/>
                <w:sz w:val="20"/>
                <w:szCs w:val="20"/>
              </w:rPr>
            </w:pPr>
            <w:r w:rsidRPr="007F76F3">
              <w:rPr>
                <w:rFonts w:cs="Arial"/>
                <w:sz w:val="20"/>
                <w:szCs w:val="20"/>
              </w:rPr>
              <w:t>Ministerstvo zahraničných vecí a európskych záležitostí SR</w:t>
            </w:r>
          </w:p>
        </w:tc>
        <w:tc>
          <w:tcPr>
            <w:tcW w:w="575" w:type="pct"/>
            <w:vAlign w:val="center"/>
          </w:tcPr>
          <w:p w14:paraId="184FFA7A" w14:textId="77777777" w:rsidR="00AF51B4" w:rsidRPr="007F76F3" w:rsidRDefault="00AF51B4" w:rsidP="00AE303F">
            <w:pPr>
              <w:jc w:val="right"/>
              <w:rPr>
                <w:rFonts w:cs="Arial"/>
                <w:sz w:val="20"/>
                <w:szCs w:val="20"/>
              </w:rPr>
            </w:pPr>
            <w:r w:rsidRPr="007F76F3">
              <w:rPr>
                <w:rFonts w:cs="Arial"/>
                <w:sz w:val="20"/>
                <w:szCs w:val="20"/>
              </w:rPr>
              <w:t>165 322</w:t>
            </w:r>
          </w:p>
        </w:tc>
        <w:tc>
          <w:tcPr>
            <w:tcW w:w="598" w:type="pct"/>
            <w:vAlign w:val="center"/>
          </w:tcPr>
          <w:p w14:paraId="4F48DA89" w14:textId="77777777" w:rsidR="00AF51B4" w:rsidRPr="007F76F3" w:rsidRDefault="00AF51B4" w:rsidP="00AE303F">
            <w:pPr>
              <w:jc w:val="right"/>
              <w:rPr>
                <w:rFonts w:cs="Arial"/>
                <w:sz w:val="20"/>
                <w:szCs w:val="20"/>
              </w:rPr>
            </w:pPr>
            <w:r w:rsidRPr="007F76F3">
              <w:rPr>
                <w:rFonts w:cs="Arial"/>
                <w:sz w:val="20"/>
                <w:szCs w:val="20"/>
              </w:rPr>
              <w:t>136 439</w:t>
            </w:r>
          </w:p>
        </w:tc>
        <w:tc>
          <w:tcPr>
            <w:tcW w:w="769" w:type="pct"/>
            <w:vAlign w:val="center"/>
          </w:tcPr>
          <w:p w14:paraId="38F486CC" w14:textId="77777777" w:rsidR="00AF51B4" w:rsidRPr="007F76F3" w:rsidRDefault="00AF51B4" w:rsidP="00AE303F">
            <w:pPr>
              <w:jc w:val="right"/>
              <w:rPr>
                <w:rFonts w:cs="Arial"/>
                <w:sz w:val="20"/>
                <w:szCs w:val="20"/>
              </w:rPr>
            </w:pPr>
            <w:r w:rsidRPr="007F76F3">
              <w:rPr>
                <w:rFonts w:cs="Arial"/>
                <w:sz w:val="20"/>
                <w:szCs w:val="20"/>
              </w:rPr>
              <w:t>133 419</w:t>
            </w:r>
          </w:p>
        </w:tc>
        <w:tc>
          <w:tcPr>
            <w:tcW w:w="561" w:type="pct"/>
            <w:vAlign w:val="center"/>
          </w:tcPr>
          <w:p w14:paraId="17E40F76" w14:textId="77777777" w:rsidR="00AF51B4" w:rsidRPr="007F76F3" w:rsidRDefault="00AF51B4" w:rsidP="00AE303F">
            <w:pPr>
              <w:jc w:val="right"/>
              <w:rPr>
                <w:rFonts w:cs="Arial"/>
                <w:color w:val="000000"/>
                <w:sz w:val="20"/>
                <w:szCs w:val="20"/>
              </w:rPr>
            </w:pPr>
            <w:r w:rsidRPr="007F76F3">
              <w:rPr>
                <w:rFonts w:cs="Arial"/>
                <w:color w:val="000000"/>
                <w:sz w:val="20"/>
                <w:szCs w:val="20"/>
              </w:rPr>
              <w:t>-3 019</w:t>
            </w:r>
          </w:p>
        </w:tc>
        <w:tc>
          <w:tcPr>
            <w:tcW w:w="465" w:type="pct"/>
            <w:vAlign w:val="center"/>
          </w:tcPr>
          <w:p w14:paraId="2331E30F" w14:textId="77777777" w:rsidR="00AF51B4" w:rsidRPr="007F76F3" w:rsidRDefault="00AF51B4" w:rsidP="00AE303F">
            <w:pPr>
              <w:jc w:val="right"/>
              <w:rPr>
                <w:rFonts w:cs="Arial"/>
                <w:color w:val="000000"/>
                <w:sz w:val="20"/>
                <w:szCs w:val="20"/>
              </w:rPr>
            </w:pPr>
            <w:r w:rsidRPr="007F76F3">
              <w:rPr>
                <w:rFonts w:cs="Arial"/>
                <w:color w:val="000000"/>
                <w:sz w:val="20"/>
                <w:szCs w:val="20"/>
              </w:rPr>
              <w:t>97,8</w:t>
            </w:r>
          </w:p>
        </w:tc>
      </w:tr>
      <w:tr w:rsidR="00AF51B4" w:rsidRPr="00C65CAA" w14:paraId="61054D23" w14:textId="77777777" w:rsidTr="00AF51B4">
        <w:tc>
          <w:tcPr>
            <w:tcW w:w="2032" w:type="pct"/>
            <w:vAlign w:val="center"/>
          </w:tcPr>
          <w:p w14:paraId="7B74B8F5" w14:textId="77777777" w:rsidR="00AF51B4" w:rsidRPr="007F76F3" w:rsidRDefault="00AF51B4" w:rsidP="00AE303F">
            <w:pPr>
              <w:rPr>
                <w:rFonts w:cs="Arial"/>
                <w:sz w:val="20"/>
                <w:szCs w:val="20"/>
              </w:rPr>
            </w:pPr>
            <w:r w:rsidRPr="007F76F3">
              <w:rPr>
                <w:rFonts w:cs="Arial"/>
                <w:sz w:val="20"/>
                <w:szCs w:val="20"/>
              </w:rPr>
              <w:t>Kancelária Najvyššieho súdu SR</w:t>
            </w:r>
          </w:p>
        </w:tc>
        <w:tc>
          <w:tcPr>
            <w:tcW w:w="575" w:type="pct"/>
            <w:vAlign w:val="center"/>
          </w:tcPr>
          <w:p w14:paraId="47E87B6D" w14:textId="77777777" w:rsidR="00AF51B4" w:rsidRPr="007F76F3" w:rsidRDefault="00AF51B4" w:rsidP="00AE303F">
            <w:pPr>
              <w:jc w:val="right"/>
              <w:rPr>
                <w:rFonts w:cs="Arial"/>
                <w:sz w:val="20"/>
                <w:szCs w:val="20"/>
              </w:rPr>
            </w:pPr>
            <w:r w:rsidRPr="007F76F3">
              <w:rPr>
                <w:rFonts w:cs="Arial"/>
                <w:sz w:val="20"/>
                <w:szCs w:val="20"/>
              </w:rPr>
              <w:t>13 646</w:t>
            </w:r>
          </w:p>
        </w:tc>
        <w:tc>
          <w:tcPr>
            <w:tcW w:w="598" w:type="pct"/>
            <w:vAlign w:val="center"/>
          </w:tcPr>
          <w:p w14:paraId="3CD3D825" w14:textId="77777777" w:rsidR="00AF51B4" w:rsidRPr="007F76F3" w:rsidRDefault="00AF51B4" w:rsidP="00AE303F">
            <w:pPr>
              <w:jc w:val="right"/>
              <w:rPr>
                <w:rFonts w:cs="Arial"/>
                <w:sz w:val="20"/>
                <w:szCs w:val="20"/>
              </w:rPr>
            </w:pPr>
            <w:r w:rsidRPr="007F76F3">
              <w:rPr>
                <w:rFonts w:cs="Arial"/>
                <w:sz w:val="20"/>
                <w:szCs w:val="20"/>
              </w:rPr>
              <w:t>19 023</w:t>
            </w:r>
          </w:p>
        </w:tc>
        <w:tc>
          <w:tcPr>
            <w:tcW w:w="769" w:type="pct"/>
            <w:vAlign w:val="center"/>
          </w:tcPr>
          <w:p w14:paraId="2617CB3A" w14:textId="77777777" w:rsidR="00AF51B4" w:rsidRPr="007F76F3" w:rsidRDefault="00AF51B4" w:rsidP="00AE303F">
            <w:pPr>
              <w:jc w:val="right"/>
              <w:rPr>
                <w:rFonts w:cs="Arial"/>
                <w:sz w:val="20"/>
                <w:szCs w:val="20"/>
              </w:rPr>
            </w:pPr>
            <w:r w:rsidRPr="007F76F3">
              <w:rPr>
                <w:rFonts w:cs="Arial"/>
                <w:sz w:val="20"/>
                <w:szCs w:val="20"/>
              </w:rPr>
              <w:t>16 002</w:t>
            </w:r>
          </w:p>
        </w:tc>
        <w:tc>
          <w:tcPr>
            <w:tcW w:w="561" w:type="pct"/>
            <w:vAlign w:val="center"/>
          </w:tcPr>
          <w:p w14:paraId="79DC23FE" w14:textId="77777777" w:rsidR="00AF51B4" w:rsidRPr="007F76F3" w:rsidRDefault="00AF51B4" w:rsidP="00AE303F">
            <w:pPr>
              <w:jc w:val="right"/>
              <w:rPr>
                <w:rFonts w:cs="Arial"/>
                <w:color w:val="000000"/>
                <w:sz w:val="20"/>
                <w:szCs w:val="20"/>
              </w:rPr>
            </w:pPr>
            <w:r w:rsidRPr="007F76F3">
              <w:rPr>
                <w:rFonts w:cs="Arial"/>
                <w:color w:val="000000"/>
                <w:sz w:val="20"/>
                <w:szCs w:val="20"/>
              </w:rPr>
              <w:t>-3 021</w:t>
            </w:r>
          </w:p>
        </w:tc>
        <w:tc>
          <w:tcPr>
            <w:tcW w:w="465" w:type="pct"/>
            <w:vAlign w:val="center"/>
          </w:tcPr>
          <w:p w14:paraId="0D5DC2C2" w14:textId="77777777" w:rsidR="00AF51B4" w:rsidRPr="007F76F3" w:rsidRDefault="00AF51B4" w:rsidP="00AE303F">
            <w:pPr>
              <w:jc w:val="right"/>
              <w:rPr>
                <w:rFonts w:cs="Arial"/>
                <w:color w:val="000000"/>
                <w:sz w:val="20"/>
                <w:szCs w:val="20"/>
              </w:rPr>
            </w:pPr>
            <w:r w:rsidRPr="007F76F3">
              <w:rPr>
                <w:rFonts w:cs="Arial"/>
                <w:color w:val="000000"/>
                <w:sz w:val="20"/>
                <w:szCs w:val="20"/>
              </w:rPr>
              <w:t>84,1</w:t>
            </w:r>
          </w:p>
        </w:tc>
      </w:tr>
      <w:tr w:rsidR="00AF51B4" w:rsidRPr="00C65CAA" w14:paraId="16E19AE4" w14:textId="77777777" w:rsidTr="00AF51B4">
        <w:tc>
          <w:tcPr>
            <w:tcW w:w="2032" w:type="pct"/>
            <w:vAlign w:val="center"/>
          </w:tcPr>
          <w:p w14:paraId="236D2E8E" w14:textId="77777777" w:rsidR="00AF51B4" w:rsidRPr="007F76F3" w:rsidRDefault="00AF51B4" w:rsidP="00AE303F">
            <w:pPr>
              <w:rPr>
                <w:rFonts w:cs="Arial"/>
                <w:sz w:val="20"/>
                <w:szCs w:val="20"/>
              </w:rPr>
            </w:pPr>
            <w:r w:rsidRPr="007F76F3">
              <w:rPr>
                <w:rFonts w:cs="Arial"/>
                <w:sz w:val="20"/>
                <w:szCs w:val="20"/>
              </w:rPr>
              <w:t xml:space="preserve">Úrad vlády SR                  </w:t>
            </w:r>
          </w:p>
        </w:tc>
        <w:tc>
          <w:tcPr>
            <w:tcW w:w="575" w:type="pct"/>
            <w:vAlign w:val="center"/>
          </w:tcPr>
          <w:p w14:paraId="2E9FB436" w14:textId="77777777" w:rsidR="00AF51B4" w:rsidRPr="007F76F3" w:rsidRDefault="00AF51B4" w:rsidP="00AE303F">
            <w:pPr>
              <w:jc w:val="right"/>
              <w:rPr>
                <w:rFonts w:cs="Arial"/>
                <w:sz w:val="20"/>
                <w:szCs w:val="20"/>
              </w:rPr>
            </w:pPr>
            <w:r w:rsidRPr="007F76F3">
              <w:rPr>
                <w:rFonts w:cs="Arial"/>
                <w:sz w:val="20"/>
                <w:szCs w:val="20"/>
              </w:rPr>
              <w:t>78 743</w:t>
            </w:r>
          </w:p>
        </w:tc>
        <w:tc>
          <w:tcPr>
            <w:tcW w:w="598" w:type="pct"/>
            <w:vAlign w:val="center"/>
          </w:tcPr>
          <w:p w14:paraId="3FD13F0E" w14:textId="77777777" w:rsidR="00AF51B4" w:rsidRPr="007F76F3" w:rsidRDefault="00AF51B4" w:rsidP="00AE303F">
            <w:pPr>
              <w:jc w:val="right"/>
              <w:rPr>
                <w:rFonts w:cs="Arial"/>
                <w:sz w:val="20"/>
                <w:szCs w:val="20"/>
              </w:rPr>
            </w:pPr>
            <w:r w:rsidRPr="007F76F3">
              <w:rPr>
                <w:rFonts w:cs="Arial"/>
                <w:sz w:val="20"/>
                <w:szCs w:val="20"/>
              </w:rPr>
              <w:t>54 043</w:t>
            </w:r>
          </w:p>
        </w:tc>
        <w:tc>
          <w:tcPr>
            <w:tcW w:w="769" w:type="pct"/>
            <w:vAlign w:val="center"/>
          </w:tcPr>
          <w:p w14:paraId="596CC1D8" w14:textId="77777777" w:rsidR="00AF51B4" w:rsidRPr="007F76F3" w:rsidRDefault="00AF51B4" w:rsidP="00AE303F">
            <w:pPr>
              <w:jc w:val="right"/>
              <w:rPr>
                <w:rFonts w:cs="Arial"/>
                <w:sz w:val="20"/>
                <w:szCs w:val="20"/>
              </w:rPr>
            </w:pPr>
            <w:r w:rsidRPr="007F76F3">
              <w:rPr>
                <w:rFonts w:cs="Arial"/>
                <w:sz w:val="20"/>
                <w:szCs w:val="20"/>
              </w:rPr>
              <w:t>30 030</w:t>
            </w:r>
          </w:p>
        </w:tc>
        <w:tc>
          <w:tcPr>
            <w:tcW w:w="561" w:type="pct"/>
            <w:vAlign w:val="center"/>
          </w:tcPr>
          <w:p w14:paraId="3C55596E" w14:textId="77777777" w:rsidR="00AF51B4" w:rsidRPr="007F76F3" w:rsidRDefault="00AF51B4" w:rsidP="00AE303F">
            <w:pPr>
              <w:jc w:val="right"/>
              <w:rPr>
                <w:rFonts w:cs="Arial"/>
                <w:color w:val="000000"/>
                <w:sz w:val="20"/>
                <w:szCs w:val="20"/>
              </w:rPr>
            </w:pPr>
            <w:r w:rsidRPr="007F76F3">
              <w:rPr>
                <w:rFonts w:cs="Arial"/>
                <w:color w:val="000000"/>
                <w:sz w:val="20"/>
                <w:szCs w:val="20"/>
              </w:rPr>
              <w:t>-24 013</w:t>
            </w:r>
          </w:p>
        </w:tc>
        <w:tc>
          <w:tcPr>
            <w:tcW w:w="465" w:type="pct"/>
            <w:vAlign w:val="center"/>
          </w:tcPr>
          <w:p w14:paraId="3154A242" w14:textId="77777777" w:rsidR="00AF51B4" w:rsidRPr="007F76F3" w:rsidRDefault="00AF51B4" w:rsidP="00AE303F">
            <w:pPr>
              <w:jc w:val="right"/>
              <w:rPr>
                <w:rFonts w:cs="Arial"/>
                <w:color w:val="000000"/>
                <w:sz w:val="20"/>
                <w:szCs w:val="20"/>
              </w:rPr>
            </w:pPr>
            <w:r w:rsidRPr="007F76F3">
              <w:rPr>
                <w:rFonts w:cs="Arial"/>
                <w:color w:val="000000"/>
                <w:sz w:val="20"/>
                <w:szCs w:val="20"/>
              </w:rPr>
              <w:t>55,6</w:t>
            </w:r>
          </w:p>
        </w:tc>
      </w:tr>
      <w:tr w:rsidR="00AF51B4" w:rsidRPr="00C65CAA" w14:paraId="3F4DD266" w14:textId="77777777" w:rsidTr="00AF51B4">
        <w:tc>
          <w:tcPr>
            <w:tcW w:w="2032" w:type="pct"/>
            <w:vAlign w:val="center"/>
          </w:tcPr>
          <w:p w14:paraId="67FFD94B" w14:textId="77777777" w:rsidR="00AF51B4" w:rsidRPr="007F76F3" w:rsidRDefault="00AF51B4" w:rsidP="00AE303F">
            <w:pPr>
              <w:rPr>
                <w:rFonts w:cs="Arial"/>
                <w:sz w:val="20"/>
                <w:szCs w:val="20"/>
              </w:rPr>
            </w:pPr>
            <w:r w:rsidRPr="007F76F3">
              <w:rPr>
                <w:rFonts w:cs="Arial"/>
                <w:sz w:val="20"/>
                <w:szCs w:val="20"/>
              </w:rPr>
              <w:t xml:space="preserve">Ministerstvo obrany SR         </w:t>
            </w:r>
          </w:p>
        </w:tc>
        <w:tc>
          <w:tcPr>
            <w:tcW w:w="575" w:type="pct"/>
            <w:vAlign w:val="center"/>
          </w:tcPr>
          <w:p w14:paraId="5D40027D" w14:textId="77777777" w:rsidR="00AF51B4" w:rsidRPr="007F76F3" w:rsidRDefault="00AF51B4" w:rsidP="00AE303F">
            <w:pPr>
              <w:jc w:val="right"/>
              <w:rPr>
                <w:rFonts w:cs="Arial"/>
                <w:sz w:val="20"/>
                <w:szCs w:val="20"/>
              </w:rPr>
            </w:pPr>
            <w:r w:rsidRPr="007F76F3">
              <w:rPr>
                <w:rFonts w:cs="Arial"/>
                <w:sz w:val="20"/>
                <w:szCs w:val="20"/>
              </w:rPr>
              <w:t>1 095 429</w:t>
            </w:r>
          </w:p>
        </w:tc>
        <w:tc>
          <w:tcPr>
            <w:tcW w:w="598" w:type="pct"/>
            <w:vAlign w:val="center"/>
          </w:tcPr>
          <w:p w14:paraId="7BAC52FE" w14:textId="77777777" w:rsidR="00AF51B4" w:rsidRPr="007F76F3" w:rsidRDefault="00AF51B4" w:rsidP="00AE303F">
            <w:pPr>
              <w:jc w:val="right"/>
              <w:rPr>
                <w:rFonts w:cs="Arial"/>
                <w:sz w:val="20"/>
                <w:szCs w:val="20"/>
              </w:rPr>
            </w:pPr>
            <w:r w:rsidRPr="007F76F3">
              <w:rPr>
                <w:rFonts w:cs="Arial"/>
                <w:sz w:val="20"/>
                <w:szCs w:val="20"/>
              </w:rPr>
              <w:t>1 662 684</w:t>
            </w:r>
          </w:p>
        </w:tc>
        <w:tc>
          <w:tcPr>
            <w:tcW w:w="769" w:type="pct"/>
            <w:vAlign w:val="center"/>
          </w:tcPr>
          <w:p w14:paraId="1CF8D575" w14:textId="77777777" w:rsidR="00AF51B4" w:rsidRPr="007F76F3" w:rsidRDefault="00AF51B4" w:rsidP="00AE303F">
            <w:pPr>
              <w:jc w:val="right"/>
              <w:rPr>
                <w:rFonts w:cs="Arial"/>
                <w:sz w:val="20"/>
                <w:szCs w:val="20"/>
              </w:rPr>
            </w:pPr>
            <w:r w:rsidRPr="007F76F3">
              <w:rPr>
                <w:rFonts w:cs="Arial"/>
                <w:sz w:val="20"/>
                <w:szCs w:val="20"/>
              </w:rPr>
              <w:t>1 608 226</w:t>
            </w:r>
          </w:p>
        </w:tc>
        <w:tc>
          <w:tcPr>
            <w:tcW w:w="561" w:type="pct"/>
            <w:vAlign w:val="center"/>
          </w:tcPr>
          <w:p w14:paraId="1121B4A9" w14:textId="77777777" w:rsidR="00AF51B4" w:rsidRPr="007F76F3" w:rsidRDefault="00AF51B4" w:rsidP="00AE303F">
            <w:pPr>
              <w:jc w:val="right"/>
              <w:rPr>
                <w:rFonts w:cs="Arial"/>
                <w:color w:val="000000"/>
                <w:sz w:val="20"/>
                <w:szCs w:val="20"/>
              </w:rPr>
            </w:pPr>
            <w:r w:rsidRPr="007F76F3">
              <w:rPr>
                <w:rFonts w:cs="Arial"/>
                <w:color w:val="000000"/>
                <w:sz w:val="20"/>
                <w:szCs w:val="20"/>
              </w:rPr>
              <w:t>-54 458</w:t>
            </w:r>
          </w:p>
        </w:tc>
        <w:tc>
          <w:tcPr>
            <w:tcW w:w="465" w:type="pct"/>
            <w:vAlign w:val="center"/>
          </w:tcPr>
          <w:p w14:paraId="551C71FD" w14:textId="77777777" w:rsidR="00AF51B4" w:rsidRPr="007F76F3" w:rsidRDefault="00AF51B4" w:rsidP="00AE303F">
            <w:pPr>
              <w:jc w:val="right"/>
              <w:rPr>
                <w:rFonts w:cs="Arial"/>
                <w:color w:val="000000"/>
                <w:sz w:val="20"/>
                <w:szCs w:val="20"/>
              </w:rPr>
            </w:pPr>
            <w:r w:rsidRPr="007F76F3">
              <w:rPr>
                <w:rFonts w:cs="Arial"/>
                <w:color w:val="000000"/>
                <w:sz w:val="20"/>
                <w:szCs w:val="20"/>
              </w:rPr>
              <w:t>96,7</w:t>
            </w:r>
          </w:p>
        </w:tc>
      </w:tr>
      <w:tr w:rsidR="00AF51B4" w:rsidRPr="00C65CAA" w14:paraId="28AF09F2" w14:textId="77777777" w:rsidTr="00AF51B4">
        <w:tc>
          <w:tcPr>
            <w:tcW w:w="2032" w:type="pct"/>
            <w:vAlign w:val="center"/>
          </w:tcPr>
          <w:p w14:paraId="278D6494" w14:textId="77777777" w:rsidR="00AF51B4" w:rsidRPr="007F76F3" w:rsidRDefault="00AF51B4" w:rsidP="00AE303F">
            <w:pPr>
              <w:rPr>
                <w:rFonts w:cs="Arial"/>
                <w:sz w:val="20"/>
                <w:szCs w:val="20"/>
              </w:rPr>
            </w:pPr>
            <w:r w:rsidRPr="007F76F3">
              <w:rPr>
                <w:rFonts w:cs="Arial"/>
                <w:sz w:val="20"/>
                <w:szCs w:val="20"/>
              </w:rPr>
              <w:t xml:space="preserve">Všeobecná pokladničná správa   </w:t>
            </w:r>
          </w:p>
        </w:tc>
        <w:tc>
          <w:tcPr>
            <w:tcW w:w="575" w:type="pct"/>
            <w:vAlign w:val="center"/>
          </w:tcPr>
          <w:p w14:paraId="76584D37" w14:textId="77777777" w:rsidR="00AF51B4" w:rsidRPr="007F76F3" w:rsidRDefault="00AF51B4" w:rsidP="00AE303F">
            <w:pPr>
              <w:jc w:val="right"/>
              <w:rPr>
                <w:rFonts w:cs="Arial"/>
                <w:sz w:val="20"/>
                <w:szCs w:val="20"/>
              </w:rPr>
            </w:pPr>
            <w:r w:rsidRPr="007F76F3">
              <w:rPr>
                <w:rFonts w:cs="Arial"/>
                <w:sz w:val="20"/>
                <w:szCs w:val="20"/>
              </w:rPr>
              <w:t>2 112 288</w:t>
            </w:r>
          </w:p>
        </w:tc>
        <w:tc>
          <w:tcPr>
            <w:tcW w:w="598" w:type="pct"/>
            <w:vAlign w:val="center"/>
          </w:tcPr>
          <w:p w14:paraId="349733D0" w14:textId="77777777" w:rsidR="00AF51B4" w:rsidRPr="007F76F3" w:rsidRDefault="00AF51B4" w:rsidP="00AE303F">
            <w:pPr>
              <w:jc w:val="right"/>
              <w:rPr>
                <w:rFonts w:cs="Arial"/>
                <w:sz w:val="20"/>
                <w:szCs w:val="20"/>
              </w:rPr>
            </w:pPr>
            <w:r w:rsidRPr="007F76F3">
              <w:rPr>
                <w:rFonts w:cs="Arial"/>
                <w:sz w:val="20"/>
                <w:szCs w:val="20"/>
              </w:rPr>
              <w:t>3 471 299</w:t>
            </w:r>
          </w:p>
        </w:tc>
        <w:tc>
          <w:tcPr>
            <w:tcW w:w="769" w:type="pct"/>
            <w:vAlign w:val="center"/>
          </w:tcPr>
          <w:p w14:paraId="27AB7DB8" w14:textId="77777777" w:rsidR="00AF51B4" w:rsidRPr="007F76F3" w:rsidRDefault="00AF51B4" w:rsidP="00AE303F">
            <w:pPr>
              <w:jc w:val="right"/>
              <w:rPr>
                <w:rFonts w:cs="Arial"/>
                <w:sz w:val="20"/>
                <w:szCs w:val="20"/>
              </w:rPr>
            </w:pPr>
            <w:r w:rsidRPr="007F76F3">
              <w:rPr>
                <w:rFonts w:cs="Arial"/>
                <w:sz w:val="20"/>
                <w:szCs w:val="20"/>
              </w:rPr>
              <w:t>3 404 379</w:t>
            </w:r>
          </w:p>
        </w:tc>
        <w:tc>
          <w:tcPr>
            <w:tcW w:w="561" w:type="pct"/>
            <w:vAlign w:val="center"/>
          </w:tcPr>
          <w:p w14:paraId="7902B66F" w14:textId="77777777" w:rsidR="00AF51B4" w:rsidRPr="007F76F3" w:rsidRDefault="00AF51B4" w:rsidP="00AE303F">
            <w:pPr>
              <w:jc w:val="right"/>
              <w:rPr>
                <w:rFonts w:cs="Arial"/>
                <w:color w:val="000000"/>
                <w:sz w:val="20"/>
                <w:szCs w:val="20"/>
              </w:rPr>
            </w:pPr>
            <w:r w:rsidRPr="007F76F3">
              <w:rPr>
                <w:rFonts w:cs="Arial"/>
                <w:color w:val="000000"/>
                <w:sz w:val="20"/>
                <w:szCs w:val="20"/>
              </w:rPr>
              <w:t>-66 920</w:t>
            </w:r>
          </w:p>
        </w:tc>
        <w:tc>
          <w:tcPr>
            <w:tcW w:w="465" w:type="pct"/>
            <w:vAlign w:val="center"/>
          </w:tcPr>
          <w:p w14:paraId="781DC22C" w14:textId="77777777" w:rsidR="00AF51B4" w:rsidRPr="007F76F3" w:rsidRDefault="00AF51B4" w:rsidP="00AE303F">
            <w:pPr>
              <w:jc w:val="right"/>
              <w:rPr>
                <w:rFonts w:cs="Arial"/>
                <w:color w:val="000000"/>
                <w:sz w:val="20"/>
                <w:szCs w:val="20"/>
              </w:rPr>
            </w:pPr>
            <w:r w:rsidRPr="007F76F3">
              <w:rPr>
                <w:rFonts w:cs="Arial"/>
                <w:color w:val="000000"/>
                <w:sz w:val="20"/>
                <w:szCs w:val="20"/>
              </w:rPr>
              <w:t>98,1</w:t>
            </w:r>
          </w:p>
        </w:tc>
      </w:tr>
      <w:tr w:rsidR="00AF51B4" w:rsidRPr="00C65CAA" w14:paraId="3941EDF5" w14:textId="77777777" w:rsidTr="00AF51B4">
        <w:tc>
          <w:tcPr>
            <w:tcW w:w="2032" w:type="pct"/>
            <w:vAlign w:val="center"/>
          </w:tcPr>
          <w:p w14:paraId="5E1D5B69" w14:textId="77777777" w:rsidR="00AF51B4" w:rsidRPr="007F76F3" w:rsidRDefault="00AF51B4" w:rsidP="00AE303F">
            <w:pPr>
              <w:rPr>
                <w:rFonts w:cs="Arial"/>
                <w:sz w:val="20"/>
                <w:szCs w:val="20"/>
              </w:rPr>
            </w:pPr>
            <w:r w:rsidRPr="007F76F3">
              <w:rPr>
                <w:rFonts w:cs="Arial"/>
                <w:sz w:val="20"/>
                <w:szCs w:val="20"/>
              </w:rPr>
              <w:t xml:space="preserve">Ministerstvo životného prostredia  SR  </w:t>
            </w:r>
          </w:p>
        </w:tc>
        <w:tc>
          <w:tcPr>
            <w:tcW w:w="575" w:type="pct"/>
            <w:vAlign w:val="center"/>
          </w:tcPr>
          <w:p w14:paraId="2748A476" w14:textId="77777777" w:rsidR="00AF51B4" w:rsidRPr="007F76F3" w:rsidRDefault="00AF51B4" w:rsidP="00AE303F">
            <w:pPr>
              <w:jc w:val="right"/>
              <w:rPr>
                <w:rFonts w:cs="Arial"/>
                <w:sz w:val="20"/>
                <w:szCs w:val="20"/>
              </w:rPr>
            </w:pPr>
            <w:r w:rsidRPr="007F76F3">
              <w:rPr>
                <w:rFonts w:cs="Arial"/>
                <w:sz w:val="20"/>
                <w:szCs w:val="20"/>
              </w:rPr>
              <w:t>449 594</w:t>
            </w:r>
          </w:p>
        </w:tc>
        <w:tc>
          <w:tcPr>
            <w:tcW w:w="598" w:type="pct"/>
            <w:vAlign w:val="center"/>
          </w:tcPr>
          <w:p w14:paraId="28DA0A20" w14:textId="77777777" w:rsidR="00AF51B4" w:rsidRPr="007F76F3" w:rsidRDefault="00AF51B4" w:rsidP="00AE303F">
            <w:pPr>
              <w:jc w:val="right"/>
              <w:rPr>
                <w:rFonts w:cs="Arial"/>
                <w:sz w:val="20"/>
                <w:szCs w:val="20"/>
              </w:rPr>
            </w:pPr>
            <w:r w:rsidRPr="007F76F3">
              <w:rPr>
                <w:rFonts w:cs="Arial"/>
                <w:sz w:val="20"/>
                <w:szCs w:val="20"/>
              </w:rPr>
              <w:t>540 617</w:t>
            </w:r>
          </w:p>
        </w:tc>
        <w:tc>
          <w:tcPr>
            <w:tcW w:w="769" w:type="pct"/>
            <w:vAlign w:val="center"/>
          </w:tcPr>
          <w:p w14:paraId="4FC33D7F" w14:textId="77777777" w:rsidR="00AF51B4" w:rsidRPr="007F76F3" w:rsidRDefault="00AF51B4" w:rsidP="00AE303F">
            <w:pPr>
              <w:jc w:val="right"/>
              <w:rPr>
                <w:rFonts w:cs="Arial"/>
                <w:sz w:val="20"/>
                <w:szCs w:val="20"/>
              </w:rPr>
            </w:pPr>
            <w:r w:rsidRPr="007F76F3">
              <w:rPr>
                <w:rFonts w:cs="Arial"/>
                <w:sz w:val="20"/>
                <w:szCs w:val="20"/>
              </w:rPr>
              <w:t>455 356</w:t>
            </w:r>
          </w:p>
        </w:tc>
        <w:tc>
          <w:tcPr>
            <w:tcW w:w="561" w:type="pct"/>
            <w:vAlign w:val="center"/>
          </w:tcPr>
          <w:p w14:paraId="101B231B" w14:textId="77777777" w:rsidR="00AF51B4" w:rsidRPr="007F76F3" w:rsidRDefault="00AF51B4" w:rsidP="00AE303F">
            <w:pPr>
              <w:jc w:val="right"/>
              <w:rPr>
                <w:rFonts w:cs="Arial"/>
                <w:color w:val="000000"/>
                <w:sz w:val="20"/>
                <w:szCs w:val="20"/>
              </w:rPr>
            </w:pPr>
            <w:r w:rsidRPr="007F76F3">
              <w:rPr>
                <w:rFonts w:cs="Arial"/>
                <w:color w:val="000000"/>
                <w:sz w:val="20"/>
                <w:szCs w:val="20"/>
              </w:rPr>
              <w:t>-85 261</w:t>
            </w:r>
          </w:p>
        </w:tc>
        <w:tc>
          <w:tcPr>
            <w:tcW w:w="465" w:type="pct"/>
            <w:vAlign w:val="center"/>
          </w:tcPr>
          <w:p w14:paraId="7C1E80D9" w14:textId="77777777" w:rsidR="00AF51B4" w:rsidRPr="007F76F3" w:rsidRDefault="00AF51B4" w:rsidP="00AE303F">
            <w:pPr>
              <w:jc w:val="right"/>
              <w:rPr>
                <w:rFonts w:cs="Arial"/>
                <w:color w:val="000000"/>
                <w:sz w:val="20"/>
                <w:szCs w:val="20"/>
              </w:rPr>
            </w:pPr>
            <w:r w:rsidRPr="007F76F3">
              <w:rPr>
                <w:rFonts w:cs="Arial"/>
                <w:color w:val="000000"/>
                <w:sz w:val="20"/>
                <w:szCs w:val="20"/>
              </w:rPr>
              <w:t>84,2</w:t>
            </w:r>
          </w:p>
        </w:tc>
      </w:tr>
      <w:tr w:rsidR="00AF51B4" w:rsidRPr="00C65CAA" w14:paraId="0DA3F1EF" w14:textId="77777777" w:rsidTr="00AF51B4">
        <w:tc>
          <w:tcPr>
            <w:tcW w:w="2032" w:type="pct"/>
            <w:vAlign w:val="center"/>
          </w:tcPr>
          <w:p w14:paraId="3152A3DA" w14:textId="77777777" w:rsidR="00AF51B4" w:rsidRPr="007F76F3" w:rsidRDefault="00AF51B4" w:rsidP="00AE303F">
            <w:pPr>
              <w:rPr>
                <w:rFonts w:cs="Arial"/>
                <w:sz w:val="20"/>
                <w:szCs w:val="20"/>
              </w:rPr>
            </w:pPr>
            <w:r w:rsidRPr="007F76F3">
              <w:rPr>
                <w:rFonts w:cs="Arial"/>
                <w:sz w:val="20"/>
                <w:szCs w:val="20"/>
              </w:rPr>
              <w:t xml:space="preserve">Ministerstvo hospodárstva SR   </w:t>
            </w:r>
          </w:p>
        </w:tc>
        <w:tc>
          <w:tcPr>
            <w:tcW w:w="575" w:type="pct"/>
            <w:vAlign w:val="center"/>
          </w:tcPr>
          <w:p w14:paraId="4A649F7D" w14:textId="77777777" w:rsidR="00AF51B4" w:rsidRPr="007F76F3" w:rsidRDefault="00AF51B4" w:rsidP="00AE303F">
            <w:pPr>
              <w:jc w:val="right"/>
              <w:rPr>
                <w:rFonts w:cs="Arial"/>
                <w:sz w:val="20"/>
                <w:szCs w:val="20"/>
              </w:rPr>
            </w:pPr>
            <w:r w:rsidRPr="007F76F3">
              <w:rPr>
                <w:rFonts w:cs="Arial"/>
                <w:sz w:val="20"/>
                <w:szCs w:val="20"/>
              </w:rPr>
              <w:t>280 620</w:t>
            </w:r>
          </w:p>
        </w:tc>
        <w:tc>
          <w:tcPr>
            <w:tcW w:w="598" w:type="pct"/>
            <w:vAlign w:val="center"/>
          </w:tcPr>
          <w:p w14:paraId="11474838" w14:textId="77777777" w:rsidR="00AF51B4" w:rsidRPr="007F76F3" w:rsidRDefault="00AF51B4" w:rsidP="00AE303F">
            <w:pPr>
              <w:jc w:val="right"/>
              <w:rPr>
                <w:rFonts w:cs="Arial"/>
                <w:sz w:val="20"/>
                <w:szCs w:val="20"/>
              </w:rPr>
            </w:pPr>
            <w:r w:rsidRPr="007F76F3">
              <w:rPr>
                <w:rFonts w:cs="Arial"/>
                <w:sz w:val="20"/>
                <w:szCs w:val="20"/>
              </w:rPr>
              <w:t>428 178</w:t>
            </w:r>
          </w:p>
        </w:tc>
        <w:tc>
          <w:tcPr>
            <w:tcW w:w="769" w:type="pct"/>
            <w:vAlign w:val="center"/>
          </w:tcPr>
          <w:p w14:paraId="76AA3C98" w14:textId="77777777" w:rsidR="00AF51B4" w:rsidRPr="007F76F3" w:rsidRDefault="00AF51B4" w:rsidP="00AE303F">
            <w:pPr>
              <w:jc w:val="right"/>
              <w:rPr>
                <w:rFonts w:cs="Arial"/>
                <w:sz w:val="20"/>
                <w:szCs w:val="20"/>
              </w:rPr>
            </w:pPr>
            <w:r w:rsidRPr="007F76F3">
              <w:rPr>
                <w:rFonts w:cs="Arial"/>
                <w:sz w:val="20"/>
                <w:szCs w:val="20"/>
              </w:rPr>
              <w:t>308 624</w:t>
            </w:r>
          </w:p>
        </w:tc>
        <w:tc>
          <w:tcPr>
            <w:tcW w:w="561" w:type="pct"/>
            <w:vAlign w:val="center"/>
          </w:tcPr>
          <w:p w14:paraId="7BE39285" w14:textId="77777777" w:rsidR="00AF51B4" w:rsidRPr="007F76F3" w:rsidRDefault="00AF51B4" w:rsidP="00AE303F">
            <w:pPr>
              <w:jc w:val="right"/>
              <w:rPr>
                <w:rFonts w:cs="Arial"/>
                <w:color w:val="000000"/>
                <w:sz w:val="20"/>
                <w:szCs w:val="20"/>
              </w:rPr>
            </w:pPr>
            <w:r w:rsidRPr="007F76F3">
              <w:rPr>
                <w:rFonts w:cs="Arial"/>
                <w:color w:val="000000"/>
                <w:sz w:val="20"/>
                <w:szCs w:val="20"/>
              </w:rPr>
              <w:t>-119 554</w:t>
            </w:r>
          </w:p>
        </w:tc>
        <w:tc>
          <w:tcPr>
            <w:tcW w:w="465" w:type="pct"/>
            <w:vAlign w:val="center"/>
          </w:tcPr>
          <w:p w14:paraId="6478E988" w14:textId="77777777" w:rsidR="00AF51B4" w:rsidRPr="007F76F3" w:rsidRDefault="00AF51B4" w:rsidP="00AE303F">
            <w:pPr>
              <w:jc w:val="right"/>
              <w:rPr>
                <w:rFonts w:cs="Arial"/>
                <w:color w:val="000000"/>
                <w:sz w:val="20"/>
                <w:szCs w:val="20"/>
              </w:rPr>
            </w:pPr>
            <w:r w:rsidRPr="007F76F3">
              <w:rPr>
                <w:rFonts w:cs="Arial"/>
                <w:color w:val="000000"/>
                <w:sz w:val="20"/>
                <w:szCs w:val="20"/>
              </w:rPr>
              <w:t>72,1</w:t>
            </w:r>
          </w:p>
        </w:tc>
      </w:tr>
      <w:tr w:rsidR="00AF51B4" w:rsidRPr="00C65CAA" w14:paraId="61CED777" w14:textId="77777777" w:rsidTr="00AF51B4">
        <w:tc>
          <w:tcPr>
            <w:tcW w:w="2032" w:type="pct"/>
            <w:vAlign w:val="center"/>
          </w:tcPr>
          <w:p w14:paraId="65850409" w14:textId="77777777" w:rsidR="00AF51B4" w:rsidRPr="007F76F3" w:rsidRDefault="00AF51B4" w:rsidP="00AE303F">
            <w:pPr>
              <w:rPr>
                <w:rFonts w:cs="Arial"/>
                <w:sz w:val="20"/>
                <w:szCs w:val="20"/>
              </w:rPr>
            </w:pPr>
            <w:r w:rsidRPr="007F76F3">
              <w:rPr>
                <w:rFonts w:cs="Arial"/>
                <w:sz w:val="20"/>
                <w:szCs w:val="20"/>
              </w:rPr>
              <w:t xml:space="preserve">Ministerstvo pôdohospodárstva a rozvoja vidieka SR  </w:t>
            </w:r>
          </w:p>
        </w:tc>
        <w:tc>
          <w:tcPr>
            <w:tcW w:w="575" w:type="pct"/>
            <w:vAlign w:val="center"/>
          </w:tcPr>
          <w:p w14:paraId="3AF8BF89" w14:textId="77777777" w:rsidR="00AF51B4" w:rsidRPr="007F76F3" w:rsidRDefault="00AF51B4" w:rsidP="00AE303F">
            <w:pPr>
              <w:jc w:val="right"/>
              <w:rPr>
                <w:rFonts w:cs="Arial"/>
                <w:sz w:val="20"/>
                <w:szCs w:val="20"/>
              </w:rPr>
            </w:pPr>
            <w:r w:rsidRPr="007F76F3">
              <w:rPr>
                <w:rFonts w:cs="Arial"/>
                <w:sz w:val="20"/>
                <w:szCs w:val="20"/>
              </w:rPr>
              <w:t>1 049 296</w:t>
            </w:r>
          </w:p>
        </w:tc>
        <w:tc>
          <w:tcPr>
            <w:tcW w:w="598" w:type="pct"/>
            <w:vAlign w:val="center"/>
          </w:tcPr>
          <w:p w14:paraId="73D8C4AE" w14:textId="77777777" w:rsidR="00AF51B4" w:rsidRPr="007F76F3" w:rsidRDefault="00AF51B4" w:rsidP="00AE303F">
            <w:pPr>
              <w:jc w:val="right"/>
              <w:rPr>
                <w:rFonts w:cs="Arial"/>
                <w:sz w:val="20"/>
                <w:szCs w:val="20"/>
              </w:rPr>
            </w:pPr>
            <w:r w:rsidRPr="007F76F3">
              <w:rPr>
                <w:rFonts w:cs="Arial"/>
                <w:sz w:val="20"/>
                <w:szCs w:val="20"/>
              </w:rPr>
              <w:t>1 193 459</w:t>
            </w:r>
          </w:p>
        </w:tc>
        <w:tc>
          <w:tcPr>
            <w:tcW w:w="769" w:type="pct"/>
            <w:vAlign w:val="center"/>
          </w:tcPr>
          <w:p w14:paraId="5DFE4637" w14:textId="77777777" w:rsidR="00AF51B4" w:rsidRPr="007F76F3" w:rsidRDefault="00AF51B4" w:rsidP="00AE303F">
            <w:pPr>
              <w:jc w:val="right"/>
              <w:rPr>
                <w:rFonts w:cs="Arial"/>
                <w:sz w:val="20"/>
                <w:szCs w:val="20"/>
              </w:rPr>
            </w:pPr>
            <w:r w:rsidRPr="007F76F3">
              <w:rPr>
                <w:rFonts w:cs="Arial"/>
                <w:sz w:val="20"/>
                <w:szCs w:val="20"/>
              </w:rPr>
              <w:t>942 554</w:t>
            </w:r>
          </w:p>
        </w:tc>
        <w:tc>
          <w:tcPr>
            <w:tcW w:w="561" w:type="pct"/>
            <w:vAlign w:val="center"/>
          </w:tcPr>
          <w:p w14:paraId="7ED88152" w14:textId="77777777" w:rsidR="00AF51B4" w:rsidRPr="007F76F3" w:rsidRDefault="00AF51B4" w:rsidP="00AE303F">
            <w:pPr>
              <w:jc w:val="right"/>
              <w:rPr>
                <w:rFonts w:cs="Arial"/>
                <w:color w:val="000000"/>
                <w:sz w:val="20"/>
                <w:szCs w:val="20"/>
              </w:rPr>
            </w:pPr>
            <w:r w:rsidRPr="007F76F3">
              <w:rPr>
                <w:rFonts w:cs="Arial"/>
                <w:color w:val="000000"/>
                <w:sz w:val="20"/>
                <w:szCs w:val="20"/>
              </w:rPr>
              <w:t>-250 905</w:t>
            </w:r>
          </w:p>
        </w:tc>
        <w:tc>
          <w:tcPr>
            <w:tcW w:w="465" w:type="pct"/>
            <w:vAlign w:val="center"/>
          </w:tcPr>
          <w:p w14:paraId="52E622B8" w14:textId="77777777" w:rsidR="00AF51B4" w:rsidRPr="007F76F3" w:rsidRDefault="00AF51B4" w:rsidP="00AE303F">
            <w:pPr>
              <w:jc w:val="right"/>
              <w:rPr>
                <w:rFonts w:cs="Arial"/>
                <w:color w:val="000000"/>
                <w:sz w:val="20"/>
                <w:szCs w:val="20"/>
              </w:rPr>
            </w:pPr>
            <w:r w:rsidRPr="007F76F3">
              <w:rPr>
                <w:rFonts w:cs="Arial"/>
                <w:color w:val="000000"/>
                <w:sz w:val="20"/>
                <w:szCs w:val="20"/>
              </w:rPr>
              <w:t>79,0</w:t>
            </w:r>
          </w:p>
        </w:tc>
      </w:tr>
    </w:tbl>
    <w:p w14:paraId="572CDC47" w14:textId="77777777" w:rsidR="00AF51B4" w:rsidRPr="00AF51B4" w:rsidRDefault="00AF51B4" w:rsidP="00AF51B4">
      <w:pPr>
        <w:pStyle w:val="Zkladntext"/>
        <w:spacing w:after="100"/>
        <w:jc w:val="both"/>
        <w:rPr>
          <w:i/>
          <w:color w:val="000000"/>
          <w:sz w:val="18"/>
        </w:rPr>
      </w:pPr>
      <w:r w:rsidRPr="00AF51B4">
        <w:rPr>
          <w:i/>
          <w:color w:val="000000"/>
          <w:sz w:val="18"/>
        </w:rPr>
        <w:t>Zdroj: ŠZÚ za rok 2018, RVS na roky 2019 až 2021, Návrh RVS na roky 2020 až 2022</w:t>
      </w:r>
    </w:p>
    <w:p w14:paraId="70E88B6B" w14:textId="3F3757E7" w:rsidR="00AF51B4" w:rsidRDefault="00AF51B4" w:rsidP="001C7645">
      <w:pPr>
        <w:jc w:val="both"/>
      </w:pPr>
    </w:p>
    <w:p w14:paraId="49342138" w14:textId="310BA9AE" w:rsidR="00C615E3" w:rsidRDefault="00C615E3" w:rsidP="001C7645">
      <w:pPr>
        <w:jc w:val="both"/>
      </w:pPr>
    </w:p>
    <w:p w14:paraId="2779374D" w14:textId="5D515BF2" w:rsidR="00C615E3" w:rsidRDefault="00C615E3" w:rsidP="001C7645">
      <w:pPr>
        <w:jc w:val="both"/>
      </w:pPr>
    </w:p>
    <w:p w14:paraId="1541499A" w14:textId="251D49F3" w:rsidR="00C615E3" w:rsidRDefault="00C615E3" w:rsidP="001C7645">
      <w:pPr>
        <w:jc w:val="both"/>
      </w:pPr>
    </w:p>
    <w:p w14:paraId="6FAAB45C" w14:textId="20E3D5DB" w:rsidR="00C615E3" w:rsidRDefault="00C615E3" w:rsidP="001C7645">
      <w:pPr>
        <w:jc w:val="both"/>
      </w:pPr>
    </w:p>
    <w:p w14:paraId="5F8FEF06" w14:textId="158FE41D" w:rsidR="00C615E3" w:rsidRDefault="00C615E3" w:rsidP="001C7645">
      <w:pPr>
        <w:jc w:val="both"/>
      </w:pPr>
    </w:p>
    <w:p w14:paraId="4C2EE1A9" w14:textId="0F1D0B78" w:rsidR="00C615E3" w:rsidRDefault="00C615E3" w:rsidP="001C7645">
      <w:pPr>
        <w:jc w:val="both"/>
      </w:pPr>
    </w:p>
    <w:p w14:paraId="684DBB38" w14:textId="211B0AAB" w:rsidR="00C615E3" w:rsidRDefault="00C615E3" w:rsidP="001C7645">
      <w:pPr>
        <w:jc w:val="both"/>
      </w:pPr>
    </w:p>
    <w:p w14:paraId="2574F885" w14:textId="069E558E" w:rsidR="00C615E3" w:rsidRDefault="00C615E3" w:rsidP="001C7645">
      <w:pPr>
        <w:jc w:val="both"/>
      </w:pPr>
    </w:p>
    <w:p w14:paraId="0344CE81" w14:textId="77777777" w:rsidR="00C615E3" w:rsidRDefault="00C615E3" w:rsidP="001C7645">
      <w:pPr>
        <w:jc w:val="both"/>
      </w:pPr>
    </w:p>
    <w:p w14:paraId="79A0FEA6" w14:textId="56F365C6" w:rsidR="001C7645" w:rsidRPr="001C7645" w:rsidRDefault="001C7645" w:rsidP="001C7645">
      <w:pPr>
        <w:jc w:val="both"/>
        <w:rPr>
          <w:b/>
        </w:rPr>
      </w:pPr>
      <w:r>
        <w:rPr>
          <w:b/>
        </w:rPr>
        <w:lastRenderedPageBreak/>
        <w:t>Tabuľka 3</w:t>
      </w:r>
      <w:r w:rsidRPr="00AF51B4">
        <w:rPr>
          <w:b/>
        </w:rPr>
        <w:t xml:space="preserve">: </w:t>
      </w:r>
      <w:r w:rsidRPr="001C7645">
        <w:rPr>
          <w:b/>
        </w:rPr>
        <w:t>Porovnanie návrhu rozpočtu príjmov obcí na hotovostnej báze v návrhu rozpočtu na rok 2020 so schváleným rozpočtom na rok 2019 a skutočným plnením rozpočtu za rok 2018</w:t>
      </w:r>
    </w:p>
    <w:tbl>
      <w:tblPr>
        <w:tblStyle w:val="Mriekatabuky"/>
        <w:tblW w:w="5000" w:type="pct"/>
        <w:tblLook w:val="04A0" w:firstRow="1" w:lastRow="0" w:firstColumn="1" w:lastColumn="0" w:noHBand="0" w:noVBand="1"/>
      </w:tblPr>
      <w:tblGrid>
        <w:gridCol w:w="3037"/>
        <w:gridCol w:w="1293"/>
        <w:gridCol w:w="1293"/>
        <w:gridCol w:w="1293"/>
        <w:gridCol w:w="1122"/>
        <w:gridCol w:w="1308"/>
      </w:tblGrid>
      <w:tr w:rsidR="001C7645" w:rsidRPr="00571411" w14:paraId="5C5CA2FF" w14:textId="77777777" w:rsidTr="00C615E3">
        <w:trPr>
          <w:trHeight w:val="57"/>
          <w:tblHeader/>
        </w:trPr>
        <w:tc>
          <w:tcPr>
            <w:tcW w:w="1624"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4AF6A9B8" w14:textId="77777777" w:rsidR="001C7645" w:rsidRPr="00571411" w:rsidRDefault="001C7645" w:rsidP="000C470D">
            <w:pPr>
              <w:jc w:val="center"/>
              <w:rPr>
                <w:rFonts w:eastAsia="Calibri"/>
                <w:b/>
                <w:bCs/>
                <w:color w:val="FFFFFF" w:themeColor="background1"/>
                <w:sz w:val="20"/>
                <w:szCs w:val="20"/>
              </w:rPr>
            </w:pPr>
            <w:r>
              <w:rPr>
                <w:rFonts w:eastAsia="Calibri"/>
                <w:b/>
                <w:bCs/>
                <w:color w:val="FFFFFF" w:themeColor="background1"/>
                <w:sz w:val="20"/>
                <w:szCs w:val="20"/>
              </w:rPr>
              <w:t>Príjmy obcí</w:t>
            </w:r>
          </w:p>
          <w:p w14:paraId="73D9E204" w14:textId="77777777" w:rsidR="001C7645" w:rsidRPr="00571411" w:rsidRDefault="001C7645" w:rsidP="000C470D">
            <w:pPr>
              <w:jc w:val="center"/>
              <w:rPr>
                <w:rFonts w:eastAsia="Calibri"/>
                <w:b/>
                <w:color w:val="FFFFFF" w:themeColor="background1"/>
                <w:sz w:val="20"/>
                <w:szCs w:val="20"/>
              </w:rPr>
            </w:pPr>
            <w:r w:rsidRPr="00571411">
              <w:rPr>
                <w:rFonts w:eastAsia="Calibri"/>
                <w:b/>
                <w:bCs/>
                <w:color w:val="FFFFFF" w:themeColor="background1"/>
                <w:sz w:val="20"/>
                <w:szCs w:val="20"/>
              </w:rPr>
              <w:t>(v tis. eur)</w:t>
            </w:r>
          </w:p>
        </w:tc>
        <w:tc>
          <w:tcPr>
            <w:tcW w:w="692"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08C09C0F" w14:textId="77777777" w:rsidR="001C7645" w:rsidRPr="00571411" w:rsidRDefault="001C7645" w:rsidP="000C470D">
            <w:pPr>
              <w:jc w:val="center"/>
              <w:rPr>
                <w:b/>
                <w:color w:val="FFFFFF" w:themeColor="background1"/>
                <w:sz w:val="20"/>
                <w:szCs w:val="20"/>
              </w:rPr>
            </w:pPr>
            <w:r w:rsidRPr="00571411">
              <w:rPr>
                <w:b/>
                <w:color w:val="FFFFFF" w:themeColor="background1"/>
                <w:sz w:val="20"/>
                <w:szCs w:val="20"/>
              </w:rPr>
              <w:t>Skutočnosť</w:t>
            </w:r>
          </w:p>
          <w:p w14:paraId="602F8E70" w14:textId="77777777" w:rsidR="001C7645" w:rsidRPr="00571411" w:rsidRDefault="001C7645" w:rsidP="000C470D">
            <w:pPr>
              <w:jc w:val="center"/>
              <w:rPr>
                <w:b/>
                <w:color w:val="FFFFFF" w:themeColor="background1"/>
                <w:sz w:val="20"/>
                <w:szCs w:val="20"/>
              </w:rPr>
            </w:pPr>
            <w:r>
              <w:rPr>
                <w:b/>
                <w:color w:val="FFFFFF" w:themeColor="background1"/>
                <w:sz w:val="20"/>
                <w:szCs w:val="20"/>
              </w:rPr>
              <w:t>2018</w:t>
            </w:r>
          </w:p>
        </w:tc>
        <w:tc>
          <w:tcPr>
            <w:tcW w:w="1383"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1B785839" w14:textId="77777777" w:rsidR="001C7645" w:rsidRPr="00571411" w:rsidRDefault="001C7645" w:rsidP="000C470D">
            <w:pPr>
              <w:jc w:val="center"/>
              <w:rPr>
                <w:b/>
                <w:color w:val="FFFFFF" w:themeColor="background1"/>
                <w:sz w:val="20"/>
                <w:szCs w:val="20"/>
              </w:rPr>
            </w:pPr>
            <w:r w:rsidRPr="00571411">
              <w:rPr>
                <w:b/>
                <w:color w:val="FFFFFF" w:themeColor="background1"/>
                <w:sz w:val="20"/>
                <w:szCs w:val="20"/>
              </w:rPr>
              <w:t>Rozpočet</w:t>
            </w:r>
          </w:p>
        </w:tc>
        <w:tc>
          <w:tcPr>
            <w:tcW w:w="60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2DD4E02" w14:textId="77777777" w:rsidR="001C7645" w:rsidRPr="00571411" w:rsidRDefault="001C7645" w:rsidP="000C470D">
            <w:pPr>
              <w:jc w:val="center"/>
              <w:rPr>
                <w:b/>
                <w:color w:val="FFFFFF" w:themeColor="background1"/>
                <w:sz w:val="20"/>
                <w:szCs w:val="20"/>
              </w:rPr>
            </w:pPr>
            <w:r w:rsidRPr="00571411">
              <w:rPr>
                <w:b/>
                <w:color w:val="FFFFFF" w:themeColor="background1"/>
                <w:sz w:val="20"/>
                <w:szCs w:val="20"/>
              </w:rPr>
              <w:t>Rozdiel</w:t>
            </w:r>
          </w:p>
        </w:tc>
        <w:tc>
          <w:tcPr>
            <w:tcW w:w="701"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2F06919F" w14:textId="77777777" w:rsidR="001C7645" w:rsidRDefault="001C7645" w:rsidP="000C470D">
            <w:pPr>
              <w:jc w:val="center"/>
              <w:rPr>
                <w:b/>
                <w:color w:val="FFFFFF" w:themeColor="background1"/>
                <w:sz w:val="20"/>
                <w:szCs w:val="20"/>
              </w:rPr>
            </w:pPr>
            <w:r>
              <w:rPr>
                <w:b/>
                <w:color w:val="FFFFFF" w:themeColor="background1"/>
                <w:sz w:val="20"/>
                <w:szCs w:val="20"/>
              </w:rPr>
              <w:t>Podiel</w:t>
            </w:r>
          </w:p>
          <w:p w14:paraId="2A0D5402" w14:textId="77777777" w:rsidR="001C7645" w:rsidRPr="00571411" w:rsidRDefault="001C7645" w:rsidP="000C470D">
            <w:pPr>
              <w:jc w:val="center"/>
              <w:rPr>
                <w:b/>
                <w:color w:val="FFFFFF" w:themeColor="background1"/>
                <w:sz w:val="20"/>
                <w:szCs w:val="20"/>
              </w:rPr>
            </w:pPr>
            <w:r w:rsidRPr="00571411">
              <w:rPr>
                <w:b/>
                <w:color w:val="FFFFFF" w:themeColor="background1"/>
                <w:sz w:val="20"/>
                <w:szCs w:val="20"/>
              </w:rPr>
              <w:t>(v %)</w:t>
            </w:r>
          </w:p>
        </w:tc>
      </w:tr>
      <w:tr w:rsidR="001C7645" w:rsidRPr="00571411" w14:paraId="6A7DB111" w14:textId="77777777" w:rsidTr="00C615E3">
        <w:trPr>
          <w:trHeight w:val="57"/>
          <w:tblHeader/>
        </w:trPr>
        <w:tc>
          <w:tcPr>
            <w:tcW w:w="1624"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68E5FB68" w14:textId="77777777" w:rsidR="001C7645" w:rsidRPr="00571411" w:rsidRDefault="001C7645" w:rsidP="000C470D">
            <w:pPr>
              <w:rPr>
                <w:rFonts w:eastAsia="Calibri"/>
                <w:b/>
                <w:color w:val="FFFFFF" w:themeColor="background1"/>
                <w:sz w:val="20"/>
                <w:szCs w:val="20"/>
              </w:rPr>
            </w:pPr>
          </w:p>
        </w:tc>
        <w:tc>
          <w:tcPr>
            <w:tcW w:w="692"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59EABEC3" w14:textId="77777777" w:rsidR="001C7645" w:rsidRPr="00571411" w:rsidRDefault="001C7645" w:rsidP="000C470D">
            <w:pPr>
              <w:rPr>
                <w:b/>
                <w:color w:val="FFFFFF" w:themeColor="background1"/>
                <w:sz w:val="20"/>
                <w:szCs w:val="20"/>
              </w:rPr>
            </w:pPr>
          </w:p>
        </w:tc>
        <w:tc>
          <w:tcPr>
            <w:tcW w:w="69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1DA533F5" w14:textId="77777777" w:rsidR="001C7645" w:rsidRPr="00571411" w:rsidRDefault="001C7645" w:rsidP="000C470D">
            <w:pPr>
              <w:jc w:val="center"/>
              <w:rPr>
                <w:b/>
                <w:color w:val="FFFFFF" w:themeColor="background1"/>
                <w:sz w:val="20"/>
                <w:szCs w:val="20"/>
              </w:rPr>
            </w:pPr>
            <w:r>
              <w:rPr>
                <w:b/>
                <w:color w:val="FFFFFF" w:themeColor="background1"/>
                <w:sz w:val="20"/>
                <w:szCs w:val="20"/>
              </w:rPr>
              <w:t>2019</w:t>
            </w:r>
          </w:p>
        </w:tc>
        <w:tc>
          <w:tcPr>
            <w:tcW w:w="69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65C6EDCE" w14:textId="77777777" w:rsidR="001C7645" w:rsidRPr="00571411" w:rsidRDefault="001C7645" w:rsidP="000C470D">
            <w:pPr>
              <w:jc w:val="center"/>
              <w:rPr>
                <w:b/>
                <w:color w:val="FFFFFF" w:themeColor="background1"/>
                <w:sz w:val="20"/>
                <w:szCs w:val="20"/>
              </w:rPr>
            </w:pPr>
            <w:r>
              <w:rPr>
                <w:b/>
                <w:color w:val="FFFFFF" w:themeColor="background1"/>
                <w:sz w:val="20"/>
                <w:szCs w:val="20"/>
              </w:rPr>
              <w:t>2020</w:t>
            </w:r>
          </w:p>
        </w:tc>
        <w:tc>
          <w:tcPr>
            <w:tcW w:w="600"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B9DF3B2" w14:textId="77777777" w:rsidR="001C7645" w:rsidRPr="00571411" w:rsidRDefault="001C7645" w:rsidP="000C470D">
            <w:pPr>
              <w:rPr>
                <w:b/>
                <w:color w:val="FFFFFF" w:themeColor="background1"/>
                <w:sz w:val="20"/>
                <w:szCs w:val="20"/>
              </w:rPr>
            </w:pPr>
          </w:p>
        </w:tc>
        <w:tc>
          <w:tcPr>
            <w:tcW w:w="701" w:type="pct"/>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159AB0CF" w14:textId="77777777" w:rsidR="001C7645" w:rsidRPr="00571411" w:rsidRDefault="001C7645" w:rsidP="000C470D">
            <w:pPr>
              <w:rPr>
                <w:b/>
                <w:color w:val="FFFFFF" w:themeColor="background1"/>
                <w:sz w:val="20"/>
                <w:szCs w:val="20"/>
              </w:rPr>
            </w:pPr>
          </w:p>
        </w:tc>
      </w:tr>
      <w:tr w:rsidR="001C7645" w:rsidRPr="00571411" w14:paraId="4648E55B" w14:textId="77777777" w:rsidTr="00C615E3">
        <w:trPr>
          <w:trHeight w:val="57"/>
          <w:tblHeader/>
        </w:trPr>
        <w:tc>
          <w:tcPr>
            <w:tcW w:w="1624" w:type="pct"/>
            <w:tcBorders>
              <w:top w:val="single" w:sz="4" w:space="0" w:color="auto"/>
              <w:left w:val="single" w:sz="4" w:space="0" w:color="auto"/>
              <w:bottom w:val="single" w:sz="4" w:space="0" w:color="auto"/>
              <w:right w:val="single" w:sz="4" w:space="0" w:color="auto"/>
            </w:tcBorders>
            <w:vAlign w:val="center"/>
            <w:hideMark/>
          </w:tcPr>
          <w:p w14:paraId="72FEB808" w14:textId="77777777" w:rsidR="001C7645" w:rsidRPr="00571411" w:rsidRDefault="001C7645" w:rsidP="000C470D">
            <w:pPr>
              <w:jc w:val="center"/>
              <w:rPr>
                <w:bCs/>
                <w:sz w:val="20"/>
                <w:szCs w:val="20"/>
              </w:rPr>
            </w:pPr>
            <w:r w:rsidRPr="00571411">
              <w:rPr>
                <w:bCs/>
                <w:sz w:val="20"/>
                <w:szCs w:val="20"/>
              </w:rPr>
              <w:t>a</w:t>
            </w:r>
          </w:p>
        </w:tc>
        <w:tc>
          <w:tcPr>
            <w:tcW w:w="692" w:type="pct"/>
            <w:tcBorders>
              <w:top w:val="single" w:sz="4" w:space="0" w:color="auto"/>
              <w:left w:val="single" w:sz="4" w:space="0" w:color="auto"/>
              <w:bottom w:val="single" w:sz="4" w:space="0" w:color="auto"/>
              <w:right w:val="single" w:sz="4" w:space="0" w:color="auto"/>
            </w:tcBorders>
            <w:hideMark/>
          </w:tcPr>
          <w:p w14:paraId="30E70976" w14:textId="77777777" w:rsidR="001C7645" w:rsidRPr="00571411" w:rsidRDefault="001C7645" w:rsidP="000C470D">
            <w:pPr>
              <w:jc w:val="center"/>
              <w:rPr>
                <w:sz w:val="20"/>
                <w:szCs w:val="20"/>
              </w:rPr>
            </w:pPr>
            <w:r w:rsidRPr="00571411">
              <w:rPr>
                <w:sz w:val="20"/>
                <w:szCs w:val="20"/>
              </w:rPr>
              <w:t>1</w:t>
            </w:r>
          </w:p>
        </w:tc>
        <w:tc>
          <w:tcPr>
            <w:tcW w:w="692" w:type="pct"/>
            <w:tcBorders>
              <w:top w:val="single" w:sz="4" w:space="0" w:color="auto"/>
              <w:left w:val="single" w:sz="4" w:space="0" w:color="auto"/>
              <w:bottom w:val="single" w:sz="4" w:space="0" w:color="auto"/>
              <w:right w:val="single" w:sz="4" w:space="0" w:color="auto"/>
            </w:tcBorders>
            <w:hideMark/>
          </w:tcPr>
          <w:p w14:paraId="2A62C5C4" w14:textId="77777777" w:rsidR="001C7645" w:rsidRPr="00571411" w:rsidRDefault="001C7645" w:rsidP="000C470D">
            <w:pPr>
              <w:jc w:val="center"/>
              <w:rPr>
                <w:sz w:val="20"/>
                <w:szCs w:val="20"/>
              </w:rPr>
            </w:pPr>
            <w:r w:rsidRPr="00571411">
              <w:rPr>
                <w:sz w:val="20"/>
                <w:szCs w:val="20"/>
              </w:rPr>
              <w:t>2</w:t>
            </w:r>
          </w:p>
        </w:tc>
        <w:tc>
          <w:tcPr>
            <w:tcW w:w="692" w:type="pct"/>
            <w:tcBorders>
              <w:top w:val="single" w:sz="4" w:space="0" w:color="auto"/>
              <w:left w:val="single" w:sz="4" w:space="0" w:color="auto"/>
              <w:bottom w:val="single" w:sz="4" w:space="0" w:color="auto"/>
              <w:right w:val="single" w:sz="4" w:space="0" w:color="auto"/>
            </w:tcBorders>
            <w:hideMark/>
          </w:tcPr>
          <w:p w14:paraId="2A49B823" w14:textId="77777777" w:rsidR="001C7645" w:rsidRPr="00571411" w:rsidRDefault="001C7645" w:rsidP="000C470D">
            <w:pPr>
              <w:jc w:val="center"/>
              <w:rPr>
                <w:sz w:val="20"/>
                <w:szCs w:val="20"/>
              </w:rPr>
            </w:pPr>
            <w:r w:rsidRPr="00571411">
              <w:rPr>
                <w:sz w:val="20"/>
                <w:szCs w:val="20"/>
              </w:rPr>
              <w:t>3</w:t>
            </w:r>
          </w:p>
        </w:tc>
        <w:tc>
          <w:tcPr>
            <w:tcW w:w="600" w:type="pct"/>
            <w:tcBorders>
              <w:top w:val="single" w:sz="4" w:space="0" w:color="auto"/>
              <w:left w:val="single" w:sz="4" w:space="0" w:color="auto"/>
              <w:bottom w:val="single" w:sz="4" w:space="0" w:color="auto"/>
              <w:right w:val="single" w:sz="4" w:space="0" w:color="auto"/>
            </w:tcBorders>
            <w:hideMark/>
          </w:tcPr>
          <w:p w14:paraId="6929D893" w14:textId="77777777" w:rsidR="001C7645" w:rsidRPr="00571411" w:rsidRDefault="001C7645" w:rsidP="000C470D">
            <w:pPr>
              <w:jc w:val="center"/>
              <w:rPr>
                <w:sz w:val="20"/>
                <w:szCs w:val="20"/>
              </w:rPr>
            </w:pPr>
            <w:r w:rsidRPr="00571411">
              <w:rPr>
                <w:sz w:val="20"/>
                <w:szCs w:val="20"/>
              </w:rPr>
              <w:t>3-2</w:t>
            </w:r>
          </w:p>
        </w:tc>
        <w:tc>
          <w:tcPr>
            <w:tcW w:w="701" w:type="pct"/>
            <w:tcBorders>
              <w:top w:val="single" w:sz="4" w:space="0" w:color="auto"/>
              <w:left w:val="single" w:sz="4" w:space="0" w:color="auto"/>
              <w:bottom w:val="single" w:sz="4" w:space="0" w:color="auto"/>
              <w:right w:val="single" w:sz="4" w:space="0" w:color="auto"/>
            </w:tcBorders>
            <w:hideMark/>
          </w:tcPr>
          <w:p w14:paraId="056672A5" w14:textId="77777777" w:rsidR="001C7645" w:rsidRPr="00571411" w:rsidRDefault="001C7645" w:rsidP="000C470D">
            <w:pPr>
              <w:jc w:val="center"/>
              <w:rPr>
                <w:sz w:val="20"/>
                <w:szCs w:val="20"/>
              </w:rPr>
            </w:pPr>
            <w:r w:rsidRPr="00571411">
              <w:rPr>
                <w:sz w:val="20"/>
                <w:szCs w:val="20"/>
              </w:rPr>
              <w:t>3/2*100</w:t>
            </w:r>
          </w:p>
        </w:tc>
      </w:tr>
      <w:tr w:rsidR="001C7645" w:rsidRPr="00571411" w14:paraId="00E85941"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39D7C" w14:textId="77777777" w:rsidR="001C7645" w:rsidRPr="00571411" w:rsidRDefault="001C7645" w:rsidP="000C470D">
            <w:pPr>
              <w:rPr>
                <w:b/>
                <w:bCs/>
                <w:sz w:val="20"/>
                <w:szCs w:val="20"/>
              </w:rPr>
            </w:pPr>
            <w:r w:rsidRPr="00571411">
              <w:rPr>
                <w:b/>
                <w:bCs/>
                <w:sz w:val="20"/>
                <w:szCs w:val="20"/>
              </w:rPr>
              <w:t>Príjmy obcí spolu</w:t>
            </w:r>
          </w:p>
        </w:tc>
        <w:tc>
          <w:tcPr>
            <w:tcW w:w="692" w:type="pct"/>
            <w:hideMark/>
          </w:tcPr>
          <w:p w14:paraId="3B0D9E8D" w14:textId="77777777" w:rsidR="001C7645" w:rsidRPr="00571411" w:rsidRDefault="001C7645" w:rsidP="000C470D">
            <w:pPr>
              <w:jc w:val="right"/>
              <w:rPr>
                <w:b/>
                <w:sz w:val="20"/>
                <w:szCs w:val="20"/>
              </w:rPr>
            </w:pPr>
            <w:r w:rsidRPr="00571411">
              <w:rPr>
                <w:b/>
                <w:sz w:val="20"/>
                <w:szCs w:val="20"/>
              </w:rPr>
              <w:t xml:space="preserve">5 251 416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84E7C" w14:textId="77777777" w:rsidR="001C7645" w:rsidRPr="00571411" w:rsidRDefault="001C7645" w:rsidP="000C470D">
            <w:pPr>
              <w:jc w:val="right"/>
              <w:rPr>
                <w:b/>
                <w:bCs/>
                <w:sz w:val="20"/>
                <w:szCs w:val="20"/>
              </w:rPr>
            </w:pPr>
            <w:r w:rsidRPr="00571411">
              <w:rPr>
                <w:b/>
                <w:bCs/>
                <w:sz w:val="20"/>
                <w:szCs w:val="20"/>
              </w:rPr>
              <w:t>4 743 170</w:t>
            </w:r>
          </w:p>
        </w:tc>
        <w:tc>
          <w:tcPr>
            <w:tcW w:w="692" w:type="pct"/>
          </w:tcPr>
          <w:p w14:paraId="4C37948F" w14:textId="77777777" w:rsidR="001C7645" w:rsidRPr="00571411" w:rsidRDefault="001C7645" w:rsidP="000C470D">
            <w:pPr>
              <w:jc w:val="right"/>
              <w:rPr>
                <w:b/>
                <w:sz w:val="20"/>
                <w:szCs w:val="20"/>
              </w:rPr>
            </w:pPr>
            <w:r w:rsidRPr="00571411">
              <w:rPr>
                <w:b/>
                <w:sz w:val="20"/>
                <w:szCs w:val="20"/>
              </w:rPr>
              <w:t xml:space="preserve">5 029 444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AFD8E" w14:textId="77777777" w:rsidR="001C7645" w:rsidRPr="00996A45" w:rsidRDefault="001C7645" w:rsidP="000C470D">
            <w:pPr>
              <w:jc w:val="right"/>
              <w:rPr>
                <w:b/>
                <w:sz w:val="20"/>
                <w:szCs w:val="20"/>
              </w:rPr>
            </w:pPr>
            <w:r w:rsidRPr="00996A45">
              <w:rPr>
                <w:b/>
                <w:sz w:val="20"/>
                <w:szCs w:val="20"/>
              </w:rPr>
              <w:t>286 274</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EDEEA0" w14:textId="77777777" w:rsidR="001C7645" w:rsidRPr="00996A45" w:rsidRDefault="001C7645" w:rsidP="000C470D">
            <w:pPr>
              <w:jc w:val="right"/>
              <w:rPr>
                <w:b/>
                <w:sz w:val="20"/>
                <w:szCs w:val="20"/>
              </w:rPr>
            </w:pPr>
            <w:r w:rsidRPr="00996A45">
              <w:rPr>
                <w:b/>
                <w:sz w:val="20"/>
                <w:szCs w:val="20"/>
              </w:rPr>
              <w:t>106</w:t>
            </w:r>
          </w:p>
        </w:tc>
      </w:tr>
      <w:tr w:rsidR="001C7645" w:rsidRPr="00571411" w14:paraId="6BC47221"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B4C004" w14:textId="77777777" w:rsidR="001C7645" w:rsidRPr="00571411" w:rsidRDefault="001C7645" w:rsidP="000C470D">
            <w:pPr>
              <w:rPr>
                <w:i/>
                <w:sz w:val="20"/>
                <w:szCs w:val="20"/>
              </w:rPr>
            </w:pPr>
            <w:r w:rsidRPr="00571411">
              <w:rPr>
                <w:i/>
                <w:sz w:val="20"/>
                <w:szCs w:val="20"/>
              </w:rPr>
              <w:t>z toho:</w:t>
            </w:r>
          </w:p>
        </w:tc>
        <w:tc>
          <w:tcPr>
            <w:tcW w:w="692" w:type="pct"/>
            <w:hideMark/>
          </w:tcPr>
          <w:p w14:paraId="6D375C80" w14:textId="77777777" w:rsidR="001C7645" w:rsidRPr="00571411" w:rsidRDefault="001C7645" w:rsidP="000C470D">
            <w:pPr>
              <w:jc w:val="right"/>
              <w:rPr>
                <w:sz w:val="20"/>
                <w:szCs w:val="2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49A66" w14:textId="77777777" w:rsidR="001C7645" w:rsidRPr="00571411" w:rsidRDefault="001C7645" w:rsidP="000C470D">
            <w:pPr>
              <w:jc w:val="right"/>
              <w:rPr>
                <w:sz w:val="20"/>
                <w:szCs w:val="20"/>
              </w:rPr>
            </w:pPr>
          </w:p>
        </w:tc>
        <w:tc>
          <w:tcPr>
            <w:tcW w:w="692" w:type="pct"/>
          </w:tcPr>
          <w:p w14:paraId="00043DA9" w14:textId="77777777" w:rsidR="001C7645" w:rsidRPr="00571411" w:rsidRDefault="001C7645" w:rsidP="000C470D">
            <w:pPr>
              <w:jc w:val="right"/>
              <w:rPr>
                <w:sz w:val="20"/>
                <w:szCs w:val="20"/>
              </w:rPr>
            </w:pP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E2096" w14:textId="77777777" w:rsidR="001C7645" w:rsidRPr="00571411" w:rsidRDefault="001C7645" w:rsidP="000C470D">
            <w:pPr>
              <w:jc w:val="right"/>
              <w:rPr>
                <w:sz w:val="20"/>
                <w:szCs w:val="20"/>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F4EA11" w14:textId="77777777" w:rsidR="001C7645" w:rsidRPr="00571411" w:rsidRDefault="001C7645" w:rsidP="000C470D">
            <w:pPr>
              <w:jc w:val="right"/>
              <w:rPr>
                <w:sz w:val="20"/>
                <w:szCs w:val="20"/>
              </w:rPr>
            </w:pPr>
          </w:p>
        </w:tc>
      </w:tr>
      <w:tr w:rsidR="001C7645" w:rsidRPr="00571411" w14:paraId="50D62500"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B41AA" w14:textId="77777777" w:rsidR="001C7645" w:rsidRPr="00571411" w:rsidRDefault="001C7645" w:rsidP="000C470D">
            <w:pPr>
              <w:pStyle w:val="Odsekzoznamu"/>
              <w:numPr>
                <w:ilvl w:val="0"/>
                <w:numId w:val="12"/>
              </w:numPr>
              <w:rPr>
                <w:sz w:val="20"/>
                <w:szCs w:val="20"/>
              </w:rPr>
            </w:pPr>
            <w:r w:rsidRPr="00571411">
              <w:rPr>
                <w:sz w:val="20"/>
                <w:szCs w:val="20"/>
              </w:rPr>
              <w:t>daňové príjmy</w:t>
            </w:r>
          </w:p>
        </w:tc>
        <w:tc>
          <w:tcPr>
            <w:tcW w:w="692" w:type="pct"/>
            <w:hideMark/>
          </w:tcPr>
          <w:p w14:paraId="49F30354" w14:textId="77777777" w:rsidR="001C7645" w:rsidRPr="00571411" w:rsidRDefault="001C7645" w:rsidP="000C470D">
            <w:pPr>
              <w:jc w:val="right"/>
              <w:rPr>
                <w:sz w:val="20"/>
                <w:szCs w:val="20"/>
              </w:rPr>
            </w:pPr>
            <w:r w:rsidRPr="00571411">
              <w:rPr>
                <w:sz w:val="20"/>
                <w:szCs w:val="20"/>
              </w:rPr>
              <w:t xml:space="preserve">2 567 009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38EED" w14:textId="77777777" w:rsidR="001C7645" w:rsidRPr="00571411" w:rsidRDefault="001C7645" w:rsidP="000C470D">
            <w:pPr>
              <w:jc w:val="right"/>
              <w:rPr>
                <w:sz w:val="20"/>
                <w:szCs w:val="20"/>
              </w:rPr>
            </w:pPr>
            <w:r w:rsidRPr="00571411">
              <w:rPr>
                <w:sz w:val="20"/>
                <w:szCs w:val="20"/>
              </w:rPr>
              <w:t>2 753 062</w:t>
            </w:r>
          </w:p>
        </w:tc>
        <w:tc>
          <w:tcPr>
            <w:tcW w:w="692" w:type="pct"/>
          </w:tcPr>
          <w:p w14:paraId="711ED2AA" w14:textId="77777777" w:rsidR="001C7645" w:rsidRPr="00571411" w:rsidRDefault="001C7645" w:rsidP="000C470D">
            <w:pPr>
              <w:jc w:val="right"/>
              <w:rPr>
                <w:sz w:val="20"/>
                <w:szCs w:val="20"/>
              </w:rPr>
            </w:pPr>
            <w:r w:rsidRPr="00571411">
              <w:rPr>
                <w:sz w:val="20"/>
                <w:szCs w:val="20"/>
              </w:rPr>
              <w:t xml:space="preserve">2 850 863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4C948" w14:textId="77777777" w:rsidR="001C7645" w:rsidRPr="00571411" w:rsidRDefault="001C7645" w:rsidP="000C470D">
            <w:pPr>
              <w:jc w:val="right"/>
              <w:rPr>
                <w:sz w:val="20"/>
                <w:szCs w:val="20"/>
              </w:rPr>
            </w:pPr>
            <w:r w:rsidRPr="00571411">
              <w:rPr>
                <w:sz w:val="20"/>
                <w:szCs w:val="20"/>
              </w:rPr>
              <w:t>97</w:t>
            </w:r>
            <w:r>
              <w:rPr>
                <w:sz w:val="20"/>
                <w:szCs w:val="20"/>
              </w:rPr>
              <w:t xml:space="preserve"> </w:t>
            </w:r>
            <w:r w:rsidRPr="00571411">
              <w:rPr>
                <w:sz w:val="20"/>
                <w:szCs w:val="20"/>
              </w:rPr>
              <w:t>801</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A9D01" w14:textId="77777777" w:rsidR="001C7645" w:rsidRPr="00571411" w:rsidRDefault="001C7645" w:rsidP="000C470D">
            <w:pPr>
              <w:jc w:val="right"/>
              <w:rPr>
                <w:sz w:val="20"/>
                <w:szCs w:val="20"/>
              </w:rPr>
            </w:pPr>
            <w:r w:rsidRPr="00571411">
              <w:rPr>
                <w:sz w:val="20"/>
                <w:szCs w:val="20"/>
              </w:rPr>
              <w:t>103,6</w:t>
            </w:r>
          </w:p>
        </w:tc>
      </w:tr>
      <w:tr w:rsidR="001C7645" w:rsidRPr="00571411" w14:paraId="3439F553"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5651BC" w14:textId="77777777" w:rsidR="001C7645" w:rsidRPr="00571411" w:rsidRDefault="001C7645" w:rsidP="000C470D">
            <w:pPr>
              <w:pStyle w:val="Odsekzoznamu"/>
              <w:numPr>
                <w:ilvl w:val="0"/>
                <w:numId w:val="12"/>
              </w:numPr>
              <w:rPr>
                <w:sz w:val="20"/>
                <w:szCs w:val="20"/>
              </w:rPr>
            </w:pPr>
            <w:r w:rsidRPr="00571411">
              <w:rPr>
                <w:sz w:val="20"/>
                <w:szCs w:val="20"/>
              </w:rPr>
              <w:t>nedaňové príjmy</w:t>
            </w:r>
          </w:p>
        </w:tc>
        <w:tc>
          <w:tcPr>
            <w:tcW w:w="692" w:type="pct"/>
            <w:hideMark/>
          </w:tcPr>
          <w:p w14:paraId="048A5FE2" w14:textId="77777777" w:rsidR="001C7645" w:rsidRPr="00571411" w:rsidRDefault="001C7645" w:rsidP="000C470D">
            <w:pPr>
              <w:jc w:val="right"/>
              <w:rPr>
                <w:sz w:val="20"/>
                <w:szCs w:val="20"/>
              </w:rPr>
            </w:pPr>
            <w:r w:rsidRPr="00571411">
              <w:rPr>
                <w:sz w:val="20"/>
                <w:szCs w:val="20"/>
              </w:rPr>
              <w:t xml:space="preserve">585 330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D18A0" w14:textId="77777777" w:rsidR="001C7645" w:rsidRPr="00571411" w:rsidRDefault="001C7645" w:rsidP="000C470D">
            <w:pPr>
              <w:jc w:val="right"/>
              <w:rPr>
                <w:sz w:val="20"/>
                <w:szCs w:val="20"/>
              </w:rPr>
            </w:pPr>
            <w:r w:rsidRPr="00571411">
              <w:rPr>
                <w:sz w:val="20"/>
                <w:szCs w:val="20"/>
              </w:rPr>
              <w:t>600 000</w:t>
            </w:r>
          </w:p>
        </w:tc>
        <w:tc>
          <w:tcPr>
            <w:tcW w:w="692" w:type="pct"/>
          </w:tcPr>
          <w:p w14:paraId="7EF67C73" w14:textId="77777777" w:rsidR="001C7645" w:rsidRPr="00571411" w:rsidRDefault="001C7645" w:rsidP="000C470D">
            <w:pPr>
              <w:jc w:val="right"/>
              <w:rPr>
                <w:sz w:val="20"/>
                <w:szCs w:val="20"/>
              </w:rPr>
            </w:pPr>
            <w:r w:rsidRPr="00571411">
              <w:rPr>
                <w:sz w:val="20"/>
                <w:szCs w:val="20"/>
              </w:rPr>
              <w:t xml:space="preserve">590 000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14F2C" w14:textId="77777777" w:rsidR="001C7645" w:rsidRPr="00571411" w:rsidRDefault="001C7645" w:rsidP="000C470D">
            <w:pPr>
              <w:jc w:val="right"/>
              <w:rPr>
                <w:sz w:val="20"/>
                <w:szCs w:val="20"/>
              </w:rPr>
            </w:pPr>
            <w:r w:rsidRPr="00571411">
              <w:rPr>
                <w:sz w:val="20"/>
                <w:szCs w:val="20"/>
              </w:rPr>
              <w:t>-10</w:t>
            </w:r>
            <w:r>
              <w:rPr>
                <w:sz w:val="20"/>
                <w:szCs w:val="20"/>
              </w:rPr>
              <w:t xml:space="preserve"> </w:t>
            </w:r>
            <w:r w:rsidRPr="00571411">
              <w:rPr>
                <w:sz w:val="20"/>
                <w:szCs w:val="20"/>
              </w:rPr>
              <w:t>000</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72D84" w14:textId="77777777" w:rsidR="001C7645" w:rsidRPr="00571411" w:rsidRDefault="001C7645" w:rsidP="000C470D">
            <w:pPr>
              <w:jc w:val="right"/>
              <w:rPr>
                <w:sz w:val="20"/>
                <w:szCs w:val="20"/>
              </w:rPr>
            </w:pPr>
            <w:r w:rsidRPr="00571411">
              <w:rPr>
                <w:sz w:val="20"/>
                <w:szCs w:val="20"/>
              </w:rPr>
              <w:t>98,3</w:t>
            </w:r>
          </w:p>
        </w:tc>
      </w:tr>
      <w:tr w:rsidR="001C7645" w:rsidRPr="00571411" w14:paraId="64ADC952"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538DC" w14:textId="77777777" w:rsidR="001C7645" w:rsidRPr="00571411" w:rsidRDefault="001C7645" w:rsidP="000C470D">
            <w:pPr>
              <w:pStyle w:val="Odsekzoznamu"/>
              <w:numPr>
                <w:ilvl w:val="0"/>
                <w:numId w:val="12"/>
              </w:numPr>
              <w:rPr>
                <w:sz w:val="20"/>
                <w:szCs w:val="20"/>
              </w:rPr>
            </w:pPr>
            <w:r w:rsidRPr="00571411">
              <w:rPr>
                <w:sz w:val="20"/>
                <w:szCs w:val="20"/>
              </w:rPr>
              <w:t>granty a transfery</w:t>
            </w:r>
          </w:p>
        </w:tc>
        <w:tc>
          <w:tcPr>
            <w:tcW w:w="692" w:type="pct"/>
            <w:hideMark/>
          </w:tcPr>
          <w:p w14:paraId="47E3233E" w14:textId="77777777" w:rsidR="001C7645" w:rsidRPr="00571411" w:rsidRDefault="001C7645" w:rsidP="000C470D">
            <w:pPr>
              <w:jc w:val="right"/>
              <w:rPr>
                <w:sz w:val="20"/>
                <w:szCs w:val="20"/>
              </w:rPr>
            </w:pPr>
            <w:r w:rsidRPr="00571411">
              <w:rPr>
                <w:sz w:val="20"/>
                <w:szCs w:val="20"/>
              </w:rPr>
              <w:t xml:space="preserve">1 532 764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BDAC3" w14:textId="77777777" w:rsidR="001C7645" w:rsidRPr="00571411" w:rsidRDefault="001C7645" w:rsidP="000C470D">
            <w:pPr>
              <w:jc w:val="right"/>
              <w:rPr>
                <w:sz w:val="20"/>
                <w:szCs w:val="20"/>
              </w:rPr>
            </w:pPr>
            <w:r w:rsidRPr="00571411">
              <w:rPr>
                <w:sz w:val="20"/>
                <w:szCs w:val="20"/>
              </w:rPr>
              <w:t>1 050 108</w:t>
            </w:r>
          </w:p>
        </w:tc>
        <w:tc>
          <w:tcPr>
            <w:tcW w:w="692" w:type="pct"/>
          </w:tcPr>
          <w:p w14:paraId="7A94517D" w14:textId="77777777" w:rsidR="001C7645" w:rsidRPr="00571411" w:rsidRDefault="001C7645" w:rsidP="000C470D">
            <w:pPr>
              <w:jc w:val="right"/>
              <w:rPr>
                <w:sz w:val="20"/>
                <w:szCs w:val="20"/>
              </w:rPr>
            </w:pPr>
            <w:r w:rsidRPr="00571411">
              <w:rPr>
                <w:sz w:val="20"/>
                <w:szCs w:val="20"/>
              </w:rPr>
              <w:t xml:space="preserve">1 248 581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722EB" w14:textId="77777777" w:rsidR="001C7645" w:rsidRPr="00571411" w:rsidRDefault="001C7645" w:rsidP="000C470D">
            <w:pPr>
              <w:jc w:val="right"/>
              <w:rPr>
                <w:sz w:val="20"/>
                <w:szCs w:val="20"/>
              </w:rPr>
            </w:pPr>
            <w:r w:rsidRPr="00571411">
              <w:rPr>
                <w:sz w:val="20"/>
                <w:szCs w:val="20"/>
              </w:rPr>
              <w:t>198</w:t>
            </w:r>
            <w:r>
              <w:rPr>
                <w:sz w:val="20"/>
                <w:szCs w:val="20"/>
              </w:rPr>
              <w:t xml:space="preserve"> </w:t>
            </w:r>
            <w:r w:rsidRPr="00571411">
              <w:rPr>
                <w:sz w:val="20"/>
                <w:szCs w:val="20"/>
              </w:rPr>
              <w:t>473</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36A9C" w14:textId="77777777" w:rsidR="001C7645" w:rsidRPr="00571411" w:rsidRDefault="001C7645" w:rsidP="000C470D">
            <w:pPr>
              <w:jc w:val="right"/>
              <w:rPr>
                <w:sz w:val="20"/>
                <w:szCs w:val="20"/>
              </w:rPr>
            </w:pPr>
            <w:r w:rsidRPr="00571411">
              <w:rPr>
                <w:sz w:val="20"/>
                <w:szCs w:val="20"/>
              </w:rPr>
              <w:t>118,9</w:t>
            </w:r>
          </w:p>
        </w:tc>
      </w:tr>
      <w:tr w:rsidR="001C7645" w:rsidRPr="00571411" w14:paraId="19559301"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114925" w14:textId="77777777" w:rsidR="001C7645" w:rsidRPr="00571411" w:rsidRDefault="001C7645" w:rsidP="000C470D">
            <w:pPr>
              <w:pStyle w:val="Odsekzoznamu"/>
              <w:numPr>
                <w:ilvl w:val="0"/>
                <w:numId w:val="12"/>
              </w:numPr>
              <w:rPr>
                <w:sz w:val="20"/>
                <w:szCs w:val="20"/>
              </w:rPr>
            </w:pPr>
            <w:r w:rsidRPr="00571411">
              <w:rPr>
                <w:sz w:val="20"/>
                <w:szCs w:val="20"/>
              </w:rPr>
              <w:t>finančné operácie</w:t>
            </w:r>
          </w:p>
        </w:tc>
        <w:tc>
          <w:tcPr>
            <w:tcW w:w="692" w:type="pct"/>
            <w:hideMark/>
          </w:tcPr>
          <w:p w14:paraId="04300209" w14:textId="77777777" w:rsidR="001C7645" w:rsidRPr="00571411" w:rsidRDefault="001C7645" w:rsidP="000C470D">
            <w:pPr>
              <w:jc w:val="right"/>
              <w:rPr>
                <w:sz w:val="20"/>
                <w:szCs w:val="20"/>
              </w:rPr>
            </w:pPr>
            <w:r w:rsidRPr="00571411">
              <w:rPr>
                <w:sz w:val="20"/>
                <w:szCs w:val="20"/>
              </w:rPr>
              <w:t xml:space="preserve">566 313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AD4D5" w14:textId="77777777" w:rsidR="001C7645" w:rsidRPr="00571411" w:rsidRDefault="001C7645" w:rsidP="000C470D">
            <w:pPr>
              <w:jc w:val="right"/>
              <w:rPr>
                <w:sz w:val="20"/>
                <w:szCs w:val="20"/>
              </w:rPr>
            </w:pPr>
            <w:r w:rsidRPr="00571411">
              <w:rPr>
                <w:sz w:val="20"/>
                <w:szCs w:val="20"/>
              </w:rPr>
              <w:t>340 000</w:t>
            </w:r>
          </w:p>
        </w:tc>
        <w:tc>
          <w:tcPr>
            <w:tcW w:w="692" w:type="pct"/>
          </w:tcPr>
          <w:p w14:paraId="4053C6BF" w14:textId="77777777" w:rsidR="001C7645" w:rsidRPr="00571411" w:rsidRDefault="001C7645" w:rsidP="000C470D">
            <w:pPr>
              <w:jc w:val="right"/>
              <w:rPr>
                <w:sz w:val="20"/>
                <w:szCs w:val="20"/>
              </w:rPr>
            </w:pPr>
            <w:r w:rsidRPr="00571411">
              <w:rPr>
                <w:sz w:val="20"/>
                <w:szCs w:val="20"/>
              </w:rPr>
              <w:t xml:space="preserve">340 000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FC5F48" w14:textId="77777777" w:rsidR="001C7645" w:rsidRPr="00571411" w:rsidRDefault="001C7645" w:rsidP="000C470D">
            <w:pPr>
              <w:jc w:val="right"/>
              <w:rPr>
                <w:sz w:val="20"/>
                <w:szCs w:val="20"/>
              </w:rPr>
            </w:pPr>
            <w:r w:rsidRPr="00571411">
              <w:rPr>
                <w:sz w:val="20"/>
                <w:szCs w:val="20"/>
              </w:rPr>
              <w:t>0</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03B74" w14:textId="77777777" w:rsidR="001C7645" w:rsidRPr="00571411" w:rsidRDefault="001C7645" w:rsidP="000C470D">
            <w:pPr>
              <w:jc w:val="right"/>
              <w:rPr>
                <w:sz w:val="20"/>
                <w:szCs w:val="20"/>
              </w:rPr>
            </w:pPr>
            <w:r>
              <w:rPr>
                <w:sz w:val="20"/>
                <w:szCs w:val="20"/>
              </w:rPr>
              <w:t>100</w:t>
            </w:r>
          </w:p>
        </w:tc>
      </w:tr>
      <w:tr w:rsidR="001C7645" w:rsidRPr="00571411" w14:paraId="2F26AFDA"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F55A3E" w14:textId="77777777" w:rsidR="001C7645" w:rsidRPr="00571411" w:rsidRDefault="001C7645" w:rsidP="000C470D">
            <w:pPr>
              <w:rPr>
                <w:i/>
                <w:sz w:val="20"/>
                <w:szCs w:val="20"/>
              </w:rPr>
            </w:pPr>
            <w:r w:rsidRPr="00571411">
              <w:rPr>
                <w:i/>
                <w:sz w:val="20"/>
                <w:szCs w:val="20"/>
              </w:rPr>
              <w:t>z toho:</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93BDF0" w14:textId="77777777" w:rsidR="001C7645" w:rsidRPr="00571411" w:rsidRDefault="001C7645" w:rsidP="000C470D">
            <w:pPr>
              <w:jc w:val="right"/>
              <w:rPr>
                <w:sz w:val="20"/>
                <w:szCs w:val="20"/>
              </w:rPr>
            </w:pPr>
            <w:r w:rsidRPr="00571411">
              <w:rPr>
                <w:sz w:val="20"/>
                <w:szCs w:val="20"/>
              </w:rPr>
              <w:t>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A699E" w14:textId="77777777" w:rsidR="001C7645" w:rsidRPr="00571411" w:rsidRDefault="001C7645" w:rsidP="000C470D">
            <w:pPr>
              <w:jc w:val="right"/>
              <w:rPr>
                <w:sz w:val="20"/>
                <w:szCs w:val="20"/>
              </w:rPr>
            </w:pPr>
          </w:p>
        </w:tc>
        <w:tc>
          <w:tcPr>
            <w:tcW w:w="692" w:type="pct"/>
          </w:tcPr>
          <w:p w14:paraId="62E2C38A" w14:textId="77777777" w:rsidR="001C7645" w:rsidRPr="00571411" w:rsidRDefault="001C7645" w:rsidP="000C470D">
            <w:pPr>
              <w:jc w:val="right"/>
              <w:rPr>
                <w:sz w:val="20"/>
                <w:szCs w:val="20"/>
              </w:rPr>
            </w:pP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4699D" w14:textId="77777777" w:rsidR="001C7645" w:rsidRPr="00571411" w:rsidRDefault="001C7645" w:rsidP="000C470D">
            <w:pPr>
              <w:jc w:val="right"/>
              <w:rPr>
                <w:sz w:val="20"/>
                <w:szCs w:val="20"/>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475C3" w14:textId="77777777" w:rsidR="001C7645" w:rsidRPr="00571411" w:rsidRDefault="001C7645" w:rsidP="000C470D">
            <w:pPr>
              <w:jc w:val="right"/>
              <w:rPr>
                <w:sz w:val="20"/>
                <w:szCs w:val="20"/>
              </w:rPr>
            </w:pPr>
          </w:p>
        </w:tc>
      </w:tr>
      <w:tr w:rsidR="001C7645" w:rsidRPr="00571411" w14:paraId="1C09722A"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51B54" w14:textId="77777777" w:rsidR="001C7645" w:rsidRPr="00571411" w:rsidRDefault="001C7645" w:rsidP="000C470D">
            <w:pPr>
              <w:pStyle w:val="Odsekzoznamu"/>
              <w:numPr>
                <w:ilvl w:val="0"/>
                <w:numId w:val="13"/>
              </w:numPr>
              <w:ind w:left="426"/>
              <w:rPr>
                <w:sz w:val="20"/>
                <w:szCs w:val="20"/>
              </w:rPr>
            </w:pPr>
            <w:r w:rsidRPr="00571411">
              <w:rPr>
                <w:sz w:val="20"/>
                <w:szCs w:val="20"/>
              </w:rPr>
              <w:t xml:space="preserve">zo splátok tuzemských úverov, pôžičiek s z predaja majetkových účastí </w:t>
            </w:r>
          </w:p>
        </w:tc>
        <w:tc>
          <w:tcPr>
            <w:tcW w:w="692" w:type="pct"/>
            <w:vAlign w:val="center"/>
            <w:hideMark/>
          </w:tcPr>
          <w:p w14:paraId="62665D40" w14:textId="77777777" w:rsidR="001C7645" w:rsidRPr="00571411" w:rsidRDefault="001C7645" w:rsidP="000C470D">
            <w:pPr>
              <w:jc w:val="right"/>
              <w:rPr>
                <w:sz w:val="20"/>
                <w:szCs w:val="20"/>
              </w:rPr>
            </w:pPr>
            <w:r w:rsidRPr="00571411">
              <w:rPr>
                <w:sz w:val="20"/>
                <w:szCs w:val="20"/>
              </w:rPr>
              <w:t xml:space="preserve">30 657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44448" w14:textId="77777777" w:rsidR="001C7645" w:rsidRPr="00571411" w:rsidRDefault="001C7645" w:rsidP="000C470D">
            <w:pPr>
              <w:jc w:val="right"/>
              <w:rPr>
                <w:sz w:val="20"/>
                <w:szCs w:val="20"/>
              </w:rPr>
            </w:pPr>
            <w:r w:rsidRPr="00571411">
              <w:rPr>
                <w:sz w:val="20"/>
                <w:szCs w:val="20"/>
              </w:rPr>
              <w:t>10 000</w:t>
            </w:r>
          </w:p>
        </w:tc>
        <w:tc>
          <w:tcPr>
            <w:tcW w:w="692" w:type="pct"/>
            <w:vAlign w:val="center"/>
          </w:tcPr>
          <w:p w14:paraId="008C4471" w14:textId="77777777" w:rsidR="001C7645" w:rsidRPr="00571411" w:rsidRDefault="001C7645" w:rsidP="000C470D">
            <w:pPr>
              <w:jc w:val="right"/>
              <w:rPr>
                <w:sz w:val="20"/>
                <w:szCs w:val="20"/>
              </w:rPr>
            </w:pPr>
            <w:r w:rsidRPr="00571411">
              <w:rPr>
                <w:sz w:val="20"/>
                <w:szCs w:val="20"/>
              </w:rPr>
              <w:t xml:space="preserve">10 000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A6511" w14:textId="77777777" w:rsidR="001C7645" w:rsidRPr="00571411" w:rsidRDefault="001C7645" w:rsidP="000C470D">
            <w:pPr>
              <w:jc w:val="right"/>
              <w:rPr>
                <w:sz w:val="20"/>
                <w:szCs w:val="20"/>
              </w:rPr>
            </w:pPr>
            <w:r w:rsidRPr="00571411">
              <w:rPr>
                <w:sz w:val="20"/>
                <w:szCs w:val="20"/>
              </w:rPr>
              <w:t>0</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73F1A1" w14:textId="77777777" w:rsidR="001C7645" w:rsidRPr="00571411" w:rsidRDefault="001C7645" w:rsidP="000C470D">
            <w:pPr>
              <w:jc w:val="right"/>
              <w:rPr>
                <w:sz w:val="20"/>
                <w:szCs w:val="20"/>
              </w:rPr>
            </w:pPr>
            <w:r>
              <w:rPr>
                <w:sz w:val="20"/>
                <w:szCs w:val="20"/>
              </w:rPr>
              <w:t>100</w:t>
            </w:r>
          </w:p>
        </w:tc>
      </w:tr>
      <w:tr w:rsidR="001C7645" w:rsidRPr="00571411" w14:paraId="5F0B984A"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D67B9" w14:textId="77777777" w:rsidR="001C7645" w:rsidRPr="00571411" w:rsidRDefault="001C7645" w:rsidP="000C470D">
            <w:pPr>
              <w:pStyle w:val="Odsekzoznamu"/>
              <w:numPr>
                <w:ilvl w:val="0"/>
                <w:numId w:val="13"/>
              </w:numPr>
              <w:ind w:left="426"/>
              <w:rPr>
                <w:sz w:val="20"/>
                <w:szCs w:val="20"/>
              </w:rPr>
            </w:pPr>
            <w:r w:rsidRPr="00571411">
              <w:rPr>
                <w:sz w:val="20"/>
                <w:szCs w:val="20"/>
              </w:rPr>
              <w:t>zostatok prostriedkov z </w:t>
            </w:r>
            <w:proofErr w:type="spellStart"/>
            <w:r w:rsidRPr="00571411">
              <w:rPr>
                <w:sz w:val="20"/>
                <w:szCs w:val="20"/>
              </w:rPr>
              <w:t>predch</w:t>
            </w:r>
            <w:proofErr w:type="spellEnd"/>
            <w:r w:rsidRPr="00571411">
              <w:rPr>
                <w:sz w:val="20"/>
                <w:szCs w:val="20"/>
              </w:rPr>
              <w:t>. rokov a prevod prostriedkov z peňažných fondov</w:t>
            </w:r>
          </w:p>
        </w:tc>
        <w:tc>
          <w:tcPr>
            <w:tcW w:w="692" w:type="pct"/>
            <w:vAlign w:val="center"/>
            <w:hideMark/>
          </w:tcPr>
          <w:p w14:paraId="4D30F7B7" w14:textId="77777777" w:rsidR="001C7645" w:rsidRPr="00571411" w:rsidRDefault="001C7645" w:rsidP="000C470D">
            <w:pPr>
              <w:jc w:val="right"/>
              <w:rPr>
                <w:sz w:val="20"/>
                <w:szCs w:val="20"/>
              </w:rPr>
            </w:pPr>
            <w:r w:rsidRPr="00571411">
              <w:rPr>
                <w:sz w:val="20"/>
                <w:szCs w:val="20"/>
              </w:rPr>
              <w:t xml:space="preserve">304 338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BFEF5" w14:textId="77777777" w:rsidR="001C7645" w:rsidRPr="00571411" w:rsidRDefault="001C7645" w:rsidP="000C470D">
            <w:pPr>
              <w:jc w:val="right"/>
              <w:rPr>
                <w:sz w:val="20"/>
                <w:szCs w:val="20"/>
              </w:rPr>
            </w:pPr>
            <w:r w:rsidRPr="00571411">
              <w:rPr>
                <w:sz w:val="20"/>
                <w:szCs w:val="20"/>
              </w:rPr>
              <w:t>150 000</w:t>
            </w:r>
          </w:p>
        </w:tc>
        <w:tc>
          <w:tcPr>
            <w:tcW w:w="692" w:type="pct"/>
            <w:vAlign w:val="center"/>
          </w:tcPr>
          <w:p w14:paraId="7D90EC7E" w14:textId="77777777" w:rsidR="001C7645" w:rsidRPr="00571411" w:rsidRDefault="001C7645" w:rsidP="000C470D">
            <w:pPr>
              <w:jc w:val="right"/>
              <w:rPr>
                <w:sz w:val="20"/>
                <w:szCs w:val="20"/>
              </w:rPr>
            </w:pPr>
            <w:r w:rsidRPr="00571411">
              <w:rPr>
                <w:sz w:val="20"/>
                <w:szCs w:val="20"/>
              </w:rPr>
              <w:t xml:space="preserve">170 000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DA8C4" w14:textId="77777777" w:rsidR="001C7645" w:rsidRPr="00571411" w:rsidRDefault="001C7645" w:rsidP="000C470D">
            <w:pPr>
              <w:jc w:val="right"/>
              <w:rPr>
                <w:sz w:val="20"/>
                <w:szCs w:val="20"/>
              </w:rPr>
            </w:pPr>
            <w:r w:rsidRPr="00571411">
              <w:rPr>
                <w:sz w:val="20"/>
                <w:szCs w:val="20"/>
              </w:rPr>
              <w:t>20</w:t>
            </w:r>
            <w:r>
              <w:rPr>
                <w:sz w:val="20"/>
                <w:szCs w:val="20"/>
              </w:rPr>
              <w:t xml:space="preserve"> </w:t>
            </w:r>
            <w:r w:rsidRPr="00571411">
              <w:rPr>
                <w:sz w:val="20"/>
                <w:szCs w:val="20"/>
              </w:rPr>
              <w:t>000</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03EF1" w14:textId="77777777" w:rsidR="001C7645" w:rsidRPr="00571411" w:rsidRDefault="001C7645" w:rsidP="000C470D">
            <w:pPr>
              <w:jc w:val="right"/>
              <w:rPr>
                <w:sz w:val="20"/>
                <w:szCs w:val="20"/>
              </w:rPr>
            </w:pPr>
            <w:r w:rsidRPr="00571411">
              <w:rPr>
                <w:sz w:val="20"/>
                <w:szCs w:val="20"/>
              </w:rPr>
              <w:t>113,3</w:t>
            </w:r>
          </w:p>
        </w:tc>
      </w:tr>
      <w:tr w:rsidR="001C7645" w:rsidRPr="00571411" w14:paraId="2A8ED201" w14:textId="77777777" w:rsidTr="00C615E3">
        <w:trPr>
          <w:trHeight w:val="57"/>
        </w:trPr>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DE2892" w14:textId="77777777" w:rsidR="001C7645" w:rsidRPr="00571411" w:rsidRDefault="001C7645" w:rsidP="000C470D">
            <w:pPr>
              <w:pStyle w:val="Odsekzoznamu"/>
              <w:numPr>
                <w:ilvl w:val="0"/>
                <w:numId w:val="13"/>
              </w:numPr>
              <w:ind w:left="426"/>
              <w:rPr>
                <w:sz w:val="20"/>
                <w:szCs w:val="20"/>
              </w:rPr>
            </w:pPr>
            <w:r w:rsidRPr="00571411">
              <w:rPr>
                <w:sz w:val="20"/>
                <w:szCs w:val="20"/>
              </w:rPr>
              <w:t xml:space="preserve">prijaté úvery </w:t>
            </w:r>
          </w:p>
        </w:tc>
        <w:tc>
          <w:tcPr>
            <w:tcW w:w="692" w:type="pct"/>
            <w:vAlign w:val="center"/>
            <w:hideMark/>
          </w:tcPr>
          <w:p w14:paraId="17C75324" w14:textId="77777777" w:rsidR="001C7645" w:rsidRPr="00571411" w:rsidRDefault="001C7645" w:rsidP="000C470D">
            <w:pPr>
              <w:jc w:val="right"/>
              <w:rPr>
                <w:sz w:val="20"/>
                <w:szCs w:val="20"/>
              </w:rPr>
            </w:pPr>
            <w:r w:rsidRPr="00571411">
              <w:rPr>
                <w:sz w:val="20"/>
                <w:szCs w:val="20"/>
              </w:rPr>
              <w:t xml:space="preserve">231 319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D4758" w14:textId="77777777" w:rsidR="001C7645" w:rsidRPr="00571411" w:rsidRDefault="001C7645" w:rsidP="000C470D">
            <w:pPr>
              <w:jc w:val="right"/>
              <w:rPr>
                <w:sz w:val="20"/>
                <w:szCs w:val="20"/>
              </w:rPr>
            </w:pPr>
            <w:r w:rsidRPr="00571411">
              <w:rPr>
                <w:sz w:val="20"/>
                <w:szCs w:val="20"/>
              </w:rPr>
              <w:t>180 000</w:t>
            </w:r>
          </w:p>
        </w:tc>
        <w:tc>
          <w:tcPr>
            <w:tcW w:w="692" w:type="pct"/>
            <w:vAlign w:val="center"/>
          </w:tcPr>
          <w:p w14:paraId="6236EECE" w14:textId="77777777" w:rsidR="001C7645" w:rsidRPr="00571411" w:rsidRDefault="001C7645" w:rsidP="000C470D">
            <w:pPr>
              <w:jc w:val="right"/>
              <w:rPr>
                <w:sz w:val="20"/>
                <w:szCs w:val="20"/>
              </w:rPr>
            </w:pPr>
            <w:r w:rsidRPr="00571411">
              <w:rPr>
                <w:sz w:val="20"/>
                <w:szCs w:val="20"/>
              </w:rPr>
              <w:t xml:space="preserve">160 000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744DFE" w14:textId="77777777" w:rsidR="001C7645" w:rsidRPr="00571411" w:rsidRDefault="001C7645" w:rsidP="000C470D">
            <w:pPr>
              <w:jc w:val="right"/>
              <w:rPr>
                <w:sz w:val="20"/>
                <w:szCs w:val="20"/>
              </w:rPr>
            </w:pPr>
            <w:r w:rsidRPr="00571411">
              <w:rPr>
                <w:sz w:val="20"/>
                <w:szCs w:val="20"/>
              </w:rPr>
              <w:t>-20</w:t>
            </w:r>
            <w:r>
              <w:rPr>
                <w:sz w:val="20"/>
                <w:szCs w:val="20"/>
              </w:rPr>
              <w:t xml:space="preserve"> </w:t>
            </w:r>
            <w:r w:rsidRPr="00571411">
              <w:rPr>
                <w:sz w:val="20"/>
                <w:szCs w:val="20"/>
              </w:rPr>
              <w:t>000</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0FE76" w14:textId="77777777" w:rsidR="001C7645" w:rsidRPr="00571411" w:rsidRDefault="001C7645" w:rsidP="000C470D">
            <w:pPr>
              <w:jc w:val="right"/>
              <w:rPr>
                <w:sz w:val="20"/>
                <w:szCs w:val="20"/>
              </w:rPr>
            </w:pPr>
            <w:r w:rsidRPr="00571411">
              <w:rPr>
                <w:sz w:val="20"/>
                <w:szCs w:val="20"/>
              </w:rPr>
              <w:t>88,9</w:t>
            </w:r>
          </w:p>
        </w:tc>
      </w:tr>
    </w:tbl>
    <w:p w14:paraId="441B41BC" w14:textId="77777777" w:rsidR="001C7645" w:rsidRPr="00A97AC3" w:rsidRDefault="001C7645" w:rsidP="001C7645">
      <w:pPr>
        <w:spacing w:after="120"/>
        <w:jc w:val="both"/>
        <w:rPr>
          <w:rFonts w:eastAsiaTheme="minorEastAsia"/>
          <w:i/>
          <w:sz w:val="20"/>
        </w:rPr>
      </w:pPr>
      <w:r w:rsidRPr="00A97AC3">
        <w:rPr>
          <w:rFonts w:eastAsiaTheme="minorEastAsia"/>
          <w:i/>
          <w:sz w:val="18"/>
          <w:szCs w:val="20"/>
        </w:rPr>
        <w:t>Zdroj: Návrh RVS na roky 2020 až 2022</w:t>
      </w:r>
    </w:p>
    <w:p w14:paraId="79048873" w14:textId="166B1624" w:rsidR="001C7645" w:rsidRDefault="001C7645" w:rsidP="006926C2"/>
    <w:p w14:paraId="19767839" w14:textId="469128EC" w:rsidR="001C7645" w:rsidRPr="001C7645" w:rsidRDefault="001C7645" w:rsidP="001C7645">
      <w:pPr>
        <w:jc w:val="both"/>
        <w:rPr>
          <w:b/>
        </w:rPr>
      </w:pPr>
      <w:r>
        <w:rPr>
          <w:b/>
        </w:rPr>
        <w:t>Tabuľka 4</w:t>
      </w:r>
      <w:r w:rsidRPr="00AF51B4">
        <w:rPr>
          <w:b/>
        </w:rPr>
        <w:t xml:space="preserve">: </w:t>
      </w:r>
      <w:r w:rsidRPr="001C7645">
        <w:rPr>
          <w:b/>
        </w:rPr>
        <w:t xml:space="preserve">Porovnanie návrhu rozpočtu </w:t>
      </w:r>
      <w:r>
        <w:rPr>
          <w:b/>
        </w:rPr>
        <w:t>výdavkov</w:t>
      </w:r>
      <w:r w:rsidRPr="001C7645">
        <w:rPr>
          <w:b/>
        </w:rPr>
        <w:t xml:space="preserve"> obcí na hotovostnej báze v návrhu rozpočtu na rok 2020 so schváleným rozpočtom na rok 2019 a skutočným plnením rozpočtu za rok 2018</w:t>
      </w:r>
    </w:p>
    <w:tbl>
      <w:tblPr>
        <w:tblStyle w:val="Mriekatabuky"/>
        <w:tblW w:w="5000" w:type="pct"/>
        <w:tblLook w:val="04A0" w:firstRow="1" w:lastRow="0" w:firstColumn="1" w:lastColumn="0" w:noHBand="0" w:noVBand="1"/>
      </w:tblPr>
      <w:tblGrid>
        <w:gridCol w:w="3035"/>
        <w:gridCol w:w="1293"/>
        <w:gridCol w:w="1293"/>
        <w:gridCol w:w="1293"/>
        <w:gridCol w:w="1122"/>
        <w:gridCol w:w="1310"/>
      </w:tblGrid>
      <w:tr w:rsidR="001C7645" w:rsidRPr="00862361" w14:paraId="7099BB47" w14:textId="77777777" w:rsidTr="001C7645">
        <w:trPr>
          <w:trHeight w:val="20"/>
          <w:tblHeader/>
        </w:trPr>
        <w:tc>
          <w:tcPr>
            <w:tcW w:w="1623"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4EBC8B39" w14:textId="77777777" w:rsidR="001C7645" w:rsidRPr="00862361" w:rsidRDefault="001C7645" w:rsidP="000C470D">
            <w:pPr>
              <w:jc w:val="center"/>
              <w:rPr>
                <w:rFonts w:eastAsia="Calibri"/>
                <w:b/>
                <w:bCs/>
                <w:color w:val="FFFFFF" w:themeColor="background1"/>
                <w:sz w:val="20"/>
                <w:szCs w:val="20"/>
              </w:rPr>
            </w:pPr>
            <w:r>
              <w:rPr>
                <w:rFonts w:eastAsia="Calibri"/>
                <w:b/>
                <w:bCs/>
                <w:color w:val="FFFFFF" w:themeColor="background1"/>
                <w:sz w:val="20"/>
                <w:szCs w:val="20"/>
              </w:rPr>
              <w:t>Výdavky obcí</w:t>
            </w:r>
          </w:p>
          <w:p w14:paraId="3235F4B5" w14:textId="77777777" w:rsidR="001C7645" w:rsidRPr="00862361" w:rsidRDefault="001C7645" w:rsidP="000C470D">
            <w:pPr>
              <w:jc w:val="center"/>
              <w:rPr>
                <w:rFonts w:eastAsia="Calibri"/>
                <w:b/>
                <w:color w:val="FFFFFF" w:themeColor="background1"/>
                <w:sz w:val="20"/>
                <w:szCs w:val="20"/>
              </w:rPr>
            </w:pPr>
            <w:r w:rsidRPr="00862361">
              <w:rPr>
                <w:rFonts w:eastAsia="Calibri"/>
                <w:b/>
                <w:bCs/>
                <w:color w:val="FFFFFF" w:themeColor="background1"/>
                <w:sz w:val="20"/>
                <w:szCs w:val="20"/>
              </w:rPr>
              <w:t>(v tis. eur)</w:t>
            </w:r>
          </w:p>
        </w:tc>
        <w:tc>
          <w:tcPr>
            <w:tcW w:w="692"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5AF985EA" w14:textId="77777777" w:rsidR="001C7645" w:rsidRPr="00862361" w:rsidRDefault="001C7645" w:rsidP="000C470D">
            <w:pPr>
              <w:jc w:val="center"/>
              <w:rPr>
                <w:b/>
                <w:color w:val="FFFFFF" w:themeColor="background1"/>
                <w:sz w:val="20"/>
                <w:szCs w:val="20"/>
              </w:rPr>
            </w:pPr>
            <w:r w:rsidRPr="00862361">
              <w:rPr>
                <w:b/>
                <w:color w:val="FFFFFF" w:themeColor="background1"/>
                <w:sz w:val="20"/>
                <w:szCs w:val="20"/>
              </w:rPr>
              <w:t>Skutočnosť</w:t>
            </w:r>
          </w:p>
          <w:p w14:paraId="31934AC2" w14:textId="77777777" w:rsidR="001C7645" w:rsidRPr="00862361" w:rsidRDefault="001C7645" w:rsidP="000C470D">
            <w:pPr>
              <w:jc w:val="center"/>
              <w:rPr>
                <w:b/>
                <w:color w:val="FFFFFF" w:themeColor="background1"/>
                <w:sz w:val="20"/>
                <w:szCs w:val="20"/>
              </w:rPr>
            </w:pPr>
            <w:r>
              <w:rPr>
                <w:b/>
                <w:color w:val="FFFFFF" w:themeColor="background1"/>
                <w:sz w:val="20"/>
                <w:szCs w:val="20"/>
              </w:rPr>
              <w:t>2018</w:t>
            </w:r>
          </w:p>
        </w:tc>
        <w:tc>
          <w:tcPr>
            <w:tcW w:w="1383"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7AA7CBC4" w14:textId="77777777" w:rsidR="001C7645" w:rsidRPr="00862361" w:rsidRDefault="001C7645" w:rsidP="000C470D">
            <w:pPr>
              <w:jc w:val="center"/>
              <w:rPr>
                <w:b/>
                <w:color w:val="FFFFFF" w:themeColor="background1"/>
                <w:sz w:val="20"/>
                <w:szCs w:val="20"/>
              </w:rPr>
            </w:pPr>
            <w:r w:rsidRPr="00862361">
              <w:rPr>
                <w:b/>
                <w:color w:val="FFFFFF" w:themeColor="background1"/>
                <w:sz w:val="20"/>
                <w:szCs w:val="20"/>
              </w:rPr>
              <w:t>Rozpočet</w:t>
            </w:r>
          </w:p>
        </w:tc>
        <w:tc>
          <w:tcPr>
            <w:tcW w:w="60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2410F7F" w14:textId="77777777" w:rsidR="001C7645" w:rsidRPr="00862361" w:rsidRDefault="001C7645" w:rsidP="000C470D">
            <w:pPr>
              <w:jc w:val="center"/>
              <w:rPr>
                <w:b/>
                <w:color w:val="FFFFFF" w:themeColor="background1"/>
                <w:sz w:val="20"/>
                <w:szCs w:val="20"/>
              </w:rPr>
            </w:pPr>
            <w:r w:rsidRPr="00862361">
              <w:rPr>
                <w:b/>
                <w:color w:val="FFFFFF" w:themeColor="background1"/>
                <w:sz w:val="20"/>
                <w:szCs w:val="20"/>
              </w:rPr>
              <w:t>Rozdiel</w:t>
            </w:r>
          </w:p>
        </w:tc>
        <w:tc>
          <w:tcPr>
            <w:tcW w:w="702"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64FC4730" w14:textId="77777777" w:rsidR="001C7645" w:rsidRDefault="001C7645" w:rsidP="000C470D">
            <w:pPr>
              <w:jc w:val="center"/>
              <w:rPr>
                <w:b/>
                <w:color w:val="FFFFFF" w:themeColor="background1"/>
                <w:sz w:val="20"/>
                <w:szCs w:val="20"/>
              </w:rPr>
            </w:pPr>
            <w:r w:rsidRPr="00862361">
              <w:rPr>
                <w:b/>
                <w:color w:val="FFFFFF" w:themeColor="background1"/>
                <w:sz w:val="20"/>
                <w:szCs w:val="20"/>
              </w:rPr>
              <w:t>Podiel</w:t>
            </w:r>
          </w:p>
          <w:p w14:paraId="3D43E44A" w14:textId="77777777" w:rsidR="001C7645" w:rsidRPr="00862361" w:rsidRDefault="001C7645" w:rsidP="000C470D">
            <w:pPr>
              <w:jc w:val="center"/>
              <w:rPr>
                <w:b/>
                <w:color w:val="FFFFFF" w:themeColor="background1"/>
                <w:sz w:val="20"/>
                <w:szCs w:val="20"/>
              </w:rPr>
            </w:pPr>
            <w:r w:rsidRPr="00862361">
              <w:rPr>
                <w:b/>
                <w:color w:val="FFFFFF" w:themeColor="background1"/>
                <w:sz w:val="20"/>
                <w:szCs w:val="20"/>
              </w:rPr>
              <w:t>(v %)</w:t>
            </w:r>
          </w:p>
        </w:tc>
      </w:tr>
      <w:tr w:rsidR="001C7645" w:rsidRPr="00862361" w14:paraId="160B4B46" w14:textId="77777777" w:rsidTr="001C7645">
        <w:trPr>
          <w:trHeight w:val="20"/>
          <w:tblHeader/>
        </w:trPr>
        <w:tc>
          <w:tcPr>
            <w:tcW w:w="1623"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54B28F2C" w14:textId="77777777" w:rsidR="001C7645" w:rsidRPr="00862361" w:rsidRDefault="001C7645" w:rsidP="000C470D">
            <w:pPr>
              <w:rPr>
                <w:rFonts w:eastAsia="Calibri"/>
                <w:b/>
                <w:color w:val="FFFFFF" w:themeColor="background1"/>
                <w:sz w:val="20"/>
                <w:szCs w:val="20"/>
              </w:rPr>
            </w:pPr>
          </w:p>
        </w:tc>
        <w:tc>
          <w:tcPr>
            <w:tcW w:w="692"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612B78E7" w14:textId="77777777" w:rsidR="001C7645" w:rsidRPr="00862361" w:rsidRDefault="001C7645" w:rsidP="000C470D">
            <w:pPr>
              <w:rPr>
                <w:b/>
                <w:color w:val="FFFFFF" w:themeColor="background1"/>
                <w:sz w:val="20"/>
                <w:szCs w:val="20"/>
              </w:rPr>
            </w:pPr>
          </w:p>
        </w:tc>
        <w:tc>
          <w:tcPr>
            <w:tcW w:w="69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5BCA21AA" w14:textId="77777777" w:rsidR="001C7645" w:rsidRPr="00862361" w:rsidRDefault="001C7645" w:rsidP="000C470D">
            <w:pPr>
              <w:jc w:val="center"/>
              <w:rPr>
                <w:b/>
                <w:color w:val="FFFFFF" w:themeColor="background1"/>
                <w:sz w:val="20"/>
                <w:szCs w:val="20"/>
              </w:rPr>
            </w:pPr>
            <w:r>
              <w:rPr>
                <w:b/>
                <w:color w:val="FFFFFF" w:themeColor="background1"/>
                <w:sz w:val="20"/>
                <w:szCs w:val="20"/>
              </w:rPr>
              <w:t>2019</w:t>
            </w:r>
          </w:p>
        </w:tc>
        <w:tc>
          <w:tcPr>
            <w:tcW w:w="69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747A583D" w14:textId="77777777" w:rsidR="001C7645" w:rsidRPr="00862361" w:rsidRDefault="001C7645" w:rsidP="000C470D">
            <w:pPr>
              <w:jc w:val="center"/>
              <w:rPr>
                <w:b/>
                <w:color w:val="FFFFFF" w:themeColor="background1"/>
                <w:sz w:val="20"/>
                <w:szCs w:val="20"/>
              </w:rPr>
            </w:pPr>
            <w:r>
              <w:rPr>
                <w:b/>
                <w:color w:val="FFFFFF" w:themeColor="background1"/>
                <w:sz w:val="20"/>
                <w:szCs w:val="20"/>
              </w:rPr>
              <w:t>2020</w:t>
            </w:r>
          </w:p>
        </w:tc>
        <w:tc>
          <w:tcPr>
            <w:tcW w:w="600"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4980211" w14:textId="77777777" w:rsidR="001C7645" w:rsidRPr="00862361" w:rsidRDefault="001C7645" w:rsidP="000C470D">
            <w:pPr>
              <w:rPr>
                <w:b/>
                <w:color w:val="FFFFFF" w:themeColor="background1"/>
                <w:sz w:val="20"/>
                <w:szCs w:val="20"/>
              </w:rPr>
            </w:pPr>
          </w:p>
        </w:tc>
        <w:tc>
          <w:tcPr>
            <w:tcW w:w="702" w:type="pct"/>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2693FADA" w14:textId="77777777" w:rsidR="001C7645" w:rsidRPr="00862361" w:rsidRDefault="001C7645" w:rsidP="000C470D">
            <w:pPr>
              <w:rPr>
                <w:b/>
                <w:color w:val="FFFFFF" w:themeColor="background1"/>
                <w:sz w:val="20"/>
                <w:szCs w:val="20"/>
              </w:rPr>
            </w:pPr>
          </w:p>
        </w:tc>
      </w:tr>
      <w:tr w:rsidR="001C7645" w:rsidRPr="00862361" w14:paraId="18E95B6C" w14:textId="77777777" w:rsidTr="001C7645">
        <w:trPr>
          <w:trHeight w:val="20"/>
          <w:tblHeader/>
        </w:trPr>
        <w:tc>
          <w:tcPr>
            <w:tcW w:w="1623" w:type="pct"/>
            <w:tcBorders>
              <w:top w:val="single" w:sz="4" w:space="0" w:color="auto"/>
              <w:left w:val="single" w:sz="4" w:space="0" w:color="auto"/>
              <w:bottom w:val="single" w:sz="4" w:space="0" w:color="auto"/>
              <w:right w:val="single" w:sz="4" w:space="0" w:color="auto"/>
            </w:tcBorders>
            <w:vAlign w:val="center"/>
            <w:hideMark/>
          </w:tcPr>
          <w:p w14:paraId="4A537A3F" w14:textId="77777777" w:rsidR="001C7645" w:rsidRPr="00862361" w:rsidRDefault="001C7645" w:rsidP="000C470D">
            <w:pPr>
              <w:jc w:val="center"/>
              <w:rPr>
                <w:bCs/>
                <w:sz w:val="20"/>
                <w:szCs w:val="20"/>
              </w:rPr>
            </w:pPr>
            <w:r w:rsidRPr="00862361">
              <w:rPr>
                <w:bCs/>
                <w:sz w:val="20"/>
                <w:szCs w:val="20"/>
              </w:rPr>
              <w:t>a</w:t>
            </w:r>
          </w:p>
        </w:tc>
        <w:tc>
          <w:tcPr>
            <w:tcW w:w="692" w:type="pct"/>
            <w:tcBorders>
              <w:top w:val="single" w:sz="4" w:space="0" w:color="auto"/>
              <w:left w:val="single" w:sz="4" w:space="0" w:color="auto"/>
              <w:bottom w:val="single" w:sz="4" w:space="0" w:color="auto"/>
              <w:right w:val="single" w:sz="4" w:space="0" w:color="auto"/>
            </w:tcBorders>
            <w:hideMark/>
          </w:tcPr>
          <w:p w14:paraId="7F85971A" w14:textId="77777777" w:rsidR="001C7645" w:rsidRPr="00862361" w:rsidRDefault="001C7645" w:rsidP="000C470D">
            <w:pPr>
              <w:jc w:val="center"/>
              <w:rPr>
                <w:sz w:val="20"/>
                <w:szCs w:val="20"/>
              </w:rPr>
            </w:pPr>
            <w:r w:rsidRPr="00862361">
              <w:rPr>
                <w:sz w:val="20"/>
                <w:szCs w:val="20"/>
              </w:rPr>
              <w:t>1</w:t>
            </w:r>
          </w:p>
        </w:tc>
        <w:tc>
          <w:tcPr>
            <w:tcW w:w="692" w:type="pct"/>
            <w:tcBorders>
              <w:top w:val="single" w:sz="4" w:space="0" w:color="auto"/>
              <w:left w:val="single" w:sz="4" w:space="0" w:color="auto"/>
              <w:bottom w:val="single" w:sz="4" w:space="0" w:color="auto"/>
              <w:right w:val="single" w:sz="4" w:space="0" w:color="auto"/>
            </w:tcBorders>
            <w:hideMark/>
          </w:tcPr>
          <w:p w14:paraId="4302C6F1" w14:textId="77777777" w:rsidR="001C7645" w:rsidRPr="00862361" w:rsidRDefault="001C7645" w:rsidP="000C470D">
            <w:pPr>
              <w:jc w:val="center"/>
              <w:rPr>
                <w:sz w:val="20"/>
                <w:szCs w:val="20"/>
              </w:rPr>
            </w:pPr>
            <w:r w:rsidRPr="00862361">
              <w:rPr>
                <w:sz w:val="20"/>
                <w:szCs w:val="20"/>
              </w:rPr>
              <w:t>2</w:t>
            </w:r>
          </w:p>
        </w:tc>
        <w:tc>
          <w:tcPr>
            <w:tcW w:w="692" w:type="pct"/>
            <w:tcBorders>
              <w:top w:val="single" w:sz="4" w:space="0" w:color="auto"/>
              <w:left w:val="single" w:sz="4" w:space="0" w:color="auto"/>
              <w:bottom w:val="single" w:sz="4" w:space="0" w:color="auto"/>
              <w:right w:val="single" w:sz="4" w:space="0" w:color="auto"/>
            </w:tcBorders>
            <w:hideMark/>
          </w:tcPr>
          <w:p w14:paraId="5C96E730" w14:textId="77777777" w:rsidR="001C7645" w:rsidRPr="00862361" w:rsidRDefault="001C7645" w:rsidP="000C470D">
            <w:pPr>
              <w:jc w:val="center"/>
              <w:rPr>
                <w:sz w:val="20"/>
                <w:szCs w:val="20"/>
              </w:rPr>
            </w:pPr>
            <w:r w:rsidRPr="00862361">
              <w:rPr>
                <w:sz w:val="20"/>
                <w:szCs w:val="20"/>
              </w:rPr>
              <w:t>3</w:t>
            </w:r>
          </w:p>
        </w:tc>
        <w:tc>
          <w:tcPr>
            <w:tcW w:w="600" w:type="pct"/>
            <w:tcBorders>
              <w:top w:val="single" w:sz="4" w:space="0" w:color="auto"/>
              <w:left w:val="single" w:sz="4" w:space="0" w:color="auto"/>
              <w:bottom w:val="single" w:sz="4" w:space="0" w:color="auto"/>
              <w:right w:val="single" w:sz="4" w:space="0" w:color="auto"/>
            </w:tcBorders>
            <w:hideMark/>
          </w:tcPr>
          <w:p w14:paraId="242FFBE6" w14:textId="77777777" w:rsidR="001C7645" w:rsidRPr="00862361" w:rsidRDefault="001C7645" w:rsidP="000C470D">
            <w:pPr>
              <w:jc w:val="center"/>
              <w:rPr>
                <w:sz w:val="20"/>
                <w:szCs w:val="20"/>
              </w:rPr>
            </w:pPr>
            <w:r w:rsidRPr="00862361">
              <w:rPr>
                <w:sz w:val="20"/>
                <w:szCs w:val="20"/>
              </w:rPr>
              <w:t>3-2</w:t>
            </w:r>
          </w:p>
        </w:tc>
        <w:tc>
          <w:tcPr>
            <w:tcW w:w="702" w:type="pct"/>
            <w:tcBorders>
              <w:top w:val="single" w:sz="4" w:space="0" w:color="auto"/>
              <w:left w:val="single" w:sz="4" w:space="0" w:color="auto"/>
              <w:bottom w:val="single" w:sz="4" w:space="0" w:color="auto"/>
              <w:right w:val="single" w:sz="4" w:space="0" w:color="auto"/>
            </w:tcBorders>
            <w:hideMark/>
          </w:tcPr>
          <w:p w14:paraId="5FDF69C4" w14:textId="77777777" w:rsidR="001C7645" w:rsidRPr="00862361" w:rsidRDefault="001C7645" w:rsidP="000C470D">
            <w:pPr>
              <w:jc w:val="center"/>
              <w:rPr>
                <w:sz w:val="20"/>
                <w:szCs w:val="20"/>
              </w:rPr>
            </w:pPr>
            <w:r w:rsidRPr="00862361">
              <w:rPr>
                <w:sz w:val="20"/>
                <w:szCs w:val="20"/>
              </w:rPr>
              <w:t>3/2*100</w:t>
            </w:r>
          </w:p>
        </w:tc>
      </w:tr>
      <w:tr w:rsidR="001C7645" w:rsidRPr="00862361" w14:paraId="71C1F533"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50232" w14:textId="77777777" w:rsidR="001C7645" w:rsidRPr="00862361" w:rsidRDefault="001C7645" w:rsidP="000C470D">
            <w:pPr>
              <w:rPr>
                <w:b/>
                <w:bCs/>
                <w:sz w:val="20"/>
                <w:szCs w:val="20"/>
              </w:rPr>
            </w:pPr>
            <w:r w:rsidRPr="00862361">
              <w:rPr>
                <w:b/>
                <w:bCs/>
                <w:sz w:val="20"/>
                <w:szCs w:val="20"/>
              </w:rPr>
              <w:t>Výdavky obcí spolu</w:t>
            </w:r>
          </w:p>
        </w:tc>
        <w:tc>
          <w:tcPr>
            <w:tcW w:w="692" w:type="pct"/>
            <w:vAlign w:val="center"/>
            <w:hideMark/>
          </w:tcPr>
          <w:p w14:paraId="7D120855" w14:textId="77777777" w:rsidR="001C7645" w:rsidRPr="00862361" w:rsidRDefault="001C7645" w:rsidP="000C470D">
            <w:pPr>
              <w:jc w:val="right"/>
              <w:rPr>
                <w:b/>
                <w:sz w:val="20"/>
                <w:szCs w:val="20"/>
              </w:rPr>
            </w:pPr>
            <w:r w:rsidRPr="00862361">
              <w:rPr>
                <w:b/>
                <w:sz w:val="20"/>
                <w:szCs w:val="20"/>
              </w:rPr>
              <w:t xml:space="preserve">4 876 608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6B2B8" w14:textId="77777777" w:rsidR="001C7645" w:rsidRPr="00862361" w:rsidRDefault="001C7645" w:rsidP="000C470D">
            <w:pPr>
              <w:jc w:val="right"/>
              <w:rPr>
                <w:b/>
                <w:bCs/>
                <w:sz w:val="20"/>
                <w:szCs w:val="20"/>
              </w:rPr>
            </w:pPr>
            <w:r w:rsidRPr="00862361">
              <w:rPr>
                <w:b/>
                <w:bCs/>
                <w:sz w:val="20"/>
                <w:szCs w:val="20"/>
              </w:rPr>
              <w:t>4 388 686</w:t>
            </w:r>
          </w:p>
        </w:tc>
        <w:tc>
          <w:tcPr>
            <w:tcW w:w="692" w:type="pct"/>
            <w:vAlign w:val="center"/>
          </w:tcPr>
          <w:p w14:paraId="429310D7" w14:textId="77777777" w:rsidR="001C7645" w:rsidRPr="003E1F8D" w:rsidRDefault="001C7645" w:rsidP="000C470D">
            <w:pPr>
              <w:jc w:val="right"/>
              <w:rPr>
                <w:b/>
                <w:sz w:val="20"/>
                <w:szCs w:val="20"/>
              </w:rPr>
            </w:pPr>
            <w:r w:rsidRPr="003E1F8D">
              <w:rPr>
                <w:b/>
                <w:sz w:val="20"/>
                <w:szCs w:val="20"/>
              </w:rPr>
              <w:t xml:space="preserve">4 807 562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9D356" w14:textId="77777777" w:rsidR="001C7645" w:rsidRPr="00CA7AB3" w:rsidRDefault="001C7645" w:rsidP="000C470D">
            <w:pPr>
              <w:jc w:val="right"/>
              <w:rPr>
                <w:b/>
                <w:sz w:val="20"/>
                <w:szCs w:val="20"/>
              </w:rPr>
            </w:pPr>
            <w:r w:rsidRPr="00CA7AB3">
              <w:rPr>
                <w:b/>
                <w:sz w:val="20"/>
                <w:szCs w:val="20"/>
              </w:rPr>
              <w:t>418 876</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D4BCD" w14:textId="77777777" w:rsidR="001C7645" w:rsidRPr="00CA7AB3" w:rsidRDefault="001C7645" w:rsidP="000C470D">
            <w:pPr>
              <w:jc w:val="right"/>
              <w:rPr>
                <w:b/>
                <w:sz w:val="20"/>
                <w:szCs w:val="20"/>
              </w:rPr>
            </w:pPr>
            <w:r w:rsidRPr="00CA7AB3">
              <w:rPr>
                <w:b/>
                <w:sz w:val="20"/>
                <w:szCs w:val="20"/>
              </w:rPr>
              <w:t>109,5</w:t>
            </w:r>
          </w:p>
        </w:tc>
      </w:tr>
      <w:tr w:rsidR="001C7645" w:rsidRPr="00862361" w14:paraId="27525A5A"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89DF0" w14:textId="77777777" w:rsidR="001C7645" w:rsidRPr="00862361" w:rsidRDefault="001C7645" w:rsidP="000C470D">
            <w:pPr>
              <w:rPr>
                <w:bCs/>
                <w:i/>
                <w:iCs/>
                <w:sz w:val="20"/>
                <w:szCs w:val="20"/>
              </w:rPr>
            </w:pPr>
            <w:r w:rsidRPr="00862361">
              <w:rPr>
                <w:bCs/>
                <w:i/>
                <w:iCs/>
                <w:sz w:val="20"/>
                <w:szCs w:val="20"/>
              </w:rPr>
              <w:t>z toho:</w:t>
            </w:r>
          </w:p>
        </w:tc>
        <w:tc>
          <w:tcPr>
            <w:tcW w:w="692" w:type="pct"/>
            <w:vAlign w:val="center"/>
            <w:hideMark/>
          </w:tcPr>
          <w:p w14:paraId="4EFFD621" w14:textId="77777777" w:rsidR="001C7645" w:rsidRPr="00862361" w:rsidRDefault="001C7645" w:rsidP="000C470D">
            <w:pPr>
              <w:jc w:val="right"/>
              <w:rPr>
                <w:sz w:val="20"/>
                <w:szCs w:val="2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696F1" w14:textId="77777777" w:rsidR="001C7645" w:rsidRPr="00862361" w:rsidRDefault="001C7645" w:rsidP="000C470D">
            <w:pPr>
              <w:jc w:val="right"/>
              <w:rPr>
                <w:sz w:val="20"/>
                <w:szCs w:val="20"/>
              </w:rPr>
            </w:pPr>
          </w:p>
        </w:tc>
        <w:tc>
          <w:tcPr>
            <w:tcW w:w="692" w:type="pct"/>
            <w:vAlign w:val="center"/>
          </w:tcPr>
          <w:p w14:paraId="2899650F" w14:textId="77777777" w:rsidR="001C7645" w:rsidRPr="003E1F8D" w:rsidRDefault="001C7645" w:rsidP="000C470D">
            <w:pPr>
              <w:jc w:val="right"/>
              <w:rPr>
                <w:sz w:val="20"/>
                <w:szCs w:val="20"/>
              </w:rPr>
            </w:pP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6AB32" w14:textId="77777777" w:rsidR="001C7645" w:rsidRPr="003E1F8D" w:rsidRDefault="001C7645" w:rsidP="000C470D">
            <w:pPr>
              <w:jc w:val="right"/>
              <w:rPr>
                <w:sz w:val="20"/>
                <w:szCs w:val="20"/>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2603A" w14:textId="77777777" w:rsidR="001C7645" w:rsidRPr="003E1F8D" w:rsidRDefault="001C7645" w:rsidP="000C470D">
            <w:pPr>
              <w:jc w:val="right"/>
              <w:rPr>
                <w:sz w:val="20"/>
                <w:szCs w:val="20"/>
              </w:rPr>
            </w:pPr>
          </w:p>
        </w:tc>
      </w:tr>
      <w:tr w:rsidR="001C7645" w:rsidRPr="00862361" w14:paraId="7BA89183"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60FAE6" w14:textId="77777777" w:rsidR="001C7645" w:rsidRPr="00862361" w:rsidRDefault="001C7645" w:rsidP="000C470D">
            <w:pPr>
              <w:pStyle w:val="Odsekzoznamu"/>
              <w:numPr>
                <w:ilvl w:val="0"/>
                <w:numId w:val="13"/>
              </w:numPr>
              <w:ind w:left="426"/>
              <w:rPr>
                <w:bCs/>
                <w:iCs/>
                <w:sz w:val="20"/>
                <w:szCs w:val="20"/>
              </w:rPr>
            </w:pPr>
            <w:r w:rsidRPr="00862361">
              <w:rPr>
                <w:bCs/>
                <w:iCs/>
                <w:sz w:val="20"/>
                <w:szCs w:val="20"/>
              </w:rPr>
              <w:t>bežné výdavky</w:t>
            </w:r>
          </w:p>
        </w:tc>
        <w:tc>
          <w:tcPr>
            <w:tcW w:w="692" w:type="pct"/>
            <w:vAlign w:val="center"/>
            <w:hideMark/>
          </w:tcPr>
          <w:p w14:paraId="2C8618FB" w14:textId="77777777" w:rsidR="001C7645" w:rsidRPr="00862361" w:rsidRDefault="001C7645" w:rsidP="000C470D">
            <w:pPr>
              <w:jc w:val="right"/>
              <w:rPr>
                <w:sz w:val="20"/>
                <w:szCs w:val="20"/>
              </w:rPr>
            </w:pPr>
            <w:r w:rsidRPr="00862361">
              <w:rPr>
                <w:sz w:val="20"/>
                <w:szCs w:val="20"/>
              </w:rPr>
              <w:t xml:space="preserve">3 767 831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91D57" w14:textId="77777777" w:rsidR="001C7645" w:rsidRPr="00862361" w:rsidRDefault="001C7645" w:rsidP="000C470D">
            <w:pPr>
              <w:jc w:val="right"/>
              <w:rPr>
                <w:sz w:val="20"/>
                <w:szCs w:val="20"/>
              </w:rPr>
            </w:pPr>
            <w:r w:rsidRPr="00862361">
              <w:rPr>
                <w:sz w:val="20"/>
                <w:szCs w:val="20"/>
              </w:rPr>
              <w:t>3 699 426</w:t>
            </w:r>
          </w:p>
        </w:tc>
        <w:tc>
          <w:tcPr>
            <w:tcW w:w="692" w:type="pct"/>
            <w:vAlign w:val="center"/>
          </w:tcPr>
          <w:p w14:paraId="5467695F" w14:textId="77777777" w:rsidR="001C7645" w:rsidRPr="003E1F8D" w:rsidRDefault="001C7645" w:rsidP="000C470D">
            <w:pPr>
              <w:jc w:val="right"/>
              <w:rPr>
                <w:sz w:val="20"/>
                <w:szCs w:val="20"/>
              </w:rPr>
            </w:pPr>
            <w:r w:rsidRPr="003E1F8D">
              <w:rPr>
                <w:sz w:val="20"/>
                <w:szCs w:val="20"/>
              </w:rPr>
              <w:t xml:space="preserve">4 050 935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24864" w14:textId="77777777" w:rsidR="001C7645" w:rsidRPr="003E1F8D" w:rsidRDefault="001C7645" w:rsidP="000C470D">
            <w:pPr>
              <w:jc w:val="right"/>
              <w:rPr>
                <w:sz w:val="20"/>
                <w:szCs w:val="20"/>
              </w:rPr>
            </w:pPr>
            <w:r w:rsidRPr="003E1F8D">
              <w:rPr>
                <w:sz w:val="20"/>
                <w:szCs w:val="20"/>
              </w:rPr>
              <w:t>351</w:t>
            </w:r>
            <w:r>
              <w:rPr>
                <w:sz w:val="20"/>
                <w:szCs w:val="20"/>
              </w:rPr>
              <w:t xml:space="preserve"> </w:t>
            </w:r>
            <w:r w:rsidRPr="003E1F8D">
              <w:rPr>
                <w:sz w:val="20"/>
                <w:szCs w:val="20"/>
              </w:rPr>
              <w:t>509</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DFE6DD" w14:textId="77777777" w:rsidR="001C7645" w:rsidRPr="003E1F8D" w:rsidRDefault="001C7645" w:rsidP="000C470D">
            <w:pPr>
              <w:jc w:val="right"/>
              <w:rPr>
                <w:sz w:val="20"/>
                <w:szCs w:val="20"/>
              </w:rPr>
            </w:pPr>
            <w:r w:rsidRPr="003E1F8D">
              <w:rPr>
                <w:sz w:val="20"/>
                <w:szCs w:val="20"/>
              </w:rPr>
              <w:t>109,5</w:t>
            </w:r>
          </w:p>
        </w:tc>
      </w:tr>
      <w:tr w:rsidR="001C7645" w:rsidRPr="00862361" w14:paraId="04F0BD7B"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E337B8" w14:textId="77777777" w:rsidR="001C7645" w:rsidRPr="00862361" w:rsidRDefault="001C7645" w:rsidP="000C470D">
            <w:pPr>
              <w:pStyle w:val="Odsekzoznamu"/>
              <w:numPr>
                <w:ilvl w:val="0"/>
                <w:numId w:val="14"/>
              </w:numPr>
              <w:ind w:left="567" w:hanging="284"/>
              <w:rPr>
                <w:sz w:val="20"/>
                <w:szCs w:val="20"/>
              </w:rPr>
            </w:pPr>
            <w:r w:rsidRPr="00862361">
              <w:rPr>
                <w:sz w:val="20"/>
                <w:szCs w:val="20"/>
              </w:rPr>
              <w:t>mzdy a odvody</w:t>
            </w:r>
          </w:p>
        </w:tc>
        <w:tc>
          <w:tcPr>
            <w:tcW w:w="692" w:type="pct"/>
            <w:vAlign w:val="center"/>
            <w:hideMark/>
          </w:tcPr>
          <w:p w14:paraId="03DD3B54" w14:textId="77777777" w:rsidR="001C7645" w:rsidRPr="00862361" w:rsidRDefault="001C7645" w:rsidP="000C470D">
            <w:pPr>
              <w:jc w:val="right"/>
              <w:rPr>
                <w:sz w:val="20"/>
                <w:szCs w:val="20"/>
              </w:rPr>
            </w:pPr>
            <w:r w:rsidRPr="00862361">
              <w:rPr>
                <w:sz w:val="20"/>
                <w:szCs w:val="20"/>
              </w:rPr>
              <w:t xml:space="preserve">1 978 772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9C2CE" w14:textId="77777777" w:rsidR="001C7645" w:rsidRPr="00862361" w:rsidRDefault="001C7645" w:rsidP="000C470D">
            <w:pPr>
              <w:jc w:val="right"/>
              <w:rPr>
                <w:sz w:val="20"/>
                <w:szCs w:val="20"/>
              </w:rPr>
            </w:pPr>
            <w:r w:rsidRPr="00862361">
              <w:rPr>
                <w:sz w:val="20"/>
                <w:szCs w:val="20"/>
              </w:rPr>
              <w:t>2 019 688</w:t>
            </w:r>
          </w:p>
        </w:tc>
        <w:tc>
          <w:tcPr>
            <w:tcW w:w="692" w:type="pct"/>
            <w:vAlign w:val="center"/>
          </w:tcPr>
          <w:p w14:paraId="17F34902" w14:textId="77777777" w:rsidR="001C7645" w:rsidRPr="003E1F8D" w:rsidRDefault="001C7645" w:rsidP="000C470D">
            <w:pPr>
              <w:jc w:val="right"/>
              <w:rPr>
                <w:sz w:val="20"/>
                <w:szCs w:val="20"/>
              </w:rPr>
            </w:pPr>
            <w:r w:rsidRPr="003E1F8D">
              <w:rPr>
                <w:sz w:val="20"/>
                <w:szCs w:val="20"/>
              </w:rPr>
              <w:t xml:space="preserve">2 316 107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481FA" w14:textId="77777777" w:rsidR="001C7645" w:rsidRPr="003E1F8D" w:rsidRDefault="001C7645" w:rsidP="000C470D">
            <w:pPr>
              <w:jc w:val="right"/>
              <w:rPr>
                <w:sz w:val="20"/>
                <w:szCs w:val="20"/>
              </w:rPr>
            </w:pPr>
            <w:r w:rsidRPr="003E1F8D">
              <w:rPr>
                <w:sz w:val="20"/>
                <w:szCs w:val="20"/>
              </w:rPr>
              <w:t>296</w:t>
            </w:r>
            <w:r>
              <w:rPr>
                <w:sz w:val="20"/>
                <w:szCs w:val="20"/>
              </w:rPr>
              <w:t xml:space="preserve"> </w:t>
            </w:r>
            <w:r w:rsidRPr="003E1F8D">
              <w:rPr>
                <w:sz w:val="20"/>
                <w:szCs w:val="20"/>
              </w:rPr>
              <w:t>419</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B5320" w14:textId="77777777" w:rsidR="001C7645" w:rsidRPr="003E1F8D" w:rsidRDefault="001C7645" w:rsidP="000C470D">
            <w:pPr>
              <w:jc w:val="right"/>
              <w:rPr>
                <w:sz w:val="20"/>
                <w:szCs w:val="20"/>
              </w:rPr>
            </w:pPr>
            <w:r w:rsidRPr="003E1F8D">
              <w:rPr>
                <w:sz w:val="20"/>
                <w:szCs w:val="20"/>
              </w:rPr>
              <w:t>114,7</w:t>
            </w:r>
          </w:p>
        </w:tc>
      </w:tr>
      <w:tr w:rsidR="001C7645" w:rsidRPr="00862361" w14:paraId="370A938C"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1DCC5" w14:textId="77777777" w:rsidR="001C7645" w:rsidRPr="00862361" w:rsidRDefault="001C7645" w:rsidP="000C470D">
            <w:pPr>
              <w:pStyle w:val="Odsekzoznamu"/>
              <w:numPr>
                <w:ilvl w:val="0"/>
                <w:numId w:val="14"/>
              </w:numPr>
              <w:ind w:left="567" w:hanging="284"/>
              <w:rPr>
                <w:sz w:val="20"/>
                <w:szCs w:val="20"/>
              </w:rPr>
            </w:pPr>
            <w:r w:rsidRPr="00862361">
              <w:rPr>
                <w:sz w:val="20"/>
                <w:szCs w:val="20"/>
              </w:rPr>
              <w:t>tovary a služby</w:t>
            </w:r>
          </w:p>
        </w:tc>
        <w:tc>
          <w:tcPr>
            <w:tcW w:w="692" w:type="pct"/>
            <w:vAlign w:val="center"/>
            <w:hideMark/>
          </w:tcPr>
          <w:p w14:paraId="369F372D" w14:textId="77777777" w:rsidR="001C7645" w:rsidRPr="00862361" w:rsidRDefault="001C7645" w:rsidP="000C470D">
            <w:pPr>
              <w:jc w:val="right"/>
              <w:rPr>
                <w:sz w:val="20"/>
                <w:szCs w:val="20"/>
              </w:rPr>
            </w:pPr>
            <w:r w:rsidRPr="00862361">
              <w:rPr>
                <w:sz w:val="20"/>
                <w:szCs w:val="20"/>
              </w:rPr>
              <w:t xml:space="preserve">1 260 233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48960" w14:textId="77777777" w:rsidR="001C7645" w:rsidRPr="00862361" w:rsidRDefault="001C7645" w:rsidP="000C470D">
            <w:pPr>
              <w:jc w:val="right"/>
              <w:rPr>
                <w:sz w:val="20"/>
                <w:szCs w:val="20"/>
              </w:rPr>
            </w:pPr>
            <w:r w:rsidRPr="00862361">
              <w:rPr>
                <w:sz w:val="20"/>
                <w:szCs w:val="20"/>
              </w:rPr>
              <w:t>1 183 688</w:t>
            </w:r>
          </w:p>
        </w:tc>
        <w:tc>
          <w:tcPr>
            <w:tcW w:w="692" w:type="pct"/>
            <w:vAlign w:val="center"/>
          </w:tcPr>
          <w:p w14:paraId="4FE6DB0D" w14:textId="77777777" w:rsidR="001C7645" w:rsidRPr="003E1F8D" w:rsidRDefault="001C7645" w:rsidP="000C470D">
            <w:pPr>
              <w:jc w:val="right"/>
              <w:rPr>
                <w:sz w:val="20"/>
                <w:szCs w:val="20"/>
              </w:rPr>
            </w:pPr>
            <w:r w:rsidRPr="003E1F8D">
              <w:rPr>
                <w:sz w:val="20"/>
                <w:szCs w:val="20"/>
              </w:rPr>
              <w:t xml:space="preserve">1 226 329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E5DE2" w14:textId="77777777" w:rsidR="001C7645" w:rsidRPr="003E1F8D" w:rsidRDefault="001C7645" w:rsidP="000C470D">
            <w:pPr>
              <w:jc w:val="right"/>
              <w:rPr>
                <w:sz w:val="20"/>
                <w:szCs w:val="20"/>
              </w:rPr>
            </w:pPr>
            <w:r w:rsidRPr="003E1F8D">
              <w:rPr>
                <w:sz w:val="20"/>
                <w:szCs w:val="20"/>
              </w:rPr>
              <w:t>42</w:t>
            </w:r>
            <w:r>
              <w:rPr>
                <w:sz w:val="20"/>
                <w:szCs w:val="20"/>
              </w:rPr>
              <w:t xml:space="preserve"> </w:t>
            </w:r>
            <w:r w:rsidRPr="003E1F8D">
              <w:rPr>
                <w:sz w:val="20"/>
                <w:szCs w:val="20"/>
              </w:rPr>
              <w:t>641</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490FA" w14:textId="77777777" w:rsidR="001C7645" w:rsidRPr="003E1F8D" w:rsidRDefault="001C7645" w:rsidP="000C470D">
            <w:pPr>
              <w:jc w:val="right"/>
              <w:rPr>
                <w:sz w:val="20"/>
                <w:szCs w:val="20"/>
              </w:rPr>
            </w:pPr>
            <w:r w:rsidRPr="003E1F8D">
              <w:rPr>
                <w:sz w:val="20"/>
                <w:szCs w:val="20"/>
              </w:rPr>
              <w:t>103,6</w:t>
            </w:r>
          </w:p>
        </w:tc>
      </w:tr>
      <w:tr w:rsidR="001C7645" w:rsidRPr="00862361" w14:paraId="3B2C4CBA"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B3BB3" w14:textId="77777777" w:rsidR="001C7645" w:rsidRPr="00862361" w:rsidRDefault="001C7645" w:rsidP="000C470D">
            <w:pPr>
              <w:pStyle w:val="Odsekzoznamu"/>
              <w:numPr>
                <w:ilvl w:val="0"/>
                <w:numId w:val="14"/>
              </w:numPr>
              <w:ind w:left="567" w:hanging="284"/>
              <w:rPr>
                <w:sz w:val="20"/>
                <w:szCs w:val="20"/>
              </w:rPr>
            </w:pPr>
            <w:r w:rsidRPr="00862361">
              <w:rPr>
                <w:sz w:val="20"/>
                <w:szCs w:val="20"/>
              </w:rPr>
              <w:t>bežné transfery</w:t>
            </w:r>
          </w:p>
        </w:tc>
        <w:tc>
          <w:tcPr>
            <w:tcW w:w="692" w:type="pct"/>
            <w:vAlign w:val="center"/>
            <w:hideMark/>
          </w:tcPr>
          <w:p w14:paraId="2EBE13B3" w14:textId="77777777" w:rsidR="001C7645" w:rsidRPr="00862361" w:rsidRDefault="001C7645" w:rsidP="000C470D">
            <w:pPr>
              <w:jc w:val="right"/>
              <w:rPr>
                <w:sz w:val="20"/>
                <w:szCs w:val="20"/>
              </w:rPr>
            </w:pPr>
            <w:r w:rsidRPr="00862361">
              <w:rPr>
                <w:sz w:val="20"/>
                <w:szCs w:val="20"/>
              </w:rPr>
              <w:t xml:space="preserve">512 142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06936B" w14:textId="77777777" w:rsidR="001C7645" w:rsidRPr="00862361" w:rsidRDefault="001C7645" w:rsidP="000C470D">
            <w:pPr>
              <w:jc w:val="right"/>
              <w:rPr>
                <w:sz w:val="20"/>
                <w:szCs w:val="20"/>
              </w:rPr>
            </w:pPr>
            <w:r w:rsidRPr="00862361">
              <w:rPr>
                <w:sz w:val="20"/>
                <w:szCs w:val="20"/>
              </w:rPr>
              <w:t>471 050</w:t>
            </w:r>
          </w:p>
        </w:tc>
        <w:tc>
          <w:tcPr>
            <w:tcW w:w="692" w:type="pct"/>
            <w:vAlign w:val="center"/>
          </w:tcPr>
          <w:p w14:paraId="10523E19" w14:textId="77777777" w:rsidR="001C7645" w:rsidRPr="003E1F8D" w:rsidRDefault="001C7645" w:rsidP="000C470D">
            <w:pPr>
              <w:jc w:val="right"/>
              <w:rPr>
                <w:sz w:val="20"/>
                <w:szCs w:val="20"/>
              </w:rPr>
            </w:pPr>
            <w:r w:rsidRPr="003E1F8D">
              <w:rPr>
                <w:sz w:val="20"/>
                <w:szCs w:val="20"/>
              </w:rPr>
              <w:t xml:space="preserve">488 000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2510D6" w14:textId="77777777" w:rsidR="001C7645" w:rsidRPr="003E1F8D" w:rsidRDefault="001C7645" w:rsidP="000C470D">
            <w:pPr>
              <w:jc w:val="right"/>
              <w:rPr>
                <w:sz w:val="20"/>
                <w:szCs w:val="20"/>
              </w:rPr>
            </w:pPr>
            <w:r w:rsidRPr="003E1F8D">
              <w:rPr>
                <w:sz w:val="20"/>
                <w:szCs w:val="20"/>
              </w:rPr>
              <w:t>16</w:t>
            </w:r>
            <w:r>
              <w:rPr>
                <w:sz w:val="20"/>
                <w:szCs w:val="20"/>
              </w:rPr>
              <w:t xml:space="preserve"> </w:t>
            </w:r>
            <w:r w:rsidRPr="003E1F8D">
              <w:rPr>
                <w:sz w:val="20"/>
                <w:szCs w:val="20"/>
              </w:rPr>
              <w:t>950</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3ADB9" w14:textId="77777777" w:rsidR="001C7645" w:rsidRPr="003E1F8D" w:rsidRDefault="001C7645" w:rsidP="000C470D">
            <w:pPr>
              <w:jc w:val="right"/>
              <w:rPr>
                <w:sz w:val="20"/>
                <w:szCs w:val="20"/>
              </w:rPr>
            </w:pPr>
            <w:r w:rsidRPr="003E1F8D">
              <w:rPr>
                <w:sz w:val="20"/>
                <w:szCs w:val="20"/>
              </w:rPr>
              <w:t>103,6</w:t>
            </w:r>
          </w:p>
        </w:tc>
      </w:tr>
      <w:tr w:rsidR="001C7645" w:rsidRPr="00862361" w14:paraId="3A9ACE6D"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85017" w14:textId="77777777" w:rsidR="001C7645" w:rsidRPr="00862361" w:rsidRDefault="001C7645" w:rsidP="000C470D">
            <w:pPr>
              <w:pStyle w:val="Odsekzoznamu"/>
              <w:numPr>
                <w:ilvl w:val="0"/>
                <w:numId w:val="14"/>
              </w:numPr>
              <w:ind w:left="567" w:hanging="284"/>
              <w:rPr>
                <w:sz w:val="20"/>
                <w:szCs w:val="20"/>
              </w:rPr>
            </w:pPr>
            <w:r w:rsidRPr="00862361">
              <w:rPr>
                <w:sz w:val="20"/>
                <w:szCs w:val="20"/>
              </w:rPr>
              <w:t>splácanie úrokov</w:t>
            </w:r>
          </w:p>
        </w:tc>
        <w:tc>
          <w:tcPr>
            <w:tcW w:w="692" w:type="pct"/>
            <w:vAlign w:val="center"/>
            <w:hideMark/>
          </w:tcPr>
          <w:p w14:paraId="617557FF" w14:textId="77777777" w:rsidR="001C7645" w:rsidRPr="00862361" w:rsidRDefault="001C7645" w:rsidP="000C470D">
            <w:pPr>
              <w:jc w:val="right"/>
              <w:rPr>
                <w:sz w:val="20"/>
                <w:szCs w:val="20"/>
              </w:rPr>
            </w:pPr>
            <w:r w:rsidRPr="00862361">
              <w:rPr>
                <w:sz w:val="20"/>
                <w:szCs w:val="20"/>
              </w:rPr>
              <w:t xml:space="preserve">16 683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DC313" w14:textId="77777777" w:rsidR="001C7645" w:rsidRPr="00862361" w:rsidRDefault="001C7645" w:rsidP="000C470D">
            <w:pPr>
              <w:jc w:val="right"/>
              <w:rPr>
                <w:sz w:val="20"/>
                <w:szCs w:val="20"/>
              </w:rPr>
            </w:pPr>
            <w:r w:rsidRPr="00862361">
              <w:rPr>
                <w:sz w:val="20"/>
                <w:szCs w:val="20"/>
              </w:rPr>
              <w:t>25 000</w:t>
            </w:r>
          </w:p>
        </w:tc>
        <w:tc>
          <w:tcPr>
            <w:tcW w:w="692" w:type="pct"/>
            <w:vAlign w:val="center"/>
          </w:tcPr>
          <w:p w14:paraId="23F1B042" w14:textId="77777777" w:rsidR="001C7645" w:rsidRPr="003E1F8D" w:rsidRDefault="001C7645" w:rsidP="000C470D">
            <w:pPr>
              <w:jc w:val="right"/>
              <w:rPr>
                <w:sz w:val="20"/>
                <w:szCs w:val="20"/>
              </w:rPr>
            </w:pPr>
            <w:r w:rsidRPr="003E1F8D">
              <w:rPr>
                <w:sz w:val="20"/>
                <w:szCs w:val="20"/>
              </w:rPr>
              <w:t xml:space="preserve">20 500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38D4D" w14:textId="77777777" w:rsidR="001C7645" w:rsidRPr="003E1F8D" w:rsidRDefault="001C7645" w:rsidP="000C470D">
            <w:pPr>
              <w:jc w:val="right"/>
              <w:rPr>
                <w:sz w:val="20"/>
                <w:szCs w:val="20"/>
              </w:rPr>
            </w:pPr>
            <w:r w:rsidRPr="003E1F8D">
              <w:rPr>
                <w:sz w:val="20"/>
                <w:szCs w:val="20"/>
              </w:rPr>
              <w:t>-</w:t>
            </w:r>
            <w:r>
              <w:rPr>
                <w:sz w:val="20"/>
                <w:szCs w:val="20"/>
              </w:rPr>
              <w:t xml:space="preserve"> </w:t>
            </w:r>
            <w:r w:rsidRPr="003E1F8D">
              <w:rPr>
                <w:sz w:val="20"/>
                <w:szCs w:val="20"/>
              </w:rPr>
              <w:t>4</w:t>
            </w:r>
            <w:r>
              <w:rPr>
                <w:sz w:val="20"/>
                <w:szCs w:val="20"/>
              </w:rPr>
              <w:t xml:space="preserve"> </w:t>
            </w:r>
            <w:r w:rsidRPr="003E1F8D">
              <w:rPr>
                <w:sz w:val="20"/>
                <w:szCs w:val="20"/>
              </w:rPr>
              <w:t>500</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074BA" w14:textId="77777777" w:rsidR="001C7645" w:rsidRPr="003E1F8D" w:rsidRDefault="001C7645" w:rsidP="000C470D">
            <w:pPr>
              <w:jc w:val="right"/>
              <w:rPr>
                <w:sz w:val="20"/>
                <w:szCs w:val="20"/>
              </w:rPr>
            </w:pPr>
            <w:r>
              <w:rPr>
                <w:sz w:val="20"/>
                <w:szCs w:val="20"/>
              </w:rPr>
              <w:t>82</w:t>
            </w:r>
          </w:p>
        </w:tc>
      </w:tr>
      <w:tr w:rsidR="001C7645" w:rsidRPr="00862361" w14:paraId="5438A579"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DF0AE" w14:textId="77777777" w:rsidR="001C7645" w:rsidRPr="00862361" w:rsidRDefault="001C7645" w:rsidP="000C470D">
            <w:pPr>
              <w:pStyle w:val="Odsekzoznamu"/>
              <w:numPr>
                <w:ilvl w:val="0"/>
                <w:numId w:val="13"/>
              </w:numPr>
              <w:ind w:left="426"/>
              <w:rPr>
                <w:sz w:val="20"/>
                <w:szCs w:val="20"/>
              </w:rPr>
            </w:pPr>
            <w:r w:rsidRPr="00862361">
              <w:rPr>
                <w:sz w:val="20"/>
                <w:szCs w:val="20"/>
              </w:rPr>
              <w:t>kapitálové výdavky</w:t>
            </w:r>
          </w:p>
        </w:tc>
        <w:tc>
          <w:tcPr>
            <w:tcW w:w="692" w:type="pct"/>
            <w:vAlign w:val="center"/>
            <w:hideMark/>
          </w:tcPr>
          <w:p w14:paraId="46372F2F" w14:textId="77777777" w:rsidR="001C7645" w:rsidRPr="00862361" w:rsidRDefault="001C7645" w:rsidP="000C470D">
            <w:pPr>
              <w:jc w:val="right"/>
              <w:rPr>
                <w:sz w:val="20"/>
                <w:szCs w:val="20"/>
              </w:rPr>
            </w:pPr>
            <w:r w:rsidRPr="00862361">
              <w:rPr>
                <w:sz w:val="20"/>
                <w:szCs w:val="20"/>
              </w:rPr>
              <w:t xml:space="preserve">916 980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9EE19" w14:textId="77777777" w:rsidR="001C7645" w:rsidRPr="00862361" w:rsidRDefault="001C7645" w:rsidP="000C470D">
            <w:pPr>
              <w:jc w:val="right"/>
              <w:rPr>
                <w:sz w:val="20"/>
                <w:szCs w:val="20"/>
              </w:rPr>
            </w:pPr>
            <w:r w:rsidRPr="00862361">
              <w:rPr>
                <w:sz w:val="20"/>
                <w:szCs w:val="20"/>
              </w:rPr>
              <w:t>469 260</w:t>
            </w:r>
          </w:p>
        </w:tc>
        <w:tc>
          <w:tcPr>
            <w:tcW w:w="692" w:type="pct"/>
            <w:vAlign w:val="center"/>
          </w:tcPr>
          <w:p w14:paraId="53D00E9F" w14:textId="77777777" w:rsidR="001C7645" w:rsidRPr="003E1F8D" w:rsidRDefault="001C7645" w:rsidP="000C470D">
            <w:pPr>
              <w:jc w:val="right"/>
              <w:rPr>
                <w:sz w:val="20"/>
                <w:szCs w:val="20"/>
              </w:rPr>
            </w:pPr>
            <w:r w:rsidRPr="003E1F8D">
              <w:rPr>
                <w:sz w:val="20"/>
                <w:szCs w:val="20"/>
              </w:rPr>
              <w:t xml:space="preserve">536 627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DC5EC" w14:textId="77777777" w:rsidR="001C7645" w:rsidRPr="003E1F8D" w:rsidRDefault="001C7645" w:rsidP="000C470D">
            <w:pPr>
              <w:jc w:val="right"/>
              <w:rPr>
                <w:sz w:val="20"/>
                <w:szCs w:val="20"/>
              </w:rPr>
            </w:pPr>
            <w:r w:rsidRPr="003E1F8D">
              <w:rPr>
                <w:sz w:val="20"/>
                <w:szCs w:val="20"/>
              </w:rPr>
              <w:t>67</w:t>
            </w:r>
            <w:r>
              <w:rPr>
                <w:sz w:val="20"/>
                <w:szCs w:val="20"/>
              </w:rPr>
              <w:t xml:space="preserve"> </w:t>
            </w:r>
            <w:r w:rsidRPr="003E1F8D">
              <w:rPr>
                <w:sz w:val="20"/>
                <w:szCs w:val="20"/>
              </w:rPr>
              <w:t>367</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ED89C" w14:textId="77777777" w:rsidR="001C7645" w:rsidRPr="003E1F8D" w:rsidRDefault="001C7645" w:rsidP="000C470D">
            <w:pPr>
              <w:jc w:val="right"/>
              <w:rPr>
                <w:sz w:val="20"/>
                <w:szCs w:val="20"/>
              </w:rPr>
            </w:pPr>
            <w:r w:rsidRPr="003E1F8D">
              <w:rPr>
                <w:sz w:val="20"/>
                <w:szCs w:val="20"/>
              </w:rPr>
              <w:t>114,4</w:t>
            </w:r>
          </w:p>
        </w:tc>
      </w:tr>
      <w:tr w:rsidR="001C7645" w:rsidRPr="00862361" w14:paraId="7985B687"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0F3C4" w14:textId="77777777" w:rsidR="001C7645" w:rsidRPr="00862361" w:rsidRDefault="001C7645" w:rsidP="000C470D">
            <w:pPr>
              <w:pStyle w:val="Odsekzoznamu"/>
              <w:numPr>
                <w:ilvl w:val="0"/>
                <w:numId w:val="13"/>
              </w:numPr>
              <w:ind w:left="426"/>
              <w:rPr>
                <w:sz w:val="20"/>
                <w:szCs w:val="20"/>
              </w:rPr>
            </w:pPr>
            <w:r w:rsidRPr="00862361">
              <w:rPr>
                <w:sz w:val="20"/>
                <w:szCs w:val="20"/>
              </w:rPr>
              <w:t>finančné operácie</w:t>
            </w:r>
          </w:p>
        </w:tc>
        <w:tc>
          <w:tcPr>
            <w:tcW w:w="692" w:type="pct"/>
            <w:vAlign w:val="center"/>
            <w:hideMark/>
          </w:tcPr>
          <w:p w14:paraId="1D0473C2" w14:textId="77777777" w:rsidR="001C7645" w:rsidRPr="00862361" w:rsidRDefault="001C7645" w:rsidP="000C470D">
            <w:pPr>
              <w:jc w:val="right"/>
              <w:rPr>
                <w:sz w:val="20"/>
                <w:szCs w:val="20"/>
              </w:rPr>
            </w:pPr>
            <w:r w:rsidRPr="00862361">
              <w:rPr>
                <w:sz w:val="20"/>
                <w:szCs w:val="20"/>
              </w:rPr>
              <w:t xml:space="preserve">191 797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98CE0" w14:textId="77777777" w:rsidR="001C7645" w:rsidRPr="00862361" w:rsidRDefault="001C7645" w:rsidP="000C470D">
            <w:pPr>
              <w:jc w:val="right"/>
              <w:rPr>
                <w:sz w:val="20"/>
                <w:szCs w:val="20"/>
              </w:rPr>
            </w:pPr>
            <w:r w:rsidRPr="00862361">
              <w:rPr>
                <w:sz w:val="20"/>
                <w:szCs w:val="20"/>
              </w:rPr>
              <w:t>220 000</w:t>
            </w:r>
          </w:p>
        </w:tc>
        <w:tc>
          <w:tcPr>
            <w:tcW w:w="692" w:type="pct"/>
            <w:vAlign w:val="center"/>
          </w:tcPr>
          <w:p w14:paraId="0AFE5E72" w14:textId="77777777" w:rsidR="001C7645" w:rsidRPr="003E1F8D" w:rsidRDefault="001C7645" w:rsidP="000C470D">
            <w:pPr>
              <w:jc w:val="right"/>
              <w:rPr>
                <w:sz w:val="20"/>
                <w:szCs w:val="20"/>
              </w:rPr>
            </w:pPr>
            <w:r w:rsidRPr="003E1F8D">
              <w:rPr>
                <w:sz w:val="20"/>
                <w:szCs w:val="20"/>
              </w:rPr>
              <w:t xml:space="preserve">220 000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9F28F" w14:textId="77777777" w:rsidR="001C7645" w:rsidRPr="003E1F8D" w:rsidRDefault="001C7645" w:rsidP="000C470D">
            <w:pPr>
              <w:jc w:val="right"/>
              <w:rPr>
                <w:sz w:val="20"/>
                <w:szCs w:val="20"/>
              </w:rPr>
            </w:pPr>
            <w:r w:rsidRPr="003E1F8D">
              <w:rPr>
                <w:sz w:val="20"/>
                <w:szCs w:val="20"/>
              </w:rPr>
              <w:t>0</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B4C29" w14:textId="77777777" w:rsidR="001C7645" w:rsidRPr="003E1F8D" w:rsidRDefault="001C7645" w:rsidP="000C470D">
            <w:pPr>
              <w:jc w:val="right"/>
              <w:rPr>
                <w:sz w:val="20"/>
                <w:szCs w:val="20"/>
              </w:rPr>
            </w:pPr>
            <w:r>
              <w:rPr>
                <w:sz w:val="20"/>
                <w:szCs w:val="20"/>
              </w:rPr>
              <w:t>100</w:t>
            </w:r>
          </w:p>
        </w:tc>
      </w:tr>
      <w:tr w:rsidR="001C7645" w:rsidRPr="00862361" w14:paraId="0CED4085"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86024" w14:textId="77777777" w:rsidR="001C7645" w:rsidRPr="00862361" w:rsidRDefault="001C7645" w:rsidP="000C470D">
            <w:pPr>
              <w:rPr>
                <w:i/>
                <w:sz w:val="20"/>
                <w:szCs w:val="20"/>
              </w:rPr>
            </w:pPr>
            <w:r w:rsidRPr="00862361">
              <w:rPr>
                <w:i/>
                <w:sz w:val="20"/>
                <w:szCs w:val="20"/>
              </w:rPr>
              <w:t>z toho:</w:t>
            </w:r>
          </w:p>
        </w:tc>
        <w:tc>
          <w:tcPr>
            <w:tcW w:w="692" w:type="pct"/>
            <w:vAlign w:val="center"/>
            <w:hideMark/>
          </w:tcPr>
          <w:p w14:paraId="514D0BBC" w14:textId="77777777" w:rsidR="001C7645" w:rsidRPr="00862361" w:rsidRDefault="001C7645" w:rsidP="000C470D">
            <w:pPr>
              <w:jc w:val="right"/>
              <w:rPr>
                <w:sz w:val="20"/>
                <w:szCs w:val="2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81027" w14:textId="77777777" w:rsidR="001C7645" w:rsidRPr="00862361" w:rsidRDefault="001C7645" w:rsidP="000C470D">
            <w:pPr>
              <w:jc w:val="right"/>
              <w:rPr>
                <w:sz w:val="20"/>
                <w:szCs w:val="20"/>
              </w:rPr>
            </w:pPr>
          </w:p>
        </w:tc>
        <w:tc>
          <w:tcPr>
            <w:tcW w:w="692" w:type="pct"/>
            <w:vAlign w:val="center"/>
          </w:tcPr>
          <w:p w14:paraId="7D206E5F" w14:textId="77777777" w:rsidR="001C7645" w:rsidRPr="003E1F8D" w:rsidRDefault="001C7645" w:rsidP="000C470D">
            <w:pPr>
              <w:jc w:val="right"/>
              <w:rPr>
                <w:sz w:val="20"/>
                <w:szCs w:val="20"/>
              </w:rPr>
            </w:pP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373A48" w14:textId="77777777" w:rsidR="001C7645" w:rsidRPr="003E1F8D" w:rsidRDefault="001C7645" w:rsidP="000C470D">
            <w:pPr>
              <w:jc w:val="right"/>
              <w:rPr>
                <w:sz w:val="20"/>
                <w:szCs w:val="20"/>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3BB17" w14:textId="77777777" w:rsidR="001C7645" w:rsidRPr="003E1F8D" w:rsidRDefault="001C7645" w:rsidP="000C470D">
            <w:pPr>
              <w:jc w:val="right"/>
              <w:rPr>
                <w:sz w:val="20"/>
                <w:szCs w:val="20"/>
              </w:rPr>
            </w:pPr>
          </w:p>
        </w:tc>
      </w:tr>
      <w:tr w:rsidR="001C7645" w:rsidRPr="00862361" w14:paraId="67903FD4"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D0D5A8" w14:textId="77777777" w:rsidR="001C7645" w:rsidRPr="00862361" w:rsidRDefault="001C7645" w:rsidP="000C470D">
            <w:pPr>
              <w:pStyle w:val="Odsekzoznamu"/>
              <w:numPr>
                <w:ilvl w:val="0"/>
                <w:numId w:val="14"/>
              </w:numPr>
              <w:ind w:left="567" w:hanging="284"/>
              <w:rPr>
                <w:sz w:val="20"/>
                <w:szCs w:val="20"/>
              </w:rPr>
            </w:pPr>
            <w:r w:rsidRPr="00862361">
              <w:rPr>
                <w:sz w:val="20"/>
                <w:szCs w:val="20"/>
              </w:rPr>
              <w:t xml:space="preserve">úvery a účasť na majetku </w:t>
            </w:r>
          </w:p>
        </w:tc>
        <w:tc>
          <w:tcPr>
            <w:tcW w:w="692" w:type="pct"/>
            <w:vAlign w:val="center"/>
            <w:hideMark/>
          </w:tcPr>
          <w:p w14:paraId="5AA14F5E" w14:textId="77777777" w:rsidR="001C7645" w:rsidRPr="00862361" w:rsidRDefault="001C7645" w:rsidP="000C470D">
            <w:pPr>
              <w:jc w:val="right"/>
              <w:rPr>
                <w:sz w:val="20"/>
                <w:szCs w:val="20"/>
              </w:rPr>
            </w:pPr>
            <w:r w:rsidRPr="00862361">
              <w:rPr>
                <w:sz w:val="20"/>
                <w:szCs w:val="20"/>
              </w:rPr>
              <w:t xml:space="preserve">30 517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6EB1F8" w14:textId="77777777" w:rsidR="001C7645" w:rsidRPr="00862361" w:rsidRDefault="001C7645" w:rsidP="000C470D">
            <w:pPr>
              <w:jc w:val="right"/>
              <w:rPr>
                <w:sz w:val="20"/>
                <w:szCs w:val="20"/>
              </w:rPr>
            </w:pPr>
            <w:r w:rsidRPr="00862361">
              <w:rPr>
                <w:sz w:val="20"/>
                <w:szCs w:val="20"/>
              </w:rPr>
              <w:t>20 000</w:t>
            </w:r>
          </w:p>
        </w:tc>
        <w:tc>
          <w:tcPr>
            <w:tcW w:w="692" w:type="pct"/>
            <w:vAlign w:val="center"/>
          </w:tcPr>
          <w:p w14:paraId="26AE7BB8" w14:textId="77777777" w:rsidR="001C7645" w:rsidRPr="003E1F8D" w:rsidRDefault="001C7645" w:rsidP="000C470D">
            <w:pPr>
              <w:jc w:val="right"/>
              <w:rPr>
                <w:sz w:val="20"/>
                <w:szCs w:val="20"/>
              </w:rPr>
            </w:pPr>
            <w:r w:rsidRPr="003E1F8D">
              <w:rPr>
                <w:sz w:val="20"/>
                <w:szCs w:val="20"/>
              </w:rPr>
              <w:t xml:space="preserve">20 000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D08CE" w14:textId="77777777" w:rsidR="001C7645" w:rsidRPr="003E1F8D" w:rsidRDefault="001C7645" w:rsidP="000C470D">
            <w:pPr>
              <w:jc w:val="right"/>
              <w:rPr>
                <w:sz w:val="20"/>
                <w:szCs w:val="20"/>
              </w:rPr>
            </w:pPr>
            <w:r w:rsidRPr="003E1F8D">
              <w:rPr>
                <w:sz w:val="20"/>
                <w:szCs w:val="20"/>
              </w:rPr>
              <w:t>0</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77AD5" w14:textId="77777777" w:rsidR="001C7645" w:rsidRPr="003E1F8D" w:rsidRDefault="001C7645" w:rsidP="000C470D">
            <w:pPr>
              <w:jc w:val="right"/>
              <w:rPr>
                <w:sz w:val="20"/>
                <w:szCs w:val="20"/>
              </w:rPr>
            </w:pPr>
            <w:r>
              <w:rPr>
                <w:sz w:val="20"/>
                <w:szCs w:val="20"/>
              </w:rPr>
              <w:t>100</w:t>
            </w:r>
          </w:p>
        </w:tc>
      </w:tr>
      <w:tr w:rsidR="001C7645" w:rsidRPr="00862361" w14:paraId="4D83496B" w14:textId="77777777" w:rsidTr="001C7645">
        <w:trPr>
          <w:trHeight w:val="20"/>
        </w:trPr>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D8AFF" w14:textId="77777777" w:rsidR="001C7645" w:rsidRPr="00862361" w:rsidRDefault="001C7645" w:rsidP="000C470D">
            <w:pPr>
              <w:pStyle w:val="Odsekzoznamu"/>
              <w:numPr>
                <w:ilvl w:val="0"/>
                <w:numId w:val="14"/>
              </w:numPr>
              <w:ind w:left="567" w:hanging="284"/>
              <w:rPr>
                <w:sz w:val="20"/>
                <w:szCs w:val="20"/>
              </w:rPr>
            </w:pPr>
            <w:r w:rsidRPr="00862361">
              <w:rPr>
                <w:sz w:val="20"/>
                <w:szCs w:val="20"/>
              </w:rPr>
              <w:t xml:space="preserve">splácanie istiny </w:t>
            </w:r>
          </w:p>
        </w:tc>
        <w:tc>
          <w:tcPr>
            <w:tcW w:w="692" w:type="pct"/>
            <w:vAlign w:val="center"/>
            <w:hideMark/>
          </w:tcPr>
          <w:p w14:paraId="6AFA3073" w14:textId="77777777" w:rsidR="001C7645" w:rsidRPr="00862361" w:rsidRDefault="001C7645" w:rsidP="000C470D">
            <w:pPr>
              <w:jc w:val="right"/>
              <w:rPr>
                <w:sz w:val="20"/>
                <w:szCs w:val="20"/>
              </w:rPr>
            </w:pPr>
            <w:r w:rsidRPr="00862361">
              <w:rPr>
                <w:sz w:val="20"/>
                <w:szCs w:val="20"/>
              </w:rPr>
              <w:t xml:space="preserve">161 280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1A77D" w14:textId="77777777" w:rsidR="001C7645" w:rsidRPr="00862361" w:rsidRDefault="001C7645" w:rsidP="000C470D">
            <w:pPr>
              <w:jc w:val="right"/>
              <w:rPr>
                <w:sz w:val="20"/>
                <w:szCs w:val="20"/>
              </w:rPr>
            </w:pPr>
            <w:r w:rsidRPr="00862361">
              <w:rPr>
                <w:sz w:val="20"/>
                <w:szCs w:val="20"/>
              </w:rPr>
              <w:t>200 000</w:t>
            </w:r>
          </w:p>
        </w:tc>
        <w:tc>
          <w:tcPr>
            <w:tcW w:w="692" w:type="pct"/>
            <w:vAlign w:val="center"/>
          </w:tcPr>
          <w:p w14:paraId="752315B0" w14:textId="77777777" w:rsidR="001C7645" w:rsidRPr="003E1F8D" w:rsidRDefault="001C7645" w:rsidP="000C470D">
            <w:pPr>
              <w:jc w:val="right"/>
              <w:rPr>
                <w:sz w:val="20"/>
                <w:szCs w:val="20"/>
              </w:rPr>
            </w:pPr>
            <w:r w:rsidRPr="003E1F8D">
              <w:rPr>
                <w:sz w:val="20"/>
                <w:szCs w:val="20"/>
              </w:rPr>
              <w:t xml:space="preserve">200 000 </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3F261" w14:textId="77777777" w:rsidR="001C7645" w:rsidRPr="003E1F8D" w:rsidRDefault="001C7645" w:rsidP="000C470D">
            <w:pPr>
              <w:jc w:val="right"/>
              <w:rPr>
                <w:sz w:val="20"/>
                <w:szCs w:val="20"/>
              </w:rPr>
            </w:pPr>
            <w:r w:rsidRPr="003E1F8D">
              <w:rPr>
                <w:sz w:val="20"/>
                <w:szCs w:val="20"/>
              </w:rPr>
              <w:t>0</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764D60" w14:textId="77777777" w:rsidR="001C7645" w:rsidRPr="003E1F8D" w:rsidRDefault="001C7645" w:rsidP="000C470D">
            <w:pPr>
              <w:jc w:val="right"/>
              <w:rPr>
                <w:sz w:val="20"/>
                <w:szCs w:val="20"/>
              </w:rPr>
            </w:pPr>
            <w:r>
              <w:rPr>
                <w:sz w:val="20"/>
                <w:szCs w:val="20"/>
              </w:rPr>
              <w:t>100</w:t>
            </w:r>
          </w:p>
        </w:tc>
      </w:tr>
    </w:tbl>
    <w:p w14:paraId="40A47D24" w14:textId="77777777" w:rsidR="001C7645" w:rsidRPr="00A97AC3" w:rsidRDefault="001C7645" w:rsidP="001C7645">
      <w:pPr>
        <w:spacing w:after="120"/>
        <w:jc w:val="both"/>
        <w:rPr>
          <w:rFonts w:eastAsiaTheme="minorEastAsia"/>
          <w:i/>
          <w:sz w:val="20"/>
        </w:rPr>
      </w:pPr>
      <w:r w:rsidRPr="00A97AC3">
        <w:rPr>
          <w:rFonts w:eastAsiaTheme="minorEastAsia"/>
          <w:i/>
          <w:sz w:val="18"/>
          <w:szCs w:val="20"/>
        </w:rPr>
        <w:t>Zdroj: Návrh RVS na roky 2020 až 2022</w:t>
      </w:r>
    </w:p>
    <w:p w14:paraId="253D1D60" w14:textId="0828FA58" w:rsidR="001C7645" w:rsidRDefault="001C7645" w:rsidP="006926C2"/>
    <w:p w14:paraId="2718BD3D" w14:textId="40B06EF0" w:rsidR="00C615E3" w:rsidRDefault="00C615E3" w:rsidP="006926C2"/>
    <w:p w14:paraId="4B9CC23B" w14:textId="73DAB779" w:rsidR="00C615E3" w:rsidRDefault="00C615E3" w:rsidP="006926C2"/>
    <w:p w14:paraId="28BD9658" w14:textId="52D4C77A" w:rsidR="00C615E3" w:rsidRDefault="00C615E3" w:rsidP="006926C2"/>
    <w:p w14:paraId="47F56332" w14:textId="617D015F" w:rsidR="00C615E3" w:rsidRDefault="00C615E3" w:rsidP="006926C2"/>
    <w:p w14:paraId="13AA7DFE" w14:textId="5AF00D0B" w:rsidR="00C615E3" w:rsidRDefault="00C615E3" w:rsidP="006926C2"/>
    <w:p w14:paraId="4631517D" w14:textId="713B6DE3" w:rsidR="00C615E3" w:rsidRDefault="00C615E3" w:rsidP="006926C2"/>
    <w:p w14:paraId="0FF3907C" w14:textId="28894261" w:rsidR="00C615E3" w:rsidRDefault="00C615E3" w:rsidP="006926C2"/>
    <w:p w14:paraId="34C43A89" w14:textId="085A6A6D" w:rsidR="00C615E3" w:rsidRDefault="00C615E3" w:rsidP="006926C2"/>
    <w:p w14:paraId="0FB1992A" w14:textId="21764EBD" w:rsidR="00C615E3" w:rsidRDefault="00C615E3" w:rsidP="006926C2"/>
    <w:p w14:paraId="52B76A86" w14:textId="6621688C" w:rsidR="00C615E3" w:rsidRDefault="00C615E3" w:rsidP="006926C2"/>
    <w:p w14:paraId="2AB4B773" w14:textId="51769C40" w:rsidR="00C615E3" w:rsidRDefault="00C615E3" w:rsidP="006926C2"/>
    <w:p w14:paraId="4E551D03" w14:textId="0EA6B9EC" w:rsidR="00C615E3" w:rsidRDefault="00C615E3" w:rsidP="006926C2"/>
    <w:p w14:paraId="2D373EB8" w14:textId="07FCC9BA" w:rsidR="00C615E3" w:rsidRDefault="00C615E3" w:rsidP="006926C2"/>
    <w:p w14:paraId="07D396DA" w14:textId="77777777" w:rsidR="00C615E3" w:rsidRDefault="00C615E3" w:rsidP="006926C2"/>
    <w:p w14:paraId="6BC63946" w14:textId="63946791" w:rsidR="00306ED2" w:rsidRPr="00306ED2" w:rsidRDefault="00306ED2" w:rsidP="00C615E3">
      <w:pPr>
        <w:jc w:val="both"/>
        <w:rPr>
          <w:b/>
        </w:rPr>
      </w:pPr>
      <w:r w:rsidRPr="00306ED2">
        <w:rPr>
          <w:b/>
        </w:rPr>
        <w:lastRenderedPageBreak/>
        <w:t>Tabuľka 5: Porovnanie návrhu rozpočtu príjmov VÚC na hotovostnej báze v návrhu rozpočtu na rok 2020 so schváleným rozpočtom na rok 2019 a skutočným plnením rozpočtu za rok 2018</w:t>
      </w:r>
    </w:p>
    <w:tbl>
      <w:tblPr>
        <w:tblStyle w:val="Mriekatabuky"/>
        <w:tblW w:w="5000" w:type="pct"/>
        <w:tblLook w:val="04A0" w:firstRow="1" w:lastRow="0" w:firstColumn="1" w:lastColumn="0" w:noHBand="0" w:noVBand="1"/>
      </w:tblPr>
      <w:tblGrid>
        <w:gridCol w:w="2985"/>
        <w:gridCol w:w="1273"/>
        <w:gridCol w:w="1273"/>
        <w:gridCol w:w="1273"/>
        <w:gridCol w:w="1273"/>
        <w:gridCol w:w="1269"/>
      </w:tblGrid>
      <w:tr w:rsidR="00306ED2" w:rsidRPr="00D762E8" w14:paraId="0DFB56A8" w14:textId="77777777" w:rsidTr="000C470D">
        <w:trPr>
          <w:tblHeader/>
        </w:trPr>
        <w:tc>
          <w:tcPr>
            <w:tcW w:w="1597"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2E902D04" w14:textId="77777777" w:rsidR="00306ED2" w:rsidRPr="00D762E8" w:rsidRDefault="00306ED2" w:rsidP="000C470D">
            <w:pPr>
              <w:jc w:val="center"/>
              <w:rPr>
                <w:rFonts w:eastAsia="Calibri"/>
                <w:b/>
                <w:bCs/>
                <w:color w:val="FFFFFF" w:themeColor="background1"/>
                <w:sz w:val="20"/>
                <w:szCs w:val="20"/>
              </w:rPr>
            </w:pPr>
            <w:r>
              <w:rPr>
                <w:rFonts w:eastAsia="Calibri"/>
                <w:b/>
                <w:bCs/>
                <w:color w:val="FFFFFF" w:themeColor="background1"/>
                <w:sz w:val="20"/>
                <w:szCs w:val="20"/>
              </w:rPr>
              <w:t>Príjmy VÚC</w:t>
            </w:r>
          </w:p>
          <w:p w14:paraId="6C1BAC38" w14:textId="77777777" w:rsidR="00306ED2" w:rsidRPr="00D762E8" w:rsidRDefault="00306ED2" w:rsidP="000C470D">
            <w:pPr>
              <w:jc w:val="center"/>
              <w:rPr>
                <w:rFonts w:eastAsia="Calibri"/>
                <w:b/>
                <w:color w:val="FFFFFF" w:themeColor="background1"/>
                <w:sz w:val="20"/>
                <w:szCs w:val="20"/>
              </w:rPr>
            </w:pPr>
            <w:r w:rsidRPr="00D762E8">
              <w:rPr>
                <w:rFonts w:eastAsia="Calibri"/>
                <w:b/>
                <w:bCs/>
                <w:color w:val="FFFFFF" w:themeColor="background1"/>
                <w:sz w:val="20"/>
                <w:szCs w:val="20"/>
              </w:rPr>
              <w:t>(v tis. eur)</w:t>
            </w:r>
          </w:p>
        </w:tc>
        <w:tc>
          <w:tcPr>
            <w:tcW w:w="681"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CAAE244" w14:textId="77777777" w:rsidR="00306ED2" w:rsidRPr="00D762E8" w:rsidRDefault="00306ED2" w:rsidP="000C470D">
            <w:pPr>
              <w:jc w:val="center"/>
              <w:rPr>
                <w:b/>
                <w:color w:val="FFFFFF" w:themeColor="background1"/>
                <w:sz w:val="20"/>
                <w:szCs w:val="20"/>
              </w:rPr>
            </w:pPr>
            <w:r w:rsidRPr="00D762E8">
              <w:rPr>
                <w:b/>
                <w:color w:val="FFFFFF" w:themeColor="background1"/>
                <w:sz w:val="20"/>
                <w:szCs w:val="20"/>
              </w:rPr>
              <w:t>Skutočnosť</w:t>
            </w:r>
          </w:p>
          <w:p w14:paraId="42B749B5" w14:textId="77777777" w:rsidR="00306ED2" w:rsidRPr="00D762E8" w:rsidRDefault="00306ED2" w:rsidP="000C470D">
            <w:pPr>
              <w:jc w:val="center"/>
              <w:rPr>
                <w:b/>
                <w:color w:val="FFFFFF" w:themeColor="background1"/>
                <w:sz w:val="20"/>
                <w:szCs w:val="20"/>
              </w:rPr>
            </w:pPr>
            <w:r>
              <w:rPr>
                <w:b/>
                <w:color w:val="FFFFFF" w:themeColor="background1"/>
                <w:sz w:val="20"/>
                <w:szCs w:val="20"/>
              </w:rPr>
              <w:t>2018</w:t>
            </w:r>
          </w:p>
        </w:tc>
        <w:tc>
          <w:tcPr>
            <w:tcW w:w="1361"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0C937A1A" w14:textId="77777777" w:rsidR="00306ED2" w:rsidRPr="00D762E8" w:rsidRDefault="00306ED2" w:rsidP="000C470D">
            <w:pPr>
              <w:jc w:val="center"/>
              <w:rPr>
                <w:b/>
                <w:color w:val="FFFFFF" w:themeColor="background1"/>
                <w:sz w:val="20"/>
                <w:szCs w:val="20"/>
              </w:rPr>
            </w:pPr>
            <w:r w:rsidRPr="00D762E8">
              <w:rPr>
                <w:b/>
                <w:color w:val="FFFFFF" w:themeColor="background1"/>
                <w:sz w:val="20"/>
                <w:szCs w:val="20"/>
              </w:rPr>
              <w:t>Rozpočet</w:t>
            </w:r>
          </w:p>
        </w:tc>
        <w:tc>
          <w:tcPr>
            <w:tcW w:w="681"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0BFE6A7" w14:textId="77777777" w:rsidR="00306ED2" w:rsidRPr="00D762E8" w:rsidRDefault="00306ED2" w:rsidP="000C470D">
            <w:pPr>
              <w:jc w:val="center"/>
              <w:rPr>
                <w:b/>
                <w:color w:val="FFFFFF" w:themeColor="background1"/>
                <w:sz w:val="20"/>
                <w:szCs w:val="20"/>
              </w:rPr>
            </w:pPr>
            <w:r w:rsidRPr="00D762E8">
              <w:rPr>
                <w:b/>
                <w:color w:val="FFFFFF" w:themeColor="background1"/>
                <w:sz w:val="20"/>
                <w:szCs w:val="20"/>
              </w:rPr>
              <w:t>Rozdiel</w:t>
            </w:r>
          </w:p>
        </w:tc>
        <w:tc>
          <w:tcPr>
            <w:tcW w:w="681"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2D0058C7" w14:textId="77777777" w:rsidR="00306ED2" w:rsidRDefault="00306ED2" w:rsidP="000C470D">
            <w:pPr>
              <w:jc w:val="center"/>
              <w:rPr>
                <w:b/>
                <w:color w:val="FFFFFF" w:themeColor="background1"/>
                <w:sz w:val="20"/>
                <w:szCs w:val="20"/>
              </w:rPr>
            </w:pPr>
            <w:r w:rsidRPr="00D762E8">
              <w:rPr>
                <w:b/>
                <w:color w:val="FFFFFF" w:themeColor="background1"/>
                <w:sz w:val="20"/>
                <w:szCs w:val="20"/>
              </w:rPr>
              <w:t>Podiel</w:t>
            </w:r>
          </w:p>
          <w:p w14:paraId="015AA868" w14:textId="77777777" w:rsidR="00306ED2" w:rsidRPr="00D762E8" w:rsidRDefault="00306ED2" w:rsidP="000C470D">
            <w:pPr>
              <w:jc w:val="center"/>
              <w:rPr>
                <w:b/>
                <w:color w:val="FFFFFF" w:themeColor="background1"/>
                <w:sz w:val="20"/>
                <w:szCs w:val="20"/>
              </w:rPr>
            </w:pPr>
            <w:r w:rsidRPr="00D762E8">
              <w:rPr>
                <w:b/>
                <w:color w:val="FFFFFF" w:themeColor="background1"/>
                <w:sz w:val="20"/>
                <w:szCs w:val="20"/>
              </w:rPr>
              <w:t>(v %)</w:t>
            </w:r>
          </w:p>
        </w:tc>
      </w:tr>
      <w:tr w:rsidR="00306ED2" w:rsidRPr="00D762E8" w14:paraId="504C397A" w14:textId="77777777" w:rsidTr="000C470D">
        <w:trPr>
          <w:tblHeader/>
        </w:trPr>
        <w:tc>
          <w:tcPr>
            <w:tcW w:w="1597"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7E381956" w14:textId="77777777" w:rsidR="00306ED2" w:rsidRPr="00D762E8" w:rsidRDefault="00306ED2" w:rsidP="000C470D">
            <w:pPr>
              <w:rPr>
                <w:rFonts w:eastAsia="Calibri"/>
                <w:b/>
                <w:color w:val="FFFFFF" w:themeColor="background1"/>
                <w:sz w:val="20"/>
                <w:szCs w:val="20"/>
              </w:rPr>
            </w:pPr>
          </w:p>
        </w:tc>
        <w:tc>
          <w:tcPr>
            <w:tcW w:w="681"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4930E753" w14:textId="77777777" w:rsidR="00306ED2" w:rsidRPr="00D762E8" w:rsidRDefault="00306ED2" w:rsidP="000C470D">
            <w:pPr>
              <w:rPr>
                <w:b/>
                <w:color w:val="FFFFFF" w:themeColor="background1"/>
                <w:sz w:val="20"/>
                <w:szCs w:val="20"/>
              </w:rPr>
            </w:pP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74272CBF" w14:textId="77777777" w:rsidR="00306ED2" w:rsidRPr="00D762E8" w:rsidRDefault="00306ED2" w:rsidP="000C470D">
            <w:pPr>
              <w:jc w:val="center"/>
              <w:rPr>
                <w:b/>
                <w:color w:val="FFFFFF" w:themeColor="background1"/>
                <w:sz w:val="20"/>
                <w:szCs w:val="20"/>
              </w:rPr>
            </w:pPr>
            <w:r>
              <w:rPr>
                <w:b/>
                <w:color w:val="FFFFFF" w:themeColor="background1"/>
                <w:sz w:val="20"/>
                <w:szCs w:val="20"/>
              </w:rPr>
              <w:t>2019</w:t>
            </w: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1DEC942C" w14:textId="77777777" w:rsidR="00306ED2" w:rsidRPr="00D762E8" w:rsidRDefault="00306ED2" w:rsidP="000C470D">
            <w:pPr>
              <w:jc w:val="center"/>
              <w:rPr>
                <w:b/>
                <w:color w:val="FFFFFF" w:themeColor="background1"/>
                <w:sz w:val="20"/>
                <w:szCs w:val="20"/>
              </w:rPr>
            </w:pPr>
            <w:r>
              <w:rPr>
                <w:b/>
                <w:color w:val="FFFFFF" w:themeColor="background1"/>
                <w:sz w:val="20"/>
                <w:szCs w:val="20"/>
              </w:rPr>
              <w:t>2020</w:t>
            </w:r>
          </w:p>
        </w:tc>
        <w:tc>
          <w:tcPr>
            <w:tcW w:w="681"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17FD2E55" w14:textId="77777777" w:rsidR="00306ED2" w:rsidRPr="00D762E8" w:rsidRDefault="00306ED2" w:rsidP="000C470D">
            <w:pPr>
              <w:rPr>
                <w:b/>
                <w:color w:val="FFFFFF" w:themeColor="background1"/>
                <w:sz w:val="20"/>
                <w:szCs w:val="20"/>
              </w:rPr>
            </w:pPr>
          </w:p>
        </w:tc>
        <w:tc>
          <w:tcPr>
            <w:tcW w:w="681" w:type="pct"/>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66E73E41" w14:textId="77777777" w:rsidR="00306ED2" w:rsidRPr="00D762E8" w:rsidRDefault="00306ED2" w:rsidP="000C470D">
            <w:pPr>
              <w:rPr>
                <w:b/>
                <w:color w:val="FFFFFF" w:themeColor="background1"/>
                <w:sz w:val="20"/>
                <w:szCs w:val="20"/>
              </w:rPr>
            </w:pPr>
          </w:p>
        </w:tc>
      </w:tr>
      <w:tr w:rsidR="00306ED2" w:rsidRPr="00D762E8" w14:paraId="6AC4A591" w14:textId="77777777" w:rsidTr="000C470D">
        <w:trPr>
          <w:tblHeader/>
        </w:trPr>
        <w:tc>
          <w:tcPr>
            <w:tcW w:w="1597" w:type="pct"/>
            <w:tcBorders>
              <w:top w:val="single" w:sz="4" w:space="0" w:color="auto"/>
              <w:left w:val="single" w:sz="4" w:space="0" w:color="auto"/>
              <w:bottom w:val="single" w:sz="4" w:space="0" w:color="auto"/>
              <w:right w:val="single" w:sz="4" w:space="0" w:color="auto"/>
            </w:tcBorders>
            <w:vAlign w:val="center"/>
            <w:hideMark/>
          </w:tcPr>
          <w:p w14:paraId="1745CC73" w14:textId="77777777" w:rsidR="00306ED2" w:rsidRPr="00D762E8" w:rsidRDefault="00306ED2" w:rsidP="000C470D">
            <w:pPr>
              <w:jc w:val="center"/>
              <w:rPr>
                <w:bCs/>
                <w:sz w:val="20"/>
                <w:szCs w:val="20"/>
              </w:rPr>
            </w:pPr>
            <w:r w:rsidRPr="00D762E8">
              <w:rPr>
                <w:bCs/>
                <w:sz w:val="20"/>
                <w:szCs w:val="20"/>
              </w:rPr>
              <w:t>a</w:t>
            </w:r>
          </w:p>
        </w:tc>
        <w:tc>
          <w:tcPr>
            <w:tcW w:w="681" w:type="pct"/>
            <w:tcBorders>
              <w:top w:val="single" w:sz="4" w:space="0" w:color="auto"/>
              <w:left w:val="single" w:sz="4" w:space="0" w:color="auto"/>
              <w:bottom w:val="single" w:sz="4" w:space="0" w:color="auto"/>
              <w:right w:val="single" w:sz="4" w:space="0" w:color="auto"/>
            </w:tcBorders>
            <w:hideMark/>
          </w:tcPr>
          <w:p w14:paraId="6BC1040F" w14:textId="77777777" w:rsidR="00306ED2" w:rsidRPr="00D762E8" w:rsidRDefault="00306ED2" w:rsidP="000C470D">
            <w:pPr>
              <w:jc w:val="center"/>
              <w:rPr>
                <w:sz w:val="20"/>
                <w:szCs w:val="20"/>
              </w:rPr>
            </w:pPr>
            <w:r w:rsidRPr="00D762E8">
              <w:rPr>
                <w:sz w:val="20"/>
                <w:szCs w:val="20"/>
              </w:rPr>
              <w:t>1</w:t>
            </w:r>
          </w:p>
        </w:tc>
        <w:tc>
          <w:tcPr>
            <w:tcW w:w="681" w:type="pct"/>
            <w:tcBorders>
              <w:top w:val="single" w:sz="4" w:space="0" w:color="auto"/>
              <w:left w:val="single" w:sz="4" w:space="0" w:color="auto"/>
              <w:bottom w:val="single" w:sz="4" w:space="0" w:color="auto"/>
              <w:right w:val="single" w:sz="4" w:space="0" w:color="auto"/>
            </w:tcBorders>
            <w:hideMark/>
          </w:tcPr>
          <w:p w14:paraId="66C59AB3" w14:textId="77777777" w:rsidR="00306ED2" w:rsidRPr="00D762E8" w:rsidRDefault="00306ED2" w:rsidP="000C470D">
            <w:pPr>
              <w:jc w:val="center"/>
              <w:rPr>
                <w:sz w:val="20"/>
                <w:szCs w:val="20"/>
              </w:rPr>
            </w:pPr>
            <w:r w:rsidRPr="00D762E8">
              <w:rPr>
                <w:sz w:val="20"/>
                <w:szCs w:val="20"/>
              </w:rPr>
              <w:t>2</w:t>
            </w:r>
          </w:p>
        </w:tc>
        <w:tc>
          <w:tcPr>
            <w:tcW w:w="681" w:type="pct"/>
            <w:tcBorders>
              <w:top w:val="single" w:sz="4" w:space="0" w:color="auto"/>
              <w:left w:val="single" w:sz="4" w:space="0" w:color="auto"/>
              <w:bottom w:val="single" w:sz="4" w:space="0" w:color="auto"/>
              <w:right w:val="single" w:sz="4" w:space="0" w:color="auto"/>
            </w:tcBorders>
            <w:hideMark/>
          </w:tcPr>
          <w:p w14:paraId="45CCAA8E" w14:textId="77777777" w:rsidR="00306ED2" w:rsidRPr="00D762E8" w:rsidRDefault="00306ED2" w:rsidP="000C470D">
            <w:pPr>
              <w:jc w:val="center"/>
              <w:rPr>
                <w:sz w:val="20"/>
                <w:szCs w:val="20"/>
              </w:rPr>
            </w:pPr>
            <w:r w:rsidRPr="00D762E8">
              <w:rPr>
                <w:sz w:val="20"/>
                <w:szCs w:val="20"/>
              </w:rPr>
              <w:t>3</w:t>
            </w:r>
          </w:p>
        </w:tc>
        <w:tc>
          <w:tcPr>
            <w:tcW w:w="681" w:type="pct"/>
            <w:tcBorders>
              <w:top w:val="single" w:sz="4" w:space="0" w:color="auto"/>
              <w:left w:val="single" w:sz="4" w:space="0" w:color="auto"/>
              <w:bottom w:val="single" w:sz="4" w:space="0" w:color="auto"/>
              <w:right w:val="single" w:sz="4" w:space="0" w:color="auto"/>
            </w:tcBorders>
            <w:hideMark/>
          </w:tcPr>
          <w:p w14:paraId="57B7E825" w14:textId="77777777" w:rsidR="00306ED2" w:rsidRPr="00D762E8" w:rsidRDefault="00306ED2" w:rsidP="000C470D">
            <w:pPr>
              <w:jc w:val="center"/>
              <w:rPr>
                <w:sz w:val="20"/>
                <w:szCs w:val="20"/>
              </w:rPr>
            </w:pPr>
            <w:r w:rsidRPr="00D762E8">
              <w:rPr>
                <w:sz w:val="20"/>
                <w:szCs w:val="20"/>
              </w:rPr>
              <w:t>3-2</w:t>
            </w:r>
          </w:p>
        </w:tc>
        <w:tc>
          <w:tcPr>
            <w:tcW w:w="681" w:type="pct"/>
            <w:tcBorders>
              <w:top w:val="single" w:sz="4" w:space="0" w:color="auto"/>
              <w:left w:val="single" w:sz="4" w:space="0" w:color="auto"/>
              <w:bottom w:val="single" w:sz="4" w:space="0" w:color="auto"/>
              <w:right w:val="single" w:sz="4" w:space="0" w:color="auto"/>
            </w:tcBorders>
            <w:hideMark/>
          </w:tcPr>
          <w:p w14:paraId="4551B61F" w14:textId="77777777" w:rsidR="00306ED2" w:rsidRPr="00D762E8" w:rsidRDefault="00306ED2" w:rsidP="000C470D">
            <w:pPr>
              <w:jc w:val="center"/>
              <w:rPr>
                <w:sz w:val="20"/>
                <w:szCs w:val="20"/>
              </w:rPr>
            </w:pPr>
            <w:r w:rsidRPr="00D762E8">
              <w:rPr>
                <w:sz w:val="20"/>
                <w:szCs w:val="20"/>
              </w:rPr>
              <w:t>3/2*100</w:t>
            </w:r>
          </w:p>
        </w:tc>
      </w:tr>
      <w:tr w:rsidR="00306ED2" w:rsidRPr="00D762E8" w14:paraId="69DDADD4"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09182" w14:textId="77777777" w:rsidR="00306ED2" w:rsidRPr="00D762E8" w:rsidRDefault="00306ED2" w:rsidP="000C470D">
            <w:pPr>
              <w:rPr>
                <w:b/>
                <w:bCs/>
                <w:sz w:val="20"/>
                <w:szCs w:val="20"/>
              </w:rPr>
            </w:pPr>
            <w:r w:rsidRPr="00D762E8">
              <w:rPr>
                <w:b/>
                <w:bCs/>
                <w:sz w:val="20"/>
                <w:szCs w:val="20"/>
              </w:rPr>
              <w:t>Príjmy VÚC spolu</w:t>
            </w:r>
          </w:p>
        </w:tc>
        <w:tc>
          <w:tcPr>
            <w:tcW w:w="681" w:type="pct"/>
            <w:hideMark/>
          </w:tcPr>
          <w:p w14:paraId="37AAD602" w14:textId="77777777" w:rsidR="00306ED2" w:rsidRPr="00AB5228" w:rsidRDefault="00306ED2" w:rsidP="000C470D">
            <w:pPr>
              <w:jc w:val="right"/>
              <w:rPr>
                <w:b/>
                <w:sz w:val="20"/>
                <w:szCs w:val="20"/>
              </w:rPr>
            </w:pPr>
            <w:r w:rsidRPr="00AB5228">
              <w:rPr>
                <w:b/>
                <w:sz w:val="20"/>
                <w:szCs w:val="20"/>
              </w:rPr>
              <w:t xml:space="preserve">1 585 465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0E3E4" w14:textId="77777777" w:rsidR="00306ED2" w:rsidRPr="00D762E8" w:rsidRDefault="00306ED2" w:rsidP="000C470D">
            <w:pPr>
              <w:jc w:val="right"/>
              <w:rPr>
                <w:b/>
                <w:bCs/>
                <w:sz w:val="20"/>
                <w:szCs w:val="20"/>
              </w:rPr>
            </w:pPr>
            <w:r w:rsidRPr="00D762E8">
              <w:rPr>
                <w:b/>
                <w:bCs/>
                <w:sz w:val="20"/>
                <w:szCs w:val="20"/>
              </w:rPr>
              <w:t>1 662 137</w:t>
            </w:r>
          </w:p>
        </w:tc>
        <w:tc>
          <w:tcPr>
            <w:tcW w:w="681" w:type="pct"/>
          </w:tcPr>
          <w:p w14:paraId="61938183" w14:textId="77777777" w:rsidR="00306ED2" w:rsidRPr="00AB5228" w:rsidRDefault="00306ED2" w:rsidP="000C470D">
            <w:pPr>
              <w:jc w:val="right"/>
              <w:rPr>
                <w:b/>
                <w:sz w:val="20"/>
                <w:szCs w:val="20"/>
              </w:rPr>
            </w:pPr>
            <w:r w:rsidRPr="00AB5228">
              <w:rPr>
                <w:b/>
                <w:sz w:val="20"/>
                <w:szCs w:val="20"/>
              </w:rPr>
              <w:t xml:space="preserve">1 813 723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C56B4" w14:textId="77777777" w:rsidR="00306ED2" w:rsidRPr="004A70DF" w:rsidRDefault="00306ED2" w:rsidP="000C470D">
            <w:pPr>
              <w:jc w:val="right"/>
              <w:rPr>
                <w:b/>
                <w:sz w:val="20"/>
                <w:szCs w:val="20"/>
              </w:rPr>
            </w:pPr>
            <w:r w:rsidRPr="004A70DF">
              <w:rPr>
                <w:b/>
                <w:sz w:val="20"/>
                <w:szCs w:val="20"/>
              </w:rPr>
              <w:t>151 586</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7289C" w14:textId="77777777" w:rsidR="00306ED2" w:rsidRPr="004A70DF" w:rsidRDefault="00306ED2" w:rsidP="000C470D">
            <w:pPr>
              <w:jc w:val="right"/>
              <w:rPr>
                <w:b/>
                <w:sz w:val="20"/>
                <w:szCs w:val="20"/>
              </w:rPr>
            </w:pPr>
            <w:r w:rsidRPr="004A70DF">
              <w:rPr>
                <w:b/>
                <w:sz w:val="20"/>
                <w:szCs w:val="20"/>
              </w:rPr>
              <w:t>109,1</w:t>
            </w:r>
          </w:p>
        </w:tc>
      </w:tr>
      <w:tr w:rsidR="00306ED2" w:rsidRPr="00D762E8" w14:paraId="51AE47F2"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290F4" w14:textId="77777777" w:rsidR="00306ED2" w:rsidRPr="00D762E8" w:rsidRDefault="00306ED2" w:rsidP="000C470D">
            <w:pPr>
              <w:rPr>
                <w:i/>
                <w:sz w:val="20"/>
                <w:szCs w:val="20"/>
              </w:rPr>
            </w:pPr>
            <w:r w:rsidRPr="00D762E8">
              <w:rPr>
                <w:i/>
                <w:sz w:val="20"/>
                <w:szCs w:val="20"/>
              </w:rPr>
              <w:t>z toho:</w:t>
            </w:r>
          </w:p>
        </w:tc>
        <w:tc>
          <w:tcPr>
            <w:tcW w:w="681" w:type="pct"/>
            <w:hideMark/>
          </w:tcPr>
          <w:p w14:paraId="785FD2E7" w14:textId="77777777" w:rsidR="00306ED2" w:rsidRPr="00A42B56"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2AE846" w14:textId="77777777" w:rsidR="00306ED2" w:rsidRPr="00D762E8" w:rsidRDefault="00306ED2" w:rsidP="000C470D">
            <w:pPr>
              <w:jc w:val="right"/>
              <w:rPr>
                <w:sz w:val="20"/>
                <w:szCs w:val="20"/>
              </w:rPr>
            </w:pPr>
          </w:p>
        </w:tc>
        <w:tc>
          <w:tcPr>
            <w:tcW w:w="681" w:type="pct"/>
          </w:tcPr>
          <w:p w14:paraId="7C1D7EBF" w14:textId="77777777" w:rsidR="00306ED2" w:rsidRPr="00A42B56"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463DE" w14:textId="77777777" w:rsidR="00306ED2" w:rsidRPr="00A42B56"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80680" w14:textId="77777777" w:rsidR="00306ED2" w:rsidRPr="00A42B56" w:rsidRDefault="00306ED2" w:rsidP="000C470D">
            <w:pPr>
              <w:jc w:val="right"/>
              <w:rPr>
                <w:sz w:val="20"/>
                <w:szCs w:val="20"/>
              </w:rPr>
            </w:pPr>
          </w:p>
        </w:tc>
      </w:tr>
      <w:tr w:rsidR="00306ED2" w:rsidRPr="00D762E8" w14:paraId="2E700C41"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AFAE3" w14:textId="77777777" w:rsidR="00306ED2" w:rsidRPr="00D762E8" w:rsidRDefault="00306ED2" w:rsidP="000C470D">
            <w:pPr>
              <w:pStyle w:val="Odsekzoznamu"/>
              <w:numPr>
                <w:ilvl w:val="0"/>
                <w:numId w:val="13"/>
              </w:numPr>
              <w:ind w:left="426"/>
              <w:rPr>
                <w:sz w:val="20"/>
                <w:szCs w:val="20"/>
              </w:rPr>
            </w:pPr>
            <w:r w:rsidRPr="00D762E8">
              <w:rPr>
                <w:sz w:val="20"/>
                <w:szCs w:val="20"/>
              </w:rPr>
              <w:t>daňové príjmy</w:t>
            </w:r>
          </w:p>
        </w:tc>
        <w:tc>
          <w:tcPr>
            <w:tcW w:w="681" w:type="pct"/>
            <w:hideMark/>
          </w:tcPr>
          <w:p w14:paraId="0E47A67E" w14:textId="77777777" w:rsidR="00306ED2" w:rsidRPr="00AB5228" w:rsidRDefault="00306ED2" w:rsidP="000C470D">
            <w:pPr>
              <w:jc w:val="right"/>
              <w:rPr>
                <w:sz w:val="20"/>
                <w:szCs w:val="20"/>
              </w:rPr>
            </w:pPr>
            <w:r w:rsidRPr="00AB5228">
              <w:rPr>
                <w:sz w:val="20"/>
                <w:szCs w:val="20"/>
              </w:rPr>
              <w:t xml:space="preserve">858 031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AE2F2" w14:textId="77777777" w:rsidR="00306ED2" w:rsidRPr="00D762E8" w:rsidRDefault="00306ED2" w:rsidP="000C470D">
            <w:pPr>
              <w:jc w:val="right"/>
              <w:rPr>
                <w:sz w:val="20"/>
                <w:szCs w:val="20"/>
              </w:rPr>
            </w:pPr>
            <w:r w:rsidRPr="00D762E8">
              <w:rPr>
                <w:sz w:val="20"/>
                <w:szCs w:val="20"/>
              </w:rPr>
              <w:t>933 940</w:t>
            </w:r>
          </w:p>
        </w:tc>
        <w:tc>
          <w:tcPr>
            <w:tcW w:w="681" w:type="pct"/>
          </w:tcPr>
          <w:p w14:paraId="1B716071" w14:textId="77777777" w:rsidR="00306ED2" w:rsidRPr="00AB5228" w:rsidRDefault="00306ED2" w:rsidP="000C470D">
            <w:pPr>
              <w:jc w:val="right"/>
              <w:rPr>
                <w:sz w:val="20"/>
                <w:szCs w:val="20"/>
              </w:rPr>
            </w:pPr>
            <w:r w:rsidRPr="00AB5228">
              <w:rPr>
                <w:sz w:val="20"/>
                <w:szCs w:val="20"/>
              </w:rPr>
              <w:t xml:space="preserve">970 712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D92B5" w14:textId="77777777" w:rsidR="00306ED2" w:rsidRPr="00A42B56" w:rsidRDefault="00306ED2" w:rsidP="000C470D">
            <w:pPr>
              <w:jc w:val="right"/>
              <w:rPr>
                <w:sz w:val="20"/>
                <w:szCs w:val="20"/>
              </w:rPr>
            </w:pPr>
            <w:r w:rsidRPr="00A42B56">
              <w:rPr>
                <w:sz w:val="20"/>
                <w:szCs w:val="20"/>
              </w:rPr>
              <w:t>36</w:t>
            </w:r>
            <w:r>
              <w:rPr>
                <w:sz w:val="20"/>
                <w:szCs w:val="20"/>
              </w:rPr>
              <w:t xml:space="preserve"> </w:t>
            </w:r>
            <w:r w:rsidRPr="00A42B56">
              <w:rPr>
                <w:sz w:val="20"/>
                <w:szCs w:val="20"/>
              </w:rPr>
              <w:t>772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22AC8" w14:textId="77777777" w:rsidR="00306ED2" w:rsidRPr="00A42B56" w:rsidRDefault="00306ED2" w:rsidP="000C470D">
            <w:pPr>
              <w:jc w:val="right"/>
              <w:rPr>
                <w:sz w:val="20"/>
                <w:szCs w:val="20"/>
              </w:rPr>
            </w:pPr>
            <w:r w:rsidRPr="00A42B56">
              <w:rPr>
                <w:sz w:val="20"/>
                <w:szCs w:val="20"/>
              </w:rPr>
              <w:t>103,9</w:t>
            </w:r>
          </w:p>
        </w:tc>
      </w:tr>
      <w:tr w:rsidR="00306ED2" w:rsidRPr="00D762E8" w14:paraId="1BD16E14"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2EC09" w14:textId="77777777" w:rsidR="00306ED2" w:rsidRPr="00D762E8" w:rsidRDefault="00306ED2" w:rsidP="000C470D">
            <w:pPr>
              <w:pStyle w:val="Odsekzoznamu"/>
              <w:numPr>
                <w:ilvl w:val="0"/>
                <w:numId w:val="13"/>
              </w:numPr>
              <w:ind w:left="426"/>
              <w:rPr>
                <w:sz w:val="20"/>
                <w:szCs w:val="20"/>
              </w:rPr>
            </w:pPr>
            <w:r w:rsidRPr="00D762E8">
              <w:rPr>
                <w:sz w:val="20"/>
                <w:szCs w:val="20"/>
              </w:rPr>
              <w:t>nedaňové príjmy</w:t>
            </w:r>
          </w:p>
        </w:tc>
        <w:tc>
          <w:tcPr>
            <w:tcW w:w="681" w:type="pct"/>
            <w:hideMark/>
          </w:tcPr>
          <w:p w14:paraId="6E75E79D" w14:textId="77777777" w:rsidR="00306ED2" w:rsidRPr="00AB5228" w:rsidRDefault="00306ED2" w:rsidP="000C470D">
            <w:pPr>
              <w:jc w:val="right"/>
              <w:rPr>
                <w:sz w:val="20"/>
                <w:szCs w:val="20"/>
              </w:rPr>
            </w:pPr>
            <w:r w:rsidRPr="00AB5228">
              <w:rPr>
                <w:sz w:val="20"/>
                <w:szCs w:val="20"/>
              </w:rPr>
              <w:t xml:space="preserve">102 752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363C7" w14:textId="77777777" w:rsidR="00306ED2" w:rsidRPr="00D762E8" w:rsidRDefault="00306ED2" w:rsidP="000C470D">
            <w:pPr>
              <w:jc w:val="right"/>
              <w:rPr>
                <w:sz w:val="20"/>
                <w:szCs w:val="20"/>
              </w:rPr>
            </w:pPr>
            <w:r w:rsidRPr="00D762E8">
              <w:rPr>
                <w:sz w:val="20"/>
                <w:szCs w:val="20"/>
              </w:rPr>
              <w:t>110 000</w:t>
            </w:r>
          </w:p>
        </w:tc>
        <w:tc>
          <w:tcPr>
            <w:tcW w:w="681" w:type="pct"/>
          </w:tcPr>
          <w:p w14:paraId="005798F2" w14:textId="77777777" w:rsidR="00306ED2" w:rsidRPr="00AB5228" w:rsidRDefault="00306ED2" w:rsidP="000C470D">
            <w:pPr>
              <w:jc w:val="right"/>
              <w:rPr>
                <w:sz w:val="20"/>
                <w:szCs w:val="20"/>
              </w:rPr>
            </w:pPr>
            <w:r w:rsidRPr="00AB5228">
              <w:rPr>
                <w:sz w:val="20"/>
                <w:szCs w:val="20"/>
              </w:rPr>
              <w:t xml:space="preserve">110 000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3329D" w14:textId="77777777" w:rsidR="00306ED2" w:rsidRPr="00A42B56" w:rsidRDefault="00306ED2" w:rsidP="000C470D">
            <w:pPr>
              <w:jc w:val="right"/>
              <w:rPr>
                <w:sz w:val="20"/>
                <w:szCs w:val="20"/>
              </w:rPr>
            </w:pPr>
            <w:r w:rsidRPr="00A42B56">
              <w:rPr>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97B71" w14:textId="77777777" w:rsidR="00306ED2" w:rsidRPr="00A42B56" w:rsidRDefault="00306ED2" w:rsidP="000C470D">
            <w:pPr>
              <w:jc w:val="right"/>
              <w:rPr>
                <w:sz w:val="20"/>
                <w:szCs w:val="20"/>
              </w:rPr>
            </w:pPr>
            <w:r w:rsidRPr="00A42B56">
              <w:rPr>
                <w:sz w:val="20"/>
                <w:szCs w:val="20"/>
              </w:rPr>
              <w:t>100</w:t>
            </w:r>
          </w:p>
        </w:tc>
      </w:tr>
      <w:tr w:rsidR="00306ED2" w:rsidRPr="00D762E8" w14:paraId="5318E22E"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78A871" w14:textId="77777777" w:rsidR="00306ED2" w:rsidRPr="00D762E8" w:rsidRDefault="00306ED2" w:rsidP="000C470D">
            <w:pPr>
              <w:pStyle w:val="Odsekzoznamu"/>
              <w:numPr>
                <w:ilvl w:val="0"/>
                <w:numId w:val="13"/>
              </w:numPr>
              <w:ind w:left="426"/>
              <w:rPr>
                <w:sz w:val="20"/>
                <w:szCs w:val="20"/>
              </w:rPr>
            </w:pPr>
            <w:r w:rsidRPr="00D762E8">
              <w:rPr>
                <w:sz w:val="20"/>
                <w:szCs w:val="20"/>
              </w:rPr>
              <w:t>granty a transfery</w:t>
            </w:r>
          </w:p>
        </w:tc>
        <w:tc>
          <w:tcPr>
            <w:tcW w:w="681" w:type="pct"/>
            <w:hideMark/>
          </w:tcPr>
          <w:p w14:paraId="4BE2D336" w14:textId="77777777" w:rsidR="00306ED2" w:rsidRPr="00AB5228" w:rsidRDefault="00306ED2" w:rsidP="000C470D">
            <w:pPr>
              <w:jc w:val="right"/>
              <w:rPr>
                <w:sz w:val="20"/>
                <w:szCs w:val="20"/>
              </w:rPr>
            </w:pPr>
            <w:r w:rsidRPr="00AB5228">
              <w:rPr>
                <w:sz w:val="20"/>
                <w:szCs w:val="20"/>
              </w:rPr>
              <w:t xml:space="preserve">479 961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DA87D" w14:textId="77777777" w:rsidR="00306ED2" w:rsidRPr="00D762E8" w:rsidRDefault="00306ED2" w:rsidP="000C470D">
            <w:pPr>
              <w:jc w:val="right"/>
              <w:rPr>
                <w:sz w:val="20"/>
                <w:szCs w:val="20"/>
              </w:rPr>
            </w:pPr>
            <w:r w:rsidRPr="00D762E8">
              <w:rPr>
                <w:sz w:val="20"/>
                <w:szCs w:val="20"/>
              </w:rPr>
              <w:t>493 197</w:t>
            </w:r>
          </w:p>
        </w:tc>
        <w:tc>
          <w:tcPr>
            <w:tcW w:w="681" w:type="pct"/>
          </w:tcPr>
          <w:p w14:paraId="07C5B681" w14:textId="77777777" w:rsidR="00306ED2" w:rsidRPr="00AB5228" w:rsidRDefault="00306ED2" w:rsidP="000C470D">
            <w:pPr>
              <w:jc w:val="right"/>
              <w:rPr>
                <w:sz w:val="20"/>
                <w:szCs w:val="20"/>
              </w:rPr>
            </w:pPr>
            <w:r w:rsidRPr="00AB5228">
              <w:rPr>
                <w:sz w:val="20"/>
                <w:szCs w:val="20"/>
              </w:rPr>
              <w:t xml:space="preserve">598 011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72657" w14:textId="77777777" w:rsidR="00306ED2" w:rsidRPr="00A42B56" w:rsidRDefault="00306ED2" w:rsidP="000C470D">
            <w:pPr>
              <w:jc w:val="right"/>
              <w:rPr>
                <w:sz w:val="20"/>
                <w:szCs w:val="20"/>
              </w:rPr>
            </w:pPr>
            <w:r w:rsidRPr="00A42B56">
              <w:rPr>
                <w:sz w:val="20"/>
                <w:szCs w:val="20"/>
              </w:rPr>
              <w:t>104</w:t>
            </w:r>
            <w:r>
              <w:rPr>
                <w:sz w:val="20"/>
                <w:szCs w:val="20"/>
              </w:rPr>
              <w:t xml:space="preserve"> </w:t>
            </w:r>
            <w:r w:rsidRPr="00A42B56">
              <w:rPr>
                <w:sz w:val="20"/>
                <w:szCs w:val="20"/>
              </w:rPr>
              <w:t>814</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6A948" w14:textId="77777777" w:rsidR="00306ED2" w:rsidRPr="00A42B56" w:rsidRDefault="00306ED2" w:rsidP="000C470D">
            <w:pPr>
              <w:jc w:val="right"/>
              <w:rPr>
                <w:sz w:val="20"/>
                <w:szCs w:val="20"/>
              </w:rPr>
            </w:pPr>
            <w:r w:rsidRPr="00A42B56">
              <w:rPr>
                <w:sz w:val="20"/>
                <w:szCs w:val="20"/>
              </w:rPr>
              <w:t>121,3</w:t>
            </w:r>
          </w:p>
        </w:tc>
      </w:tr>
      <w:tr w:rsidR="00306ED2" w:rsidRPr="00D762E8" w14:paraId="602D8C86"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9F34C" w14:textId="77777777" w:rsidR="00306ED2" w:rsidRPr="00D762E8" w:rsidRDefault="00306ED2" w:rsidP="000C470D">
            <w:pPr>
              <w:pStyle w:val="Odsekzoznamu"/>
              <w:numPr>
                <w:ilvl w:val="0"/>
                <w:numId w:val="13"/>
              </w:numPr>
              <w:ind w:left="426"/>
              <w:rPr>
                <w:sz w:val="20"/>
                <w:szCs w:val="20"/>
              </w:rPr>
            </w:pPr>
            <w:r w:rsidRPr="00D762E8">
              <w:rPr>
                <w:sz w:val="20"/>
                <w:szCs w:val="20"/>
              </w:rPr>
              <w:t>finančné operácie</w:t>
            </w:r>
          </w:p>
        </w:tc>
        <w:tc>
          <w:tcPr>
            <w:tcW w:w="681" w:type="pct"/>
            <w:hideMark/>
          </w:tcPr>
          <w:p w14:paraId="1EE79CBA" w14:textId="77777777" w:rsidR="00306ED2" w:rsidRPr="00AB5228" w:rsidRDefault="00306ED2" w:rsidP="000C470D">
            <w:pPr>
              <w:jc w:val="right"/>
              <w:rPr>
                <w:sz w:val="20"/>
                <w:szCs w:val="20"/>
              </w:rPr>
            </w:pPr>
            <w:r w:rsidRPr="00AB5228">
              <w:rPr>
                <w:sz w:val="20"/>
                <w:szCs w:val="20"/>
              </w:rPr>
              <w:t xml:space="preserve">144 721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457A0" w14:textId="77777777" w:rsidR="00306ED2" w:rsidRPr="00D762E8" w:rsidRDefault="00306ED2" w:rsidP="000C470D">
            <w:pPr>
              <w:jc w:val="right"/>
              <w:rPr>
                <w:sz w:val="20"/>
                <w:szCs w:val="20"/>
              </w:rPr>
            </w:pPr>
            <w:r w:rsidRPr="00D762E8">
              <w:rPr>
                <w:sz w:val="20"/>
                <w:szCs w:val="20"/>
              </w:rPr>
              <w:t>125 000</w:t>
            </w:r>
          </w:p>
        </w:tc>
        <w:tc>
          <w:tcPr>
            <w:tcW w:w="681" w:type="pct"/>
          </w:tcPr>
          <w:p w14:paraId="2852569D" w14:textId="77777777" w:rsidR="00306ED2" w:rsidRPr="00AB5228" w:rsidRDefault="00306ED2" w:rsidP="000C470D">
            <w:pPr>
              <w:jc w:val="right"/>
              <w:rPr>
                <w:sz w:val="20"/>
                <w:szCs w:val="20"/>
              </w:rPr>
            </w:pPr>
            <w:r w:rsidRPr="00AB5228">
              <w:rPr>
                <w:sz w:val="20"/>
                <w:szCs w:val="20"/>
              </w:rPr>
              <w:t xml:space="preserve">135 000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1956E" w14:textId="77777777" w:rsidR="00306ED2" w:rsidRPr="00A42B56" w:rsidRDefault="00306ED2" w:rsidP="000C470D">
            <w:pPr>
              <w:jc w:val="right"/>
              <w:rPr>
                <w:sz w:val="20"/>
                <w:szCs w:val="20"/>
              </w:rPr>
            </w:pPr>
            <w:r w:rsidRPr="00A42B56">
              <w:rPr>
                <w:sz w:val="20"/>
                <w:szCs w:val="20"/>
              </w:rPr>
              <w:t>10</w:t>
            </w:r>
            <w:r>
              <w:rPr>
                <w:sz w:val="20"/>
                <w:szCs w:val="20"/>
              </w:rPr>
              <w:t xml:space="preserve"> </w:t>
            </w:r>
            <w:r w:rsidRPr="00A42B56">
              <w:rPr>
                <w:sz w:val="20"/>
                <w:szCs w:val="20"/>
              </w:rPr>
              <w:t>000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E9957" w14:textId="77777777" w:rsidR="00306ED2" w:rsidRPr="00A42B56" w:rsidRDefault="00306ED2" w:rsidP="000C470D">
            <w:pPr>
              <w:jc w:val="right"/>
              <w:rPr>
                <w:sz w:val="20"/>
                <w:szCs w:val="20"/>
              </w:rPr>
            </w:pPr>
            <w:r w:rsidRPr="00A42B56">
              <w:rPr>
                <w:sz w:val="20"/>
                <w:szCs w:val="20"/>
              </w:rPr>
              <w:t>108</w:t>
            </w:r>
          </w:p>
        </w:tc>
      </w:tr>
      <w:tr w:rsidR="00306ED2" w:rsidRPr="00D762E8" w14:paraId="53A05495"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4DC80" w14:textId="77777777" w:rsidR="00306ED2" w:rsidRPr="00D762E8" w:rsidRDefault="00306ED2" w:rsidP="000C470D">
            <w:pPr>
              <w:rPr>
                <w:i/>
                <w:sz w:val="20"/>
                <w:szCs w:val="20"/>
              </w:rPr>
            </w:pPr>
            <w:r w:rsidRPr="00D762E8">
              <w:rPr>
                <w:i/>
                <w:sz w:val="20"/>
                <w:szCs w:val="20"/>
              </w:rPr>
              <w:t>z toho:</w:t>
            </w:r>
          </w:p>
        </w:tc>
        <w:tc>
          <w:tcPr>
            <w:tcW w:w="681" w:type="pct"/>
            <w:hideMark/>
          </w:tcPr>
          <w:p w14:paraId="743C02F2" w14:textId="77777777" w:rsidR="00306ED2" w:rsidRPr="00A42B56"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A060F" w14:textId="77777777" w:rsidR="00306ED2" w:rsidRPr="00D762E8" w:rsidRDefault="00306ED2" w:rsidP="000C470D">
            <w:pPr>
              <w:jc w:val="right"/>
              <w:rPr>
                <w:sz w:val="20"/>
                <w:szCs w:val="20"/>
              </w:rPr>
            </w:pPr>
          </w:p>
        </w:tc>
        <w:tc>
          <w:tcPr>
            <w:tcW w:w="681" w:type="pct"/>
          </w:tcPr>
          <w:p w14:paraId="5BD748EF" w14:textId="77777777" w:rsidR="00306ED2" w:rsidRPr="00A42B56"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5F0B5" w14:textId="77777777" w:rsidR="00306ED2" w:rsidRPr="00A42B56"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04191" w14:textId="77777777" w:rsidR="00306ED2" w:rsidRPr="00A42B56" w:rsidRDefault="00306ED2" w:rsidP="000C470D">
            <w:pPr>
              <w:jc w:val="right"/>
              <w:rPr>
                <w:sz w:val="20"/>
                <w:szCs w:val="20"/>
              </w:rPr>
            </w:pPr>
          </w:p>
        </w:tc>
      </w:tr>
      <w:tr w:rsidR="00306ED2" w:rsidRPr="00D762E8" w14:paraId="3F18D98D"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9AA2D" w14:textId="77777777" w:rsidR="00306ED2" w:rsidRPr="00D762E8" w:rsidRDefault="00306ED2" w:rsidP="000C470D">
            <w:pPr>
              <w:pStyle w:val="Odsekzoznamu"/>
              <w:numPr>
                <w:ilvl w:val="0"/>
                <w:numId w:val="14"/>
              </w:numPr>
              <w:ind w:left="426" w:hanging="284"/>
              <w:rPr>
                <w:sz w:val="20"/>
                <w:szCs w:val="20"/>
              </w:rPr>
            </w:pPr>
            <w:r w:rsidRPr="00D762E8">
              <w:rPr>
                <w:sz w:val="20"/>
                <w:szCs w:val="20"/>
              </w:rPr>
              <w:t>zostatok prostriedkov z </w:t>
            </w:r>
            <w:proofErr w:type="spellStart"/>
            <w:r w:rsidRPr="00D762E8">
              <w:rPr>
                <w:sz w:val="20"/>
                <w:szCs w:val="20"/>
              </w:rPr>
              <w:t>predch</w:t>
            </w:r>
            <w:proofErr w:type="spellEnd"/>
            <w:r w:rsidRPr="00D762E8">
              <w:rPr>
                <w:sz w:val="20"/>
                <w:szCs w:val="20"/>
              </w:rPr>
              <w:t>. rokov a prevod prostriedkov z peňažných fondov</w:t>
            </w:r>
          </w:p>
        </w:tc>
        <w:tc>
          <w:tcPr>
            <w:tcW w:w="681" w:type="pct"/>
            <w:vAlign w:val="center"/>
            <w:hideMark/>
          </w:tcPr>
          <w:p w14:paraId="61625637" w14:textId="77777777" w:rsidR="00306ED2" w:rsidRPr="00AB5228" w:rsidRDefault="00306ED2" w:rsidP="000C470D">
            <w:pPr>
              <w:jc w:val="right"/>
              <w:rPr>
                <w:sz w:val="20"/>
                <w:szCs w:val="20"/>
              </w:rPr>
            </w:pPr>
            <w:r w:rsidRPr="00AB5228">
              <w:rPr>
                <w:sz w:val="20"/>
                <w:szCs w:val="20"/>
              </w:rPr>
              <w:t xml:space="preserve">126 758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25BF7" w14:textId="77777777" w:rsidR="00306ED2" w:rsidRPr="00D762E8" w:rsidRDefault="00306ED2" w:rsidP="000C470D">
            <w:pPr>
              <w:jc w:val="right"/>
              <w:rPr>
                <w:sz w:val="20"/>
                <w:szCs w:val="20"/>
              </w:rPr>
            </w:pPr>
            <w:r w:rsidRPr="00D762E8">
              <w:rPr>
                <w:sz w:val="20"/>
                <w:szCs w:val="20"/>
              </w:rPr>
              <w:t>90 000</w:t>
            </w:r>
          </w:p>
        </w:tc>
        <w:tc>
          <w:tcPr>
            <w:tcW w:w="681" w:type="pct"/>
            <w:vAlign w:val="center"/>
          </w:tcPr>
          <w:p w14:paraId="4DDEE05B" w14:textId="77777777" w:rsidR="00306ED2" w:rsidRPr="00AB5228" w:rsidRDefault="00306ED2" w:rsidP="000C470D">
            <w:pPr>
              <w:jc w:val="right"/>
              <w:rPr>
                <w:sz w:val="20"/>
                <w:szCs w:val="20"/>
              </w:rPr>
            </w:pPr>
            <w:r w:rsidRPr="00AB5228">
              <w:rPr>
                <w:sz w:val="20"/>
                <w:szCs w:val="20"/>
              </w:rPr>
              <w:t xml:space="preserve">100 000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1E3CA" w14:textId="77777777" w:rsidR="00306ED2" w:rsidRPr="00A42B56" w:rsidRDefault="00306ED2" w:rsidP="000C470D">
            <w:pPr>
              <w:jc w:val="right"/>
              <w:rPr>
                <w:sz w:val="20"/>
                <w:szCs w:val="20"/>
              </w:rPr>
            </w:pPr>
            <w:r w:rsidRPr="00A42B56">
              <w:rPr>
                <w:sz w:val="20"/>
                <w:szCs w:val="20"/>
              </w:rPr>
              <w:t>10</w:t>
            </w:r>
            <w:r>
              <w:rPr>
                <w:sz w:val="20"/>
                <w:szCs w:val="20"/>
              </w:rPr>
              <w:t xml:space="preserve"> </w:t>
            </w:r>
            <w:r w:rsidRPr="00A42B56">
              <w:rPr>
                <w:sz w:val="20"/>
                <w:szCs w:val="20"/>
              </w:rPr>
              <w:t>000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CA954" w14:textId="77777777" w:rsidR="00306ED2" w:rsidRPr="00A42B56" w:rsidRDefault="00306ED2" w:rsidP="000C470D">
            <w:pPr>
              <w:jc w:val="right"/>
              <w:rPr>
                <w:sz w:val="20"/>
                <w:szCs w:val="20"/>
              </w:rPr>
            </w:pPr>
            <w:r w:rsidRPr="00A42B56">
              <w:rPr>
                <w:sz w:val="20"/>
                <w:szCs w:val="20"/>
              </w:rPr>
              <w:t>111,1</w:t>
            </w:r>
          </w:p>
        </w:tc>
      </w:tr>
      <w:tr w:rsidR="00306ED2" w:rsidRPr="00D762E8" w14:paraId="5CC45661" w14:textId="77777777" w:rsidTr="000C470D">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5ECE7D" w14:textId="77777777" w:rsidR="00306ED2" w:rsidRPr="00D762E8" w:rsidRDefault="00306ED2" w:rsidP="000C470D">
            <w:pPr>
              <w:pStyle w:val="Odsekzoznamu"/>
              <w:numPr>
                <w:ilvl w:val="0"/>
                <w:numId w:val="14"/>
              </w:numPr>
              <w:ind w:left="426" w:hanging="284"/>
              <w:rPr>
                <w:sz w:val="20"/>
                <w:szCs w:val="20"/>
              </w:rPr>
            </w:pPr>
            <w:r w:rsidRPr="00D762E8">
              <w:rPr>
                <w:sz w:val="20"/>
                <w:szCs w:val="20"/>
              </w:rPr>
              <w:t xml:space="preserve">prijaté úvery </w:t>
            </w:r>
          </w:p>
        </w:tc>
        <w:tc>
          <w:tcPr>
            <w:tcW w:w="681" w:type="pct"/>
            <w:hideMark/>
          </w:tcPr>
          <w:p w14:paraId="4B246A33" w14:textId="77777777" w:rsidR="00306ED2" w:rsidRPr="00AB5228" w:rsidRDefault="00306ED2" w:rsidP="000C470D">
            <w:pPr>
              <w:jc w:val="right"/>
              <w:rPr>
                <w:sz w:val="20"/>
                <w:szCs w:val="20"/>
              </w:rPr>
            </w:pPr>
            <w:r w:rsidRPr="00AB5228">
              <w:rPr>
                <w:sz w:val="20"/>
                <w:szCs w:val="20"/>
              </w:rPr>
              <w:t xml:space="preserve">17 963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B09BB" w14:textId="77777777" w:rsidR="00306ED2" w:rsidRPr="00D762E8" w:rsidRDefault="00306ED2" w:rsidP="000C470D">
            <w:pPr>
              <w:jc w:val="right"/>
              <w:rPr>
                <w:sz w:val="20"/>
                <w:szCs w:val="20"/>
              </w:rPr>
            </w:pPr>
            <w:r w:rsidRPr="00D762E8">
              <w:rPr>
                <w:sz w:val="20"/>
                <w:szCs w:val="20"/>
              </w:rPr>
              <w:t>35 000</w:t>
            </w:r>
          </w:p>
        </w:tc>
        <w:tc>
          <w:tcPr>
            <w:tcW w:w="681" w:type="pct"/>
          </w:tcPr>
          <w:p w14:paraId="758137A7" w14:textId="77777777" w:rsidR="00306ED2" w:rsidRPr="00AB5228" w:rsidRDefault="00306ED2" w:rsidP="000C470D">
            <w:pPr>
              <w:jc w:val="right"/>
              <w:rPr>
                <w:sz w:val="20"/>
                <w:szCs w:val="20"/>
              </w:rPr>
            </w:pPr>
            <w:r w:rsidRPr="00AB5228">
              <w:rPr>
                <w:sz w:val="20"/>
                <w:szCs w:val="20"/>
              </w:rPr>
              <w:t xml:space="preserve">35 000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0F102" w14:textId="77777777" w:rsidR="00306ED2" w:rsidRPr="00A42B56" w:rsidRDefault="00306ED2" w:rsidP="000C470D">
            <w:pPr>
              <w:jc w:val="right"/>
              <w:rPr>
                <w:sz w:val="20"/>
                <w:szCs w:val="20"/>
              </w:rPr>
            </w:pPr>
            <w:r w:rsidRPr="00A42B56">
              <w:rPr>
                <w:sz w:val="20"/>
                <w:szCs w:val="20"/>
              </w:rPr>
              <w:t>0</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AD6EE" w14:textId="77777777" w:rsidR="00306ED2" w:rsidRPr="00A42B56" w:rsidRDefault="00306ED2" w:rsidP="000C470D">
            <w:pPr>
              <w:jc w:val="right"/>
              <w:rPr>
                <w:sz w:val="20"/>
                <w:szCs w:val="20"/>
              </w:rPr>
            </w:pPr>
            <w:r>
              <w:rPr>
                <w:sz w:val="20"/>
                <w:szCs w:val="20"/>
              </w:rPr>
              <w:t>100</w:t>
            </w:r>
          </w:p>
        </w:tc>
      </w:tr>
    </w:tbl>
    <w:p w14:paraId="7332B2FB" w14:textId="77777777" w:rsidR="00306ED2" w:rsidRPr="00A97AC3" w:rsidRDefault="00306ED2" w:rsidP="00306ED2">
      <w:pPr>
        <w:spacing w:after="120"/>
        <w:jc w:val="both"/>
        <w:rPr>
          <w:rFonts w:eastAsiaTheme="minorEastAsia"/>
          <w:i/>
          <w:sz w:val="20"/>
        </w:rPr>
      </w:pPr>
      <w:r w:rsidRPr="00A97AC3">
        <w:rPr>
          <w:rFonts w:eastAsiaTheme="minorEastAsia"/>
          <w:i/>
          <w:sz w:val="18"/>
          <w:szCs w:val="20"/>
        </w:rPr>
        <w:t>Zdroj: Návrh RVS na roky 2020 až 2022</w:t>
      </w:r>
    </w:p>
    <w:p w14:paraId="73BDE751" w14:textId="77777777" w:rsidR="00306ED2" w:rsidRDefault="00306ED2" w:rsidP="00306ED2">
      <w:pPr>
        <w:spacing w:after="120"/>
        <w:jc w:val="both"/>
        <w:rPr>
          <w:b/>
        </w:rPr>
      </w:pPr>
    </w:p>
    <w:p w14:paraId="3CEF8B30" w14:textId="258BCD39" w:rsidR="00306ED2" w:rsidRPr="00306ED2" w:rsidRDefault="00306ED2" w:rsidP="00C615E3">
      <w:pPr>
        <w:jc w:val="both"/>
        <w:rPr>
          <w:b/>
        </w:rPr>
      </w:pPr>
      <w:r w:rsidRPr="00306ED2">
        <w:rPr>
          <w:b/>
        </w:rPr>
        <w:t xml:space="preserve">Tabuľka </w:t>
      </w:r>
      <w:r>
        <w:rPr>
          <w:b/>
        </w:rPr>
        <w:t>6</w:t>
      </w:r>
      <w:r w:rsidRPr="00306ED2">
        <w:rPr>
          <w:b/>
        </w:rPr>
        <w:t xml:space="preserve">: Porovnanie návrhu rozpočtu </w:t>
      </w:r>
      <w:r>
        <w:rPr>
          <w:b/>
        </w:rPr>
        <w:t>výdavkov</w:t>
      </w:r>
      <w:r w:rsidRPr="00306ED2">
        <w:rPr>
          <w:b/>
        </w:rPr>
        <w:t xml:space="preserve"> VÚC na hotovostnej báze v návrhu rozpočtu na rok 2020 so schváleným rozpočtom na rok 2019 a skutočným plnením rozpočtu za rok 2018</w:t>
      </w:r>
    </w:p>
    <w:tbl>
      <w:tblPr>
        <w:tblStyle w:val="Mriekatabuky"/>
        <w:tblW w:w="5000" w:type="pct"/>
        <w:tblLook w:val="04A0" w:firstRow="1" w:lastRow="0" w:firstColumn="1" w:lastColumn="0" w:noHBand="0" w:noVBand="1"/>
      </w:tblPr>
      <w:tblGrid>
        <w:gridCol w:w="2985"/>
        <w:gridCol w:w="1273"/>
        <w:gridCol w:w="1273"/>
        <w:gridCol w:w="1273"/>
        <w:gridCol w:w="1273"/>
        <w:gridCol w:w="1269"/>
      </w:tblGrid>
      <w:tr w:rsidR="00306ED2" w:rsidRPr="000D74F7" w14:paraId="6A83D790" w14:textId="77777777" w:rsidTr="00306ED2">
        <w:trPr>
          <w:tblHeader/>
        </w:trPr>
        <w:tc>
          <w:tcPr>
            <w:tcW w:w="1597"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6ABD395D" w14:textId="77777777" w:rsidR="00306ED2" w:rsidRPr="000D74F7" w:rsidRDefault="00306ED2" w:rsidP="000C470D">
            <w:pPr>
              <w:jc w:val="center"/>
              <w:rPr>
                <w:rFonts w:eastAsia="Calibri"/>
                <w:b/>
                <w:bCs/>
                <w:color w:val="FFFFFF" w:themeColor="background1"/>
                <w:sz w:val="20"/>
                <w:szCs w:val="20"/>
              </w:rPr>
            </w:pPr>
            <w:r>
              <w:rPr>
                <w:rFonts w:eastAsia="Calibri"/>
                <w:b/>
                <w:bCs/>
                <w:color w:val="FFFFFF" w:themeColor="background1"/>
                <w:sz w:val="20"/>
                <w:szCs w:val="20"/>
              </w:rPr>
              <w:t>Výdavky VÚC</w:t>
            </w:r>
          </w:p>
          <w:p w14:paraId="784E9433" w14:textId="77777777" w:rsidR="00306ED2" w:rsidRPr="000D74F7" w:rsidRDefault="00306ED2" w:rsidP="000C470D">
            <w:pPr>
              <w:jc w:val="center"/>
              <w:rPr>
                <w:rFonts w:eastAsia="Calibri"/>
                <w:b/>
                <w:color w:val="FFFFFF" w:themeColor="background1"/>
                <w:sz w:val="20"/>
                <w:szCs w:val="20"/>
              </w:rPr>
            </w:pPr>
            <w:r w:rsidRPr="000D74F7">
              <w:rPr>
                <w:rFonts w:eastAsia="Calibri"/>
                <w:b/>
                <w:bCs/>
                <w:color w:val="FFFFFF" w:themeColor="background1"/>
                <w:sz w:val="20"/>
                <w:szCs w:val="20"/>
              </w:rPr>
              <w:t>(v tis. eur)</w:t>
            </w:r>
          </w:p>
        </w:tc>
        <w:tc>
          <w:tcPr>
            <w:tcW w:w="681"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9986C8C" w14:textId="77777777" w:rsidR="00306ED2" w:rsidRPr="000D74F7" w:rsidRDefault="00306ED2" w:rsidP="000C470D">
            <w:pPr>
              <w:jc w:val="center"/>
              <w:rPr>
                <w:b/>
                <w:color w:val="FFFFFF" w:themeColor="background1"/>
                <w:sz w:val="20"/>
                <w:szCs w:val="20"/>
              </w:rPr>
            </w:pPr>
            <w:r w:rsidRPr="000D74F7">
              <w:rPr>
                <w:b/>
                <w:color w:val="FFFFFF" w:themeColor="background1"/>
                <w:sz w:val="20"/>
                <w:szCs w:val="20"/>
              </w:rPr>
              <w:t>Skutočnosť</w:t>
            </w:r>
          </w:p>
          <w:p w14:paraId="67893928" w14:textId="77777777" w:rsidR="00306ED2" w:rsidRPr="000D74F7" w:rsidRDefault="00306ED2" w:rsidP="000C470D">
            <w:pPr>
              <w:jc w:val="center"/>
              <w:rPr>
                <w:b/>
                <w:color w:val="FFFFFF" w:themeColor="background1"/>
                <w:sz w:val="20"/>
                <w:szCs w:val="20"/>
              </w:rPr>
            </w:pPr>
            <w:r>
              <w:rPr>
                <w:b/>
                <w:color w:val="FFFFFF" w:themeColor="background1"/>
                <w:sz w:val="20"/>
                <w:szCs w:val="20"/>
              </w:rPr>
              <w:t>2018</w:t>
            </w:r>
          </w:p>
        </w:tc>
        <w:tc>
          <w:tcPr>
            <w:tcW w:w="1362"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14:paraId="1662AEF1" w14:textId="77777777" w:rsidR="00306ED2" w:rsidRPr="000D74F7" w:rsidRDefault="00306ED2" w:rsidP="000C470D">
            <w:pPr>
              <w:jc w:val="center"/>
              <w:rPr>
                <w:b/>
                <w:color w:val="FFFFFF" w:themeColor="background1"/>
                <w:sz w:val="20"/>
                <w:szCs w:val="20"/>
              </w:rPr>
            </w:pPr>
            <w:r w:rsidRPr="000D74F7">
              <w:rPr>
                <w:b/>
                <w:color w:val="FFFFFF" w:themeColor="background1"/>
                <w:sz w:val="20"/>
                <w:szCs w:val="20"/>
              </w:rPr>
              <w:t>Rozpočet</w:t>
            </w:r>
          </w:p>
        </w:tc>
        <w:tc>
          <w:tcPr>
            <w:tcW w:w="681"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62DE0D3E" w14:textId="77777777" w:rsidR="00306ED2" w:rsidRPr="000D74F7" w:rsidRDefault="00306ED2" w:rsidP="000C470D">
            <w:pPr>
              <w:jc w:val="center"/>
              <w:rPr>
                <w:b/>
                <w:color w:val="FFFFFF" w:themeColor="background1"/>
                <w:sz w:val="20"/>
                <w:szCs w:val="20"/>
              </w:rPr>
            </w:pPr>
            <w:r w:rsidRPr="000D74F7">
              <w:rPr>
                <w:b/>
                <w:color w:val="FFFFFF" w:themeColor="background1"/>
                <w:sz w:val="20"/>
                <w:szCs w:val="20"/>
              </w:rPr>
              <w:t>Rozdiel</w:t>
            </w:r>
          </w:p>
        </w:tc>
        <w:tc>
          <w:tcPr>
            <w:tcW w:w="679"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7BAEFE7A" w14:textId="77777777" w:rsidR="00306ED2" w:rsidRDefault="00306ED2" w:rsidP="000C470D">
            <w:pPr>
              <w:jc w:val="center"/>
              <w:rPr>
                <w:b/>
                <w:color w:val="FFFFFF" w:themeColor="background1"/>
                <w:sz w:val="20"/>
                <w:szCs w:val="20"/>
              </w:rPr>
            </w:pPr>
            <w:r w:rsidRPr="000D74F7">
              <w:rPr>
                <w:b/>
                <w:color w:val="FFFFFF" w:themeColor="background1"/>
                <w:sz w:val="20"/>
                <w:szCs w:val="20"/>
              </w:rPr>
              <w:t>Podiel</w:t>
            </w:r>
          </w:p>
          <w:p w14:paraId="0365914D" w14:textId="77777777" w:rsidR="00306ED2" w:rsidRPr="000D74F7" w:rsidRDefault="00306ED2" w:rsidP="000C470D">
            <w:pPr>
              <w:jc w:val="center"/>
              <w:rPr>
                <w:b/>
                <w:color w:val="FFFFFF" w:themeColor="background1"/>
                <w:sz w:val="20"/>
                <w:szCs w:val="20"/>
              </w:rPr>
            </w:pPr>
            <w:r w:rsidRPr="000D74F7">
              <w:rPr>
                <w:b/>
                <w:color w:val="FFFFFF" w:themeColor="background1"/>
                <w:sz w:val="20"/>
                <w:szCs w:val="20"/>
              </w:rPr>
              <w:t>(v %)</w:t>
            </w:r>
          </w:p>
        </w:tc>
      </w:tr>
      <w:tr w:rsidR="00306ED2" w:rsidRPr="000D74F7" w14:paraId="0D336CF6" w14:textId="77777777" w:rsidTr="00306ED2">
        <w:trPr>
          <w:tblHeader/>
        </w:trPr>
        <w:tc>
          <w:tcPr>
            <w:tcW w:w="1597" w:type="pct"/>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14:paraId="5EF1B00A" w14:textId="77777777" w:rsidR="00306ED2" w:rsidRPr="000D74F7" w:rsidRDefault="00306ED2" w:rsidP="000C470D">
            <w:pPr>
              <w:rPr>
                <w:rFonts w:eastAsia="Calibri"/>
                <w:b/>
                <w:color w:val="FFFFFF" w:themeColor="background1"/>
                <w:sz w:val="20"/>
                <w:szCs w:val="20"/>
              </w:rPr>
            </w:pPr>
          </w:p>
        </w:tc>
        <w:tc>
          <w:tcPr>
            <w:tcW w:w="681"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78FB4BB7" w14:textId="77777777" w:rsidR="00306ED2" w:rsidRPr="000D74F7" w:rsidRDefault="00306ED2" w:rsidP="000C470D">
            <w:pPr>
              <w:rPr>
                <w:b/>
                <w:color w:val="FFFFFF" w:themeColor="background1"/>
                <w:sz w:val="20"/>
                <w:szCs w:val="20"/>
              </w:rPr>
            </w:pP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5B94B4BF" w14:textId="77777777" w:rsidR="00306ED2" w:rsidRPr="000D74F7" w:rsidRDefault="00306ED2" w:rsidP="000C470D">
            <w:pPr>
              <w:jc w:val="center"/>
              <w:rPr>
                <w:b/>
                <w:color w:val="FFFFFF" w:themeColor="background1"/>
                <w:sz w:val="20"/>
                <w:szCs w:val="20"/>
              </w:rPr>
            </w:pPr>
            <w:r>
              <w:rPr>
                <w:b/>
                <w:color w:val="FFFFFF" w:themeColor="background1"/>
                <w:sz w:val="20"/>
                <w:szCs w:val="20"/>
              </w:rPr>
              <w:t>2019</w:t>
            </w: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14:paraId="72E6FA98" w14:textId="77777777" w:rsidR="00306ED2" w:rsidRPr="000D74F7" w:rsidRDefault="00306ED2" w:rsidP="000C470D">
            <w:pPr>
              <w:jc w:val="center"/>
              <w:rPr>
                <w:b/>
                <w:color w:val="FFFFFF" w:themeColor="background1"/>
                <w:sz w:val="20"/>
                <w:szCs w:val="20"/>
              </w:rPr>
            </w:pPr>
            <w:r>
              <w:rPr>
                <w:b/>
                <w:color w:val="FFFFFF" w:themeColor="background1"/>
                <w:sz w:val="20"/>
                <w:szCs w:val="20"/>
              </w:rPr>
              <w:t>2020</w:t>
            </w:r>
          </w:p>
        </w:tc>
        <w:tc>
          <w:tcPr>
            <w:tcW w:w="681" w:type="pct"/>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14:paraId="2228990C" w14:textId="77777777" w:rsidR="00306ED2" w:rsidRPr="000D74F7" w:rsidRDefault="00306ED2" w:rsidP="000C470D">
            <w:pPr>
              <w:rPr>
                <w:b/>
                <w:color w:val="FFFFFF" w:themeColor="background1"/>
                <w:sz w:val="20"/>
                <w:szCs w:val="20"/>
              </w:rPr>
            </w:pPr>
          </w:p>
        </w:tc>
        <w:tc>
          <w:tcPr>
            <w:tcW w:w="679" w:type="pct"/>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14:paraId="0A8436B5" w14:textId="77777777" w:rsidR="00306ED2" w:rsidRPr="000D74F7" w:rsidRDefault="00306ED2" w:rsidP="000C470D">
            <w:pPr>
              <w:rPr>
                <w:b/>
                <w:color w:val="FFFFFF" w:themeColor="background1"/>
                <w:sz w:val="20"/>
                <w:szCs w:val="20"/>
              </w:rPr>
            </w:pPr>
          </w:p>
        </w:tc>
      </w:tr>
      <w:tr w:rsidR="00306ED2" w:rsidRPr="000D74F7" w14:paraId="291F0B80" w14:textId="77777777" w:rsidTr="00306ED2">
        <w:trPr>
          <w:tblHeader/>
        </w:trPr>
        <w:tc>
          <w:tcPr>
            <w:tcW w:w="1597" w:type="pct"/>
            <w:tcBorders>
              <w:top w:val="single" w:sz="4" w:space="0" w:color="auto"/>
              <w:left w:val="single" w:sz="4" w:space="0" w:color="auto"/>
              <w:bottom w:val="single" w:sz="4" w:space="0" w:color="auto"/>
              <w:right w:val="single" w:sz="4" w:space="0" w:color="auto"/>
            </w:tcBorders>
            <w:vAlign w:val="center"/>
            <w:hideMark/>
          </w:tcPr>
          <w:p w14:paraId="08E7DD7B" w14:textId="77777777" w:rsidR="00306ED2" w:rsidRPr="000D74F7" w:rsidRDefault="00306ED2" w:rsidP="000C470D">
            <w:pPr>
              <w:jc w:val="center"/>
              <w:rPr>
                <w:bCs/>
                <w:sz w:val="20"/>
                <w:szCs w:val="20"/>
              </w:rPr>
            </w:pPr>
            <w:r w:rsidRPr="000D74F7">
              <w:rPr>
                <w:bCs/>
                <w:sz w:val="20"/>
                <w:szCs w:val="20"/>
              </w:rPr>
              <w:t>a</w:t>
            </w:r>
          </w:p>
        </w:tc>
        <w:tc>
          <w:tcPr>
            <w:tcW w:w="681" w:type="pct"/>
            <w:tcBorders>
              <w:top w:val="single" w:sz="4" w:space="0" w:color="auto"/>
              <w:left w:val="single" w:sz="4" w:space="0" w:color="auto"/>
              <w:bottom w:val="single" w:sz="4" w:space="0" w:color="auto"/>
              <w:right w:val="single" w:sz="4" w:space="0" w:color="auto"/>
            </w:tcBorders>
            <w:hideMark/>
          </w:tcPr>
          <w:p w14:paraId="42286F6E" w14:textId="77777777" w:rsidR="00306ED2" w:rsidRPr="000D74F7" w:rsidRDefault="00306ED2" w:rsidP="000C470D">
            <w:pPr>
              <w:jc w:val="center"/>
              <w:rPr>
                <w:sz w:val="20"/>
                <w:szCs w:val="20"/>
              </w:rPr>
            </w:pPr>
            <w:r w:rsidRPr="000D74F7">
              <w:rPr>
                <w:sz w:val="20"/>
                <w:szCs w:val="20"/>
              </w:rPr>
              <w:t>1</w:t>
            </w:r>
          </w:p>
        </w:tc>
        <w:tc>
          <w:tcPr>
            <w:tcW w:w="681" w:type="pct"/>
            <w:tcBorders>
              <w:top w:val="single" w:sz="4" w:space="0" w:color="auto"/>
              <w:left w:val="single" w:sz="4" w:space="0" w:color="auto"/>
              <w:bottom w:val="single" w:sz="4" w:space="0" w:color="auto"/>
              <w:right w:val="single" w:sz="4" w:space="0" w:color="auto"/>
            </w:tcBorders>
            <w:hideMark/>
          </w:tcPr>
          <w:p w14:paraId="2447AE32" w14:textId="77777777" w:rsidR="00306ED2" w:rsidRPr="000D74F7" w:rsidRDefault="00306ED2" w:rsidP="000C470D">
            <w:pPr>
              <w:jc w:val="center"/>
              <w:rPr>
                <w:sz w:val="20"/>
                <w:szCs w:val="20"/>
              </w:rPr>
            </w:pPr>
            <w:r w:rsidRPr="000D74F7">
              <w:rPr>
                <w:sz w:val="20"/>
                <w:szCs w:val="20"/>
              </w:rPr>
              <w:t>2</w:t>
            </w:r>
          </w:p>
        </w:tc>
        <w:tc>
          <w:tcPr>
            <w:tcW w:w="681" w:type="pct"/>
            <w:tcBorders>
              <w:top w:val="single" w:sz="4" w:space="0" w:color="auto"/>
              <w:left w:val="single" w:sz="4" w:space="0" w:color="auto"/>
              <w:bottom w:val="single" w:sz="4" w:space="0" w:color="auto"/>
              <w:right w:val="single" w:sz="4" w:space="0" w:color="auto"/>
            </w:tcBorders>
            <w:hideMark/>
          </w:tcPr>
          <w:p w14:paraId="6CF288D5" w14:textId="77777777" w:rsidR="00306ED2" w:rsidRPr="000D74F7" w:rsidRDefault="00306ED2" w:rsidP="000C470D">
            <w:pPr>
              <w:jc w:val="center"/>
              <w:rPr>
                <w:sz w:val="20"/>
                <w:szCs w:val="20"/>
              </w:rPr>
            </w:pPr>
            <w:r w:rsidRPr="000D74F7">
              <w:rPr>
                <w:sz w:val="20"/>
                <w:szCs w:val="20"/>
              </w:rPr>
              <w:t>3</w:t>
            </w:r>
          </w:p>
        </w:tc>
        <w:tc>
          <w:tcPr>
            <w:tcW w:w="681" w:type="pct"/>
            <w:tcBorders>
              <w:top w:val="single" w:sz="4" w:space="0" w:color="auto"/>
              <w:left w:val="single" w:sz="4" w:space="0" w:color="auto"/>
              <w:bottom w:val="single" w:sz="4" w:space="0" w:color="auto"/>
              <w:right w:val="single" w:sz="4" w:space="0" w:color="auto"/>
            </w:tcBorders>
            <w:hideMark/>
          </w:tcPr>
          <w:p w14:paraId="2F7836F6" w14:textId="77777777" w:rsidR="00306ED2" w:rsidRPr="000D74F7" w:rsidRDefault="00306ED2" w:rsidP="000C470D">
            <w:pPr>
              <w:jc w:val="center"/>
              <w:rPr>
                <w:sz w:val="20"/>
                <w:szCs w:val="20"/>
              </w:rPr>
            </w:pPr>
            <w:r w:rsidRPr="000D74F7">
              <w:rPr>
                <w:sz w:val="20"/>
                <w:szCs w:val="20"/>
              </w:rPr>
              <w:t>3-2</w:t>
            </w:r>
          </w:p>
        </w:tc>
        <w:tc>
          <w:tcPr>
            <w:tcW w:w="679" w:type="pct"/>
            <w:tcBorders>
              <w:top w:val="single" w:sz="4" w:space="0" w:color="auto"/>
              <w:left w:val="single" w:sz="4" w:space="0" w:color="auto"/>
              <w:bottom w:val="single" w:sz="4" w:space="0" w:color="auto"/>
              <w:right w:val="single" w:sz="4" w:space="0" w:color="auto"/>
            </w:tcBorders>
            <w:hideMark/>
          </w:tcPr>
          <w:p w14:paraId="31E13E48" w14:textId="77777777" w:rsidR="00306ED2" w:rsidRPr="000D74F7" w:rsidRDefault="00306ED2" w:rsidP="000C470D">
            <w:pPr>
              <w:jc w:val="center"/>
              <w:rPr>
                <w:sz w:val="20"/>
                <w:szCs w:val="20"/>
              </w:rPr>
            </w:pPr>
            <w:r w:rsidRPr="000D74F7">
              <w:rPr>
                <w:sz w:val="20"/>
                <w:szCs w:val="20"/>
              </w:rPr>
              <w:t>3/2*100</w:t>
            </w:r>
          </w:p>
        </w:tc>
      </w:tr>
      <w:tr w:rsidR="00306ED2" w:rsidRPr="000D74F7" w14:paraId="5808649F"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901F2" w14:textId="77777777" w:rsidR="00306ED2" w:rsidRPr="000D74F7" w:rsidRDefault="00306ED2" w:rsidP="000C470D">
            <w:pPr>
              <w:rPr>
                <w:b/>
                <w:bCs/>
                <w:sz w:val="20"/>
                <w:szCs w:val="20"/>
              </w:rPr>
            </w:pPr>
            <w:r w:rsidRPr="000D74F7">
              <w:rPr>
                <w:b/>
                <w:bCs/>
                <w:sz w:val="20"/>
                <w:szCs w:val="20"/>
              </w:rPr>
              <w:t>Výdavky VÚC spolu</w:t>
            </w:r>
          </w:p>
        </w:tc>
        <w:tc>
          <w:tcPr>
            <w:tcW w:w="681" w:type="pct"/>
          </w:tcPr>
          <w:p w14:paraId="1F9C6F97" w14:textId="63F4D61E" w:rsidR="00306ED2" w:rsidRPr="00AB5228" w:rsidRDefault="00EE6CA8" w:rsidP="000C470D">
            <w:pPr>
              <w:jc w:val="right"/>
              <w:rPr>
                <w:b/>
                <w:sz w:val="20"/>
                <w:szCs w:val="20"/>
              </w:rPr>
            </w:pPr>
            <w:r>
              <w:rPr>
                <w:b/>
                <w:sz w:val="20"/>
                <w:szCs w:val="20"/>
              </w:rPr>
              <w:t>1 374 785</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1C30E" w14:textId="77777777" w:rsidR="00306ED2" w:rsidRPr="000D74F7" w:rsidRDefault="00306ED2" w:rsidP="000C470D">
            <w:pPr>
              <w:jc w:val="right"/>
              <w:rPr>
                <w:b/>
                <w:bCs/>
                <w:sz w:val="20"/>
                <w:szCs w:val="20"/>
              </w:rPr>
            </w:pPr>
            <w:r w:rsidRPr="000D74F7">
              <w:rPr>
                <w:b/>
                <w:bCs/>
                <w:sz w:val="20"/>
                <w:szCs w:val="20"/>
              </w:rPr>
              <w:t>1 451 044</w:t>
            </w:r>
          </w:p>
        </w:tc>
        <w:tc>
          <w:tcPr>
            <w:tcW w:w="681" w:type="pct"/>
          </w:tcPr>
          <w:p w14:paraId="5A54C9B3" w14:textId="77777777" w:rsidR="00306ED2" w:rsidRPr="00AB5228" w:rsidRDefault="00306ED2" w:rsidP="000C470D">
            <w:pPr>
              <w:jc w:val="right"/>
              <w:rPr>
                <w:b/>
                <w:sz w:val="20"/>
                <w:szCs w:val="20"/>
              </w:rPr>
            </w:pPr>
            <w:r w:rsidRPr="00AB5228">
              <w:rPr>
                <w:b/>
                <w:sz w:val="20"/>
                <w:szCs w:val="20"/>
              </w:rPr>
              <w:t xml:space="preserve">1 579 520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ABB29" w14:textId="77777777" w:rsidR="00306ED2" w:rsidRPr="00DA7DAA" w:rsidRDefault="00306ED2" w:rsidP="000C470D">
            <w:pPr>
              <w:jc w:val="right"/>
              <w:rPr>
                <w:b/>
                <w:sz w:val="20"/>
                <w:szCs w:val="20"/>
              </w:rPr>
            </w:pPr>
            <w:r w:rsidRPr="00DA7DAA">
              <w:rPr>
                <w:b/>
                <w:sz w:val="20"/>
                <w:szCs w:val="20"/>
              </w:rPr>
              <w:t>128 476</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AD348" w14:textId="77777777" w:rsidR="00306ED2" w:rsidRPr="00DA7DAA" w:rsidRDefault="00306ED2" w:rsidP="000C470D">
            <w:pPr>
              <w:jc w:val="right"/>
              <w:rPr>
                <w:b/>
                <w:sz w:val="20"/>
                <w:szCs w:val="20"/>
              </w:rPr>
            </w:pPr>
            <w:r w:rsidRPr="00DA7DAA">
              <w:rPr>
                <w:b/>
                <w:sz w:val="20"/>
                <w:szCs w:val="20"/>
              </w:rPr>
              <w:t>108,9</w:t>
            </w:r>
          </w:p>
        </w:tc>
      </w:tr>
      <w:tr w:rsidR="00306ED2" w:rsidRPr="000D74F7" w14:paraId="59195850"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91515" w14:textId="77777777" w:rsidR="00306ED2" w:rsidRPr="000D74F7" w:rsidRDefault="00306ED2" w:rsidP="000C470D">
            <w:pPr>
              <w:rPr>
                <w:bCs/>
                <w:i/>
                <w:iCs/>
                <w:sz w:val="20"/>
                <w:szCs w:val="20"/>
              </w:rPr>
            </w:pPr>
            <w:r w:rsidRPr="000D74F7">
              <w:rPr>
                <w:bCs/>
                <w:i/>
                <w:iCs/>
                <w:sz w:val="20"/>
                <w:szCs w:val="20"/>
              </w:rPr>
              <w:t>z toho:</w:t>
            </w:r>
          </w:p>
        </w:tc>
        <w:tc>
          <w:tcPr>
            <w:tcW w:w="681" w:type="pct"/>
          </w:tcPr>
          <w:p w14:paraId="587AA0FE" w14:textId="77777777" w:rsidR="00306ED2" w:rsidRPr="00DA7DAA"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F0C5C" w14:textId="77777777" w:rsidR="00306ED2" w:rsidRPr="000D74F7" w:rsidRDefault="00306ED2" w:rsidP="000C470D">
            <w:pPr>
              <w:jc w:val="right"/>
              <w:rPr>
                <w:sz w:val="20"/>
                <w:szCs w:val="20"/>
              </w:rPr>
            </w:pPr>
          </w:p>
        </w:tc>
        <w:tc>
          <w:tcPr>
            <w:tcW w:w="681" w:type="pct"/>
          </w:tcPr>
          <w:p w14:paraId="6C0A0853" w14:textId="77777777" w:rsidR="00306ED2" w:rsidRPr="00DA7DAA"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4F5D" w14:textId="77777777" w:rsidR="00306ED2" w:rsidRPr="00DA7DAA" w:rsidRDefault="00306ED2" w:rsidP="000C470D">
            <w:pPr>
              <w:jc w:val="right"/>
              <w:rPr>
                <w:sz w:val="20"/>
                <w:szCs w:val="20"/>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77C52" w14:textId="77777777" w:rsidR="00306ED2" w:rsidRPr="00DA7DAA" w:rsidRDefault="00306ED2" w:rsidP="000C470D">
            <w:pPr>
              <w:jc w:val="right"/>
              <w:rPr>
                <w:sz w:val="20"/>
                <w:szCs w:val="20"/>
              </w:rPr>
            </w:pPr>
          </w:p>
        </w:tc>
      </w:tr>
      <w:tr w:rsidR="00306ED2" w:rsidRPr="000D74F7" w14:paraId="37E95E5F"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DDF16" w14:textId="77777777" w:rsidR="00306ED2" w:rsidRPr="000D74F7" w:rsidRDefault="00306ED2" w:rsidP="000C470D">
            <w:pPr>
              <w:pStyle w:val="Odsekzoznamu"/>
              <w:numPr>
                <w:ilvl w:val="0"/>
                <w:numId w:val="13"/>
              </w:numPr>
              <w:ind w:left="426"/>
              <w:rPr>
                <w:bCs/>
                <w:iCs/>
                <w:sz w:val="20"/>
                <w:szCs w:val="20"/>
              </w:rPr>
            </w:pPr>
            <w:r w:rsidRPr="000D74F7">
              <w:rPr>
                <w:bCs/>
                <w:iCs/>
                <w:sz w:val="20"/>
                <w:szCs w:val="20"/>
              </w:rPr>
              <w:t>bežné výdavky</w:t>
            </w:r>
          </w:p>
        </w:tc>
        <w:tc>
          <w:tcPr>
            <w:tcW w:w="681" w:type="pct"/>
          </w:tcPr>
          <w:p w14:paraId="784429A7" w14:textId="32DACDF0" w:rsidR="00306ED2" w:rsidRPr="00AB5228" w:rsidRDefault="00EE6CA8" w:rsidP="000C470D">
            <w:pPr>
              <w:jc w:val="right"/>
              <w:rPr>
                <w:sz w:val="20"/>
                <w:szCs w:val="20"/>
              </w:rPr>
            </w:pPr>
            <w:r>
              <w:rPr>
                <w:sz w:val="20"/>
                <w:szCs w:val="20"/>
              </w:rPr>
              <w:t>1 196 871</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FEE3A0" w14:textId="77777777" w:rsidR="00306ED2" w:rsidRPr="000D74F7" w:rsidRDefault="00306ED2" w:rsidP="000C470D">
            <w:pPr>
              <w:jc w:val="right"/>
              <w:rPr>
                <w:sz w:val="20"/>
                <w:szCs w:val="20"/>
              </w:rPr>
            </w:pPr>
            <w:r w:rsidRPr="000D74F7">
              <w:rPr>
                <w:sz w:val="20"/>
                <w:szCs w:val="20"/>
              </w:rPr>
              <w:t>1 344 394</w:t>
            </w:r>
          </w:p>
        </w:tc>
        <w:tc>
          <w:tcPr>
            <w:tcW w:w="681" w:type="pct"/>
          </w:tcPr>
          <w:p w14:paraId="726F69FB" w14:textId="77777777" w:rsidR="00306ED2" w:rsidRPr="00AB5228" w:rsidRDefault="00306ED2" w:rsidP="000C470D">
            <w:pPr>
              <w:jc w:val="right"/>
              <w:rPr>
                <w:sz w:val="20"/>
                <w:szCs w:val="20"/>
              </w:rPr>
            </w:pPr>
            <w:r w:rsidRPr="00AB5228">
              <w:rPr>
                <w:sz w:val="20"/>
                <w:szCs w:val="20"/>
              </w:rPr>
              <w:t xml:space="preserve">1 420 658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1C1DD" w14:textId="77777777" w:rsidR="00306ED2" w:rsidRPr="00DA7DAA" w:rsidRDefault="00306ED2" w:rsidP="000C470D">
            <w:pPr>
              <w:jc w:val="right"/>
              <w:rPr>
                <w:sz w:val="20"/>
                <w:szCs w:val="20"/>
              </w:rPr>
            </w:pPr>
            <w:r w:rsidRPr="00DA7DAA">
              <w:rPr>
                <w:sz w:val="20"/>
                <w:szCs w:val="20"/>
              </w:rPr>
              <w:t>76</w:t>
            </w:r>
            <w:r>
              <w:rPr>
                <w:sz w:val="20"/>
                <w:szCs w:val="20"/>
              </w:rPr>
              <w:t xml:space="preserve"> </w:t>
            </w:r>
            <w:r w:rsidRPr="00DA7DAA">
              <w:rPr>
                <w:sz w:val="20"/>
                <w:szCs w:val="20"/>
              </w:rPr>
              <w:t>264</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7028A" w14:textId="77777777" w:rsidR="00306ED2" w:rsidRPr="00DA7DAA" w:rsidRDefault="00306ED2" w:rsidP="000C470D">
            <w:pPr>
              <w:jc w:val="right"/>
              <w:rPr>
                <w:sz w:val="20"/>
                <w:szCs w:val="20"/>
              </w:rPr>
            </w:pPr>
            <w:r w:rsidRPr="00DA7DAA">
              <w:rPr>
                <w:sz w:val="20"/>
                <w:szCs w:val="20"/>
              </w:rPr>
              <w:t>105,7</w:t>
            </w:r>
          </w:p>
        </w:tc>
      </w:tr>
      <w:tr w:rsidR="00306ED2" w:rsidRPr="000D74F7" w14:paraId="5F4CEFFF"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D62E44" w14:textId="77777777" w:rsidR="00306ED2" w:rsidRPr="000D74F7" w:rsidRDefault="00306ED2" w:rsidP="000C470D">
            <w:pPr>
              <w:pStyle w:val="Odsekzoznamu"/>
              <w:numPr>
                <w:ilvl w:val="0"/>
                <w:numId w:val="14"/>
              </w:numPr>
              <w:ind w:left="567" w:hanging="284"/>
              <w:rPr>
                <w:sz w:val="20"/>
                <w:szCs w:val="20"/>
              </w:rPr>
            </w:pPr>
            <w:r w:rsidRPr="000D74F7">
              <w:rPr>
                <w:sz w:val="20"/>
                <w:szCs w:val="20"/>
              </w:rPr>
              <w:t>mzdy a odvody</w:t>
            </w:r>
          </w:p>
        </w:tc>
        <w:tc>
          <w:tcPr>
            <w:tcW w:w="681" w:type="pct"/>
          </w:tcPr>
          <w:p w14:paraId="49B9B2AE" w14:textId="2BF16C43" w:rsidR="00306ED2" w:rsidRPr="00AB5228" w:rsidRDefault="00EE6CA8" w:rsidP="000C470D">
            <w:pPr>
              <w:jc w:val="right"/>
              <w:rPr>
                <w:sz w:val="20"/>
                <w:szCs w:val="20"/>
              </w:rPr>
            </w:pPr>
            <w:r>
              <w:rPr>
                <w:sz w:val="20"/>
                <w:szCs w:val="20"/>
              </w:rPr>
              <w:t>475 083</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89E17" w14:textId="77777777" w:rsidR="00306ED2" w:rsidRPr="000D74F7" w:rsidRDefault="00306ED2" w:rsidP="000C470D">
            <w:pPr>
              <w:jc w:val="right"/>
              <w:rPr>
                <w:sz w:val="20"/>
                <w:szCs w:val="20"/>
              </w:rPr>
            </w:pPr>
            <w:r w:rsidRPr="000D74F7">
              <w:rPr>
                <w:sz w:val="20"/>
                <w:szCs w:val="20"/>
              </w:rPr>
              <w:t>577 374</w:t>
            </w:r>
          </w:p>
        </w:tc>
        <w:tc>
          <w:tcPr>
            <w:tcW w:w="681" w:type="pct"/>
          </w:tcPr>
          <w:p w14:paraId="09A5D33E" w14:textId="77777777" w:rsidR="00306ED2" w:rsidRPr="00AB5228" w:rsidRDefault="00306ED2" w:rsidP="000C470D">
            <w:pPr>
              <w:jc w:val="right"/>
              <w:rPr>
                <w:sz w:val="20"/>
                <w:szCs w:val="20"/>
              </w:rPr>
            </w:pPr>
            <w:r w:rsidRPr="00AB5228">
              <w:rPr>
                <w:sz w:val="20"/>
                <w:szCs w:val="20"/>
              </w:rPr>
              <w:t xml:space="preserve">665 594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A0CE" w14:textId="77777777" w:rsidR="00306ED2" w:rsidRPr="00DA7DAA" w:rsidRDefault="00306ED2" w:rsidP="000C470D">
            <w:pPr>
              <w:jc w:val="right"/>
              <w:rPr>
                <w:sz w:val="20"/>
                <w:szCs w:val="20"/>
              </w:rPr>
            </w:pPr>
            <w:r w:rsidRPr="00DA7DAA">
              <w:rPr>
                <w:sz w:val="20"/>
                <w:szCs w:val="20"/>
              </w:rPr>
              <w:t>88</w:t>
            </w:r>
            <w:r>
              <w:rPr>
                <w:sz w:val="20"/>
                <w:szCs w:val="20"/>
              </w:rPr>
              <w:t xml:space="preserve"> </w:t>
            </w:r>
            <w:r w:rsidRPr="00DA7DAA">
              <w:rPr>
                <w:sz w:val="20"/>
                <w:szCs w:val="20"/>
              </w:rPr>
              <w:t>220</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6C9EB" w14:textId="77777777" w:rsidR="00306ED2" w:rsidRPr="00DA7DAA" w:rsidRDefault="00306ED2" w:rsidP="000C470D">
            <w:pPr>
              <w:jc w:val="right"/>
              <w:rPr>
                <w:sz w:val="20"/>
                <w:szCs w:val="20"/>
              </w:rPr>
            </w:pPr>
            <w:r w:rsidRPr="00DA7DAA">
              <w:rPr>
                <w:sz w:val="20"/>
                <w:szCs w:val="20"/>
              </w:rPr>
              <w:t>115,3</w:t>
            </w:r>
          </w:p>
        </w:tc>
      </w:tr>
      <w:tr w:rsidR="00306ED2" w:rsidRPr="000D74F7" w14:paraId="6B54277C"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FE93F" w14:textId="77777777" w:rsidR="00306ED2" w:rsidRPr="000D74F7" w:rsidRDefault="00306ED2" w:rsidP="000C470D">
            <w:pPr>
              <w:pStyle w:val="Odsekzoznamu"/>
              <w:numPr>
                <w:ilvl w:val="0"/>
                <w:numId w:val="14"/>
              </w:numPr>
              <w:ind w:left="567" w:hanging="284"/>
              <w:rPr>
                <w:sz w:val="20"/>
                <w:szCs w:val="20"/>
              </w:rPr>
            </w:pPr>
            <w:r w:rsidRPr="000D74F7">
              <w:rPr>
                <w:sz w:val="20"/>
                <w:szCs w:val="20"/>
              </w:rPr>
              <w:t>tovary a služby</w:t>
            </w:r>
          </w:p>
        </w:tc>
        <w:tc>
          <w:tcPr>
            <w:tcW w:w="681" w:type="pct"/>
          </w:tcPr>
          <w:p w14:paraId="02C3E70A" w14:textId="648F0C15" w:rsidR="00306ED2" w:rsidRPr="00AB5228" w:rsidRDefault="00EE6CA8" w:rsidP="000C470D">
            <w:pPr>
              <w:jc w:val="right"/>
              <w:rPr>
                <w:sz w:val="20"/>
                <w:szCs w:val="20"/>
              </w:rPr>
            </w:pPr>
            <w:r>
              <w:rPr>
                <w:sz w:val="20"/>
                <w:szCs w:val="20"/>
              </w:rPr>
              <w:t>231 998</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3133F" w14:textId="77777777" w:rsidR="00306ED2" w:rsidRPr="000D74F7" w:rsidRDefault="00306ED2" w:rsidP="000C470D">
            <w:pPr>
              <w:jc w:val="right"/>
              <w:rPr>
                <w:sz w:val="20"/>
                <w:szCs w:val="20"/>
              </w:rPr>
            </w:pPr>
            <w:r w:rsidRPr="000D74F7">
              <w:rPr>
                <w:sz w:val="20"/>
                <w:szCs w:val="20"/>
              </w:rPr>
              <w:t>264 869</w:t>
            </w:r>
          </w:p>
        </w:tc>
        <w:tc>
          <w:tcPr>
            <w:tcW w:w="681" w:type="pct"/>
          </w:tcPr>
          <w:p w14:paraId="2F861C9A" w14:textId="77777777" w:rsidR="00306ED2" w:rsidRPr="00AB5228" w:rsidRDefault="00306ED2" w:rsidP="000C470D">
            <w:pPr>
              <w:jc w:val="right"/>
              <w:rPr>
                <w:sz w:val="20"/>
                <w:szCs w:val="20"/>
              </w:rPr>
            </w:pPr>
            <w:r w:rsidRPr="00AB5228">
              <w:rPr>
                <w:sz w:val="20"/>
                <w:szCs w:val="20"/>
              </w:rPr>
              <w:t xml:space="preserve">246 834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3F9B7" w14:textId="77777777" w:rsidR="00306ED2" w:rsidRPr="00DA7DAA" w:rsidRDefault="00306ED2" w:rsidP="000C470D">
            <w:pPr>
              <w:jc w:val="right"/>
              <w:rPr>
                <w:sz w:val="20"/>
                <w:szCs w:val="20"/>
              </w:rPr>
            </w:pPr>
            <w:r w:rsidRPr="00DA7DAA">
              <w:rPr>
                <w:sz w:val="20"/>
                <w:szCs w:val="20"/>
              </w:rPr>
              <w:t>-18</w:t>
            </w:r>
            <w:r>
              <w:rPr>
                <w:sz w:val="20"/>
                <w:szCs w:val="20"/>
              </w:rPr>
              <w:t xml:space="preserve"> </w:t>
            </w:r>
            <w:r w:rsidRPr="00DA7DAA">
              <w:rPr>
                <w:sz w:val="20"/>
                <w:szCs w:val="20"/>
              </w:rPr>
              <w:t>035</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FBD0A" w14:textId="77777777" w:rsidR="00306ED2" w:rsidRPr="00DA7DAA" w:rsidRDefault="00306ED2" w:rsidP="000C470D">
            <w:pPr>
              <w:jc w:val="right"/>
              <w:rPr>
                <w:sz w:val="20"/>
                <w:szCs w:val="20"/>
              </w:rPr>
            </w:pPr>
            <w:r w:rsidRPr="00DA7DAA">
              <w:rPr>
                <w:sz w:val="20"/>
                <w:szCs w:val="20"/>
              </w:rPr>
              <w:t>93,2</w:t>
            </w:r>
          </w:p>
        </w:tc>
      </w:tr>
      <w:tr w:rsidR="00306ED2" w:rsidRPr="000D74F7" w14:paraId="4DD26B68"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BADD2" w14:textId="77777777" w:rsidR="00306ED2" w:rsidRPr="000D74F7" w:rsidRDefault="00306ED2" w:rsidP="000C470D">
            <w:pPr>
              <w:pStyle w:val="Odsekzoznamu"/>
              <w:numPr>
                <w:ilvl w:val="0"/>
                <w:numId w:val="14"/>
              </w:numPr>
              <w:ind w:left="567" w:hanging="284"/>
              <w:rPr>
                <w:sz w:val="20"/>
                <w:szCs w:val="20"/>
              </w:rPr>
            </w:pPr>
            <w:r w:rsidRPr="000D74F7">
              <w:rPr>
                <w:sz w:val="20"/>
                <w:szCs w:val="20"/>
              </w:rPr>
              <w:t>bežné transfery</w:t>
            </w:r>
          </w:p>
        </w:tc>
        <w:tc>
          <w:tcPr>
            <w:tcW w:w="681" w:type="pct"/>
          </w:tcPr>
          <w:p w14:paraId="21C808D0" w14:textId="11266DE4" w:rsidR="00306ED2" w:rsidRPr="00AB5228" w:rsidRDefault="00EE6CA8" w:rsidP="000C470D">
            <w:pPr>
              <w:jc w:val="right"/>
              <w:rPr>
                <w:sz w:val="20"/>
                <w:szCs w:val="20"/>
              </w:rPr>
            </w:pPr>
            <w:r>
              <w:rPr>
                <w:sz w:val="20"/>
                <w:szCs w:val="20"/>
              </w:rPr>
              <w:t>486 248</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06DDE5" w14:textId="77777777" w:rsidR="00306ED2" w:rsidRPr="000D74F7" w:rsidRDefault="00306ED2" w:rsidP="000C470D">
            <w:pPr>
              <w:jc w:val="right"/>
              <w:rPr>
                <w:sz w:val="20"/>
                <w:szCs w:val="20"/>
              </w:rPr>
            </w:pPr>
            <w:r w:rsidRPr="000D74F7">
              <w:rPr>
                <w:sz w:val="20"/>
                <w:szCs w:val="20"/>
              </w:rPr>
              <w:t>495 151</w:t>
            </w:r>
          </w:p>
        </w:tc>
        <w:tc>
          <w:tcPr>
            <w:tcW w:w="681" w:type="pct"/>
          </w:tcPr>
          <w:p w14:paraId="2C7B54DD" w14:textId="77777777" w:rsidR="00306ED2" w:rsidRPr="00AB5228" w:rsidRDefault="00306ED2" w:rsidP="000C470D">
            <w:pPr>
              <w:jc w:val="right"/>
              <w:rPr>
                <w:sz w:val="20"/>
                <w:szCs w:val="20"/>
              </w:rPr>
            </w:pPr>
            <w:r w:rsidRPr="00AB5228">
              <w:rPr>
                <w:sz w:val="20"/>
                <w:szCs w:val="20"/>
              </w:rPr>
              <w:t xml:space="preserve">500 830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35E61" w14:textId="77777777" w:rsidR="00306ED2" w:rsidRPr="00DA7DAA" w:rsidRDefault="00306ED2" w:rsidP="000C470D">
            <w:pPr>
              <w:jc w:val="right"/>
              <w:rPr>
                <w:sz w:val="20"/>
                <w:szCs w:val="20"/>
              </w:rPr>
            </w:pPr>
            <w:r w:rsidRPr="00DA7DAA">
              <w:rPr>
                <w:sz w:val="20"/>
                <w:szCs w:val="20"/>
              </w:rPr>
              <w:t>5</w:t>
            </w:r>
            <w:r>
              <w:rPr>
                <w:sz w:val="20"/>
                <w:szCs w:val="20"/>
              </w:rPr>
              <w:t xml:space="preserve"> </w:t>
            </w:r>
            <w:r w:rsidRPr="00DA7DAA">
              <w:rPr>
                <w:sz w:val="20"/>
                <w:szCs w:val="20"/>
              </w:rPr>
              <w:t>679</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87CA3" w14:textId="77777777" w:rsidR="00306ED2" w:rsidRPr="00DA7DAA" w:rsidRDefault="00306ED2" w:rsidP="000C470D">
            <w:pPr>
              <w:jc w:val="right"/>
              <w:rPr>
                <w:sz w:val="20"/>
                <w:szCs w:val="20"/>
              </w:rPr>
            </w:pPr>
            <w:r w:rsidRPr="00DA7DAA">
              <w:rPr>
                <w:sz w:val="20"/>
                <w:szCs w:val="20"/>
              </w:rPr>
              <w:t>101,1</w:t>
            </w:r>
          </w:p>
        </w:tc>
      </w:tr>
      <w:tr w:rsidR="00306ED2" w:rsidRPr="000D74F7" w14:paraId="254E7187"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F47BB" w14:textId="77777777" w:rsidR="00306ED2" w:rsidRPr="000D74F7" w:rsidRDefault="00306ED2" w:rsidP="000C470D">
            <w:pPr>
              <w:pStyle w:val="Odsekzoznamu"/>
              <w:numPr>
                <w:ilvl w:val="0"/>
                <w:numId w:val="14"/>
              </w:numPr>
              <w:ind w:left="567" w:hanging="284"/>
              <w:rPr>
                <w:sz w:val="20"/>
                <w:szCs w:val="20"/>
              </w:rPr>
            </w:pPr>
            <w:r w:rsidRPr="000D74F7">
              <w:rPr>
                <w:sz w:val="20"/>
                <w:szCs w:val="20"/>
              </w:rPr>
              <w:t>splácanie úrokov</w:t>
            </w:r>
          </w:p>
        </w:tc>
        <w:tc>
          <w:tcPr>
            <w:tcW w:w="681" w:type="pct"/>
          </w:tcPr>
          <w:p w14:paraId="741F8754" w14:textId="1C295F66" w:rsidR="00306ED2" w:rsidRPr="00AB5228" w:rsidRDefault="00EE6CA8" w:rsidP="000C470D">
            <w:pPr>
              <w:jc w:val="right"/>
              <w:rPr>
                <w:sz w:val="20"/>
                <w:szCs w:val="20"/>
              </w:rPr>
            </w:pPr>
            <w:r>
              <w:rPr>
                <w:sz w:val="20"/>
                <w:szCs w:val="20"/>
              </w:rPr>
              <w:t>3 542</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79CC5" w14:textId="77777777" w:rsidR="00306ED2" w:rsidRPr="000D74F7" w:rsidRDefault="00306ED2" w:rsidP="000C470D">
            <w:pPr>
              <w:jc w:val="right"/>
              <w:rPr>
                <w:sz w:val="20"/>
                <w:szCs w:val="20"/>
              </w:rPr>
            </w:pPr>
            <w:r w:rsidRPr="000D74F7">
              <w:rPr>
                <w:sz w:val="20"/>
                <w:szCs w:val="20"/>
              </w:rPr>
              <w:t>7 000</w:t>
            </w:r>
          </w:p>
        </w:tc>
        <w:tc>
          <w:tcPr>
            <w:tcW w:w="681" w:type="pct"/>
          </w:tcPr>
          <w:p w14:paraId="6B662A20" w14:textId="77777777" w:rsidR="00306ED2" w:rsidRPr="00AB5228" w:rsidRDefault="00306ED2" w:rsidP="000C470D">
            <w:pPr>
              <w:jc w:val="right"/>
              <w:rPr>
                <w:sz w:val="20"/>
                <w:szCs w:val="20"/>
              </w:rPr>
            </w:pPr>
            <w:r w:rsidRPr="00AB5228">
              <w:rPr>
                <w:sz w:val="20"/>
                <w:szCs w:val="20"/>
              </w:rPr>
              <w:t xml:space="preserve">7 400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F181" w14:textId="77777777" w:rsidR="00306ED2" w:rsidRPr="00DA7DAA" w:rsidRDefault="00306ED2" w:rsidP="000C470D">
            <w:pPr>
              <w:jc w:val="right"/>
              <w:rPr>
                <w:sz w:val="20"/>
                <w:szCs w:val="20"/>
              </w:rPr>
            </w:pPr>
            <w:r w:rsidRPr="00DA7DAA">
              <w:rPr>
                <w:sz w:val="20"/>
                <w:szCs w:val="20"/>
              </w:rPr>
              <w:t>400</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C0A6" w14:textId="77777777" w:rsidR="00306ED2" w:rsidRPr="00DA7DAA" w:rsidRDefault="00306ED2" w:rsidP="000C470D">
            <w:pPr>
              <w:jc w:val="right"/>
              <w:rPr>
                <w:sz w:val="20"/>
                <w:szCs w:val="20"/>
              </w:rPr>
            </w:pPr>
            <w:r w:rsidRPr="00DA7DAA">
              <w:rPr>
                <w:sz w:val="20"/>
                <w:szCs w:val="20"/>
              </w:rPr>
              <w:t>105,7</w:t>
            </w:r>
          </w:p>
        </w:tc>
      </w:tr>
      <w:tr w:rsidR="00306ED2" w:rsidRPr="000D74F7" w14:paraId="6889CF3A"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61DFC" w14:textId="77777777" w:rsidR="00306ED2" w:rsidRPr="000D74F7" w:rsidRDefault="00306ED2" w:rsidP="000C470D">
            <w:pPr>
              <w:pStyle w:val="Odsekzoznamu"/>
              <w:numPr>
                <w:ilvl w:val="0"/>
                <w:numId w:val="13"/>
              </w:numPr>
              <w:ind w:left="426"/>
              <w:rPr>
                <w:sz w:val="20"/>
                <w:szCs w:val="20"/>
              </w:rPr>
            </w:pPr>
            <w:r w:rsidRPr="000D74F7">
              <w:rPr>
                <w:sz w:val="20"/>
                <w:szCs w:val="20"/>
              </w:rPr>
              <w:t>kapitálové výdavky</w:t>
            </w:r>
          </w:p>
        </w:tc>
        <w:tc>
          <w:tcPr>
            <w:tcW w:w="681" w:type="pct"/>
          </w:tcPr>
          <w:p w14:paraId="6199337F" w14:textId="4A680B74" w:rsidR="00306ED2" w:rsidRPr="00AB5228" w:rsidRDefault="00EE6CA8" w:rsidP="000C470D">
            <w:pPr>
              <w:jc w:val="right"/>
              <w:rPr>
                <w:sz w:val="20"/>
                <w:szCs w:val="20"/>
              </w:rPr>
            </w:pPr>
            <w:r>
              <w:rPr>
                <w:sz w:val="20"/>
                <w:szCs w:val="20"/>
              </w:rPr>
              <w:t>145 506</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597F01" w14:textId="77777777" w:rsidR="00306ED2" w:rsidRPr="000D74F7" w:rsidRDefault="00306ED2" w:rsidP="000C470D">
            <w:pPr>
              <w:jc w:val="right"/>
              <w:rPr>
                <w:sz w:val="20"/>
                <w:szCs w:val="20"/>
              </w:rPr>
            </w:pPr>
            <w:r w:rsidRPr="000D74F7">
              <w:rPr>
                <w:sz w:val="20"/>
                <w:szCs w:val="20"/>
              </w:rPr>
              <w:t>70 650</w:t>
            </w:r>
          </w:p>
        </w:tc>
        <w:tc>
          <w:tcPr>
            <w:tcW w:w="681" w:type="pct"/>
          </w:tcPr>
          <w:p w14:paraId="7D6A2A78" w14:textId="77777777" w:rsidR="00306ED2" w:rsidRPr="00AB5228" w:rsidRDefault="00306ED2" w:rsidP="000C470D">
            <w:pPr>
              <w:jc w:val="right"/>
              <w:rPr>
                <w:sz w:val="20"/>
                <w:szCs w:val="20"/>
              </w:rPr>
            </w:pPr>
            <w:r w:rsidRPr="00AB5228">
              <w:rPr>
                <w:sz w:val="20"/>
                <w:szCs w:val="20"/>
              </w:rPr>
              <w:t xml:space="preserve">122 862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C2704" w14:textId="77777777" w:rsidR="00306ED2" w:rsidRPr="00DA7DAA" w:rsidRDefault="00306ED2" w:rsidP="000C470D">
            <w:pPr>
              <w:jc w:val="right"/>
              <w:rPr>
                <w:sz w:val="20"/>
                <w:szCs w:val="20"/>
              </w:rPr>
            </w:pPr>
            <w:r w:rsidRPr="00DA7DAA">
              <w:rPr>
                <w:sz w:val="20"/>
                <w:szCs w:val="20"/>
              </w:rPr>
              <w:t>52</w:t>
            </w:r>
            <w:r>
              <w:rPr>
                <w:sz w:val="20"/>
                <w:szCs w:val="20"/>
              </w:rPr>
              <w:t xml:space="preserve"> </w:t>
            </w:r>
            <w:r w:rsidRPr="00DA7DAA">
              <w:rPr>
                <w:sz w:val="20"/>
                <w:szCs w:val="20"/>
              </w:rPr>
              <w:t>212</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B42C" w14:textId="77777777" w:rsidR="00306ED2" w:rsidRPr="00DA7DAA" w:rsidRDefault="00306ED2" w:rsidP="000C470D">
            <w:pPr>
              <w:jc w:val="right"/>
              <w:rPr>
                <w:sz w:val="20"/>
                <w:szCs w:val="20"/>
              </w:rPr>
            </w:pPr>
            <w:r w:rsidRPr="00DA7DAA">
              <w:rPr>
                <w:sz w:val="20"/>
                <w:szCs w:val="20"/>
              </w:rPr>
              <w:t>173,9</w:t>
            </w:r>
          </w:p>
        </w:tc>
      </w:tr>
      <w:tr w:rsidR="00306ED2" w:rsidRPr="000D74F7" w14:paraId="5D57637B"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FDCB5" w14:textId="77777777" w:rsidR="00306ED2" w:rsidRPr="000D74F7" w:rsidRDefault="00306ED2" w:rsidP="000C470D">
            <w:pPr>
              <w:pStyle w:val="Odsekzoznamu"/>
              <w:numPr>
                <w:ilvl w:val="0"/>
                <w:numId w:val="13"/>
              </w:numPr>
              <w:ind w:left="426"/>
              <w:rPr>
                <w:sz w:val="20"/>
                <w:szCs w:val="20"/>
              </w:rPr>
            </w:pPr>
            <w:r w:rsidRPr="000D74F7">
              <w:rPr>
                <w:sz w:val="20"/>
                <w:szCs w:val="20"/>
              </w:rPr>
              <w:t>finančné operácie</w:t>
            </w:r>
          </w:p>
        </w:tc>
        <w:tc>
          <w:tcPr>
            <w:tcW w:w="681" w:type="pct"/>
          </w:tcPr>
          <w:p w14:paraId="6C22D029" w14:textId="49470C6F" w:rsidR="00306ED2" w:rsidRPr="00AB5228" w:rsidRDefault="00EE6CA8" w:rsidP="000C470D">
            <w:pPr>
              <w:jc w:val="right"/>
              <w:rPr>
                <w:sz w:val="20"/>
                <w:szCs w:val="20"/>
              </w:rPr>
            </w:pPr>
            <w:r>
              <w:rPr>
                <w:sz w:val="20"/>
                <w:szCs w:val="20"/>
              </w:rPr>
              <w:t>32 408</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98AEE2" w14:textId="77777777" w:rsidR="00306ED2" w:rsidRPr="000D74F7" w:rsidRDefault="00306ED2" w:rsidP="000C470D">
            <w:pPr>
              <w:jc w:val="right"/>
              <w:rPr>
                <w:sz w:val="20"/>
                <w:szCs w:val="20"/>
              </w:rPr>
            </w:pPr>
            <w:r w:rsidRPr="000D74F7">
              <w:rPr>
                <w:sz w:val="20"/>
                <w:szCs w:val="20"/>
              </w:rPr>
              <w:t>36 000</w:t>
            </w:r>
          </w:p>
        </w:tc>
        <w:tc>
          <w:tcPr>
            <w:tcW w:w="681" w:type="pct"/>
          </w:tcPr>
          <w:p w14:paraId="1279BC7E" w14:textId="77777777" w:rsidR="00306ED2" w:rsidRPr="00AB5228" w:rsidRDefault="00306ED2" w:rsidP="000C470D">
            <w:pPr>
              <w:jc w:val="right"/>
              <w:rPr>
                <w:sz w:val="20"/>
                <w:szCs w:val="20"/>
              </w:rPr>
            </w:pPr>
            <w:r w:rsidRPr="00AB5228">
              <w:rPr>
                <w:sz w:val="20"/>
                <w:szCs w:val="20"/>
              </w:rPr>
              <w:t xml:space="preserve">36 000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0DD93" w14:textId="77777777" w:rsidR="00306ED2" w:rsidRPr="00DA7DAA" w:rsidRDefault="00306ED2" w:rsidP="000C470D">
            <w:pPr>
              <w:jc w:val="right"/>
              <w:rPr>
                <w:sz w:val="20"/>
                <w:szCs w:val="20"/>
              </w:rPr>
            </w:pPr>
            <w:r w:rsidRPr="00DA7DAA">
              <w:rPr>
                <w:sz w:val="20"/>
                <w:szCs w:val="20"/>
              </w:rPr>
              <w:t>0</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14C42" w14:textId="77777777" w:rsidR="00306ED2" w:rsidRPr="00DA7DAA" w:rsidRDefault="00306ED2" w:rsidP="000C470D">
            <w:pPr>
              <w:jc w:val="right"/>
              <w:rPr>
                <w:sz w:val="20"/>
                <w:szCs w:val="20"/>
              </w:rPr>
            </w:pPr>
            <w:r w:rsidRPr="00DA7DAA">
              <w:rPr>
                <w:sz w:val="20"/>
                <w:szCs w:val="20"/>
              </w:rPr>
              <w:t>100,0</w:t>
            </w:r>
          </w:p>
        </w:tc>
      </w:tr>
      <w:tr w:rsidR="00306ED2" w:rsidRPr="000D74F7" w14:paraId="3879DC5F"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9047E9" w14:textId="77777777" w:rsidR="00306ED2" w:rsidRPr="000D74F7" w:rsidRDefault="00306ED2" w:rsidP="000C470D">
            <w:pPr>
              <w:rPr>
                <w:i/>
                <w:sz w:val="20"/>
                <w:szCs w:val="20"/>
              </w:rPr>
            </w:pPr>
            <w:r w:rsidRPr="000D74F7">
              <w:rPr>
                <w:i/>
                <w:sz w:val="20"/>
                <w:szCs w:val="20"/>
              </w:rPr>
              <w:t>z toho:</w:t>
            </w:r>
          </w:p>
        </w:tc>
        <w:tc>
          <w:tcPr>
            <w:tcW w:w="681" w:type="pct"/>
          </w:tcPr>
          <w:p w14:paraId="4623BADE" w14:textId="77777777" w:rsidR="00306ED2" w:rsidRPr="00DA7DAA"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4AEFD" w14:textId="77777777" w:rsidR="00306ED2" w:rsidRPr="000D74F7" w:rsidRDefault="00306ED2" w:rsidP="000C470D">
            <w:pPr>
              <w:jc w:val="right"/>
              <w:rPr>
                <w:sz w:val="20"/>
                <w:szCs w:val="20"/>
              </w:rPr>
            </w:pPr>
          </w:p>
        </w:tc>
        <w:tc>
          <w:tcPr>
            <w:tcW w:w="681" w:type="pct"/>
          </w:tcPr>
          <w:p w14:paraId="0B79FFAC" w14:textId="77777777" w:rsidR="00306ED2" w:rsidRPr="00DA7DAA" w:rsidRDefault="00306ED2" w:rsidP="000C470D">
            <w:pPr>
              <w:jc w:val="right"/>
              <w:rPr>
                <w:sz w:val="20"/>
                <w:szCs w:val="20"/>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22234" w14:textId="77777777" w:rsidR="00306ED2" w:rsidRPr="00DA7DAA" w:rsidRDefault="00306ED2" w:rsidP="000C470D">
            <w:pPr>
              <w:jc w:val="right"/>
              <w:rPr>
                <w:sz w:val="20"/>
                <w:szCs w:val="20"/>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711FD" w14:textId="77777777" w:rsidR="00306ED2" w:rsidRPr="00DA7DAA" w:rsidRDefault="00306ED2" w:rsidP="000C470D">
            <w:pPr>
              <w:jc w:val="right"/>
              <w:rPr>
                <w:sz w:val="20"/>
                <w:szCs w:val="20"/>
              </w:rPr>
            </w:pPr>
          </w:p>
        </w:tc>
      </w:tr>
      <w:tr w:rsidR="00306ED2" w:rsidRPr="000D74F7" w14:paraId="7C947211"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7EA99" w14:textId="77777777" w:rsidR="00306ED2" w:rsidRPr="000D74F7" w:rsidRDefault="00306ED2" w:rsidP="000C470D">
            <w:pPr>
              <w:pStyle w:val="Odsekzoznamu"/>
              <w:numPr>
                <w:ilvl w:val="0"/>
                <w:numId w:val="14"/>
              </w:numPr>
              <w:ind w:left="567" w:right="-108" w:hanging="283"/>
              <w:rPr>
                <w:sz w:val="20"/>
                <w:szCs w:val="20"/>
              </w:rPr>
            </w:pPr>
            <w:r w:rsidRPr="000D74F7">
              <w:rPr>
                <w:sz w:val="20"/>
                <w:szCs w:val="20"/>
              </w:rPr>
              <w:t xml:space="preserve">úvery a účasť na majetku </w:t>
            </w:r>
          </w:p>
        </w:tc>
        <w:tc>
          <w:tcPr>
            <w:tcW w:w="681" w:type="pct"/>
          </w:tcPr>
          <w:p w14:paraId="68BFD15C" w14:textId="5AD43E4F" w:rsidR="00306ED2" w:rsidRPr="00AB5228" w:rsidRDefault="00EE6CA8" w:rsidP="000C470D">
            <w:pPr>
              <w:jc w:val="right"/>
              <w:rPr>
                <w:sz w:val="20"/>
                <w:szCs w:val="20"/>
              </w:rPr>
            </w:pPr>
            <w:r>
              <w:rPr>
                <w:sz w:val="20"/>
                <w:szCs w:val="20"/>
              </w:rPr>
              <w:t>6 465</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FB833" w14:textId="77777777" w:rsidR="00306ED2" w:rsidRPr="000D74F7" w:rsidRDefault="00306ED2" w:rsidP="000C470D">
            <w:pPr>
              <w:jc w:val="right"/>
              <w:rPr>
                <w:sz w:val="20"/>
                <w:szCs w:val="20"/>
              </w:rPr>
            </w:pPr>
            <w:r w:rsidRPr="000D74F7">
              <w:rPr>
                <w:sz w:val="20"/>
                <w:szCs w:val="20"/>
              </w:rPr>
              <w:t>1 000</w:t>
            </w:r>
          </w:p>
        </w:tc>
        <w:tc>
          <w:tcPr>
            <w:tcW w:w="681" w:type="pct"/>
          </w:tcPr>
          <w:p w14:paraId="38DA4715" w14:textId="77777777" w:rsidR="00306ED2" w:rsidRPr="00AB5228" w:rsidRDefault="00306ED2" w:rsidP="000C470D">
            <w:pPr>
              <w:jc w:val="right"/>
              <w:rPr>
                <w:sz w:val="20"/>
                <w:szCs w:val="20"/>
              </w:rPr>
            </w:pPr>
            <w:r w:rsidRPr="00AB5228">
              <w:rPr>
                <w:sz w:val="20"/>
                <w:szCs w:val="20"/>
              </w:rPr>
              <w:t xml:space="preserve">1 000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5C034" w14:textId="77777777" w:rsidR="00306ED2" w:rsidRPr="00DA7DAA" w:rsidRDefault="00306ED2" w:rsidP="000C470D">
            <w:pPr>
              <w:jc w:val="right"/>
              <w:rPr>
                <w:sz w:val="20"/>
                <w:szCs w:val="20"/>
              </w:rPr>
            </w:pPr>
            <w:r w:rsidRPr="00DA7DAA">
              <w:rPr>
                <w:sz w:val="20"/>
                <w:szCs w:val="20"/>
              </w:rPr>
              <w:t>0</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60FD" w14:textId="77777777" w:rsidR="00306ED2" w:rsidRPr="00DA7DAA" w:rsidRDefault="00306ED2" w:rsidP="000C470D">
            <w:pPr>
              <w:jc w:val="right"/>
              <w:rPr>
                <w:sz w:val="20"/>
                <w:szCs w:val="20"/>
              </w:rPr>
            </w:pPr>
            <w:r w:rsidRPr="00DA7DAA">
              <w:rPr>
                <w:sz w:val="20"/>
                <w:szCs w:val="20"/>
              </w:rPr>
              <w:t>100,0</w:t>
            </w:r>
          </w:p>
        </w:tc>
      </w:tr>
      <w:tr w:rsidR="00306ED2" w:rsidRPr="000D74F7" w14:paraId="7377470B" w14:textId="77777777" w:rsidTr="00306ED2">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E9042A" w14:textId="77777777" w:rsidR="00306ED2" w:rsidRPr="000D74F7" w:rsidRDefault="00306ED2" w:rsidP="000C470D">
            <w:pPr>
              <w:pStyle w:val="Odsekzoznamu"/>
              <w:numPr>
                <w:ilvl w:val="0"/>
                <w:numId w:val="14"/>
              </w:numPr>
              <w:ind w:left="567" w:hanging="283"/>
              <w:rPr>
                <w:sz w:val="20"/>
                <w:szCs w:val="20"/>
              </w:rPr>
            </w:pPr>
            <w:r w:rsidRPr="000D74F7">
              <w:rPr>
                <w:sz w:val="20"/>
                <w:szCs w:val="20"/>
              </w:rPr>
              <w:t xml:space="preserve">splácanie istiny </w:t>
            </w:r>
          </w:p>
        </w:tc>
        <w:tc>
          <w:tcPr>
            <w:tcW w:w="681" w:type="pct"/>
          </w:tcPr>
          <w:p w14:paraId="3751A131" w14:textId="753A4833" w:rsidR="00306ED2" w:rsidRPr="00AB5228" w:rsidRDefault="00EE6CA8" w:rsidP="000C470D">
            <w:pPr>
              <w:jc w:val="right"/>
              <w:rPr>
                <w:sz w:val="20"/>
                <w:szCs w:val="20"/>
              </w:rPr>
            </w:pPr>
            <w:r>
              <w:rPr>
                <w:sz w:val="20"/>
                <w:szCs w:val="20"/>
              </w:rPr>
              <w:t>25 943</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A197C9" w14:textId="77777777" w:rsidR="00306ED2" w:rsidRPr="000D74F7" w:rsidRDefault="00306ED2" w:rsidP="000C470D">
            <w:pPr>
              <w:jc w:val="right"/>
              <w:rPr>
                <w:sz w:val="20"/>
                <w:szCs w:val="20"/>
              </w:rPr>
            </w:pPr>
            <w:r w:rsidRPr="000D74F7">
              <w:rPr>
                <w:sz w:val="20"/>
                <w:szCs w:val="20"/>
              </w:rPr>
              <w:t>35 000</w:t>
            </w:r>
          </w:p>
        </w:tc>
        <w:tc>
          <w:tcPr>
            <w:tcW w:w="681" w:type="pct"/>
          </w:tcPr>
          <w:p w14:paraId="3F48E2B2" w14:textId="77777777" w:rsidR="00306ED2" w:rsidRPr="00AB5228" w:rsidRDefault="00306ED2" w:rsidP="000C470D">
            <w:pPr>
              <w:jc w:val="right"/>
              <w:rPr>
                <w:sz w:val="20"/>
                <w:szCs w:val="20"/>
              </w:rPr>
            </w:pPr>
            <w:r w:rsidRPr="00AB5228">
              <w:rPr>
                <w:sz w:val="20"/>
                <w:szCs w:val="20"/>
              </w:rPr>
              <w:t xml:space="preserve">35 000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D96FC" w14:textId="77777777" w:rsidR="00306ED2" w:rsidRPr="00DA7DAA" w:rsidRDefault="00306ED2" w:rsidP="000C470D">
            <w:pPr>
              <w:jc w:val="right"/>
              <w:rPr>
                <w:sz w:val="20"/>
                <w:szCs w:val="20"/>
              </w:rPr>
            </w:pPr>
            <w:r w:rsidRPr="00DA7DAA">
              <w:rPr>
                <w:sz w:val="20"/>
                <w:szCs w:val="20"/>
              </w:rPr>
              <w:t>0</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636F5" w14:textId="77777777" w:rsidR="00306ED2" w:rsidRPr="00DA7DAA" w:rsidRDefault="00306ED2" w:rsidP="000C470D">
            <w:pPr>
              <w:jc w:val="right"/>
              <w:rPr>
                <w:sz w:val="20"/>
                <w:szCs w:val="20"/>
              </w:rPr>
            </w:pPr>
            <w:r w:rsidRPr="00DA7DAA">
              <w:rPr>
                <w:sz w:val="20"/>
                <w:szCs w:val="20"/>
              </w:rPr>
              <w:t>100,0</w:t>
            </w:r>
          </w:p>
        </w:tc>
      </w:tr>
    </w:tbl>
    <w:p w14:paraId="09419DF6" w14:textId="484FC345" w:rsidR="00306ED2" w:rsidRPr="00306ED2" w:rsidRDefault="00306ED2" w:rsidP="00306ED2">
      <w:pPr>
        <w:spacing w:after="120"/>
        <w:jc w:val="both"/>
        <w:rPr>
          <w:rFonts w:eastAsiaTheme="minorEastAsia"/>
          <w:i/>
          <w:sz w:val="18"/>
          <w:szCs w:val="20"/>
        </w:rPr>
      </w:pPr>
      <w:r w:rsidRPr="00A97AC3">
        <w:rPr>
          <w:rFonts w:eastAsiaTheme="minorEastAsia"/>
          <w:i/>
          <w:sz w:val="18"/>
          <w:szCs w:val="20"/>
        </w:rPr>
        <w:t>Zdroj:</w:t>
      </w:r>
      <w:r>
        <w:rPr>
          <w:rFonts w:eastAsiaTheme="minorEastAsia"/>
          <w:i/>
          <w:sz w:val="18"/>
          <w:szCs w:val="20"/>
        </w:rPr>
        <w:t xml:space="preserve"> Návrh RVS na roky 2020 až 2022</w:t>
      </w:r>
    </w:p>
    <w:sectPr w:rsidR="00306ED2" w:rsidRPr="00306ED2" w:rsidSect="001767FE">
      <w:footerReference w:type="default" r:id="rId32"/>
      <w:type w:val="continuous"/>
      <w:pgSz w:w="11906" w:h="16838" w:code="9"/>
      <w:pgMar w:top="1417" w:right="1274" w:bottom="1417"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7470" w14:textId="77777777" w:rsidR="00893A8E" w:rsidRDefault="00893A8E" w:rsidP="009754B9">
      <w:r>
        <w:separator/>
      </w:r>
    </w:p>
  </w:endnote>
  <w:endnote w:type="continuationSeparator" w:id="0">
    <w:p w14:paraId="7B39FCF8" w14:textId="77777777" w:rsidR="00893A8E" w:rsidRDefault="00893A8E" w:rsidP="0097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Bariol-Light">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6833" w14:textId="77777777" w:rsidR="001C284A" w:rsidRDefault="001C284A">
    <w:pPr>
      <w:pStyle w:val="Pta"/>
      <w:jc w:val="center"/>
    </w:pPr>
  </w:p>
  <w:p w14:paraId="6DC976FE" w14:textId="77777777" w:rsidR="001C284A" w:rsidRDefault="001C284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653519"/>
      <w:docPartObj>
        <w:docPartGallery w:val="Page Numbers (Bottom of Page)"/>
        <w:docPartUnique/>
      </w:docPartObj>
    </w:sdtPr>
    <w:sdtContent>
      <w:p w14:paraId="0874A5CC" w14:textId="0C33A866" w:rsidR="001C284A" w:rsidRDefault="001C284A">
        <w:pPr>
          <w:pStyle w:val="Pta"/>
          <w:jc w:val="center"/>
        </w:pPr>
        <w:r>
          <w:fldChar w:fldCharType="begin"/>
        </w:r>
        <w:r>
          <w:instrText>PAGE   \* MERGEFORMAT</w:instrText>
        </w:r>
        <w:r>
          <w:fldChar w:fldCharType="separate"/>
        </w:r>
        <w:r w:rsidR="00030F0C">
          <w:rPr>
            <w:noProof/>
          </w:rPr>
          <w:t>20</w:t>
        </w:r>
        <w:r>
          <w:rPr>
            <w:noProof/>
          </w:rPr>
          <w:fldChar w:fldCharType="end"/>
        </w:r>
      </w:p>
    </w:sdtContent>
  </w:sdt>
  <w:p w14:paraId="7E093EE6" w14:textId="77777777" w:rsidR="001C284A" w:rsidRDefault="001C28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3445A" w14:textId="77777777" w:rsidR="00893A8E" w:rsidRDefault="00893A8E" w:rsidP="009754B9">
      <w:r>
        <w:separator/>
      </w:r>
    </w:p>
  </w:footnote>
  <w:footnote w:type="continuationSeparator" w:id="0">
    <w:p w14:paraId="3C2DFC6C" w14:textId="77777777" w:rsidR="00893A8E" w:rsidRDefault="00893A8E" w:rsidP="009754B9">
      <w:r>
        <w:continuationSeparator/>
      </w:r>
    </w:p>
  </w:footnote>
  <w:footnote w:id="1">
    <w:p w14:paraId="6790F8C3" w14:textId="77777777" w:rsidR="001C284A" w:rsidRDefault="001C284A" w:rsidP="008A68FA">
      <w:pPr>
        <w:pStyle w:val="Textpoznmkypodiarou"/>
      </w:pPr>
      <w:r>
        <w:rPr>
          <w:rStyle w:val="Odkaznapoznmkupodiarou"/>
        </w:rPr>
        <w:footnoteRef/>
      </w:r>
      <w:r>
        <w:t xml:space="preserve"> Tento výbor je v zmysle </w:t>
      </w:r>
      <w:r w:rsidRPr="00C65CAA">
        <w:t>zákona o rozpočtovej zodpovednosti poradným orgánom ministra financií.</w:t>
      </w:r>
    </w:p>
  </w:footnote>
  <w:footnote w:id="2">
    <w:p w14:paraId="3FA44547" w14:textId="77777777" w:rsidR="001C284A" w:rsidRDefault="001C284A" w:rsidP="00511FAF">
      <w:pPr>
        <w:pStyle w:val="Textpoznmkypodiarou"/>
      </w:pPr>
      <w:r>
        <w:rPr>
          <w:rStyle w:val="Odkaznapoznmkupodiarou"/>
        </w:rPr>
        <w:footnoteRef/>
      </w:r>
      <w:r>
        <w:t xml:space="preserve"> Už očakávané skutočné výdavky v roku 2019 v rámci tohto programu výrazne prekračujú pôvodný rozpočet.</w:t>
      </w:r>
    </w:p>
  </w:footnote>
  <w:footnote w:id="3">
    <w:p w14:paraId="1C0298FA" w14:textId="4E36235F" w:rsidR="001C284A" w:rsidRDefault="001C284A" w:rsidP="00511FAF">
      <w:pPr>
        <w:pStyle w:val="Textpoznmkypodiarou"/>
        <w:jc w:val="both"/>
      </w:pPr>
      <w:r>
        <w:rPr>
          <w:rStyle w:val="Odkaznapoznmkupodiarou"/>
        </w:rPr>
        <w:footnoteRef/>
      </w:r>
      <w:r>
        <w:t xml:space="preserve"> Revízia výdavkov na vzdelávanie vypracovaná Útvarom hodnoty za peniaze MF SR z roku 2017 tieto možné úspory odhadovala na 14 mil. eur, Priebežná implementačná správa z októbra 2019 hovorí o 12 mil. eur.</w:t>
      </w:r>
    </w:p>
  </w:footnote>
  <w:footnote w:id="4">
    <w:p w14:paraId="2AB35CAE" w14:textId="77777777" w:rsidR="001C284A" w:rsidRDefault="001C284A" w:rsidP="00511FAF">
      <w:pPr>
        <w:pStyle w:val="Textpoznmkypodiarou"/>
        <w:jc w:val="both"/>
      </w:pPr>
      <w:r>
        <w:rPr>
          <w:rStyle w:val="Odkaznapoznmkupodiarou"/>
        </w:rPr>
        <w:footnoteRef/>
      </w:r>
      <w:r>
        <w:t xml:space="preserve"> Vyššie výdavky na žiaka u menších škôl predpokladá aj samotná legislatíva, keďže školám pod 250 žiakov je priznávaný vyšší normatív.</w:t>
      </w:r>
    </w:p>
  </w:footnote>
  <w:footnote w:id="5">
    <w:p w14:paraId="3DF738FB" w14:textId="1535C4D7" w:rsidR="001C284A" w:rsidRDefault="001C284A" w:rsidP="00511FAF">
      <w:pPr>
        <w:pStyle w:val="Textpoznmkypodiarou"/>
      </w:pPr>
      <w:r>
        <w:rPr>
          <w:rStyle w:val="Odkaznapoznmkupodiarou"/>
        </w:rPr>
        <w:footnoteRef/>
      </w:r>
      <w:r>
        <w:t xml:space="preserve"> </w:t>
      </w:r>
      <w:r w:rsidRPr="00B67383">
        <w:t>Programové vyhlásenie vlády SR na roky 2016</w:t>
      </w:r>
      <w:r>
        <w:t xml:space="preserve"> </w:t>
      </w:r>
      <w:r w:rsidRPr="00B67383">
        <w:t>-</w:t>
      </w:r>
      <w:r>
        <w:t xml:space="preserve"> </w:t>
      </w:r>
      <w:r w:rsidRPr="00B67383">
        <w:t>2020</w:t>
      </w:r>
      <w:r>
        <w:t>, s. 33.</w:t>
      </w:r>
    </w:p>
  </w:footnote>
  <w:footnote w:id="6">
    <w:p w14:paraId="5051D0BF" w14:textId="6D478D41" w:rsidR="001C284A" w:rsidRDefault="001C284A" w:rsidP="00840D58">
      <w:pPr>
        <w:pStyle w:val="Textpoznmkypodiarou"/>
        <w:jc w:val="both"/>
      </w:pPr>
      <w:r>
        <w:rPr>
          <w:rStyle w:val="Odkaznapoznmkupodiarou"/>
        </w:rPr>
        <w:footnoteRef/>
      </w:r>
      <w:r>
        <w:t xml:space="preserve"> </w:t>
      </w:r>
      <w:r w:rsidRPr="004C02A6">
        <w:t xml:space="preserve">V monitorovacej správe ZÚ MDV SR 2018 bol na tomto prvku stanovený plán na rok </w:t>
      </w:r>
      <w:r>
        <w:t>2020 začať s výstavbou 115,2 </w:t>
      </w:r>
      <w:r w:rsidRPr="004C02A6">
        <w:t>km a odovzdať 26 km D a RC.</w:t>
      </w:r>
    </w:p>
  </w:footnote>
  <w:footnote w:id="7">
    <w:p w14:paraId="6DC207E0" w14:textId="77777777" w:rsidR="001C284A" w:rsidRDefault="001C284A" w:rsidP="00525BB2">
      <w:pPr>
        <w:pStyle w:val="Textpoznmkypodiarou"/>
        <w:jc w:val="both"/>
      </w:pPr>
      <w:r>
        <w:rPr>
          <w:rStyle w:val="Odkaznapoznmkupodiarou"/>
        </w:rPr>
        <w:footnoteRef/>
      </w:r>
      <w:r>
        <w:t xml:space="preserve"> </w:t>
      </w:r>
      <w:r w:rsidRPr="009A22EA">
        <w:t>Napr. trvalo udržateľná mobilita, zvýšenie kvality života v regiónoch, ekologická alternatíva k individuálnej automobilovej doprave, zvýšenie plynulosti a bezpečnosti a iné.</w:t>
      </w:r>
    </w:p>
  </w:footnote>
  <w:footnote w:id="8">
    <w:p w14:paraId="47B50A12" w14:textId="77777777" w:rsidR="001C284A" w:rsidRPr="004A261A" w:rsidRDefault="001C284A" w:rsidP="00525BB2">
      <w:pPr>
        <w:pStyle w:val="Textpoznmkypodiarou"/>
        <w:jc w:val="both"/>
      </w:pPr>
      <w:r>
        <w:rPr>
          <w:rStyle w:val="Odkaznapoznmkupodiarou"/>
        </w:rPr>
        <w:footnoteRef/>
      </w:r>
      <w:r>
        <w:t xml:space="preserve"> </w:t>
      </w:r>
      <w:r w:rsidRPr="004A261A">
        <w:t>IV – Kúty – Bratislava – Štúrovo</w:t>
      </w:r>
    </w:p>
    <w:p w14:paraId="07502B62" w14:textId="77777777" w:rsidR="001C284A" w:rsidRPr="004A261A" w:rsidRDefault="001C284A" w:rsidP="00525BB2">
      <w:pPr>
        <w:pStyle w:val="Textpoznmkypodiarou"/>
        <w:jc w:val="both"/>
      </w:pPr>
      <w:r w:rsidRPr="004A261A">
        <w:t xml:space="preserve">  </w:t>
      </w:r>
      <w:r>
        <w:t xml:space="preserve"> </w:t>
      </w:r>
      <w:proofErr w:type="spellStart"/>
      <w:r w:rsidRPr="004A261A">
        <w:t>Va</w:t>
      </w:r>
      <w:proofErr w:type="spellEnd"/>
      <w:r w:rsidRPr="004A261A">
        <w:t xml:space="preserve"> – Žilina – Košice – Čierna nad Tisou</w:t>
      </w:r>
    </w:p>
    <w:p w14:paraId="299D1616" w14:textId="77777777" w:rsidR="001C284A" w:rsidRDefault="001C284A" w:rsidP="00525BB2">
      <w:pPr>
        <w:pStyle w:val="Textpoznmkypodiarou"/>
        <w:jc w:val="both"/>
      </w:pPr>
      <w:r w:rsidRPr="004A261A">
        <w:t xml:space="preserve">  </w:t>
      </w:r>
      <w:r>
        <w:t xml:space="preserve"> </w:t>
      </w:r>
      <w:r w:rsidRPr="004A261A">
        <w:t>VI – Púchov – Žilina – Čadca - CZ</w:t>
      </w:r>
    </w:p>
  </w:footnote>
  <w:footnote w:id="9">
    <w:p w14:paraId="0A650869" w14:textId="3369E25C" w:rsidR="001C284A" w:rsidRDefault="001C284A" w:rsidP="00525BB2">
      <w:pPr>
        <w:pStyle w:val="Textpoznmkypodiarou"/>
        <w:jc w:val="both"/>
      </w:pPr>
      <w:r>
        <w:rPr>
          <w:rStyle w:val="Odkaznapoznmkupodiarou"/>
        </w:rPr>
        <w:footnoteRef/>
      </w:r>
      <w:r>
        <w:t xml:space="preserve"> </w:t>
      </w:r>
      <w:r w:rsidRPr="007426A2">
        <w:t>Ú</w:t>
      </w:r>
      <w:r w:rsidRPr="007426A2">
        <w:rPr>
          <w:color w:val="000000"/>
        </w:rPr>
        <w:t>hrada sa vždy platí v roku n + 2, to zn</w:t>
      </w:r>
      <w:r>
        <w:rPr>
          <w:color w:val="000000"/>
        </w:rPr>
        <w:t>amená,</w:t>
      </w:r>
      <w:r w:rsidRPr="007426A2">
        <w:rPr>
          <w:color w:val="000000"/>
        </w:rPr>
        <w:t xml:space="preserve"> že v roku 2020 bude táto suma pokrývať stratu za rok 2018</w:t>
      </w:r>
      <w:r>
        <w:rPr>
          <w:color w:val="000000"/>
        </w:rPr>
        <w:t>.</w:t>
      </w:r>
    </w:p>
  </w:footnote>
  <w:footnote w:id="10">
    <w:p w14:paraId="61006362" w14:textId="77777777" w:rsidR="001C284A" w:rsidRDefault="001C284A" w:rsidP="00525BB2">
      <w:pPr>
        <w:pStyle w:val="Textpoznmkypodiarou"/>
        <w:jc w:val="both"/>
      </w:pPr>
      <w:r>
        <w:rPr>
          <w:rStyle w:val="Odkaznapoznmkupodiarou"/>
        </w:rPr>
        <w:footnoteRef/>
      </w:r>
      <w:r>
        <w:t xml:space="preserve"> </w:t>
      </w:r>
      <w:r w:rsidRPr="006810BB">
        <w:t>Z</w:t>
      </w:r>
      <w:r w:rsidRPr="00FC7FE7">
        <w:t>modernizovať 54,51 km železničných tratí a odstrániť 3 lokality s environmentálnou záťažou.</w:t>
      </w:r>
      <w:r>
        <w:t xml:space="preserve"> </w:t>
      </w:r>
    </w:p>
  </w:footnote>
  <w:footnote w:id="11">
    <w:p w14:paraId="66F18C21" w14:textId="77777777" w:rsidR="001C284A" w:rsidRPr="00C23790" w:rsidRDefault="001C284A" w:rsidP="0018649B">
      <w:pPr>
        <w:pStyle w:val="Textpoznmkypodiarou"/>
        <w:rPr>
          <w:sz w:val="18"/>
          <w:szCs w:val="18"/>
        </w:rPr>
      </w:pPr>
      <w:r>
        <w:rPr>
          <w:rStyle w:val="Odkaznapoznmkupodiarou"/>
        </w:rPr>
        <w:footnoteRef/>
      </w:r>
      <w:r>
        <w:t xml:space="preserve"> </w:t>
      </w:r>
      <w:r w:rsidRPr="00C23790">
        <w:rPr>
          <w:sz w:val="18"/>
          <w:szCs w:val="18"/>
        </w:rPr>
        <w:t>Daň z nehnuteľností, daň za špecifické služby, daň za dobývací priestor</w:t>
      </w:r>
    </w:p>
  </w:footnote>
  <w:footnote w:id="12">
    <w:p w14:paraId="5B99AC8C" w14:textId="77777777" w:rsidR="001C284A" w:rsidRDefault="001C284A" w:rsidP="0018649B">
      <w:pPr>
        <w:pStyle w:val="Textpoznmkypodiarou"/>
      </w:pPr>
      <w:r w:rsidRPr="00C23790">
        <w:rPr>
          <w:rStyle w:val="Odkaznapoznmkupodiarou"/>
          <w:sz w:val="18"/>
          <w:szCs w:val="18"/>
        </w:rPr>
        <w:footnoteRef/>
      </w:r>
      <w:r w:rsidRPr="00C23790">
        <w:rPr>
          <w:sz w:val="18"/>
          <w:szCs w:val="18"/>
        </w:rPr>
        <w:t xml:space="preserve"> Lepšia daň z nehnuteľnosti v hrsti, než daň z príjmu na streche – IFP, MF SR, 26.11.2018, </w:t>
      </w:r>
      <w:hyperlink r:id="rId1" w:history="1">
        <w:r w:rsidRPr="00C23790">
          <w:rPr>
            <w:rStyle w:val="Hypertextovprepojenie"/>
            <w:sz w:val="18"/>
            <w:szCs w:val="18"/>
          </w:rPr>
          <w:t>https://www.finance.gov.sk/sk/financie/institut-financnej-politiky/publikacie-ifp/komentare/22-lepsia-dan-z-nehnutelnosti-hrsti-nez-dan-z-prijmu-streche-november-2018.html</w:t>
        </w:r>
      </w:hyperlink>
      <w:r>
        <w:t xml:space="preserve"> </w:t>
      </w:r>
    </w:p>
  </w:footnote>
  <w:footnote w:id="13">
    <w:p w14:paraId="317D598B" w14:textId="77777777" w:rsidR="001C284A" w:rsidRPr="00543959" w:rsidRDefault="001C284A" w:rsidP="0018649B">
      <w:pPr>
        <w:pStyle w:val="Textpoznmkypodiarou"/>
        <w:jc w:val="both"/>
        <w:rPr>
          <w:sz w:val="18"/>
          <w:szCs w:val="18"/>
        </w:rPr>
      </w:pPr>
      <w:r w:rsidRPr="00543959">
        <w:rPr>
          <w:rStyle w:val="Odkaznapoznmkupodiarou"/>
          <w:sz w:val="18"/>
          <w:szCs w:val="18"/>
        </w:rPr>
        <w:footnoteRef/>
      </w:r>
      <w:r w:rsidRPr="00543959">
        <w:rPr>
          <w:sz w:val="18"/>
          <w:szCs w:val="18"/>
        </w:rPr>
        <w:t xml:space="preserve"> PAS </w:t>
      </w:r>
      <w:r>
        <w:rPr>
          <w:sz w:val="18"/>
          <w:szCs w:val="18"/>
        </w:rPr>
        <w:t xml:space="preserve">– </w:t>
      </w:r>
      <w:r w:rsidRPr="00543959">
        <w:rPr>
          <w:sz w:val="18"/>
          <w:szCs w:val="18"/>
        </w:rPr>
        <w:t xml:space="preserve"> </w:t>
      </w:r>
      <w:hyperlink r:id="rId2" w:history="1">
        <w:r w:rsidRPr="00543959">
          <w:rPr>
            <w:rStyle w:val="Hypertextovprepojenie"/>
            <w:sz w:val="18"/>
            <w:szCs w:val="18"/>
          </w:rPr>
          <w:t>https://www.alianciapas.sk/2019/03/25/dane-z-nehnutelnosti-sa-tento-rok-zvysili-len-v-styroch-mestach-poplatok-za-rozvoj-takmer-vobec/</w:t>
        </w:r>
      </w:hyperlink>
    </w:p>
    <w:p w14:paraId="30E0E571" w14:textId="77777777" w:rsidR="001C284A" w:rsidRPr="00543959" w:rsidRDefault="001C284A" w:rsidP="0018649B">
      <w:pPr>
        <w:pStyle w:val="Textpoznmkypodiarou"/>
        <w:jc w:val="both"/>
        <w:rPr>
          <w:sz w:val="18"/>
          <w:szCs w:val="18"/>
        </w:rPr>
      </w:pPr>
      <w:r w:rsidRPr="00543959">
        <w:rPr>
          <w:sz w:val="18"/>
          <w:szCs w:val="18"/>
        </w:rPr>
        <w:t xml:space="preserve">Koncepcia štátnej bytovej politiky do roku 2020 </w:t>
      </w:r>
      <w:r>
        <w:rPr>
          <w:sz w:val="18"/>
          <w:szCs w:val="18"/>
        </w:rPr>
        <w:t xml:space="preserve">– </w:t>
      </w:r>
      <w:hyperlink r:id="rId3" w:history="1">
        <w:r w:rsidRPr="00543959">
          <w:rPr>
            <w:rStyle w:val="Hypertextovprepojenie"/>
            <w:sz w:val="18"/>
            <w:szCs w:val="18"/>
          </w:rPr>
          <w:t>https://www.mindop.sk/ministerstvo-1/vystavba-5/bytova-politika/dokumenty/koncepcie</w:t>
        </w:r>
      </w:hyperlink>
    </w:p>
    <w:p w14:paraId="3ECEDF84" w14:textId="77777777" w:rsidR="001C284A" w:rsidRPr="00543959" w:rsidRDefault="001C284A" w:rsidP="0018649B">
      <w:pPr>
        <w:jc w:val="both"/>
        <w:rPr>
          <w:color w:val="0563C1"/>
          <w:sz w:val="18"/>
          <w:szCs w:val="18"/>
          <w:u w:val="single"/>
        </w:rPr>
      </w:pPr>
      <w:r w:rsidRPr="00543959">
        <w:rPr>
          <w:sz w:val="18"/>
          <w:szCs w:val="18"/>
        </w:rPr>
        <w:t xml:space="preserve">NBS </w:t>
      </w:r>
      <w:r>
        <w:rPr>
          <w:sz w:val="18"/>
          <w:szCs w:val="18"/>
        </w:rPr>
        <w:t>–</w:t>
      </w:r>
      <w:r w:rsidRPr="00543959">
        <w:rPr>
          <w:sz w:val="18"/>
          <w:szCs w:val="18"/>
        </w:rPr>
        <w:t xml:space="preserve"> </w:t>
      </w:r>
      <w:hyperlink r:id="rId4" w:history="1">
        <w:r w:rsidRPr="00543959">
          <w:rPr>
            <w:color w:val="0563C1"/>
            <w:sz w:val="18"/>
            <w:szCs w:val="18"/>
            <w:u w:val="single"/>
          </w:rPr>
          <w:t>https://www.nbs.sk/sk/statisticke-udaje/vybrane-makroekonomicke-ukazovatele/ceny-nehnutelnosti-na-byvanie/ceny-nehnutelnosti-na-byvanie-podla-krajov</w:t>
        </w:r>
      </w:hyperlink>
    </w:p>
  </w:footnote>
  <w:footnote w:id="14">
    <w:p w14:paraId="21619F06" w14:textId="77777777" w:rsidR="001C284A" w:rsidRPr="00543959" w:rsidRDefault="001C284A" w:rsidP="0018649B">
      <w:pPr>
        <w:pStyle w:val="Textpoznmkypodiarou"/>
        <w:jc w:val="both"/>
        <w:rPr>
          <w:sz w:val="18"/>
          <w:szCs w:val="18"/>
        </w:rPr>
      </w:pPr>
      <w:r w:rsidRPr="00543959">
        <w:rPr>
          <w:rStyle w:val="Odkaznapoznmkupodiarou"/>
          <w:sz w:val="18"/>
          <w:szCs w:val="18"/>
        </w:rPr>
        <w:footnoteRef/>
      </w:r>
      <w:r w:rsidRPr="00543959">
        <w:rPr>
          <w:sz w:val="18"/>
          <w:szCs w:val="18"/>
        </w:rPr>
        <w:t xml:space="preserve"> Index dane z bývania nám ukazuje, ako sú v jednotlivých krajoch určené dane z bývania vo vzťahu k cene nehnuteľnosti na bývanie. Je to podiel dane voči cene nehnuteľnosti. Čím je tento index vyšší, tým je platená aj vyššia daň vo vzťahu k hodnote nehnuteľnosti na bývanie.</w:t>
      </w:r>
    </w:p>
  </w:footnote>
  <w:footnote w:id="15">
    <w:p w14:paraId="391E7B60" w14:textId="77777777" w:rsidR="001C284A" w:rsidRPr="003B48D2" w:rsidRDefault="001C284A" w:rsidP="0018649B">
      <w:pPr>
        <w:pStyle w:val="Textpoznmkypodiarou"/>
        <w:rPr>
          <w:sz w:val="18"/>
          <w:szCs w:val="18"/>
        </w:rPr>
      </w:pPr>
      <w:r w:rsidRPr="003B48D2">
        <w:rPr>
          <w:rStyle w:val="Odkaznapoznmkupodiarou"/>
          <w:sz w:val="18"/>
          <w:szCs w:val="18"/>
        </w:rPr>
        <w:footnoteRef/>
      </w:r>
      <w:r w:rsidRPr="003B48D2">
        <w:rPr>
          <w:sz w:val="18"/>
          <w:szCs w:val="18"/>
        </w:rPr>
        <w:t xml:space="preserve"> </w:t>
      </w:r>
      <w:r>
        <w:rPr>
          <w:sz w:val="18"/>
          <w:szCs w:val="18"/>
        </w:rPr>
        <w:t>V</w:t>
      </w:r>
      <w:r w:rsidRPr="003B48D2">
        <w:rPr>
          <w:sz w:val="18"/>
          <w:szCs w:val="18"/>
        </w:rPr>
        <w:t>yjadrené ako podiel k hodnote nehnuteľnosti, v ktorej bývajú</w:t>
      </w:r>
      <w:r>
        <w:rPr>
          <w:sz w:val="18"/>
          <w:szCs w:val="18"/>
        </w:rPr>
        <w:t>.</w:t>
      </w:r>
    </w:p>
  </w:footnote>
  <w:footnote w:id="16">
    <w:p w14:paraId="616FF5AE" w14:textId="77777777" w:rsidR="001C284A" w:rsidRPr="00747AFF" w:rsidRDefault="001C284A" w:rsidP="0018649B">
      <w:pPr>
        <w:pStyle w:val="Textpoznmkypodiarou"/>
        <w:jc w:val="both"/>
        <w:rPr>
          <w:sz w:val="18"/>
          <w:szCs w:val="18"/>
        </w:rPr>
      </w:pPr>
      <w:r w:rsidRPr="00747AFF">
        <w:rPr>
          <w:rStyle w:val="Odkaznapoznmkupodiarou"/>
          <w:sz w:val="18"/>
          <w:szCs w:val="18"/>
        </w:rPr>
        <w:footnoteRef/>
      </w:r>
      <w:r w:rsidRPr="00747AFF">
        <w:rPr>
          <w:sz w:val="18"/>
          <w:szCs w:val="18"/>
        </w:rPr>
        <w:t xml:space="preserve"> MINISTERSTVO VNÚTRA SR. (2013) ESO - Efektívna, Spoľahlivá a Otvorená verejná správa. Dostupné na:</w:t>
      </w:r>
    </w:p>
    <w:p w14:paraId="1F30EBF4" w14:textId="77777777" w:rsidR="001C284A" w:rsidRPr="00747AFF" w:rsidRDefault="001C284A" w:rsidP="0018649B">
      <w:pPr>
        <w:pStyle w:val="Textpoznmkypodiarou"/>
        <w:jc w:val="both"/>
        <w:rPr>
          <w:sz w:val="18"/>
          <w:szCs w:val="18"/>
        </w:rPr>
      </w:pPr>
      <w:hyperlink r:id="rId5" w:history="1">
        <w:r w:rsidRPr="00747AFF">
          <w:rPr>
            <w:rStyle w:val="Hypertextovprepojenie"/>
            <w:sz w:val="18"/>
            <w:szCs w:val="18"/>
          </w:rPr>
          <w:t>http://www.minv.sk/?eso-efektivna-spolahliva-otvorena-verejna-sprava</w:t>
        </w:r>
      </w:hyperlink>
      <w:r w:rsidRPr="00747AFF">
        <w:rPr>
          <w:sz w:val="18"/>
          <w:szCs w:val="18"/>
        </w:rPr>
        <w:t xml:space="preserve"> </w:t>
      </w:r>
    </w:p>
  </w:footnote>
  <w:footnote w:id="17">
    <w:p w14:paraId="32D8BE04" w14:textId="77777777" w:rsidR="001C284A" w:rsidRDefault="001C284A" w:rsidP="0018649B">
      <w:pPr>
        <w:pStyle w:val="Textpoznmkypodiarou"/>
        <w:jc w:val="both"/>
        <w:rPr>
          <w:sz w:val="18"/>
          <w:szCs w:val="18"/>
        </w:rPr>
      </w:pPr>
      <w:r w:rsidRPr="00747AFF">
        <w:rPr>
          <w:rStyle w:val="Odkaznapoznmkupodiarou"/>
          <w:sz w:val="18"/>
          <w:szCs w:val="18"/>
        </w:rPr>
        <w:footnoteRef/>
      </w:r>
      <w:r w:rsidRPr="00747AFF">
        <w:rPr>
          <w:sz w:val="18"/>
          <w:szCs w:val="18"/>
        </w:rPr>
        <w:t xml:space="preserve"> ROKOVANIE VLÁDY SR. (2016) Rámec národnej stratégie reformy verejnej správy v súvislosti s prioritami definovanými Európskou komisiou do roku 2020 a Akčný plán reformy verejnej správy (nadstavba reformy ESO) - návrh. Dostupné na: </w:t>
      </w:r>
    </w:p>
    <w:p w14:paraId="3FFE7925" w14:textId="77777777" w:rsidR="001C284A" w:rsidRPr="00D21B96" w:rsidRDefault="001C284A" w:rsidP="0018649B">
      <w:pPr>
        <w:pStyle w:val="Textpoznmkypodiarou"/>
        <w:jc w:val="both"/>
        <w:rPr>
          <w:sz w:val="18"/>
          <w:szCs w:val="18"/>
        </w:rPr>
      </w:pPr>
      <w:hyperlink r:id="rId6" w:history="1">
        <w:r w:rsidRPr="00D21B96">
          <w:rPr>
            <w:rStyle w:val="Hypertextovprepojenie"/>
            <w:sz w:val="18"/>
            <w:szCs w:val="18"/>
          </w:rPr>
          <w:t>https://rokovania.gov.sk/RVL/Material/21219/1</w:t>
        </w:r>
      </w:hyperlink>
      <w:r w:rsidRPr="00D21B96">
        <w:rPr>
          <w:sz w:val="18"/>
          <w:szCs w:val="18"/>
        </w:rPr>
        <w:t xml:space="preserve"> </w:t>
      </w:r>
    </w:p>
  </w:footnote>
  <w:footnote w:id="18">
    <w:p w14:paraId="207A442E" w14:textId="77777777" w:rsidR="001C284A" w:rsidRPr="00747AFF" w:rsidRDefault="001C284A" w:rsidP="0018649B">
      <w:pPr>
        <w:pStyle w:val="Textpoznmkypodiarou"/>
        <w:jc w:val="both"/>
        <w:rPr>
          <w:sz w:val="18"/>
          <w:szCs w:val="18"/>
        </w:rPr>
      </w:pPr>
      <w:r w:rsidRPr="00747AFF">
        <w:rPr>
          <w:rStyle w:val="Odkaznapoznmkupodiarou"/>
          <w:sz w:val="18"/>
          <w:szCs w:val="18"/>
        </w:rPr>
        <w:footnoteRef/>
      </w:r>
      <w:r w:rsidRPr="00747AFF">
        <w:rPr>
          <w:sz w:val="18"/>
          <w:szCs w:val="18"/>
        </w:rPr>
        <w:t xml:space="preserve"> NKÚ SR v roku 2017 zhodnotil pripravenosť samosprávy na poskytovanie služieb v rámci kontrolnej akcie zameranej na e-</w:t>
      </w:r>
      <w:proofErr w:type="spellStart"/>
      <w:r w:rsidRPr="00747AFF">
        <w:rPr>
          <w:sz w:val="18"/>
          <w:szCs w:val="18"/>
        </w:rPr>
        <w:t>Government</w:t>
      </w:r>
      <w:proofErr w:type="spellEnd"/>
      <w:r w:rsidRPr="00747AFF">
        <w:rPr>
          <w:sz w:val="18"/>
          <w:szCs w:val="18"/>
        </w:rPr>
        <w:t>.</w:t>
      </w:r>
      <w:r>
        <w:rPr>
          <w:sz w:val="18"/>
          <w:szCs w:val="18"/>
        </w:rPr>
        <w:t xml:space="preserve"> </w:t>
      </w:r>
      <w:r w:rsidRPr="00747AFF">
        <w:rPr>
          <w:sz w:val="18"/>
          <w:szCs w:val="18"/>
        </w:rPr>
        <w:t xml:space="preserve">Kontrola plnenia opatrení </w:t>
      </w:r>
      <w:r>
        <w:rPr>
          <w:sz w:val="18"/>
          <w:szCs w:val="18"/>
        </w:rPr>
        <w:t xml:space="preserve">bola </w:t>
      </w:r>
      <w:r w:rsidRPr="00747AFF">
        <w:rPr>
          <w:sz w:val="18"/>
          <w:szCs w:val="18"/>
        </w:rPr>
        <w:t>vykonaná v roku 2019 v 47 subjektoch</w:t>
      </w:r>
      <w:r>
        <w:rPr>
          <w:sz w:val="18"/>
          <w:szCs w:val="18"/>
        </w:rPr>
        <w:t>.</w:t>
      </w:r>
    </w:p>
  </w:footnote>
  <w:footnote w:id="19">
    <w:p w14:paraId="0D9653FC" w14:textId="77777777" w:rsidR="001C284A" w:rsidRPr="00747AFF" w:rsidRDefault="001C284A" w:rsidP="0018649B">
      <w:pPr>
        <w:pStyle w:val="Textpoznmkypodiarou"/>
        <w:rPr>
          <w:sz w:val="18"/>
          <w:szCs w:val="18"/>
        </w:rPr>
      </w:pPr>
      <w:r w:rsidRPr="00747AFF">
        <w:rPr>
          <w:rStyle w:val="Odkaznapoznmkupodiarou"/>
          <w:sz w:val="18"/>
          <w:szCs w:val="18"/>
        </w:rPr>
        <w:footnoteRef/>
      </w:r>
      <w:r w:rsidRPr="00747AFF">
        <w:rPr>
          <w:sz w:val="18"/>
          <w:szCs w:val="18"/>
        </w:rPr>
        <w:t xml:space="preserve"> </w:t>
      </w:r>
      <w:r>
        <w:rPr>
          <w:sz w:val="18"/>
          <w:szCs w:val="18"/>
        </w:rPr>
        <w:t>V obciach Frička,</w:t>
      </w:r>
      <w:r w:rsidRPr="00747AFF">
        <w:rPr>
          <w:sz w:val="18"/>
          <w:szCs w:val="18"/>
        </w:rPr>
        <w:t xml:space="preserve"> Hrabské a</w:t>
      </w:r>
      <w:r>
        <w:rPr>
          <w:sz w:val="18"/>
          <w:szCs w:val="18"/>
        </w:rPr>
        <w:t> </w:t>
      </w:r>
      <w:r w:rsidRPr="00747AFF">
        <w:rPr>
          <w:sz w:val="18"/>
          <w:szCs w:val="18"/>
        </w:rPr>
        <w:t>Lúka</w:t>
      </w:r>
      <w:r>
        <w:rPr>
          <w:sz w:val="18"/>
          <w:szCs w:val="18"/>
        </w:rPr>
        <w:t>,</w:t>
      </w:r>
      <w:r w:rsidRPr="00747AFF">
        <w:rPr>
          <w:sz w:val="18"/>
          <w:szCs w:val="18"/>
        </w:rPr>
        <w:t xml:space="preserve"> a</w:t>
      </w:r>
      <w:r>
        <w:rPr>
          <w:sz w:val="18"/>
          <w:szCs w:val="18"/>
        </w:rPr>
        <w:t xml:space="preserve"> v </w:t>
      </w:r>
      <w:r w:rsidRPr="00747AFF">
        <w:rPr>
          <w:sz w:val="18"/>
          <w:szCs w:val="18"/>
        </w:rPr>
        <w:t xml:space="preserve">obecnej vodohospodárskej spoločnosti </w:t>
      </w:r>
      <w:proofErr w:type="spellStart"/>
      <w:r w:rsidRPr="00B37D39">
        <w:rPr>
          <w:sz w:val="18"/>
          <w:szCs w:val="18"/>
        </w:rPr>
        <w:t>Šáchor</w:t>
      </w:r>
      <w:proofErr w:type="spellEnd"/>
      <w:r w:rsidRPr="00B37D39">
        <w:rPr>
          <w:sz w:val="18"/>
          <w:szCs w:val="18"/>
        </w:rPr>
        <w:t xml:space="preserve">, </w:t>
      </w:r>
      <w:proofErr w:type="spellStart"/>
      <w:r w:rsidRPr="00B37D39">
        <w:rPr>
          <w:sz w:val="18"/>
          <w:szCs w:val="18"/>
        </w:rPr>
        <w:t>s.r.o</w:t>
      </w:r>
      <w:proofErr w:type="spellEnd"/>
      <w:r w:rsidRPr="00B37D39">
        <w:rPr>
          <w:sz w:val="18"/>
          <w:szCs w:val="18"/>
        </w:rPr>
        <w:t>.</w:t>
      </w:r>
    </w:p>
  </w:footnote>
  <w:footnote w:id="20">
    <w:p w14:paraId="5B2091A8" w14:textId="77777777" w:rsidR="001C284A" w:rsidRPr="00FA6181" w:rsidRDefault="001C284A" w:rsidP="0018649B">
      <w:pPr>
        <w:pStyle w:val="Textpoznmkypodiarou"/>
        <w:rPr>
          <w:sz w:val="18"/>
          <w:szCs w:val="18"/>
        </w:rPr>
      </w:pPr>
      <w:r w:rsidRPr="00FA6181">
        <w:rPr>
          <w:rStyle w:val="Odkaznapoznmkupodiarou"/>
          <w:sz w:val="18"/>
          <w:szCs w:val="18"/>
        </w:rPr>
        <w:footnoteRef/>
      </w:r>
      <w:r w:rsidRPr="00FA6181">
        <w:rPr>
          <w:sz w:val="18"/>
          <w:szCs w:val="18"/>
        </w:rPr>
        <w:t xml:space="preserve"> </w:t>
      </w:r>
      <w:r>
        <w:rPr>
          <w:sz w:val="18"/>
          <w:szCs w:val="18"/>
        </w:rPr>
        <w:t>Problémy sa t</w:t>
      </w:r>
      <w:r w:rsidRPr="00FA6181">
        <w:rPr>
          <w:sz w:val="18"/>
          <w:szCs w:val="18"/>
        </w:rPr>
        <w:t>ýka</w:t>
      </w:r>
      <w:r>
        <w:rPr>
          <w:sz w:val="18"/>
          <w:szCs w:val="18"/>
        </w:rPr>
        <w:t>jú</w:t>
      </w:r>
      <w:r w:rsidRPr="00FA6181">
        <w:rPr>
          <w:sz w:val="18"/>
          <w:szCs w:val="18"/>
        </w:rPr>
        <w:t xml:space="preserve"> ich správy a komplexných pravidiel v oblast</w:t>
      </w:r>
      <w:r>
        <w:rPr>
          <w:sz w:val="18"/>
          <w:szCs w:val="18"/>
        </w:rPr>
        <w:t xml:space="preserve">i rozpočtovníctva a účtovníctva, a to </w:t>
      </w:r>
      <w:r w:rsidRPr="00FA6181">
        <w:rPr>
          <w:sz w:val="18"/>
          <w:szCs w:val="18"/>
        </w:rPr>
        <w:t>aj napriek tomu, že mnohé obce zabezpečujú niektoré takéto služby prostredníctvom spoločných úradovní.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95EBE" w14:textId="77777777" w:rsidR="001C284A" w:rsidRPr="009B5D93" w:rsidRDefault="001C284A" w:rsidP="00E61D07">
    <w:pPr>
      <w:pStyle w:val="Hlavika"/>
      <w:jc w:val="center"/>
    </w:pPr>
    <w:r>
      <w:rPr>
        <w:noProof/>
        <w:lang w:eastAsia="sk-SK"/>
      </w:rPr>
      <mc:AlternateContent>
        <mc:Choice Requires="wps">
          <w:drawing>
            <wp:anchor distT="4294967295" distB="4294967295" distL="114300" distR="114300" simplePos="0" relativeHeight="251659264" behindDoc="0" locked="0" layoutInCell="1" allowOverlap="1" wp14:anchorId="0785860C" wp14:editId="28743B40">
              <wp:simplePos x="0" y="0"/>
              <wp:positionH relativeFrom="column">
                <wp:posOffset>-19050</wp:posOffset>
              </wp:positionH>
              <wp:positionV relativeFrom="paragraph">
                <wp:posOffset>347979</wp:posOffset>
              </wp:positionV>
              <wp:extent cx="5854700" cy="0"/>
              <wp:effectExtent l="0" t="0" r="12700" b="0"/>
              <wp:wrapNone/>
              <wp:docPr id="27" name="Rovná spojnic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02509F0" id="Rovná spojnica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27.4pt" to="45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" strokecolor="#4579b8 [3044]" strokeweight="1.25pt">
              <o:lock v:ext="edit" shapetype="f"/>
            </v:line>
          </w:pict>
        </mc:Fallback>
      </mc:AlternateContent>
    </w:r>
    <w:r w:rsidRPr="009B5D93">
      <w:t>S</w:t>
    </w:r>
    <w:r>
      <w:t>tanovisko</w:t>
    </w:r>
    <w:r w:rsidRPr="00E61D07">
      <w:t xml:space="preserve"> </w:t>
    </w:r>
    <w:r>
      <w:t>NKÚ SR k návrhu štátneho rozpočtu SR na rok 2020</w:t>
    </w:r>
  </w:p>
  <w:p w14:paraId="3CD47591" w14:textId="77777777" w:rsidR="001C284A" w:rsidRDefault="001C28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ABD"/>
    <w:multiLevelType w:val="hybridMultilevel"/>
    <w:tmpl w:val="20CEC51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0856055"/>
    <w:multiLevelType w:val="hybridMultilevel"/>
    <w:tmpl w:val="745A12AC"/>
    <w:lvl w:ilvl="0" w:tplc="03BA7296">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AB4EB0"/>
    <w:multiLevelType w:val="hybridMultilevel"/>
    <w:tmpl w:val="55E489CE"/>
    <w:lvl w:ilvl="0" w:tplc="0B82CA78">
      <w:start w:val="1"/>
      <w:numFmt w:val="decimal"/>
      <w:lvlText w:val="%1."/>
      <w:lvlJc w:val="left"/>
      <w:pPr>
        <w:ind w:left="720" w:hanging="360"/>
      </w:pPr>
      <w:rPr>
        <w:rFonts w:ascii="Arial Narrow" w:eastAsia="Times New Roman" w:hAnsi="Arial Narrow"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7C472F3"/>
    <w:multiLevelType w:val="hybridMultilevel"/>
    <w:tmpl w:val="D12AEFB6"/>
    <w:lvl w:ilvl="0" w:tplc="266EC09C">
      <w:start w:val="1"/>
      <w:numFmt w:val="decimal"/>
      <w:lvlText w:val="%1."/>
      <w:lvlJc w:val="left"/>
      <w:pPr>
        <w:ind w:left="720" w:hanging="360"/>
      </w:pPr>
      <w:rPr>
        <w:rFonts w:eastAsiaTheme="majorEastAsia"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D3151C"/>
    <w:multiLevelType w:val="hybridMultilevel"/>
    <w:tmpl w:val="A15E3544"/>
    <w:lvl w:ilvl="0" w:tplc="0F409092">
      <w:start w:val="1"/>
      <w:numFmt w:val="decimal"/>
      <w:lvlText w:val="%1."/>
      <w:lvlJc w:val="left"/>
      <w:pPr>
        <w:ind w:left="360" w:hanging="360"/>
      </w:pPr>
      <w:rPr>
        <w:rFonts w:hint="default"/>
        <w:color w:val="48484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E776496"/>
    <w:multiLevelType w:val="hybridMultilevel"/>
    <w:tmpl w:val="78502C26"/>
    <w:lvl w:ilvl="0" w:tplc="1AC083F0">
      <w:start w:val="2"/>
      <w:numFmt w:val="bullet"/>
      <w:lvlText w:val="-"/>
      <w:lvlJc w:val="left"/>
      <w:pPr>
        <w:ind w:left="170" w:hanging="170"/>
      </w:pPr>
      <w:rPr>
        <w:rFonts w:ascii="Times New Roman" w:eastAsiaTheme="minorHAns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6303CBC"/>
    <w:multiLevelType w:val="multilevel"/>
    <w:tmpl w:val="235ABA8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B60490"/>
    <w:multiLevelType w:val="hybridMultilevel"/>
    <w:tmpl w:val="55B210CE"/>
    <w:lvl w:ilvl="0" w:tplc="39807344">
      <w:start w:val="1"/>
      <w:numFmt w:val="bullet"/>
      <w:lvlText w:val=""/>
      <w:lvlJc w:val="left"/>
      <w:pPr>
        <w:ind w:left="-129" w:hanging="360"/>
      </w:pPr>
      <w:rPr>
        <w:rFonts w:ascii="Symbol" w:hAnsi="Symbol" w:hint="default"/>
      </w:rPr>
    </w:lvl>
    <w:lvl w:ilvl="1" w:tplc="041B0003">
      <w:start w:val="1"/>
      <w:numFmt w:val="bullet"/>
      <w:lvlText w:val="o"/>
      <w:lvlJc w:val="left"/>
      <w:pPr>
        <w:ind w:left="591" w:hanging="360"/>
      </w:pPr>
      <w:rPr>
        <w:rFonts w:ascii="Courier New" w:hAnsi="Courier New" w:cs="Courier New" w:hint="default"/>
      </w:rPr>
    </w:lvl>
    <w:lvl w:ilvl="2" w:tplc="041B0005">
      <w:start w:val="1"/>
      <w:numFmt w:val="bullet"/>
      <w:lvlText w:val=""/>
      <w:lvlJc w:val="left"/>
      <w:pPr>
        <w:ind w:left="1311" w:hanging="360"/>
      </w:pPr>
      <w:rPr>
        <w:rFonts w:ascii="Wingdings" w:hAnsi="Wingdings" w:hint="default"/>
      </w:rPr>
    </w:lvl>
    <w:lvl w:ilvl="3" w:tplc="041B0001">
      <w:start w:val="1"/>
      <w:numFmt w:val="bullet"/>
      <w:lvlText w:val=""/>
      <w:lvlJc w:val="left"/>
      <w:pPr>
        <w:ind w:left="2031" w:hanging="360"/>
      </w:pPr>
      <w:rPr>
        <w:rFonts w:ascii="Symbol" w:hAnsi="Symbol" w:hint="default"/>
      </w:rPr>
    </w:lvl>
    <w:lvl w:ilvl="4" w:tplc="041B0003">
      <w:start w:val="1"/>
      <w:numFmt w:val="bullet"/>
      <w:lvlText w:val="o"/>
      <w:lvlJc w:val="left"/>
      <w:pPr>
        <w:ind w:left="2751" w:hanging="360"/>
      </w:pPr>
      <w:rPr>
        <w:rFonts w:ascii="Courier New" w:hAnsi="Courier New" w:cs="Courier New" w:hint="default"/>
      </w:rPr>
    </w:lvl>
    <w:lvl w:ilvl="5" w:tplc="041B0005">
      <w:start w:val="1"/>
      <w:numFmt w:val="bullet"/>
      <w:lvlText w:val=""/>
      <w:lvlJc w:val="left"/>
      <w:pPr>
        <w:ind w:left="3471" w:hanging="360"/>
      </w:pPr>
      <w:rPr>
        <w:rFonts w:ascii="Wingdings" w:hAnsi="Wingdings" w:hint="default"/>
      </w:rPr>
    </w:lvl>
    <w:lvl w:ilvl="6" w:tplc="041B0001">
      <w:start w:val="1"/>
      <w:numFmt w:val="bullet"/>
      <w:lvlText w:val=""/>
      <w:lvlJc w:val="left"/>
      <w:pPr>
        <w:ind w:left="4191" w:hanging="360"/>
      </w:pPr>
      <w:rPr>
        <w:rFonts w:ascii="Symbol" w:hAnsi="Symbol" w:hint="default"/>
      </w:rPr>
    </w:lvl>
    <w:lvl w:ilvl="7" w:tplc="041B0003">
      <w:start w:val="1"/>
      <w:numFmt w:val="bullet"/>
      <w:lvlText w:val="o"/>
      <w:lvlJc w:val="left"/>
      <w:pPr>
        <w:ind w:left="4911" w:hanging="360"/>
      </w:pPr>
      <w:rPr>
        <w:rFonts w:ascii="Courier New" w:hAnsi="Courier New" w:cs="Courier New" w:hint="default"/>
      </w:rPr>
    </w:lvl>
    <w:lvl w:ilvl="8" w:tplc="041B0005">
      <w:start w:val="1"/>
      <w:numFmt w:val="bullet"/>
      <w:lvlText w:val=""/>
      <w:lvlJc w:val="left"/>
      <w:pPr>
        <w:ind w:left="5631" w:hanging="360"/>
      </w:pPr>
      <w:rPr>
        <w:rFonts w:ascii="Wingdings" w:hAnsi="Wingdings" w:hint="default"/>
      </w:rPr>
    </w:lvl>
  </w:abstractNum>
  <w:abstractNum w:abstractNumId="8" w15:restartNumberingAfterBreak="0">
    <w:nsid w:val="29F4369C"/>
    <w:multiLevelType w:val="hybridMultilevel"/>
    <w:tmpl w:val="6870043E"/>
    <w:lvl w:ilvl="0" w:tplc="03BA7296">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4BA7EA1"/>
    <w:multiLevelType w:val="hybridMultilevel"/>
    <w:tmpl w:val="A530A1E6"/>
    <w:lvl w:ilvl="0" w:tplc="03BA7296">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267AAE"/>
    <w:multiLevelType w:val="hybridMultilevel"/>
    <w:tmpl w:val="85A0C7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307322B"/>
    <w:multiLevelType w:val="hybridMultilevel"/>
    <w:tmpl w:val="EE2C8EA8"/>
    <w:lvl w:ilvl="0" w:tplc="03BA7296">
      <w:start w:val="1"/>
      <w:numFmt w:val="bullet"/>
      <w:lvlText w:val="−"/>
      <w:lvlJc w:val="left"/>
      <w:pPr>
        <w:ind w:left="717" w:hanging="360"/>
      </w:pPr>
      <w:rPr>
        <w:rFonts w:ascii="Arial Narrow" w:hAnsi="Arial Narrow"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2" w15:restartNumberingAfterBreak="0">
    <w:nsid w:val="4566289A"/>
    <w:multiLevelType w:val="hybridMultilevel"/>
    <w:tmpl w:val="A460869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46002072"/>
    <w:multiLevelType w:val="multilevel"/>
    <w:tmpl w:val="1778C2BE"/>
    <w:lvl w:ilvl="0">
      <w:start w:val="1"/>
      <w:numFmt w:val="decimal"/>
      <w:lvlText w:val="%1."/>
      <w:lvlJc w:val="lef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4120855"/>
    <w:multiLevelType w:val="hybridMultilevel"/>
    <w:tmpl w:val="853CD86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CEE5B02"/>
    <w:multiLevelType w:val="hybridMultilevel"/>
    <w:tmpl w:val="F23CA8A8"/>
    <w:lvl w:ilvl="0" w:tplc="03BA7296">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C56A8A"/>
    <w:multiLevelType w:val="hybridMultilevel"/>
    <w:tmpl w:val="E426429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6B42015B"/>
    <w:multiLevelType w:val="hybridMultilevel"/>
    <w:tmpl w:val="3F2E1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DD3E60"/>
    <w:multiLevelType w:val="hybridMultilevel"/>
    <w:tmpl w:val="0C940A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77345340"/>
    <w:multiLevelType w:val="hybridMultilevel"/>
    <w:tmpl w:val="15DAB50A"/>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7D480E1E"/>
    <w:multiLevelType w:val="hybridMultilevel"/>
    <w:tmpl w:val="6B1434BC"/>
    <w:lvl w:ilvl="0" w:tplc="D6A03EE2">
      <w:numFmt w:val="bullet"/>
      <w:lvlText w:val="-"/>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1"/>
  </w:num>
  <w:num w:numId="4">
    <w:abstractNumId w:val="9"/>
  </w:num>
  <w:num w:numId="5">
    <w:abstractNumId w:val="8"/>
  </w:num>
  <w:num w:numId="6">
    <w:abstractNumId w:val="0"/>
  </w:num>
  <w:num w:numId="7">
    <w:abstractNumId w:val="20"/>
  </w:num>
  <w:num w:numId="8">
    <w:abstractNumId w:val="18"/>
  </w:num>
  <w:num w:numId="9">
    <w:abstractNumId w:val="17"/>
  </w:num>
  <w:num w:numId="10">
    <w:abstractNumId w:val="5"/>
  </w:num>
  <w:num w:numId="11">
    <w:abstractNumId w:val="4"/>
  </w:num>
  <w:num w:numId="12">
    <w:abstractNumId w:val="12"/>
  </w:num>
  <w:num w:numId="13">
    <w:abstractNumId w:val="14"/>
  </w:num>
  <w:num w:numId="14">
    <w:abstractNumId w:val="7"/>
  </w:num>
  <w:num w:numId="15">
    <w:abstractNumId w:val="16"/>
  </w:num>
  <w:num w:numId="16">
    <w:abstractNumId w:val="19"/>
  </w:num>
  <w:num w:numId="17">
    <w:abstractNumId w:val="6"/>
  </w:num>
  <w:num w:numId="18">
    <w:abstractNumId w:val="10"/>
  </w:num>
  <w:num w:numId="19">
    <w:abstractNumId w:val="13"/>
  </w:num>
  <w:num w:numId="20">
    <w:abstractNumId w:val="11"/>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B9"/>
    <w:rsid w:val="0000338F"/>
    <w:rsid w:val="00004C31"/>
    <w:rsid w:val="00005136"/>
    <w:rsid w:val="000052E6"/>
    <w:rsid w:val="00007F82"/>
    <w:rsid w:val="000118D1"/>
    <w:rsid w:val="000126FD"/>
    <w:rsid w:val="000143D2"/>
    <w:rsid w:val="00014E1B"/>
    <w:rsid w:val="000154FF"/>
    <w:rsid w:val="000158BB"/>
    <w:rsid w:val="00017B86"/>
    <w:rsid w:val="00021CD8"/>
    <w:rsid w:val="00022622"/>
    <w:rsid w:val="00023143"/>
    <w:rsid w:val="000262AE"/>
    <w:rsid w:val="00026950"/>
    <w:rsid w:val="00026B30"/>
    <w:rsid w:val="00030F0C"/>
    <w:rsid w:val="000342EF"/>
    <w:rsid w:val="00036901"/>
    <w:rsid w:val="000370CB"/>
    <w:rsid w:val="00037DAC"/>
    <w:rsid w:val="00040D53"/>
    <w:rsid w:val="00044630"/>
    <w:rsid w:val="0004483D"/>
    <w:rsid w:val="00050F5B"/>
    <w:rsid w:val="00052AC8"/>
    <w:rsid w:val="000530D3"/>
    <w:rsid w:val="0005431A"/>
    <w:rsid w:val="00054B7B"/>
    <w:rsid w:val="00054CBB"/>
    <w:rsid w:val="00055D0C"/>
    <w:rsid w:val="000563D4"/>
    <w:rsid w:val="00056BE0"/>
    <w:rsid w:val="00056EDF"/>
    <w:rsid w:val="00060357"/>
    <w:rsid w:val="000604FF"/>
    <w:rsid w:val="00062789"/>
    <w:rsid w:val="00062CAC"/>
    <w:rsid w:val="000631EC"/>
    <w:rsid w:val="000640F8"/>
    <w:rsid w:val="0006418C"/>
    <w:rsid w:val="000653B7"/>
    <w:rsid w:val="00065C23"/>
    <w:rsid w:val="00066B36"/>
    <w:rsid w:val="00066DA8"/>
    <w:rsid w:val="00066EFF"/>
    <w:rsid w:val="000675D3"/>
    <w:rsid w:val="000676A0"/>
    <w:rsid w:val="0007154E"/>
    <w:rsid w:val="00071AC2"/>
    <w:rsid w:val="00072243"/>
    <w:rsid w:val="0007229D"/>
    <w:rsid w:val="00072363"/>
    <w:rsid w:val="0007302F"/>
    <w:rsid w:val="0007495C"/>
    <w:rsid w:val="0007644D"/>
    <w:rsid w:val="00076AA6"/>
    <w:rsid w:val="00076EE3"/>
    <w:rsid w:val="00081484"/>
    <w:rsid w:val="0008149B"/>
    <w:rsid w:val="000824C9"/>
    <w:rsid w:val="00082633"/>
    <w:rsid w:val="000846F4"/>
    <w:rsid w:val="00085399"/>
    <w:rsid w:val="00087D28"/>
    <w:rsid w:val="00092571"/>
    <w:rsid w:val="00093738"/>
    <w:rsid w:val="000940BF"/>
    <w:rsid w:val="0009439C"/>
    <w:rsid w:val="000948AB"/>
    <w:rsid w:val="000979EC"/>
    <w:rsid w:val="000A121E"/>
    <w:rsid w:val="000A15C0"/>
    <w:rsid w:val="000A1747"/>
    <w:rsid w:val="000A2429"/>
    <w:rsid w:val="000A29D1"/>
    <w:rsid w:val="000A3238"/>
    <w:rsid w:val="000A368F"/>
    <w:rsid w:val="000A3C45"/>
    <w:rsid w:val="000A49D4"/>
    <w:rsid w:val="000B089E"/>
    <w:rsid w:val="000B1C2E"/>
    <w:rsid w:val="000B447D"/>
    <w:rsid w:val="000B5409"/>
    <w:rsid w:val="000B6626"/>
    <w:rsid w:val="000B69AF"/>
    <w:rsid w:val="000C0813"/>
    <w:rsid w:val="000C27B0"/>
    <w:rsid w:val="000C2D4C"/>
    <w:rsid w:val="000C2F08"/>
    <w:rsid w:val="000C470D"/>
    <w:rsid w:val="000C4F4A"/>
    <w:rsid w:val="000C5ADA"/>
    <w:rsid w:val="000C5F8B"/>
    <w:rsid w:val="000C7160"/>
    <w:rsid w:val="000D0AED"/>
    <w:rsid w:val="000D3EA8"/>
    <w:rsid w:val="000D57C3"/>
    <w:rsid w:val="000D59AC"/>
    <w:rsid w:val="000D72F6"/>
    <w:rsid w:val="000E0722"/>
    <w:rsid w:val="000E2224"/>
    <w:rsid w:val="000E2A30"/>
    <w:rsid w:val="000E5A53"/>
    <w:rsid w:val="000F0382"/>
    <w:rsid w:val="000F1471"/>
    <w:rsid w:val="000F275F"/>
    <w:rsid w:val="000F294B"/>
    <w:rsid w:val="000F2A6C"/>
    <w:rsid w:val="000F48CC"/>
    <w:rsid w:val="000F600B"/>
    <w:rsid w:val="000F67E3"/>
    <w:rsid w:val="000F7737"/>
    <w:rsid w:val="00101040"/>
    <w:rsid w:val="001012AE"/>
    <w:rsid w:val="001023D8"/>
    <w:rsid w:val="0010329A"/>
    <w:rsid w:val="00103B9C"/>
    <w:rsid w:val="001040CF"/>
    <w:rsid w:val="00107235"/>
    <w:rsid w:val="00110CFD"/>
    <w:rsid w:val="0011162C"/>
    <w:rsid w:val="00115B28"/>
    <w:rsid w:val="00117105"/>
    <w:rsid w:val="00117150"/>
    <w:rsid w:val="00117A52"/>
    <w:rsid w:val="00120DEB"/>
    <w:rsid w:val="001216B7"/>
    <w:rsid w:val="00123E25"/>
    <w:rsid w:val="001240BE"/>
    <w:rsid w:val="0012684F"/>
    <w:rsid w:val="00130DC8"/>
    <w:rsid w:val="001313E6"/>
    <w:rsid w:val="00131511"/>
    <w:rsid w:val="00132C0F"/>
    <w:rsid w:val="00134446"/>
    <w:rsid w:val="00134468"/>
    <w:rsid w:val="00134AD3"/>
    <w:rsid w:val="00135721"/>
    <w:rsid w:val="00136C40"/>
    <w:rsid w:val="00137943"/>
    <w:rsid w:val="001408BD"/>
    <w:rsid w:val="00140CD4"/>
    <w:rsid w:val="00140EC7"/>
    <w:rsid w:val="00141CCA"/>
    <w:rsid w:val="00142DEB"/>
    <w:rsid w:val="0014329D"/>
    <w:rsid w:val="001438C7"/>
    <w:rsid w:val="00143AB5"/>
    <w:rsid w:val="00144A3E"/>
    <w:rsid w:val="00145CE2"/>
    <w:rsid w:val="00147645"/>
    <w:rsid w:val="0014766F"/>
    <w:rsid w:val="00151232"/>
    <w:rsid w:val="00151FE3"/>
    <w:rsid w:val="00152971"/>
    <w:rsid w:val="00154DF8"/>
    <w:rsid w:val="00155A09"/>
    <w:rsid w:val="00155C65"/>
    <w:rsid w:val="0015666C"/>
    <w:rsid w:val="00156F83"/>
    <w:rsid w:val="0016202D"/>
    <w:rsid w:val="0016251C"/>
    <w:rsid w:val="00162C26"/>
    <w:rsid w:val="00164136"/>
    <w:rsid w:val="001643BA"/>
    <w:rsid w:val="00165F0C"/>
    <w:rsid w:val="00165FA7"/>
    <w:rsid w:val="00172718"/>
    <w:rsid w:val="00172966"/>
    <w:rsid w:val="00172A2E"/>
    <w:rsid w:val="001732A5"/>
    <w:rsid w:val="00173E35"/>
    <w:rsid w:val="00174690"/>
    <w:rsid w:val="00174E17"/>
    <w:rsid w:val="001767FE"/>
    <w:rsid w:val="00176FB2"/>
    <w:rsid w:val="0018387F"/>
    <w:rsid w:val="00184616"/>
    <w:rsid w:val="0018649B"/>
    <w:rsid w:val="001864CB"/>
    <w:rsid w:val="00186DC7"/>
    <w:rsid w:val="00187162"/>
    <w:rsid w:val="00187CCD"/>
    <w:rsid w:val="00190A44"/>
    <w:rsid w:val="0019236C"/>
    <w:rsid w:val="001932DA"/>
    <w:rsid w:val="0019407C"/>
    <w:rsid w:val="00196A7C"/>
    <w:rsid w:val="001A049A"/>
    <w:rsid w:val="001A3D86"/>
    <w:rsid w:val="001A46A4"/>
    <w:rsid w:val="001A60AC"/>
    <w:rsid w:val="001A68C0"/>
    <w:rsid w:val="001A6948"/>
    <w:rsid w:val="001B3D32"/>
    <w:rsid w:val="001B4144"/>
    <w:rsid w:val="001B4BF7"/>
    <w:rsid w:val="001B4EE9"/>
    <w:rsid w:val="001B6FC8"/>
    <w:rsid w:val="001C284A"/>
    <w:rsid w:val="001C40A6"/>
    <w:rsid w:val="001C44BF"/>
    <w:rsid w:val="001C7645"/>
    <w:rsid w:val="001D0155"/>
    <w:rsid w:val="001D2AED"/>
    <w:rsid w:val="001D2B4B"/>
    <w:rsid w:val="001D5402"/>
    <w:rsid w:val="001D6B61"/>
    <w:rsid w:val="001D6F24"/>
    <w:rsid w:val="001D71D2"/>
    <w:rsid w:val="001E63A6"/>
    <w:rsid w:val="001E6F81"/>
    <w:rsid w:val="001F17D8"/>
    <w:rsid w:val="001F25F8"/>
    <w:rsid w:val="001F3A50"/>
    <w:rsid w:val="001F45CA"/>
    <w:rsid w:val="001F55CD"/>
    <w:rsid w:val="001F5778"/>
    <w:rsid w:val="001F577B"/>
    <w:rsid w:val="001F7704"/>
    <w:rsid w:val="00204081"/>
    <w:rsid w:val="00205377"/>
    <w:rsid w:val="0020663F"/>
    <w:rsid w:val="00207CBD"/>
    <w:rsid w:val="002114B4"/>
    <w:rsid w:val="00211927"/>
    <w:rsid w:val="00212446"/>
    <w:rsid w:val="002149C4"/>
    <w:rsid w:val="00215117"/>
    <w:rsid w:val="0021551B"/>
    <w:rsid w:val="00216406"/>
    <w:rsid w:val="0021648C"/>
    <w:rsid w:val="00217DC1"/>
    <w:rsid w:val="00220A05"/>
    <w:rsid w:val="002214AF"/>
    <w:rsid w:val="00223117"/>
    <w:rsid w:val="00223E55"/>
    <w:rsid w:val="0022582C"/>
    <w:rsid w:val="0022672A"/>
    <w:rsid w:val="002329E5"/>
    <w:rsid w:val="00236428"/>
    <w:rsid w:val="00236949"/>
    <w:rsid w:val="002372F7"/>
    <w:rsid w:val="002421DC"/>
    <w:rsid w:val="00242A9F"/>
    <w:rsid w:val="00242D41"/>
    <w:rsid w:val="00242FFF"/>
    <w:rsid w:val="00243C65"/>
    <w:rsid w:val="00243F76"/>
    <w:rsid w:val="00244B76"/>
    <w:rsid w:val="00245744"/>
    <w:rsid w:val="002476DE"/>
    <w:rsid w:val="00247ED5"/>
    <w:rsid w:val="00252432"/>
    <w:rsid w:val="00253DF0"/>
    <w:rsid w:val="00255C38"/>
    <w:rsid w:val="00255F02"/>
    <w:rsid w:val="0026115E"/>
    <w:rsid w:val="00261417"/>
    <w:rsid w:val="002619B0"/>
    <w:rsid w:val="0026638E"/>
    <w:rsid w:val="002663B0"/>
    <w:rsid w:val="00270B89"/>
    <w:rsid w:val="00271481"/>
    <w:rsid w:val="00272765"/>
    <w:rsid w:val="002743AF"/>
    <w:rsid w:val="002746CF"/>
    <w:rsid w:val="00277996"/>
    <w:rsid w:val="00277B5D"/>
    <w:rsid w:val="00280126"/>
    <w:rsid w:val="0028022B"/>
    <w:rsid w:val="002812B8"/>
    <w:rsid w:val="0028153F"/>
    <w:rsid w:val="00282B4C"/>
    <w:rsid w:val="0028348B"/>
    <w:rsid w:val="00284EDB"/>
    <w:rsid w:val="00285799"/>
    <w:rsid w:val="00285C43"/>
    <w:rsid w:val="00290DFC"/>
    <w:rsid w:val="002920B8"/>
    <w:rsid w:val="00292811"/>
    <w:rsid w:val="002928FB"/>
    <w:rsid w:val="0029323E"/>
    <w:rsid w:val="002941E3"/>
    <w:rsid w:val="00296687"/>
    <w:rsid w:val="002970AF"/>
    <w:rsid w:val="00297A1C"/>
    <w:rsid w:val="00297E2A"/>
    <w:rsid w:val="002A0F03"/>
    <w:rsid w:val="002A302D"/>
    <w:rsid w:val="002A38D9"/>
    <w:rsid w:val="002A4687"/>
    <w:rsid w:val="002A4DA1"/>
    <w:rsid w:val="002A4F9C"/>
    <w:rsid w:val="002A5C77"/>
    <w:rsid w:val="002A6228"/>
    <w:rsid w:val="002A719C"/>
    <w:rsid w:val="002A798B"/>
    <w:rsid w:val="002B09F7"/>
    <w:rsid w:val="002B0E34"/>
    <w:rsid w:val="002B2127"/>
    <w:rsid w:val="002B2740"/>
    <w:rsid w:val="002B2BFA"/>
    <w:rsid w:val="002B2FB1"/>
    <w:rsid w:val="002B3C84"/>
    <w:rsid w:val="002B3E58"/>
    <w:rsid w:val="002B600A"/>
    <w:rsid w:val="002B78DF"/>
    <w:rsid w:val="002C262F"/>
    <w:rsid w:val="002C3335"/>
    <w:rsid w:val="002C4AC2"/>
    <w:rsid w:val="002C5943"/>
    <w:rsid w:val="002D2E34"/>
    <w:rsid w:val="002D4A55"/>
    <w:rsid w:val="002D5887"/>
    <w:rsid w:val="002E0D9C"/>
    <w:rsid w:val="002E2B1E"/>
    <w:rsid w:val="002E2DA2"/>
    <w:rsid w:val="002E2EBE"/>
    <w:rsid w:val="002E5D10"/>
    <w:rsid w:val="002F0ED8"/>
    <w:rsid w:val="002F2FDB"/>
    <w:rsid w:val="002F58DB"/>
    <w:rsid w:val="003003CD"/>
    <w:rsid w:val="0030141E"/>
    <w:rsid w:val="00301A60"/>
    <w:rsid w:val="00302D8C"/>
    <w:rsid w:val="00303828"/>
    <w:rsid w:val="0030645A"/>
    <w:rsid w:val="00306ED2"/>
    <w:rsid w:val="00307158"/>
    <w:rsid w:val="0031138D"/>
    <w:rsid w:val="003123A1"/>
    <w:rsid w:val="00312A4A"/>
    <w:rsid w:val="00314101"/>
    <w:rsid w:val="0031429E"/>
    <w:rsid w:val="00315698"/>
    <w:rsid w:val="00323411"/>
    <w:rsid w:val="00324F9E"/>
    <w:rsid w:val="003254E0"/>
    <w:rsid w:val="00325B94"/>
    <w:rsid w:val="0032658A"/>
    <w:rsid w:val="00327161"/>
    <w:rsid w:val="0032744E"/>
    <w:rsid w:val="00332274"/>
    <w:rsid w:val="00332FB8"/>
    <w:rsid w:val="00333525"/>
    <w:rsid w:val="003348FB"/>
    <w:rsid w:val="0033617C"/>
    <w:rsid w:val="00336193"/>
    <w:rsid w:val="003372DC"/>
    <w:rsid w:val="00343328"/>
    <w:rsid w:val="003466A6"/>
    <w:rsid w:val="003506ED"/>
    <w:rsid w:val="00351424"/>
    <w:rsid w:val="00351D1A"/>
    <w:rsid w:val="0035234C"/>
    <w:rsid w:val="003534B1"/>
    <w:rsid w:val="00353EF7"/>
    <w:rsid w:val="00355F2E"/>
    <w:rsid w:val="0035613C"/>
    <w:rsid w:val="00356461"/>
    <w:rsid w:val="00356B8E"/>
    <w:rsid w:val="00357FB2"/>
    <w:rsid w:val="00360242"/>
    <w:rsid w:val="00360B41"/>
    <w:rsid w:val="00360D6A"/>
    <w:rsid w:val="00363864"/>
    <w:rsid w:val="00364B12"/>
    <w:rsid w:val="00366193"/>
    <w:rsid w:val="00367789"/>
    <w:rsid w:val="00367E6B"/>
    <w:rsid w:val="00367F84"/>
    <w:rsid w:val="003717B0"/>
    <w:rsid w:val="00372614"/>
    <w:rsid w:val="00373C81"/>
    <w:rsid w:val="00374324"/>
    <w:rsid w:val="00374BF8"/>
    <w:rsid w:val="0037547C"/>
    <w:rsid w:val="0037556E"/>
    <w:rsid w:val="00376243"/>
    <w:rsid w:val="003776E6"/>
    <w:rsid w:val="00377C95"/>
    <w:rsid w:val="00381E82"/>
    <w:rsid w:val="0038209E"/>
    <w:rsid w:val="00382AE2"/>
    <w:rsid w:val="00382C0F"/>
    <w:rsid w:val="00383DCE"/>
    <w:rsid w:val="00383ECE"/>
    <w:rsid w:val="003844C2"/>
    <w:rsid w:val="0038699D"/>
    <w:rsid w:val="00394AD4"/>
    <w:rsid w:val="003A07BD"/>
    <w:rsid w:val="003A133E"/>
    <w:rsid w:val="003A15E0"/>
    <w:rsid w:val="003A1C5B"/>
    <w:rsid w:val="003A2882"/>
    <w:rsid w:val="003A30E9"/>
    <w:rsid w:val="003A668E"/>
    <w:rsid w:val="003B1CB6"/>
    <w:rsid w:val="003B24B6"/>
    <w:rsid w:val="003B3772"/>
    <w:rsid w:val="003B541D"/>
    <w:rsid w:val="003B64C7"/>
    <w:rsid w:val="003B6CB6"/>
    <w:rsid w:val="003B7509"/>
    <w:rsid w:val="003C0EA7"/>
    <w:rsid w:val="003C29CC"/>
    <w:rsid w:val="003C317F"/>
    <w:rsid w:val="003C3A82"/>
    <w:rsid w:val="003C6BBC"/>
    <w:rsid w:val="003C6E62"/>
    <w:rsid w:val="003D1EA0"/>
    <w:rsid w:val="003D1FE2"/>
    <w:rsid w:val="003D4445"/>
    <w:rsid w:val="003D61C9"/>
    <w:rsid w:val="003D61D3"/>
    <w:rsid w:val="003D63B5"/>
    <w:rsid w:val="003D6731"/>
    <w:rsid w:val="003E1262"/>
    <w:rsid w:val="003E1FBB"/>
    <w:rsid w:val="003E4869"/>
    <w:rsid w:val="003E5EA4"/>
    <w:rsid w:val="003E655F"/>
    <w:rsid w:val="003E746B"/>
    <w:rsid w:val="003F0577"/>
    <w:rsid w:val="003F27EF"/>
    <w:rsid w:val="003F2F79"/>
    <w:rsid w:val="003F55C8"/>
    <w:rsid w:val="003F6DB5"/>
    <w:rsid w:val="00403AE4"/>
    <w:rsid w:val="00404C01"/>
    <w:rsid w:val="004059E4"/>
    <w:rsid w:val="00405D02"/>
    <w:rsid w:val="00413B7A"/>
    <w:rsid w:val="00414B27"/>
    <w:rsid w:val="004150BE"/>
    <w:rsid w:val="004150D7"/>
    <w:rsid w:val="004158DA"/>
    <w:rsid w:val="00417C76"/>
    <w:rsid w:val="00422D25"/>
    <w:rsid w:val="00424291"/>
    <w:rsid w:val="00426F1A"/>
    <w:rsid w:val="00427BD9"/>
    <w:rsid w:val="00427CA6"/>
    <w:rsid w:val="00427F1A"/>
    <w:rsid w:val="00431882"/>
    <w:rsid w:val="0043213F"/>
    <w:rsid w:val="0043427F"/>
    <w:rsid w:val="0043553C"/>
    <w:rsid w:val="004400DE"/>
    <w:rsid w:val="004442EB"/>
    <w:rsid w:val="00445C3C"/>
    <w:rsid w:val="00446954"/>
    <w:rsid w:val="00451682"/>
    <w:rsid w:val="004539A4"/>
    <w:rsid w:val="00454AEF"/>
    <w:rsid w:val="00454B42"/>
    <w:rsid w:val="004561FC"/>
    <w:rsid w:val="00460590"/>
    <w:rsid w:val="00460840"/>
    <w:rsid w:val="004608E6"/>
    <w:rsid w:val="00460D2A"/>
    <w:rsid w:val="00461C72"/>
    <w:rsid w:val="00462E21"/>
    <w:rsid w:val="00464175"/>
    <w:rsid w:val="00466F66"/>
    <w:rsid w:val="00467A7D"/>
    <w:rsid w:val="0047126E"/>
    <w:rsid w:val="00471A97"/>
    <w:rsid w:val="0047450E"/>
    <w:rsid w:val="004754A1"/>
    <w:rsid w:val="00475F94"/>
    <w:rsid w:val="00475FD9"/>
    <w:rsid w:val="0048021C"/>
    <w:rsid w:val="0048175B"/>
    <w:rsid w:val="004835FA"/>
    <w:rsid w:val="00483E39"/>
    <w:rsid w:val="00486C45"/>
    <w:rsid w:val="0048729E"/>
    <w:rsid w:val="004877B8"/>
    <w:rsid w:val="004902DE"/>
    <w:rsid w:val="0049077A"/>
    <w:rsid w:val="004925C2"/>
    <w:rsid w:val="00492AAC"/>
    <w:rsid w:val="00493147"/>
    <w:rsid w:val="00493EB5"/>
    <w:rsid w:val="00496553"/>
    <w:rsid w:val="00496EDF"/>
    <w:rsid w:val="004A0EE6"/>
    <w:rsid w:val="004A440F"/>
    <w:rsid w:val="004A4AFF"/>
    <w:rsid w:val="004A4F13"/>
    <w:rsid w:val="004A5745"/>
    <w:rsid w:val="004A5950"/>
    <w:rsid w:val="004A5BEC"/>
    <w:rsid w:val="004A6E46"/>
    <w:rsid w:val="004B337E"/>
    <w:rsid w:val="004B5658"/>
    <w:rsid w:val="004C260E"/>
    <w:rsid w:val="004C2B21"/>
    <w:rsid w:val="004C3A31"/>
    <w:rsid w:val="004C3F01"/>
    <w:rsid w:val="004C64A6"/>
    <w:rsid w:val="004C6A86"/>
    <w:rsid w:val="004C748F"/>
    <w:rsid w:val="004C7CD0"/>
    <w:rsid w:val="004D1E98"/>
    <w:rsid w:val="004D38BA"/>
    <w:rsid w:val="004D4741"/>
    <w:rsid w:val="004D4F25"/>
    <w:rsid w:val="004D63C0"/>
    <w:rsid w:val="004D69B2"/>
    <w:rsid w:val="004D712C"/>
    <w:rsid w:val="004E0453"/>
    <w:rsid w:val="004E0CFC"/>
    <w:rsid w:val="004E13F8"/>
    <w:rsid w:val="004E4061"/>
    <w:rsid w:val="004E6141"/>
    <w:rsid w:val="004F0A3A"/>
    <w:rsid w:val="004F29D0"/>
    <w:rsid w:val="004F4E85"/>
    <w:rsid w:val="004F5FCC"/>
    <w:rsid w:val="004F6B19"/>
    <w:rsid w:val="004F6C8B"/>
    <w:rsid w:val="00500761"/>
    <w:rsid w:val="00500CE5"/>
    <w:rsid w:val="00502895"/>
    <w:rsid w:val="0050368E"/>
    <w:rsid w:val="00504308"/>
    <w:rsid w:val="005065FE"/>
    <w:rsid w:val="00506603"/>
    <w:rsid w:val="0050698A"/>
    <w:rsid w:val="00511FAF"/>
    <w:rsid w:val="0051273E"/>
    <w:rsid w:val="00512853"/>
    <w:rsid w:val="0051300F"/>
    <w:rsid w:val="005135A2"/>
    <w:rsid w:val="005143C6"/>
    <w:rsid w:val="00514BF7"/>
    <w:rsid w:val="00515C3B"/>
    <w:rsid w:val="0051687A"/>
    <w:rsid w:val="005178F6"/>
    <w:rsid w:val="0052476E"/>
    <w:rsid w:val="00524C68"/>
    <w:rsid w:val="00524F46"/>
    <w:rsid w:val="005250EA"/>
    <w:rsid w:val="0052559B"/>
    <w:rsid w:val="00525BB2"/>
    <w:rsid w:val="005264C2"/>
    <w:rsid w:val="0052684B"/>
    <w:rsid w:val="00526F2D"/>
    <w:rsid w:val="005273E9"/>
    <w:rsid w:val="00530593"/>
    <w:rsid w:val="0053313A"/>
    <w:rsid w:val="005331B7"/>
    <w:rsid w:val="00533274"/>
    <w:rsid w:val="005369DE"/>
    <w:rsid w:val="00536C38"/>
    <w:rsid w:val="00537D7D"/>
    <w:rsid w:val="005405ED"/>
    <w:rsid w:val="005441D9"/>
    <w:rsid w:val="00544710"/>
    <w:rsid w:val="00546841"/>
    <w:rsid w:val="00546CD8"/>
    <w:rsid w:val="005472D3"/>
    <w:rsid w:val="00547AF7"/>
    <w:rsid w:val="00550617"/>
    <w:rsid w:val="0055313E"/>
    <w:rsid w:val="00554215"/>
    <w:rsid w:val="005547B6"/>
    <w:rsid w:val="00554A2F"/>
    <w:rsid w:val="00554CCA"/>
    <w:rsid w:val="00555C86"/>
    <w:rsid w:val="00555CE9"/>
    <w:rsid w:val="00556645"/>
    <w:rsid w:val="005569B0"/>
    <w:rsid w:val="0056022F"/>
    <w:rsid w:val="00560DBB"/>
    <w:rsid w:val="005628A1"/>
    <w:rsid w:val="00562ECB"/>
    <w:rsid w:val="00563072"/>
    <w:rsid w:val="00563FA7"/>
    <w:rsid w:val="005640F7"/>
    <w:rsid w:val="00564755"/>
    <w:rsid w:val="00564867"/>
    <w:rsid w:val="00566BAB"/>
    <w:rsid w:val="005709B1"/>
    <w:rsid w:val="005711DB"/>
    <w:rsid w:val="00571224"/>
    <w:rsid w:val="005730C9"/>
    <w:rsid w:val="00573F53"/>
    <w:rsid w:val="00574991"/>
    <w:rsid w:val="005778BB"/>
    <w:rsid w:val="00580732"/>
    <w:rsid w:val="00580C33"/>
    <w:rsid w:val="005811CF"/>
    <w:rsid w:val="0058248B"/>
    <w:rsid w:val="005841C0"/>
    <w:rsid w:val="005875D0"/>
    <w:rsid w:val="005878BF"/>
    <w:rsid w:val="00587A5C"/>
    <w:rsid w:val="00590C52"/>
    <w:rsid w:val="0059216C"/>
    <w:rsid w:val="00593D5A"/>
    <w:rsid w:val="00593E57"/>
    <w:rsid w:val="00593EFC"/>
    <w:rsid w:val="00594237"/>
    <w:rsid w:val="005970F6"/>
    <w:rsid w:val="005A0400"/>
    <w:rsid w:val="005A066B"/>
    <w:rsid w:val="005A3589"/>
    <w:rsid w:val="005A4C82"/>
    <w:rsid w:val="005A5EEE"/>
    <w:rsid w:val="005A6F7E"/>
    <w:rsid w:val="005B28AD"/>
    <w:rsid w:val="005B3D19"/>
    <w:rsid w:val="005B6D00"/>
    <w:rsid w:val="005B7B97"/>
    <w:rsid w:val="005B7EA6"/>
    <w:rsid w:val="005B7FBD"/>
    <w:rsid w:val="005C1D79"/>
    <w:rsid w:val="005C24D0"/>
    <w:rsid w:val="005C3BA4"/>
    <w:rsid w:val="005C53DD"/>
    <w:rsid w:val="005C74EC"/>
    <w:rsid w:val="005C7C8F"/>
    <w:rsid w:val="005D2FF4"/>
    <w:rsid w:val="005D38A2"/>
    <w:rsid w:val="005D4F42"/>
    <w:rsid w:val="005E21F3"/>
    <w:rsid w:val="005E582A"/>
    <w:rsid w:val="005F06AE"/>
    <w:rsid w:val="005F11C0"/>
    <w:rsid w:val="005F5893"/>
    <w:rsid w:val="005F7ED9"/>
    <w:rsid w:val="0060343D"/>
    <w:rsid w:val="00604FBF"/>
    <w:rsid w:val="00605435"/>
    <w:rsid w:val="00605C73"/>
    <w:rsid w:val="00606A14"/>
    <w:rsid w:val="006074CC"/>
    <w:rsid w:val="0061010D"/>
    <w:rsid w:val="00611C17"/>
    <w:rsid w:val="0061349D"/>
    <w:rsid w:val="006136D3"/>
    <w:rsid w:val="0061450B"/>
    <w:rsid w:val="006159F2"/>
    <w:rsid w:val="006208D3"/>
    <w:rsid w:val="0062190C"/>
    <w:rsid w:val="00622E98"/>
    <w:rsid w:val="00627E07"/>
    <w:rsid w:val="00630394"/>
    <w:rsid w:val="00630631"/>
    <w:rsid w:val="00631832"/>
    <w:rsid w:val="00633104"/>
    <w:rsid w:val="006336EE"/>
    <w:rsid w:val="006365FC"/>
    <w:rsid w:val="006413CC"/>
    <w:rsid w:val="0064186C"/>
    <w:rsid w:val="006426A5"/>
    <w:rsid w:val="00642A3D"/>
    <w:rsid w:val="006466DC"/>
    <w:rsid w:val="00647069"/>
    <w:rsid w:val="00647E27"/>
    <w:rsid w:val="006527AD"/>
    <w:rsid w:val="006546F5"/>
    <w:rsid w:val="00654C6F"/>
    <w:rsid w:val="006575BB"/>
    <w:rsid w:val="00660117"/>
    <w:rsid w:val="0066399A"/>
    <w:rsid w:val="00663D49"/>
    <w:rsid w:val="00664061"/>
    <w:rsid w:val="00664190"/>
    <w:rsid w:val="00664331"/>
    <w:rsid w:val="00665C25"/>
    <w:rsid w:val="0066674A"/>
    <w:rsid w:val="006718A2"/>
    <w:rsid w:val="00672CEC"/>
    <w:rsid w:val="00672E1D"/>
    <w:rsid w:val="006734DC"/>
    <w:rsid w:val="006769BF"/>
    <w:rsid w:val="00676AC3"/>
    <w:rsid w:val="0067775E"/>
    <w:rsid w:val="00681CF4"/>
    <w:rsid w:val="00684140"/>
    <w:rsid w:val="006848C2"/>
    <w:rsid w:val="00687EB0"/>
    <w:rsid w:val="006926C2"/>
    <w:rsid w:val="00692B5F"/>
    <w:rsid w:val="00695524"/>
    <w:rsid w:val="00695744"/>
    <w:rsid w:val="006A03FB"/>
    <w:rsid w:val="006A2537"/>
    <w:rsid w:val="006A28DA"/>
    <w:rsid w:val="006A3077"/>
    <w:rsid w:val="006A3138"/>
    <w:rsid w:val="006A527A"/>
    <w:rsid w:val="006A54DB"/>
    <w:rsid w:val="006A57F5"/>
    <w:rsid w:val="006A75CB"/>
    <w:rsid w:val="006B052D"/>
    <w:rsid w:val="006B08A7"/>
    <w:rsid w:val="006B13C7"/>
    <w:rsid w:val="006B2296"/>
    <w:rsid w:val="006B25B4"/>
    <w:rsid w:val="006B2AE2"/>
    <w:rsid w:val="006B42E8"/>
    <w:rsid w:val="006B433D"/>
    <w:rsid w:val="006C26FF"/>
    <w:rsid w:val="006C3F4B"/>
    <w:rsid w:val="006C445D"/>
    <w:rsid w:val="006C4F5B"/>
    <w:rsid w:val="006C5F4B"/>
    <w:rsid w:val="006C6A5D"/>
    <w:rsid w:val="006D2B2F"/>
    <w:rsid w:val="006D2BD0"/>
    <w:rsid w:val="006D5E1D"/>
    <w:rsid w:val="006D7453"/>
    <w:rsid w:val="006E1620"/>
    <w:rsid w:val="006E1B90"/>
    <w:rsid w:val="006E1F67"/>
    <w:rsid w:val="006E1FF5"/>
    <w:rsid w:val="006E32FE"/>
    <w:rsid w:val="006E42C6"/>
    <w:rsid w:val="006E4DBC"/>
    <w:rsid w:val="006E4E0C"/>
    <w:rsid w:val="006E6350"/>
    <w:rsid w:val="006E68EB"/>
    <w:rsid w:val="006E6B78"/>
    <w:rsid w:val="006F0AA5"/>
    <w:rsid w:val="006F2CDD"/>
    <w:rsid w:val="006F2CEC"/>
    <w:rsid w:val="006F30E6"/>
    <w:rsid w:val="006F7DEA"/>
    <w:rsid w:val="0070101A"/>
    <w:rsid w:val="00701815"/>
    <w:rsid w:val="0070204A"/>
    <w:rsid w:val="00702519"/>
    <w:rsid w:val="007031B2"/>
    <w:rsid w:val="00703AF6"/>
    <w:rsid w:val="00704498"/>
    <w:rsid w:val="00706A84"/>
    <w:rsid w:val="00707368"/>
    <w:rsid w:val="00707C2B"/>
    <w:rsid w:val="00714481"/>
    <w:rsid w:val="0072313D"/>
    <w:rsid w:val="00725D6D"/>
    <w:rsid w:val="007262B9"/>
    <w:rsid w:val="00727766"/>
    <w:rsid w:val="00733EE3"/>
    <w:rsid w:val="0073569F"/>
    <w:rsid w:val="0073635C"/>
    <w:rsid w:val="00736862"/>
    <w:rsid w:val="00741751"/>
    <w:rsid w:val="00743394"/>
    <w:rsid w:val="00743C6E"/>
    <w:rsid w:val="00744F1E"/>
    <w:rsid w:val="0074543C"/>
    <w:rsid w:val="007465E5"/>
    <w:rsid w:val="007466C3"/>
    <w:rsid w:val="00746C17"/>
    <w:rsid w:val="00754088"/>
    <w:rsid w:val="0075555C"/>
    <w:rsid w:val="0075561C"/>
    <w:rsid w:val="00755642"/>
    <w:rsid w:val="00755681"/>
    <w:rsid w:val="007560C8"/>
    <w:rsid w:val="00756324"/>
    <w:rsid w:val="007571C6"/>
    <w:rsid w:val="00757E44"/>
    <w:rsid w:val="00763130"/>
    <w:rsid w:val="00763194"/>
    <w:rsid w:val="007633FC"/>
    <w:rsid w:val="0076412A"/>
    <w:rsid w:val="007645A1"/>
    <w:rsid w:val="00764880"/>
    <w:rsid w:val="00765752"/>
    <w:rsid w:val="00765E42"/>
    <w:rsid w:val="00765FEE"/>
    <w:rsid w:val="0077010E"/>
    <w:rsid w:val="0077323F"/>
    <w:rsid w:val="00773868"/>
    <w:rsid w:val="00774CD6"/>
    <w:rsid w:val="00777F02"/>
    <w:rsid w:val="0078115D"/>
    <w:rsid w:val="007824C3"/>
    <w:rsid w:val="00783E7D"/>
    <w:rsid w:val="00786685"/>
    <w:rsid w:val="00787F8E"/>
    <w:rsid w:val="0079022D"/>
    <w:rsid w:val="007908F4"/>
    <w:rsid w:val="00792AD9"/>
    <w:rsid w:val="0079362E"/>
    <w:rsid w:val="00794714"/>
    <w:rsid w:val="00794965"/>
    <w:rsid w:val="007953CF"/>
    <w:rsid w:val="0079617D"/>
    <w:rsid w:val="00796B51"/>
    <w:rsid w:val="00796D9A"/>
    <w:rsid w:val="007A03FB"/>
    <w:rsid w:val="007A1490"/>
    <w:rsid w:val="007A2814"/>
    <w:rsid w:val="007A438B"/>
    <w:rsid w:val="007A677A"/>
    <w:rsid w:val="007A7197"/>
    <w:rsid w:val="007B144F"/>
    <w:rsid w:val="007B387D"/>
    <w:rsid w:val="007B3D3F"/>
    <w:rsid w:val="007B3E5B"/>
    <w:rsid w:val="007B57C5"/>
    <w:rsid w:val="007B6825"/>
    <w:rsid w:val="007B7098"/>
    <w:rsid w:val="007C0565"/>
    <w:rsid w:val="007C0D94"/>
    <w:rsid w:val="007C2A33"/>
    <w:rsid w:val="007C42BC"/>
    <w:rsid w:val="007C7B18"/>
    <w:rsid w:val="007D1F85"/>
    <w:rsid w:val="007D4579"/>
    <w:rsid w:val="007D518E"/>
    <w:rsid w:val="007D532F"/>
    <w:rsid w:val="007D69AF"/>
    <w:rsid w:val="007D7055"/>
    <w:rsid w:val="007D767C"/>
    <w:rsid w:val="007D7CD7"/>
    <w:rsid w:val="007E2DC2"/>
    <w:rsid w:val="007E30FA"/>
    <w:rsid w:val="007E3200"/>
    <w:rsid w:val="007E37CD"/>
    <w:rsid w:val="007E3E5A"/>
    <w:rsid w:val="007F048D"/>
    <w:rsid w:val="007F0C2F"/>
    <w:rsid w:val="007F1B4A"/>
    <w:rsid w:val="007F2329"/>
    <w:rsid w:val="007F2643"/>
    <w:rsid w:val="007F286A"/>
    <w:rsid w:val="007F3C78"/>
    <w:rsid w:val="007F3DBA"/>
    <w:rsid w:val="007F4ECD"/>
    <w:rsid w:val="007F504E"/>
    <w:rsid w:val="007F59B2"/>
    <w:rsid w:val="007F7070"/>
    <w:rsid w:val="007F76F3"/>
    <w:rsid w:val="008012FF"/>
    <w:rsid w:val="00803581"/>
    <w:rsid w:val="00803D77"/>
    <w:rsid w:val="00806218"/>
    <w:rsid w:val="008062D1"/>
    <w:rsid w:val="00807940"/>
    <w:rsid w:val="00814245"/>
    <w:rsid w:val="0081629C"/>
    <w:rsid w:val="00816866"/>
    <w:rsid w:val="0082146B"/>
    <w:rsid w:val="00824DAD"/>
    <w:rsid w:val="00826169"/>
    <w:rsid w:val="00830913"/>
    <w:rsid w:val="00831D12"/>
    <w:rsid w:val="00833608"/>
    <w:rsid w:val="0083370C"/>
    <w:rsid w:val="00833802"/>
    <w:rsid w:val="008362CF"/>
    <w:rsid w:val="00836B5C"/>
    <w:rsid w:val="00837056"/>
    <w:rsid w:val="00840D58"/>
    <w:rsid w:val="008422F3"/>
    <w:rsid w:val="0084359B"/>
    <w:rsid w:val="008440F3"/>
    <w:rsid w:val="00844B01"/>
    <w:rsid w:val="008459C3"/>
    <w:rsid w:val="00845FCF"/>
    <w:rsid w:val="008464AA"/>
    <w:rsid w:val="008478AA"/>
    <w:rsid w:val="008500C0"/>
    <w:rsid w:val="00851407"/>
    <w:rsid w:val="008519D1"/>
    <w:rsid w:val="008522D2"/>
    <w:rsid w:val="0085313E"/>
    <w:rsid w:val="00854F89"/>
    <w:rsid w:val="00856074"/>
    <w:rsid w:val="00856224"/>
    <w:rsid w:val="00856BB9"/>
    <w:rsid w:val="00857EE3"/>
    <w:rsid w:val="00860779"/>
    <w:rsid w:val="0086624A"/>
    <w:rsid w:val="0086776E"/>
    <w:rsid w:val="00870B02"/>
    <w:rsid w:val="008721D1"/>
    <w:rsid w:val="00872407"/>
    <w:rsid w:val="0087303E"/>
    <w:rsid w:val="00875D0F"/>
    <w:rsid w:val="00876360"/>
    <w:rsid w:val="008768CF"/>
    <w:rsid w:val="0087761F"/>
    <w:rsid w:val="0088162E"/>
    <w:rsid w:val="008843A3"/>
    <w:rsid w:val="008860B3"/>
    <w:rsid w:val="0089004C"/>
    <w:rsid w:val="00891558"/>
    <w:rsid w:val="0089201E"/>
    <w:rsid w:val="00893A8E"/>
    <w:rsid w:val="008A0DDD"/>
    <w:rsid w:val="008A2449"/>
    <w:rsid w:val="008A37C0"/>
    <w:rsid w:val="008A6071"/>
    <w:rsid w:val="008A68C9"/>
    <w:rsid w:val="008A68FA"/>
    <w:rsid w:val="008A6BCB"/>
    <w:rsid w:val="008B17E8"/>
    <w:rsid w:val="008B3685"/>
    <w:rsid w:val="008B401F"/>
    <w:rsid w:val="008B4326"/>
    <w:rsid w:val="008B500D"/>
    <w:rsid w:val="008B55B0"/>
    <w:rsid w:val="008B5A87"/>
    <w:rsid w:val="008B62E4"/>
    <w:rsid w:val="008B760E"/>
    <w:rsid w:val="008C02B1"/>
    <w:rsid w:val="008C041A"/>
    <w:rsid w:val="008C0735"/>
    <w:rsid w:val="008C15C1"/>
    <w:rsid w:val="008C190E"/>
    <w:rsid w:val="008C232A"/>
    <w:rsid w:val="008C2EC1"/>
    <w:rsid w:val="008C31E8"/>
    <w:rsid w:val="008C4859"/>
    <w:rsid w:val="008C6D31"/>
    <w:rsid w:val="008D1327"/>
    <w:rsid w:val="008D284C"/>
    <w:rsid w:val="008D37F3"/>
    <w:rsid w:val="008D3A2A"/>
    <w:rsid w:val="008D4DE9"/>
    <w:rsid w:val="008D5544"/>
    <w:rsid w:val="008D6E22"/>
    <w:rsid w:val="008E13B6"/>
    <w:rsid w:val="008E1ACC"/>
    <w:rsid w:val="008E2113"/>
    <w:rsid w:val="008E260D"/>
    <w:rsid w:val="008E301C"/>
    <w:rsid w:val="008E4D50"/>
    <w:rsid w:val="008E532B"/>
    <w:rsid w:val="008E62DE"/>
    <w:rsid w:val="008E6E84"/>
    <w:rsid w:val="008F0CA1"/>
    <w:rsid w:val="008F287F"/>
    <w:rsid w:val="008F39F3"/>
    <w:rsid w:val="008F3C68"/>
    <w:rsid w:val="008F3FF6"/>
    <w:rsid w:val="008F4491"/>
    <w:rsid w:val="008F7564"/>
    <w:rsid w:val="0090146B"/>
    <w:rsid w:val="00903282"/>
    <w:rsid w:val="00905693"/>
    <w:rsid w:val="0090589F"/>
    <w:rsid w:val="00906C8B"/>
    <w:rsid w:val="00907CA6"/>
    <w:rsid w:val="0091013F"/>
    <w:rsid w:val="009119BA"/>
    <w:rsid w:val="0091364C"/>
    <w:rsid w:val="0091434C"/>
    <w:rsid w:val="00914400"/>
    <w:rsid w:val="00914958"/>
    <w:rsid w:val="00915503"/>
    <w:rsid w:val="0091699C"/>
    <w:rsid w:val="00921063"/>
    <w:rsid w:val="00923AE8"/>
    <w:rsid w:val="009259E2"/>
    <w:rsid w:val="009261B0"/>
    <w:rsid w:val="00926497"/>
    <w:rsid w:val="00927567"/>
    <w:rsid w:val="00927D27"/>
    <w:rsid w:val="009316BC"/>
    <w:rsid w:val="00932694"/>
    <w:rsid w:val="00934FA8"/>
    <w:rsid w:val="00936222"/>
    <w:rsid w:val="009379FE"/>
    <w:rsid w:val="0094212D"/>
    <w:rsid w:val="00945886"/>
    <w:rsid w:val="00947848"/>
    <w:rsid w:val="00947A2F"/>
    <w:rsid w:val="00950980"/>
    <w:rsid w:val="00950E0A"/>
    <w:rsid w:val="00953445"/>
    <w:rsid w:val="00957007"/>
    <w:rsid w:val="00957DFF"/>
    <w:rsid w:val="00962016"/>
    <w:rsid w:val="00962257"/>
    <w:rsid w:val="00962699"/>
    <w:rsid w:val="00962C1B"/>
    <w:rsid w:val="00962E27"/>
    <w:rsid w:val="00965BDE"/>
    <w:rsid w:val="00966382"/>
    <w:rsid w:val="00966DBB"/>
    <w:rsid w:val="00974C7C"/>
    <w:rsid w:val="009754B9"/>
    <w:rsid w:val="0097647C"/>
    <w:rsid w:val="0097748C"/>
    <w:rsid w:val="00980D89"/>
    <w:rsid w:val="0098158A"/>
    <w:rsid w:val="00982E24"/>
    <w:rsid w:val="00983301"/>
    <w:rsid w:val="00983438"/>
    <w:rsid w:val="009841A0"/>
    <w:rsid w:val="0098571D"/>
    <w:rsid w:val="00985F51"/>
    <w:rsid w:val="00986B05"/>
    <w:rsid w:val="00986B89"/>
    <w:rsid w:val="00986DCE"/>
    <w:rsid w:val="00987083"/>
    <w:rsid w:val="00995A77"/>
    <w:rsid w:val="00996CCF"/>
    <w:rsid w:val="009A1210"/>
    <w:rsid w:val="009A13C2"/>
    <w:rsid w:val="009A1FB7"/>
    <w:rsid w:val="009A36FE"/>
    <w:rsid w:val="009A3CF0"/>
    <w:rsid w:val="009A3FAD"/>
    <w:rsid w:val="009A422E"/>
    <w:rsid w:val="009A6366"/>
    <w:rsid w:val="009A6FE2"/>
    <w:rsid w:val="009A7295"/>
    <w:rsid w:val="009B08E6"/>
    <w:rsid w:val="009B0F05"/>
    <w:rsid w:val="009B107E"/>
    <w:rsid w:val="009B1104"/>
    <w:rsid w:val="009B2312"/>
    <w:rsid w:val="009B361B"/>
    <w:rsid w:val="009B4A04"/>
    <w:rsid w:val="009B4ED4"/>
    <w:rsid w:val="009C035D"/>
    <w:rsid w:val="009C25D3"/>
    <w:rsid w:val="009C27AE"/>
    <w:rsid w:val="009C5876"/>
    <w:rsid w:val="009C689C"/>
    <w:rsid w:val="009D22DC"/>
    <w:rsid w:val="009D327F"/>
    <w:rsid w:val="009D5B1D"/>
    <w:rsid w:val="009D5DDC"/>
    <w:rsid w:val="009D65A8"/>
    <w:rsid w:val="009D7541"/>
    <w:rsid w:val="009E024E"/>
    <w:rsid w:val="009E1C8E"/>
    <w:rsid w:val="009E2658"/>
    <w:rsid w:val="009E41D2"/>
    <w:rsid w:val="009E62C8"/>
    <w:rsid w:val="009F0726"/>
    <w:rsid w:val="009F0F16"/>
    <w:rsid w:val="009F1048"/>
    <w:rsid w:val="009F1B0D"/>
    <w:rsid w:val="009F2D92"/>
    <w:rsid w:val="009F2F2E"/>
    <w:rsid w:val="009F3126"/>
    <w:rsid w:val="009F453E"/>
    <w:rsid w:val="009F5B65"/>
    <w:rsid w:val="009F5D49"/>
    <w:rsid w:val="009F7091"/>
    <w:rsid w:val="009F727B"/>
    <w:rsid w:val="00A0063A"/>
    <w:rsid w:val="00A01122"/>
    <w:rsid w:val="00A01825"/>
    <w:rsid w:val="00A0195F"/>
    <w:rsid w:val="00A02A20"/>
    <w:rsid w:val="00A03789"/>
    <w:rsid w:val="00A0672D"/>
    <w:rsid w:val="00A06B4C"/>
    <w:rsid w:val="00A07B32"/>
    <w:rsid w:val="00A115DF"/>
    <w:rsid w:val="00A1185C"/>
    <w:rsid w:val="00A146BE"/>
    <w:rsid w:val="00A14ED4"/>
    <w:rsid w:val="00A15E91"/>
    <w:rsid w:val="00A178AB"/>
    <w:rsid w:val="00A17C3F"/>
    <w:rsid w:val="00A2198A"/>
    <w:rsid w:val="00A2285C"/>
    <w:rsid w:val="00A24D13"/>
    <w:rsid w:val="00A27B1A"/>
    <w:rsid w:val="00A318E9"/>
    <w:rsid w:val="00A33033"/>
    <w:rsid w:val="00A35605"/>
    <w:rsid w:val="00A35628"/>
    <w:rsid w:val="00A35C70"/>
    <w:rsid w:val="00A35F3E"/>
    <w:rsid w:val="00A37D3B"/>
    <w:rsid w:val="00A4384B"/>
    <w:rsid w:val="00A43C10"/>
    <w:rsid w:val="00A43D37"/>
    <w:rsid w:val="00A45824"/>
    <w:rsid w:val="00A46D31"/>
    <w:rsid w:val="00A50171"/>
    <w:rsid w:val="00A504EF"/>
    <w:rsid w:val="00A51A4B"/>
    <w:rsid w:val="00A52384"/>
    <w:rsid w:val="00A52F01"/>
    <w:rsid w:val="00A53F26"/>
    <w:rsid w:val="00A5451B"/>
    <w:rsid w:val="00A54B1F"/>
    <w:rsid w:val="00A561EA"/>
    <w:rsid w:val="00A56B89"/>
    <w:rsid w:val="00A60309"/>
    <w:rsid w:val="00A608BB"/>
    <w:rsid w:val="00A60EF3"/>
    <w:rsid w:val="00A62149"/>
    <w:rsid w:val="00A66AFC"/>
    <w:rsid w:val="00A71ADA"/>
    <w:rsid w:val="00A7277F"/>
    <w:rsid w:val="00A7535A"/>
    <w:rsid w:val="00A75A1D"/>
    <w:rsid w:val="00A76592"/>
    <w:rsid w:val="00A76D0F"/>
    <w:rsid w:val="00A81D01"/>
    <w:rsid w:val="00A83F8C"/>
    <w:rsid w:val="00A842E1"/>
    <w:rsid w:val="00A84D0D"/>
    <w:rsid w:val="00A86031"/>
    <w:rsid w:val="00A860FD"/>
    <w:rsid w:val="00A86179"/>
    <w:rsid w:val="00A905A7"/>
    <w:rsid w:val="00A926D7"/>
    <w:rsid w:val="00A92CD4"/>
    <w:rsid w:val="00A931BA"/>
    <w:rsid w:val="00A9426B"/>
    <w:rsid w:val="00A96EF5"/>
    <w:rsid w:val="00A97AC3"/>
    <w:rsid w:val="00AA06AA"/>
    <w:rsid w:val="00AA27F0"/>
    <w:rsid w:val="00AA2B61"/>
    <w:rsid w:val="00AA2F15"/>
    <w:rsid w:val="00AA3E04"/>
    <w:rsid w:val="00AA4AD0"/>
    <w:rsid w:val="00AA5198"/>
    <w:rsid w:val="00AA6A86"/>
    <w:rsid w:val="00AB20D7"/>
    <w:rsid w:val="00AB228B"/>
    <w:rsid w:val="00AB290A"/>
    <w:rsid w:val="00AB37C6"/>
    <w:rsid w:val="00AB3989"/>
    <w:rsid w:val="00AB41B9"/>
    <w:rsid w:val="00AB62AF"/>
    <w:rsid w:val="00AB690E"/>
    <w:rsid w:val="00AC0618"/>
    <w:rsid w:val="00AC07B5"/>
    <w:rsid w:val="00AC07C8"/>
    <w:rsid w:val="00AC1F25"/>
    <w:rsid w:val="00AC2A45"/>
    <w:rsid w:val="00AC387E"/>
    <w:rsid w:val="00AC492F"/>
    <w:rsid w:val="00AC4C7F"/>
    <w:rsid w:val="00AC5226"/>
    <w:rsid w:val="00AC54D1"/>
    <w:rsid w:val="00AC70EC"/>
    <w:rsid w:val="00AD055F"/>
    <w:rsid w:val="00AD0AF5"/>
    <w:rsid w:val="00AD4FF0"/>
    <w:rsid w:val="00AD5861"/>
    <w:rsid w:val="00AD74FE"/>
    <w:rsid w:val="00AE0DDB"/>
    <w:rsid w:val="00AE1C8E"/>
    <w:rsid w:val="00AE303F"/>
    <w:rsid w:val="00AE4DF3"/>
    <w:rsid w:val="00AF35B3"/>
    <w:rsid w:val="00AF51B4"/>
    <w:rsid w:val="00AF5D80"/>
    <w:rsid w:val="00AF61BE"/>
    <w:rsid w:val="00AF6BA7"/>
    <w:rsid w:val="00AF7948"/>
    <w:rsid w:val="00B0081B"/>
    <w:rsid w:val="00B00859"/>
    <w:rsid w:val="00B00B86"/>
    <w:rsid w:val="00B01038"/>
    <w:rsid w:val="00B01DA9"/>
    <w:rsid w:val="00B02A50"/>
    <w:rsid w:val="00B02ACB"/>
    <w:rsid w:val="00B0445A"/>
    <w:rsid w:val="00B04830"/>
    <w:rsid w:val="00B04925"/>
    <w:rsid w:val="00B05D58"/>
    <w:rsid w:val="00B102B5"/>
    <w:rsid w:val="00B112C2"/>
    <w:rsid w:val="00B12ED2"/>
    <w:rsid w:val="00B13FA3"/>
    <w:rsid w:val="00B1595E"/>
    <w:rsid w:val="00B15ECD"/>
    <w:rsid w:val="00B2139E"/>
    <w:rsid w:val="00B21829"/>
    <w:rsid w:val="00B24234"/>
    <w:rsid w:val="00B262B1"/>
    <w:rsid w:val="00B26714"/>
    <w:rsid w:val="00B2673F"/>
    <w:rsid w:val="00B270D0"/>
    <w:rsid w:val="00B30DD0"/>
    <w:rsid w:val="00B32FB5"/>
    <w:rsid w:val="00B339DA"/>
    <w:rsid w:val="00B33C38"/>
    <w:rsid w:val="00B37944"/>
    <w:rsid w:val="00B40B92"/>
    <w:rsid w:val="00B4248A"/>
    <w:rsid w:val="00B42740"/>
    <w:rsid w:val="00B44AF7"/>
    <w:rsid w:val="00B51BE7"/>
    <w:rsid w:val="00B53CF7"/>
    <w:rsid w:val="00B5417F"/>
    <w:rsid w:val="00B55456"/>
    <w:rsid w:val="00B56339"/>
    <w:rsid w:val="00B604A3"/>
    <w:rsid w:val="00B6161B"/>
    <w:rsid w:val="00B61CAF"/>
    <w:rsid w:val="00B628F2"/>
    <w:rsid w:val="00B6506B"/>
    <w:rsid w:val="00B65248"/>
    <w:rsid w:val="00B677E4"/>
    <w:rsid w:val="00B70357"/>
    <w:rsid w:val="00B73104"/>
    <w:rsid w:val="00B73E8D"/>
    <w:rsid w:val="00B74CF8"/>
    <w:rsid w:val="00B7569C"/>
    <w:rsid w:val="00B77713"/>
    <w:rsid w:val="00B77CC1"/>
    <w:rsid w:val="00B80718"/>
    <w:rsid w:val="00B80844"/>
    <w:rsid w:val="00B81051"/>
    <w:rsid w:val="00B81EC0"/>
    <w:rsid w:val="00B82B93"/>
    <w:rsid w:val="00B85572"/>
    <w:rsid w:val="00B8722D"/>
    <w:rsid w:val="00B900CF"/>
    <w:rsid w:val="00B924CE"/>
    <w:rsid w:val="00B92971"/>
    <w:rsid w:val="00B94357"/>
    <w:rsid w:val="00B94E02"/>
    <w:rsid w:val="00B95771"/>
    <w:rsid w:val="00B97542"/>
    <w:rsid w:val="00BA4FD5"/>
    <w:rsid w:val="00BA57D5"/>
    <w:rsid w:val="00BA5D2E"/>
    <w:rsid w:val="00BB0EAF"/>
    <w:rsid w:val="00BB39E8"/>
    <w:rsid w:val="00BB5936"/>
    <w:rsid w:val="00BB6627"/>
    <w:rsid w:val="00BB7209"/>
    <w:rsid w:val="00BC7A34"/>
    <w:rsid w:val="00BD0676"/>
    <w:rsid w:val="00BD1034"/>
    <w:rsid w:val="00BD4894"/>
    <w:rsid w:val="00BD4F5C"/>
    <w:rsid w:val="00BD56F5"/>
    <w:rsid w:val="00BD5E29"/>
    <w:rsid w:val="00BD66C3"/>
    <w:rsid w:val="00BD735E"/>
    <w:rsid w:val="00BE34BA"/>
    <w:rsid w:val="00BE39B0"/>
    <w:rsid w:val="00BE3D14"/>
    <w:rsid w:val="00BE627E"/>
    <w:rsid w:val="00BE7323"/>
    <w:rsid w:val="00BF0DF4"/>
    <w:rsid w:val="00BF1023"/>
    <w:rsid w:val="00BF2993"/>
    <w:rsid w:val="00BF56D6"/>
    <w:rsid w:val="00BF7881"/>
    <w:rsid w:val="00BF7BFA"/>
    <w:rsid w:val="00C00A4C"/>
    <w:rsid w:val="00C00B5C"/>
    <w:rsid w:val="00C018B8"/>
    <w:rsid w:val="00C01FB4"/>
    <w:rsid w:val="00C03AC0"/>
    <w:rsid w:val="00C05327"/>
    <w:rsid w:val="00C06D7D"/>
    <w:rsid w:val="00C10C9A"/>
    <w:rsid w:val="00C14248"/>
    <w:rsid w:val="00C21466"/>
    <w:rsid w:val="00C22A15"/>
    <w:rsid w:val="00C230F3"/>
    <w:rsid w:val="00C24840"/>
    <w:rsid w:val="00C24C63"/>
    <w:rsid w:val="00C2687E"/>
    <w:rsid w:val="00C270AF"/>
    <w:rsid w:val="00C30D0B"/>
    <w:rsid w:val="00C316F5"/>
    <w:rsid w:val="00C32780"/>
    <w:rsid w:val="00C32A72"/>
    <w:rsid w:val="00C341D7"/>
    <w:rsid w:val="00C35B14"/>
    <w:rsid w:val="00C3651C"/>
    <w:rsid w:val="00C365B9"/>
    <w:rsid w:val="00C36F59"/>
    <w:rsid w:val="00C424D8"/>
    <w:rsid w:val="00C42FF1"/>
    <w:rsid w:val="00C44EEF"/>
    <w:rsid w:val="00C46481"/>
    <w:rsid w:val="00C47374"/>
    <w:rsid w:val="00C47FA1"/>
    <w:rsid w:val="00C52C46"/>
    <w:rsid w:val="00C52CC0"/>
    <w:rsid w:val="00C559B6"/>
    <w:rsid w:val="00C56481"/>
    <w:rsid w:val="00C56E80"/>
    <w:rsid w:val="00C575DF"/>
    <w:rsid w:val="00C61522"/>
    <w:rsid w:val="00C615E3"/>
    <w:rsid w:val="00C61D42"/>
    <w:rsid w:val="00C6610C"/>
    <w:rsid w:val="00C66A8F"/>
    <w:rsid w:val="00C66CFC"/>
    <w:rsid w:val="00C721B5"/>
    <w:rsid w:val="00C72D97"/>
    <w:rsid w:val="00C72FC2"/>
    <w:rsid w:val="00C74088"/>
    <w:rsid w:val="00C76C56"/>
    <w:rsid w:val="00C7711B"/>
    <w:rsid w:val="00C77774"/>
    <w:rsid w:val="00C77DA5"/>
    <w:rsid w:val="00C80E97"/>
    <w:rsid w:val="00C84FF0"/>
    <w:rsid w:val="00C8648B"/>
    <w:rsid w:val="00C86716"/>
    <w:rsid w:val="00C86F5B"/>
    <w:rsid w:val="00C8720A"/>
    <w:rsid w:val="00C87DE9"/>
    <w:rsid w:val="00C935A2"/>
    <w:rsid w:val="00C941D1"/>
    <w:rsid w:val="00C956ED"/>
    <w:rsid w:val="00C95818"/>
    <w:rsid w:val="00C96820"/>
    <w:rsid w:val="00C977F8"/>
    <w:rsid w:val="00CA0650"/>
    <w:rsid w:val="00CA21B0"/>
    <w:rsid w:val="00CA3735"/>
    <w:rsid w:val="00CA5523"/>
    <w:rsid w:val="00CA6088"/>
    <w:rsid w:val="00CA73FE"/>
    <w:rsid w:val="00CB166B"/>
    <w:rsid w:val="00CB3188"/>
    <w:rsid w:val="00CB3AA1"/>
    <w:rsid w:val="00CB4E2F"/>
    <w:rsid w:val="00CB7A1D"/>
    <w:rsid w:val="00CC0E47"/>
    <w:rsid w:val="00CC1E8F"/>
    <w:rsid w:val="00CC2973"/>
    <w:rsid w:val="00CC3DA8"/>
    <w:rsid w:val="00CC419C"/>
    <w:rsid w:val="00CC42BC"/>
    <w:rsid w:val="00CC50E4"/>
    <w:rsid w:val="00CC5D7C"/>
    <w:rsid w:val="00CC5D8F"/>
    <w:rsid w:val="00CC6654"/>
    <w:rsid w:val="00CC6B88"/>
    <w:rsid w:val="00CC6CFC"/>
    <w:rsid w:val="00CD1550"/>
    <w:rsid w:val="00CD3636"/>
    <w:rsid w:val="00CD3A45"/>
    <w:rsid w:val="00CD4D81"/>
    <w:rsid w:val="00CD5840"/>
    <w:rsid w:val="00CD65FA"/>
    <w:rsid w:val="00CD68BB"/>
    <w:rsid w:val="00CE24D8"/>
    <w:rsid w:val="00CE43CB"/>
    <w:rsid w:val="00CE6465"/>
    <w:rsid w:val="00CE7131"/>
    <w:rsid w:val="00CF0B2E"/>
    <w:rsid w:val="00CF148C"/>
    <w:rsid w:val="00CF31ED"/>
    <w:rsid w:val="00CF3208"/>
    <w:rsid w:val="00CF5B09"/>
    <w:rsid w:val="00CF70A1"/>
    <w:rsid w:val="00CF715F"/>
    <w:rsid w:val="00CF7705"/>
    <w:rsid w:val="00D00F74"/>
    <w:rsid w:val="00D02BA4"/>
    <w:rsid w:val="00D05722"/>
    <w:rsid w:val="00D05FE1"/>
    <w:rsid w:val="00D1217F"/>
    <w:rsid w:val="00D127A1"/>
    <w:rsid w:val="00D13174"/>
    <w:rsid w:val="00D133BA"/>
    <w:rsid w:val="00D13AC8"/>
    <w:rsid w:val="00D14BD2"/>
    <w:rsid w:val="00D16993"/>
    <w:rsid w:val="00D17749"/>
    <w:rsid w:val="00D17DC0"/>
    <w:rsid w:val="00D203A8"/>
    <w:rsid w:val="00D2319F"/>
    <w:rsid w:val="00D232FD"/>
    <w:rsid w:val="00D2376F"/>
    <w:rsid w:val="00D2448D"/>
    <w:rsid w:val="00D24882"/>
    <w:rsid w:val="00D2696C"/>
    <w:rsid w:val="00D311CB"/>
    <w:rsid w:val="00D32FF5"/>
    <w:rsid w:val="00D330EF"/>
    <w:rsid w:val="00D3556B"/>
    <w:rsid w:val="00D36FF1"/>
    <w:rsid w:val="00D373A4"/>
    <w:rsid w:val="00D37540"/>
    <w:rsid w:val="00D408BC"/>
    <w:rsid w:val="00D46976"/>
    <w:rsid w:val="00D474E2"/>
    <w:rsid w:val="00D50BA4"/>
    <w:rsid w:val="00D56EB6"/>
    <w:rsid w:val="00D60164"/>
    <w:rsid w:val="00D620CB"/>
    <w:rsid w:val="00D62CBD"/>
    <w:rsid w:val="00D639B0"/>
    <w:rsid w:val="00D65306"/>
    <w:rsid w:val="00D65639"/>
    <w:rsid w:val="00D656DC"/>
    <w:rsid w:val="00D66574"/>
    <w:rsid w:val="00D667B3"/>
    <w:rsid w:val="00D67912"/>
    <w:rsid w:val="00D70062"/>
    <w:rsid w:val="00D702F5"/>
    <w:rsid w:val="00D7040A"/>
    <w:rsid w:val="00D70DB3"/>
    <w:rsid w:val="00D716EE"/>
    <w:rsid w:val="00D722E3"/>
    <w:rsid w:val="00D73C95"/>
    <w:rsid w:val="00D73DB5"/>
    <w:rsid w:val="00D74767"/>
    <w:rsid w:val="00D7500F"/>
    <w:rsid w:val="00D7797C"/>
    <w:rsid w:val="00D80105"/>
    <w:rsid w:val="00D80939"/>
    <w:rsid w:val="00D80C29"/>
    <w:rsid w:val="00D80C60"/>
    <w:rsid w:val="00D80E71"/>
    <w:rsid w:val="00D81037"/>
    <w:rsid w:val="00D810B4"/>
    <w:rsid w:val="00D82445"/>
    <w:rsid w:val="00D830F8"/>
    <w:rsid w:val="00D8590D"/>
    <w:rsid w:val="00D87120"/>
    <w:rsid w:val="00D90309"/>
    <w:rsid w:val="00D912D8"/>
    <w:rsid w:val="00D95FBD"/>
    <w:rsid w:val="00D973FE"/>
    <w:rsid w:val="00D97995"/>
    <w:rsid w:val="00D97E95"/>
    <w:rsid w:val="00DA1D69"/>
    <w:rsid w:val="00DA4CD6"/>
    <w:rsid w:val="00DA59AA"/>
    <w:rsid w:val="00DA70CA"/>
    <w:rsid w:val="00DA7131"/>
    <w:rsid w:val="00DB18B8"/>
    <w:rsid w:val="00DB1D13"/>
    <w:rsid w:val="00DB212B"/>
    <w:rsid w:val="00DB381F"/>
    <w:rsid w:val="00DB67DD"/>
    <w:rsid w:val="00DB6EE7"/>
    <w:rsid w:val="00DC131D"/>
    <w:rsid w:val="00DC27C6"/>
    <w:rsid w:val="00DC3FB2"/>
    <w:rsid w:val="00DC4CF6"/>
    <w:rsid w:val="00DC5CA8"/>
    <w:rsid w:val="00DC5E57"/>
    <w:rsid w:val="00DC657A"/>
    <w:rsid w:val="00DC72FB"/>
    <w:rsid w:val="00DC7F1B"/>
    <w:rsid w:val="00DD138C"/>
    <w:rsid w:val="00DD3362"/>
    <w:rsid w:val="00DD340E"/>
    <w:rsid w:val="00DD3AAB"/>
    <w:rsid w:val="00DD50D6"/>
    <w:rsid w:val="00DD5B99"/>
    <w:rsid w:val="00DD5C45"/>
    <w:rsid w:val="00DD71FD"/>
    <w:rsid w:val="00DE4775"/>
    <w:rsid w:val="00DE4D1D"/>
    <w:rsid w:val="00DE4FB7"/>
    <w:rsid w:val="00DE6345"/>
    <w:rsid w:val="00DE67BA"/>
    <w:rsid w:val="00DE7A33"/>
    <w:rsid w:val="00DF2DFA"/>
    <w:rsid w:val="00DF3EC4"/>
    <w:rsid w:val="00DF5A62"/>
    <w:rsid w:val="00DF68A9"/>
    <w:rsid w:val="00E03F8A"/>
    <w:rsid w:val="00E04B79"/>
    <w:rsid w:val="00E06109"/>
    <w:rsid w:val="00E06664"/>
    <w:rsid w:val="00E073E2"/>
    <w:rsid w:val="00E1067D"/>
    <w:rsid w:val="00E10C59"/>
    <w:rsid w:val="00E1184F"/>
    <w:rsid w:val="00E128FB"/>
    <w:rsid w:val="00E158F3"/>
    <w:rsid w:val="00E15EFE"/>
    <w:rsid w:val="00E1621E"/>
    <w:rsid w:val="00E1733A"/>
    <w:rsid w:val="00E17752"/>
    <w:rsid w:val="00E208B2"/>
    <w:rsid w:val="00E20CF4"/>
    <w:rsid w:val="00E20E5D"/>
    <w:rsid w:val="00E2206D"/>
    <w:rsid w:val="00E223F5"/>
    <w:rsid w:val="00E261AB"/>
    <w:rsid w:val="00E261B8"/>
    <w:rsid w:val="00E261D7"/>
    <w:rsid w:val="00E273CB"/>
    <w:rsid w:val="00E27745"/>
    <w:rsid w:val="00E27DDD"/>
    <w:rsid w:val="00E3049D"/>
    <w:rsid w:val="00E30D4B"/>
    <w:rsid w:val="00E325B9"/>
    <w:rsid w:val="00E32B34"/>
    <w:rsid w:val="00E336B3"/>
    <w:rsid w:val="00E343D8"/>
    <w:rsid w:val="00E35E26"/>
    <w:rsid w:val="00E35FB9"/>
    <w:rsid w:val="00E36472"/>
    <w:rsid w:val="00E36D0C"/>
    <w:rsid w:val="00E3795E"/>
    <w:rsid w:val="00E3799A"/>
    <w:rsid w:val="00E4302A"/>
    <w:rsid w:val="00E45D0D"/>
    <w:rsid w:val="00E4756F"/>
    <w:rsid w:val="00E50462"/>
    <w:rsid w:val="00E5175B"/>
    <w:rsid w:val="00E56840"/>
    <w:rsid w:val="00E56BFD"/>
    <w:rsid w:val="00E57C99"/>
    <w:rsid w:val="00E61766"/>
    <w:rsid w:val="00E61D07"/>
    <w:rsid w:val="00E63CC5"/>
    <w:rsid w:val="00E64451"/>
    <w:rsid w:val="00E65FCC"/>
    <w:rsid w:val="00E66262"/>
    <w:rsid w:val="00E66665"/>
    <w:rsid w:val="00E66BAD"/>
    <w:rsid w:val="00E71B67"/>
    <w:rsid w:val="00E71D93"/>
    <w:rsid w:val="00E7412E"/>
    <w:rsid w:val="00E75CE0"/>
    <w:rsid w:val="00E76E68"/>
    <w:rsid w:val="00E77620"/>
    <w:rsid w:val="00E77A0B"/>
    <w:rsid w:val="00E82AAF"/>
    <w:rsid w:val="00E83262"/>
    <w:rsid w:val="00E83987"/>
    <w:rsid w:val="00E84312"/>
    <w:rsid w:val="00E84B7D"/>
    <w:rsid w:val="00E85319"/>
    <w:rsid w:val="00E8668F"/>
    <w:rsid w:val="00E956A2"/>
    <w:rsid w:val="00EA4013"/>
    <w:rsid w:val="00EA412A"/>
    <w:rsid w:val="00EA571A"/>
    <w:rsid w:val="00EB0125"/>
    <w:rsid w:val="00EB0EE2"/>
    <w:rsid w:val="00EB336B"/>
    <w:rsid w:val="00EB35F3"/>
    <w:rsid w:val="00EB6AD4"/>
    <w:rsid w:val="00EC03B5"/>
    <w:rsid w:val="00EC0D9E"/>
    <w:rsid w:val="00EC248A"/>
    <w:rsid w:val="00EC3A8D"/>
    <w:rsid w:val="00EC55F4"/>
    <w:rsid w:val="00EC7BCC"/>
    <w:rsid w:val="00ED1A85"/>
    <w:rsid w:val="00ED25D5"/>
    <w:rsid w:val="00ED2CEA"/>
    <w:rsid w:val="00ED4AE7"/>
    <w:rsid w:val="00ED4B05"/>
    <w:rsid w:val="00ED7E15"/>
    <w:rsid w:val="00EE2107"/>
    <w:rsid w:val="00EE3A2D"/>
    <w:rsid w:val="00EE3C66"/>
    <w:rsid w:val="00EE4B72"/>
    <w:rsid w:val="00EE4B7A"/>
    <w:rsid w:val="00EE4FA6"/>
    <w:rsid w:val="00EE57C6"/>
    <w:rsid w:val="00EE6CA8"/>
    <w:rsid w:val="00EE7AC5"/>
    <w:rsid w:val="00EF082E"/>
    <w:rsid w:val="00EF1D14"/>
    <w:rsid w:val="00EF2AA0"/>
    <w:rsid w:val="00EF2B48"/>
    <w:rsid w:val="00EF2C95"/>
    <w:rsid w:val="00EF2E93"/>
    <w:rsid w:val="00EF3003"/>
    <w:rsid w:val="00EF4139"/>
    <w:rsid w:val="00EF4E7B"/>
    <w:rsid w:val="00EF73EF"/>
    <w:rsid w:val="00EF7E73"/>
    <w:rsid w:val="00F0208B"/>
    <w:rsid w:val="00F03A55"/>
    <w:rsid w:val="00F03F01"/>
    <w:rsid w:val="00F05DA2"/>
    <w:rsid w:val="00F072A9"/>
    <w:rsid w:val="00F075F9"/>
    <w:rsid w:val="00F11272"/>
    <w:rsid w:val="00F120DE"/>
    <w:rsid w:val="00F17427"/>
    <w:rsid w:val="00F17688"/>
    <w:rsid w:val="00F17D18"/>
    <w:rsid w:val="00F20303"/>
    <w:rsid w:val="00F2110A"/>
    <w:rsid w:val="00F21E2B"/>
    <w:rsid w:val="00F22EE5"/>
    <w:rsid w:val="00F258DE"/>
    <w:rsid w:val="00F31EFC"/>
    <w:rsid w:val="00F34581"/>
    <w:rsid w:val="00F35B1C"/>
    <w:rsid w:val="00F36A96"/>
    <w:rsid w:val="00F36FD0"/>
    <w:rsid w:val="00F40832"/>
    <w:rsid w:val="00F416F9"/>
    <w:rsid w:val="00F418ED"/>
    <w:rsid w:val="00F46678"/>
    <w:rsid w:val="00F46795"/>
    <w:rsid w:val="00F4766A"/>
    <w:rsid w:val="00F47D55"/>
    <w:rsid w:val="00F5013D"/>
    <w:rsid w:val="00F5093F"/>
    <w:rsid w:val="00F51130"/>
    <w:rsid w:val="00F51DCE"/>
    <w:rsid w:val="00F5203E"/>
    <w:rsid w:val="00F532A6"/>
    <w:rsid w:val="00F53999"/>
    <w:rsid w:val="00F53E35"/>
    <w:rsid w:val="00F56B43"/>
    <w:rsid w:val="00F56C63"/>
    <w:rsid w:val="00F57D8C"/>
    <w:rsid w:val="00F602BB"/>
    <w:rsid w:val="00F6140E"/>
    <w:rsid w:val="00F632E3"/>
    <w:rsid w:val="00F63704"/>
    <w:rsid w:val="00F6713E"/>
    <w:rsid w:val="00F7070E"/>
    <w:rsid w:val="00F71B26"/>
    <w:rsid w:val="00F7243F"/>
    <w:rsid w:val="00F74CE5"/>
    <w:rsid w:val="00F8009B"/>
    <w:rsid w:val="00F806D6"/>
    <w:rsid w:val="00F8312D"/>
    <w:rsid w:val="00F855FF"/>
    <w:rsid w:val="00F85B69"/>
    <w:rsid w:val="00F85E98"/>
    <w:rsid w:val="00F86959"/>
    <w:rsid w:val="00F86993"/>
    <w:rsid w:val="00F87B5C"/>
    <w:rsid w:val="00F9079C"/>
    <w:rsid w:val="00F92B6B"/>
    <w:rsid w:val="00F92BB1"/>
    <w:rsid w:val="00F94BCA"/>
    <w:rsid w:val="00F950DF"/>
    <w:rsid w:val="00F97969"/>
    <w:rsid w:val="00F97CC3"/>
    <w:rsid w:val="00FA3179"/>
    <w:rsid w:val="00FA5628"/>
    <w:rsid w:val="00FA5B90"/>
    <w:rsid w:val="00FB08EF"/>
    <w:rsid w:val="00FB1356"/>
    <w:rsid w:val="00FB324E"/>
    <w:rsid w:val="00FB35C7"/>
    <w:rsid w:val="00FB39AA"/>
    <w:rsid w:val="00FB47C9"/>
    <w:rsid w:val="00FB51FD"/>
    <w:rsid w:val="00FB7A86"/>
    <w:rsid w:val="00FC0C20"/>
    <w:rsid w:val="00FC0DEE"/>
    <w:rsid w:val="00FC2A56"/>
    <w:rsid w:val="00FC3201"/>
    <w:rsid w:val="00FC4E38"/>
    <w:rsid w:val="00FC5868"/>
    <w:rsid w:val="00FC5E17"/>
    <w:rsid w:val="00FC7871"/>
    <w:rsid w:val="00FC7C36"/>
    <w:rsid w:val="00FD150F"/>
    <w:rsid w:val="00FD23EA"/>
    <w:rsid w:val="00FD3143"/>
    <w:rsid w:val="00FD343F"/>
    <w:rsid w:val="00FD3776"/>
    <w:rsid w:val="00FD392D"/>
    <w:rsid w:val="00FD4318"/>
    <w:rsid w:val="00FD4ECB"/>
    <w:rsid w:val="00FD6AFD"/>
    <w:rsid w:val="00FE06CA"/>
    <w:rsid w:val="00FE3A71"/>
    <w:rsid w:val="00FE4A9E"/>
    <w:rsid w:val="00FE7663"/>
    <w:rsid w:val="00FE77F2"/>
    <w:rsid w:val="00FE7B13"/>
    <w:rsid w:val="00FE7D06"/>
    <w:rsid w:val="00FF2E6F"/>
    <w:rsid w:val="00FF3D5B"/>
    <w:rsid w:val="00FF468A"/>
    <w:rsid w:val="00FF59B6"/>
    <w:rsid w:val="00FF6D33"/>
    <w:rsid w:val="00FF7627"/>
    <w:rsid w:val="00FF7A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6CA41"/>
  <w15:docId w15:val="{98D0FC19-9AB1-4271-9E14-73B95B52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54B9"/>
  </w:style>
  <w:style w:type="paragraph" w:styleId="Nadpis1">
    <w:name w:val="heading 1"/>
    <w:basedOn w:val="Normlny"/>
    <w:next w:val="Normlny"/>
    <w:link w:val="Nadpis1Char"/>
    <w:uiPriority w:val="9"/>
    <w:qFormat/>
    <w:rsid w:val="006A28DA"/>
    <w:pPr>
      <w:keepNext/>
      <w:keepLines/>
      <w:outlineLvl w:val="0"/>
    </w:pPr>
    <w:rPr>
      <w:rFonts w:eastAsiaTheme="majorEastAsia" w:cstheme="majorBidi"/>
      <w:b/>
      <w:bCs/>
      <w:color w:val="0070C0"/>
      <w:sz w:val="28"/>
      <w:szCs w:val="28"/>
    </w:rPr>
  </w:style>
  <w:style w:type="paragraph" w:styleId="Nadpis2">
    <w:name w:val="heading 2"/>
    <w:basedOn w:val="Normlny"/>
    <w:next w:val="Normlny"/>
    <w:link w:val="Nadpis2Char"/>
    <w:uiPriority w:val="9"/>
    <w:unhideWhenUsed/>
    <w:qFormat/>
    <w:rsid w:val="000F48CC"/>
    <w:pPr>
      <w:keepNext/>
      <w:keepLines/>
      <w:spacing w:before="120" w:after="120"/>
      <w:ind w:left="360"/>
      <w:outlineLvl w:val="1"/>
    </w:pPr>
    <w:rPr>
      <w:rFonts w:eastAsiaTheme="majorEastAsia" w:cstheme="majorBidi"/>
      <w:b/>
      <w:bCs/>
      <w:color w:val="0070C0"/>
      <w:sz w:val="24"/>
    </w:rPr>
  </w:style>
  <w:style w:type="paragraph" w:styleId="Nadpis3">
    <w:name w:val="heading 3"/>
    <w:basedOn w:val="Normlny"/>
    <w:next w:val="Normlny"/>
    <w:link w:val="Nadpis3Char"/>
    <w:uiPriority w:val="9"/>
    <w:unhideWhenUsed/>
    <w:qFormat/>
    <w:rsid w:val="00F416F9"/>
    <w:pPr>
      <w:keepNext/>
      <w:keepLines/>
      <w:outlineLvl w:val="2"/>
    </w:pPr>
    <w:rPr>
      <w:rFonts w:eastAsiaTheme="majorEastAsia" w:cstheme="majorBidi"/>
      <w:b/>
      <w:bCs/>
    </w:rPr>
  </w:style>
  <w:style w:type="paragraph" w:styleId="Nadpis4">
    <w:name w:val="heading 4"/>
    <w:basedOn w:val="Normlny"/>
    <w:next w:val="Normlny"/>
    <w:link w:val="Nadpis4Char"/>
    <w:uiPriority w:val="9"/>
    <w:unhideWhenUsed/>
    <w:qFormat/>
    <w:rsid w:val="00F416F9"/>
    <w:pPr>
      <w:keepNext/>
      <w:keepLines/>
      <w:outlineLvl w:val="3"/>
    </w:pPr>
    <w:rPr>
      <w:rFonts w:eastAsiaTheme="majorEastAsia" w:cstheme="majorBidi"/>
      <w:b/>
      <w:bCs/>
      <w:iCs/>
    </w:rPr>
  </w:style>
  <w:style w:type="paragraph" w:styleId="Nadpis8">
    <w:name w:val="heading 8"/>
    <w:basedOn w:val="Normlny"/>
    <w:next w:val="Normlny"/>
    <w:link w:val="Nadpis8Char"/>
    <w:uiPriority w:val="9"/>
    <w:semiHidden/>
    <w:unhideWhenUsed/>
    <w:qFormat/>
    <w:rsid w:val="00134A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28DA"/>
    <w:rPr>
      <w:rFonts w:eastAsiaTheme="majorEastAsia" w:cstheme="majorBidi"/>
      <w:b/>
      <w:bCs/>
      <w:color w:val="0070C0"/>
      <w:sz w:val="28"/>
      <w:szCs w:val="28"/>
    </w:rPr>
  </w:style>
  <w:style w:type="character" w:customStyle="1" w:styleId="Nadpis2Char">
    <w:name w:val="Nadpis 2 Char"/>
    <w:basedOn w:val="Predvolenpsmoodseku"/>
    <w:link w:val="Nadpis2"/>
    <w:uiPriority w:val="9"/>
    <w:rsid w:val="000F48CC"/>
    <w:rPr>
      <w:rFonts w:eastAsiaTheme="majorEastAsia" w:cstheme="majorBidi"/>
      <w:b/>
      <w:bCs/>
      <w:color w:val="0070C0"/>
      <w:sz w:val="24"/>
    </w:rPr>
  </w:style>
  <w:style w:type="character" w:customStyle="1" w:styleId="Nadpis3Char">
    <w:name w:val="Nadpis 3 Char"/>
    <w:basedOn w:val="Predvolenpsmoodseku"/>
    <w:link w:val="Nadpis3"/>
    <w:uiPriority w:val="9"/>
    <w:rsid w:val="00F416F9"/>
    <w:rPr>
      <w:rFonts w:ascii="Arial Narrow" w:eastAsiaTheme="majorEastAsia" w:hAnsi="Arial Narrow" w:cstheme="majorBidi"/>
      <w:b/>
      <w:bCs/>
      <w:sz w:val="22"/>
    </w:rPr>
  </w:style>
  <w:style w:type="character" w:customStyle="1" w:styleId="Nadpis4Char">
    <w:name w:val="Nadpis 4 Char"/>
    <w:basedOn w:val="Predvolenpsmoodseku"/>
    <w:link w:val="Nadpis4"/>
    <w:uiPriority w:val="9"/>
    <w:rsid w:val="00F416F9"/>
    <w:rPr>
      <w:rFonts w:ascii="Arial Narrow" w:eastAsiaTheme="majorEastAsia" w:hAnsi="Arial Narrow" w:cstheme="majorBidi"/>
      <w:b/>
      <w:bCs/>
      <w:iCs/>
      <w:sz w:val="22"/>
    </w:rPr>
  </w:style>
  <w:style w:type="character" w:customStyle="1" w:styleId="Nadpis8Char">
    <w:name w:val="Nadpis 8 Char"/>
    <w:basedOn w:val="Predvolenpsmoodseku"/>
    <w:link w:val="Nadpis8"/>
    <w:uiPriority w:val="9"/>
    <w:semiHidden/>
    <w:rsid w:val="00134AD3"/>
    <w:rPr>
      <w:rFonts w:asciiTheme="majorHAnsi" w:eastAsiaTheme="majorEastAsia" w:hAnsiTheme="majorHAnsi" w:cstheme="majorBidi"/>
      <w:color w:val="272727" w:themeColor="text1" w:themeTint="D8"/>
      <w:sz w:val="21"/>
      <w:szCs w:val="21"/>
    </w:rPr>
  </w:style>
  <w:style w:type="paragraph" w:styleId="Zkladntext">
    <w:name w:val="Body Text"/>
    <w:basedOn w:val="Normlny"/>
    <w:link w:val="ZkladntextChar"/>
    <w:unhideWhenUsed/>
    <w:rsid w:val="009754B9"/>
    <w:pPr>
      <w:spacing w:after="120"/>
    </w:pPr>
    <w:rPr>
      <w:rFonts w:eastAsia="Times New Roman" w:cs="Times New Roman"/>
      <w:szCs w:val="24"/>
      <w:lang w:eastAsia="sk-SK"/>
    </w:rPr>
  </w:style>
  <w:style w:type="character" w:customStyle="1" w:styleId="ZkladntextChar">
    <w:name w:val="Základný text Char"/>
    <w:basedOn w:val="Predvolenpsmoodseku"/>
    <w:link w:val="Zkladntext"/>
    <w:rsid w:val="009754B9"/>
    <w:rPr>
      <w:rFonts w:eastAsia="Times New Roman" w:cs="Times New Roman"/>
      <w:szCs w:val="24"/>
      <w:lang w:eastAsia="sk-SK"/>
    </w:rPr>
  </w:style>
  <w:style w:type="character" w:customStyle="1" w:styleId="BezriadkovaniaChar">
    <w:name w:val="Bez riadkovania Char"/>
    <w:basedOn w:val="Predvolenpsmoodseku"/>
    <w:link w:val="Bezriadkovania"/>
    <w:uiPriority w:val="1"/>
    <w:locked/>
    <w:rsid w:val="009754B9"/>
    <w:rPr>
      <w:rFonts w:eastAsia="Times New Roman" w:cs="Times New Roman"/>
      <w:szCs w:val="24"/>
      <w:lang w:eastAsia="sk-SK"/>
    </w:rPr>
  </w:style>
  <w:style w:type="paragraph" w:styleId="Bezriadkovania">
    <w:name w:val="No Spacing"/>
    <w:link w:val="BezriadkovaniaChar"/>
    <w:uiPriority w:val="1"/>
    <w:qFormat/>
    <w:rsid w:val="009754B9"/>
    <w:rPr>
      <w:rFonts w:eastAsia="Times New Roman" w:cs="Times New Roman"/>
      <w:szCs w:val="24"/>
      <w:lang w:eastAsia="sk-SK"/>
    </w:rPr>
  </w:style>
  <w:style w:type="character" w:customStyle="1" w:styleId="OdsekzoznamuChar">
    <w:name w:val="Odsek zoznamu Char"/>
    <w:aliases w:val="body Char,Odsek zoznamu2 Char,Odsek Char,Odsek zoznamu1 Char,Dot pt Char,No Spacing1 Char,List Paragraph Char Char Char Char,Indicator Text Char,Numbered Para 1 Char,List Paragraph à moi Char,Odsek zoznamu4 Char,LISTA Char,3 Char"/>
    <w:basedOn w:val="Predvolenpsmoodseku"/>
    <w:link w:val="Odsekzoznamu"/>
    <w:uiPriority w:val="34"/>
    <w:qFormat/>
    <w:locked/>
    <w:rsid w:val="009754B9"/>
  </w:style>
  <w:style w:type="paragraph" w:styleId="Odsekzoznamu">
    <w:name w:val="List Paragraph"/>
    <w:aliases w:val="body,Odsek zoznamu2,Odsek,Odsek zoznamu1,Dot pt,No Spacing1,List Paragraph Char Char Char,Indicator Text,Numbered Para 1,List Paragraph à moi,Odsek zoznamu4,LISTA,Listaszerű bekezdés2,Listaszerű bekezdés3,Listaszerű bekezdés1,Bullet 1,3"/>
    <w:basedOn w:val="Normlny"/>
    <w:link w:val="OdsekzoznamuChar"/>
    <w:uiPriority w:val="34"/>
    <w:qFormat/>
    <w:rsid w:val="009754B9"/>
    <w:pPr>
      <w:ind w:left="720"/>
      <w:contextualSpacing/>
    </w:pPr>
  </w:style>
  <w:style w:type="character" w:customStyle="1" w:styleId="2stlpceChar">
    <w:name w:val="2 stlpce Char"/>
    <w:link w:val="2stlpce"/>
    <w:locked/>
    <w:rsid w:val="009754B9"/>
    <w:rPr>
      <w:rFonts w:ascii="Calibri" w:eastAsia="Times New Roman" w:hAnsi="Calibri" w:cs="Times New Roman"/>
      <w:sz w:val="22"/>
    </w:rPr>
  </w:style>
  <w:style w:type="paragraph" w:customStyle="1" w:styleId="2stlpce">
    <w:name w:val="2 stlpce"/>
    <w:basedOn w:val="Normlny"/>
    <w:link w:val="2stlpceChar"/>
    <w:qFormat/>
    <w:rsid w:val="009754B9"/>
    <w:pPr>
      <w:spacing w:after="120"/>
      <w:jc w:val="both"/>
    </w:pPr>
    <w:rPr>
      <w:rFonts w:ascii="Calibri" w:eastAsia="Times New Roman" w:hAnsi="Calibri" w:cs="Times New Roman"/>
    </w:rPr>
  </w:style>
  <w:style w:type="paragraph" w:customStyle="1" w:styleId="Default">
    <w:name w:val="Default"/>
    <w:rsid w:val="009754B9"/>
    <w:pPr>
      <w:autoSpaceDE w:val="0"/>
      <w:autoSpaceDN w:val="0"/>
      <w:adjustRightInd w:val="0"/>
    </w:pPr>
    <w:rPr>
      <w:rFonts w:cs="Times New Roman"/>
      <w:color w:val="000000"/>
      <w:szCs w:val="24"/>
    </w:rPr>
  </w:style>
  <w:style w:type="paragraph" w:styleId="Textbubliny">
    <w:name w:val="Balloon Text"/>
    <w:basedOn w:val="Normlny"/>
    <w:link w:val="TextbublinyChar"/>
    <w:uiPriority w:val="99"/>
    <w:semiHidden/>
    <w:unhideWhenUsed/>
    <w:rsid w:val="009754B9"/>
    <w:rPr>
      <w:rFonts w:ascii="Tahoma" w:hAnsi="Tahoma" w:cs="Tahoma"/>
      <w:sz w:val="16"/>
      <w:szCs w:val="16"/>
    </w:rPr>
  </w:style>
  <w:style w:type="character" w:customStyle="1" w:styleId="TextbublinyChar">
    <w:name w:val="Text bubliny Char"/>
    <w:basedOn w:val="Predvolenpsmoodseku"/>
    <w:link w:val="Textbubliny"/>
    <w:uiPriority w:val="99"/>
    <w:semiHidden/>
    <w:rsid w:val="009754B9"/>
    <w:rPr>
      <w:rFonts w:ascii="Tahoma" w:hAnsi="Tahoma" w:cs="Tahoma"/>
      <w:sz w:val="16"/>
      <w:szCs w:val="16"/>
    </w:rPr>
  </w:style>
  <w:style w:type="character" w:styleId="Odkaznakomentr">
    <w:name w:val="annotation reference"/>
    <w:basedOn w:val="Predvolenpsmoodseku"/>
    <w:uiPriority w:val="99"/>
    <w:semiHidden/>
    <w:unhideWhenUsed/>
    <w:rsid w:val="009754B9"/>
    <w:rPr>
      <w:sz w:val="16"/>
      <w:szCs w:val="16"/>
    </w:rPr>
  </w:style>
  <w:style w:type="paragraph" w:styleId="Textkomentra">
    <w:name w:val="annotation text"/>
    <w:basedOn w:val="Normlny"/>
    <w:link w:val="TextkomentraChar"/>
    <w:uiPriority w:val="99"/>
    <w:unhideWhenUsed/>
    <w:rsid w:val="009754B9"/>
    <w:rPr>
      <w:sz w:val="20"/>
      <w:szCs w:val="20"/>
    </w:rPr>
  </w:style>
  <w:style w:type="character" w:customStyle="1" w:styleId="TextkomentraChar">
    <w:name w:val="Text komentára Char"/>
    <w:basedOn w:val="Predvolenpsmoodseku"/>
    <w:link w:val="Textkomentra"/>
    <w:uiPriority w:val="99"/>
    <w:rsid w:val="009754B9"/>
    <w:rPr>
      <w:sz w:val="20"/>
      <w:szCs w:val="20"/>
    </w:rPr>
  </w:style>
  <w:style w:type="paragraph" w:styleId="Predmetkomentra">
    <w:name w:val="annotation subject"/>
    <w:basedOn w:val="Textkomentra"/>
    <w:next w:val="Textkomentra"/>
    <w:link w:val="PredmetkomentraChar"/>
    <w:uiPriority w:val="99"/>
    <w:semiHidden/>
    <w:unhideWhenUsed/>
    <w:rsid w:val="009754B9"/>
    <w:rPr>
      <w:b/>
      <w:bCs/>
    </w:rPr>
  </w:style>
  <w:style w:type="character" w:customStyle="1" w:styleId="PredmetkomentraChar">
    <w:name w:val="Predmet komentára Char"/>
    <w:basedOn w:val="TextkomentraChar"/>
    <w:link w:val="Predmetkomentra"/>
    <w:uiPriority w:val="99"/>
    <w:semiHidden/>
    <w:rsid w:val="009754B9"/>
    <w:rPr>
      <w:b/>
      <w:bCs/>
      <w:sz w:val="20"/>
      <w:szCs w:val="20"/>
    </w:rPr>
  </w:style>
  <w:style w:type="paragraph" w:styleId="Hlavika">
    <w:name w:val="header"/>
    <w:basedOn w:val="Normlny"/>
    <w:link w:val="HlavikaChar"/>
    <w:uiPriority w:val="99"/>
    <w:unhideWhenUsed/>
    <w:rsid w:val="009754B9"/>
    <w:pPr>
      <w:tabs>
        <w:tab w:val="center" w:pos="4536"/>
        <w:tab w:val="right" w:pos="9072"/>
      </w:tabs>
    </w:pPr>
  </w:style>
  <w:style w:type="character" w:customStyle="1" w:styleId="HlavikaChar">
    <w:name w:val="Hlavička Char"/>
    <w:basedOn w:val="Predvolenpsmoodseku"/>
    <w:link w:val="Hlavika"/>
    <w:uiPriority w:val="99"/>
    <w:rsid w:val="009754B9"/>
  </w:style>
  <w:style w:type="paragraph" w:styleId="Pta">
    <w:name w:val="footer"/>
    <w:basedOn w:val="Normlny"/>
    <w:link w:val="PtaChar"/>
    <w:uiPriority w:val="99"/>
    <w:unhideWhenUsed/>
    <w:rsid w:val="009754B9"/>
    <w:pPr>
      <w:tabs>
        <w:tab w:val="center" w:pos="4536"/>
        <w:tab w:val="right" w:pos="9072"/>
      </w:tabs>
    </w:pPr>
  </w:style>
  <w:style w:type="character" w:customStyle="1" w:styleId="PtaChar">
    <w:name w:val="Päta Char"/>
    <w:basedOn w:val="Predvolenpsmoodseku"/>
    <w:link w:val="Pta"/>
    <w:uiPriority w:val="99"/>
    <w:rsid w:val="009754B9"/>
  </w:style>
  <w:style w:type="table" w:styleId="Mriekatabuky">
    <w:name w:val="Table Grid"/>
    <w:basedOn w:val="Normlnatabuka"/>
    <w:uiPriority w:val="59"/>
    <w:rsid w:val="0097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
    <w:basedOn w:val="Normlny"/>
    <w:link w:val="TextpoznmkypodiarouChar"/>
    <w:uiPriority w:val="99"/>
    <w:unhideWhenUsed/>
    <w:qFormat/>
    <w:rsid w:val="009754B9"/>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
    <w:basedOn w:val="Predvolenpsmoodseku"/>
    <w:link w:val="Textpoznmkypodiarou"/>
    <w:uiPriority w:val="99"/>
    <w:rsid w:val="009754B9"/>
    <w:rPr>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rsid w:val="009754B9"/>
    <w:rPr>
      <w:vertAlign w:val="superscript"/>
    </w:rPr>
  </w:style>
  <w:style w:type="paragraph" w:styleId="Zarkazkladnhotextu">
    <w:name w:val="Body Text Indent"/>
    <w:basedOn w:val="Normlny"/>
    <w:link w:val="ZarkazkladnhotextuChar"/>
    <w:uiPriority w:val="99"/>
    <w:unhideWhenUsed/>
    <w:rsid w:val="009754B9"/>
    <w:pPr>
      <w:spacing w:after="120"/>
      <w:ind w:left="283"/>
    </w:pPr>
  </w:style>
  <w:style w:type="character" w:customStyle="1" w:styleId="ZarkazkladnhotextuChar">
    <w:name w:val="Zarážka základného textu Char"/>
    <w:basedOn w:val="Predvolenpsmoodseku"/>
    <w:link w:val="Zarkazkladnhotextu"/>
    <w:uiPriority w:val="99"/>
    <w:rsid w:val="009754B9"/>
  </w:style>
  <w:style w:type="character" w:styleId="Hypertextovprepojenie">
    <w:name w:val="Hyperlink"/>
    <w:basedOn w:val="Predvolenpsmoodseku"/>
    <w:uiPriority w:val="99"/>
    <w:unhideWhenUsed/>
    <w:rsid w:val="009754B9"/>
    <w:rPr>
      <w:color w:val="0000FF" w:themeColor="hyperlink"/>
      <w:u w:val="single"/>
    </w:rPr>
  </w:style>
  <w:style w:type="paragraph" w:styleId="Nzov">
    <w:name w:val="Title"/>
    <w:basedOn w:val="Normlny"/>
    <w:next w:val="Normlny"/>
    <w:link w:val="NzovChar"/>
    <w:uiPriority w:val="10"/>
    <w:qFormat/>
    <w:rsid w:val="009754B9"/>
    <w:pPr>
      <w:spacing w:before="240" w:after="60"/>
      <w:jc w:val="center"/>
      <w:outlineLvl w:val="0"/>
    </w:pPr>
    <w:rPr>
      <w:rFonts w:ascii="Cambria" w:eastAsia="Times New Roman" w:hAnsi="Cambria" w:cs="Times New Roman"/>
      <w:b/>
      <w:bCs/>
      <w:kern w:val="28"/>
      <w:sz w:val="32"/>
      <w:szCs w:val="32"/>
    </w:rPr>
  </w:style>
  <w:style w:type="character" w:customStyle="1" w:styleId="NzovChar">
    <w:name w:val="Názov Char"/>
    <w:basedOn w:val="Predvolenpsmoodseku"/>
    <w:link w:val="Nzov"/>
    <w:uiPriority w:val="10"/>
    <w:rsid w:val="009754B9"/>
    <w:rPr>
      <w:rFonts w:ascii="Cambria" w:eastAsia="Times New Roman" w:hAnsi="Cambria" w:cs="Times New Roman"/>
      <w:b/>
      <w:bCs/>
      <w:kern w:val="28"/>
      <w:sz w:val="32"/>
      <w:szCs w:val="32"/>
    </w:rPr>
  </w:style>
  <w:style w:type="paragraph" w:styleId="Obsah1">
    <w:name w:val="toc 1"/>
    <w:basedOn w:val="Normlny"/>
    <w:next w:val="Normlny"/>
    <w:autoRedefine/>
    <w:uiPriority w:val="39"/>
    <w:unhideWhenUsed/>
    <w:qFormat/>
    <w:rsid w:val="0098571D"/>
    <w:pPr>
      <w:tabs>
        <w:tab w:val="left" w:pos="480"/>
        <w:tab w:val="right" w:pos="9346"/>
      </w:tabs>
    </w:pPr>
    <w:rPr>
      <w:rFonts w:asciiTheme="minorHAnsi" w:hAnsiTheme="minorHAnsi"/>
      <w:b/>
      <w:bCs/>
      <w:sz w:val="20"/>
      <w:szCs w:val="20"/>
    </w:rPr>
  </w:style>
  <w:style w:type="paragraph" w:styleId="Obsah2">
    <w:name w:val="toc 2"/>
    <w:basedOn w:val="Normlny"/>
    <w:next w:val="Normlny"/>
    <w:autoRedefine/>
    <w:uiPriority w:val="39"/>
    <w:unhideWhenUsed/>
    <w:qFormat/>
    <w:rsid w:val="007824C3"/>
    <w:pPr>
      <w:tabs>
        <w:tab w:val="left" w:pos="720"/>
        <w:tab w:val="right" w:pos="9346"/>
      </w:tabs>
      <w:ind w:left="238"/>
    </w:pPr>
    <w:rPr>
      <w:iCs/>
      <w:noProof/>
    </w:rPr>
  </w:style>
  <w:style w:type="paragraph" w:styleId="Obsah3">
    <w:name w:val="toc 3"/>
    <w:basedOn w:val="Normlny"/>
    <w:next w:val="Normlny"/>
    <w:autoRedefine/>
    <w:uiPriority w:val="39"/>
    <w:unhideWhenUsed/>
    <w:qFormat/>
    <w:rsid w:val="009754B9"/>
    <w:pPr>
      <w:ind w:left="480"/>
    </w:pPr>
    <w:rPr>
      <w:rFonts w:asciiTheme="minorHAnsi" w:hAnsiTheme="minorHAnsi"/>
      <w:sz w:val="20"/>
      <w:szCs w:val="20"/>
    </w:rPr>
  </w:style>
  <w:style w:type="paragraph" w:styleId="Hlavikaobsahu">
    <w:name w:val="TOC Heading"/>
    <w:basedOn w:val="Nadpis1"/>
    <w:next w:val="Normlny"/>
    <w:uiPriority w:val="39"/>
    <w:unhideWhenUsed/>
    <w:qFormat/>
    <w:rsid w:val="009754B9"/>
    <w:pPr>
      <w:outlineLvl w:val="9"/>
    </w:pPr>
    <w:rPr>
      <w:lang w:eastAsia="sk-SK"/>
    </w:rPr>
  </w:style>
  <w:style w:type="table" w:customStyle="1" w:styleId="Mriekatabuky1">
    <w:name w:val="Mriežka tabuľky1"/>
    <w:basedOn w:val="Normlnatabuka"/>
    <w:next w:val="Mriekatabuky"/>
    <w:uiPriority w:val="59"/>
    <w:rsid w:val="00A0182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y"/>
    <w:next w:val="Normlny"/>
    <w:autoRedefine/>
    <w:uiPriority w:val="39"/>
    <w:unhideWhenUsed/>
    <w:rsid w:val="00AF5D80"/>
    <w:pPr>
      <w:ind w:left="720"/>
    </w:pPr>
    <w:rPr>
      <w:rFonts w:asciiTheme="minorHAnsi" w:hAnsiTheme="minorHAnsi"/>
      <w:sz w:val="20"/>
      <w:szCs w:val="20"/>
    </w:rPr>
  </w:style>
  <w:style w:type="paragraph" w:styleId="Obsah5">
    <w:name w:val="toc 5"/>
    <w:basedOn w:val="Normlny"/>
    <w:next w:val="Normlny"/>
    <w:autoRedefine/>
    <w:uiPriority w:val="39"/>
    <w:unhideWhenUsed/>
    <w:rsid w:val="00AF5D80"/>
    <w:pPr>
      <w:ind w:left="960"/>
    </w:pPr>
    <w:rPr>
      <w:rFonts w:asciiTheme="minorHAnsi" w:hAnsiTheme="minorHAnsi"/>
      <w:sz w:val="20"/>
      <w:szCs w:val="20"/>
    </w:rPr>
  </w:style>
  <w:style w:type="paragraph" w:styleId="Obsah6">
    <w:name w:val="toc 6"/>
    <w:basedOn w:val="Normlny"/>
    <w:next w:val="Normlny"/>
    <w:autoRedefine/>
    <w:uiPriority w:val="39"/>
    <w:unhideWhenUsed/>
    <w:rsid w:val="00AF5D80"/>
    <w:pPr>
      <w:ind w:left="1200"/>
    </w:pPr>
    <w:rPr>
      <w:rFonts w:asciiTheme="minorHAnsi" w:hAnsiTheme="minorHAnsi"/>
      <w:sz w:val="20"/>
      <w:szCs w:val="20"/>
    </w:rPr>
  </w:style>
  <w:style w:type="paragraph" w:styleId="Obsah7">
    <w:name w:val="toc 7"/>
    <w:basedOn w:val="Normlny"/>
    <w:next w:val="Normlny"/>
    <w:autoRedefine/>
    <w:uiPriority w:val="39"/>
    <w:unhideWhenUsed/>
    <w:rsid w:val="00AF5D80"/>
    <w:pPr>
      <w:ind w:left="1440"/>
    </w:pPr>
    <w:rPr>
      <w:rFonts w:asciiTheme="minorHAnsi" w:hAnsiTheme="minorHAnsi"/>
      <w:sz w:val="20"/>
      <w:szCs w:val="20"/>
    </w:rPr>
  </w:style>
  <w:style w:type="paragraph" w:styleId="Obsah8">
    <w:name w:val="toc 8"/>
    <w:basedOn w:val="Normlny"/>
    <w:next w:val="Normlny"/>
    <w:autoRedefine/>
    <w:uiPriority w:val="39"/>
    <w:unhideWhenUsed/>
    <w:rsid w:val="00AF5D80"/>
    <w:pPr>
      <w:ind w:left="1680"/>
    </w:pPr>
    <w:rPr>
      <w:rFonts w:asciiTheme="minorHAnsi" w:hAnsiTheme="minorHAnsi"/>
      <w:sz w:val="20"/>
      <w:szCs w:val="20"/>
    </w:rPr>
  </w:style>
  <w:style w:type="paragraph" w:styleId="Obsah9">
    <w:name w:val="toc 9"/>
    <w:basedOn w:val="Normlny"/>
    <w:next w:val="Normlny"/>
    <w:autoRedefine/>
    <w:uiPriority w:val="39"/>
    <w:unhideWhenUsed/>
    <w:rsid w:val="00AF5D80"/>
    <w:pPr>
      <w:ind w:left="1920"/>
    </w:pPr>
    <w:rPr>
      <w:rFonts w:asciiTheme="minorHAnsi" w:hAnsiTheme="minorHAnsi"/>
      <w:sz w:val="20"/>
      <w:szCs w:val="20"/>
    </w:rPr>
  </w:style>
  <w:style w:type="paragraph" w:styleId="Normlnywebov">
    <w:name w:val="Normal (Web)"/>
    <w:basedOn w:val="Normlny"/>
    <w:uiPriority w:val="99"/>
    <w:unhideWhenUsed/>
    <w:rsid w:val="00066D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CM1">
    <w:name w:val="CM1"/>
    <w:basedOn w:val="Default"/>
    <w:next w:val="Default"/>
    <w:uiPriority w:val="99"/>
    <w:rsid w:val="00A76D0F"/>
    <w:rPr>
      <w:rFonts w:ascii="EUAlbertina" w:hAnsi="EUAlbertina" w:cstheme="minorBidi"/>
      <w:color w:val="auto"/>
      <w:sz w:val="24"/>
    </w:rPr>
  </w:style>
  <w:style w:type="paragraph" w:customStyle="1" w:styleId="CM3">
    <w:name w:val="CM3"/>
    <w:basedOn w:val="Default"/>
    <w:next w:val="Default"/>
    <w:uiPriority w:val="99"/>
    <w:rsid w:val="00A76D0F"/>
    <w:rPr>
      <w:rFonts w:ascii="EUAlbertina" w:hAnsi="EUAlbertina" w:cstheme="minorBidi"/>
      <w:color w:val="auto"/>
      <w:sz w:val="24"/>
    </w:rPr>
  </w:style>
  <w:style w:type="character" w:styleId="Zstupntext">
    <w:name w:val="Placeholder Text"/>
    <w:basedOn w:val="Predvolenpsmoodseku"/>
    <w:uiPriority w:val="99"/>
    <w:semiHidden/>
    <w:rsid w:val="00A76D0F"/>
    <w:rPr>
      <w:color w:val="808080"/>
    </w:rPr>
  </w:style>
  <w:style w:type="paragraph" w:customStyle="1" w:styleId="Zkladntext22">
    <w:name w:val="Základný text 22"/>
    <w:basedOn w:val="Normlny"/>
    <w:rsid w:val="00F53999"/>
    <w:pPr>
      <w:jc w:val="both"/>
    </w:pPr>
    <w:rPr>
      <w:rFonts w:ascii="Times New Roman" w:eastAsia="Times New Roman" w:hAnsi="Times New Roman" w:cs="Times New Roman"/>
      <w:sz w:val="24"/>
      <w:szCs w:val="24"/>
      <w:lang w:eastAsia="cs-CZ"/>
    </w:rPr>
  </w:style>
  <w:style w:type="character" w:styleId="Siln">
    <w:name w:val="Strong"/>
    <w:basedOn w:val="Predvolenpsmoodseku"/>
    <w:uiPriority w:val="22"/>
    <w:qFormat/>
    <w:rsid w:val="00D24882"/>
    <w:rPr>
      <w:b/>
      <w:bCs/>
    </w:rPr>
  </w:style>
  <w:style w:type="paragraph" w:styleId="Revzia">
    <w:name w:val="Revision"/>
    <w:hidden/>
    <w:uiPriority w:val="99"/>
    <w:semiHidden/>
    <w:rsid w:val="009B4A04"/>
  </w:style>
  <w:style w:type="character" w:customStyle="1" w:styleId="line-height-150">
    <w:name w:val="line-height-150"/>
    <w:basedOn w:val="Predvolenpsmoodseku"/>
    <w:rsid w:val="009B4A04"/>
  </w:style>
  <w:style w:type="character" w:customStyle="1" w:styleId="Hypertextovprepojenie1">
    <w:name w:val="Hypertextové prepojenie1"/>
    <w:basedOn w:val="Predvolenpsmoodseku"/>
    <w:uiPriority w:val="99"/>
    <w:unhideWhenUsed/>
    <w:rsid w:val="00475F94"/>
    <w:rPr>
      <w:color w:val="0563C1"/>
      <w:u w:val="single"/>
    </w:rPr>
  </w:style>
  <w:style w:type="paragraph" w:customStyle="1" w:styleId="tl1">
    <w:name w:val="Štýl1"/>
    <w:basedOn w:val="Normlny"/>
    <w:link w:val="tl1Char"/>
    <w:qFormat/>
    <w:rsid w:val="00B13FA3"/>
  </w:style>
  <w:style w:type="character" w:customStyle="1" w:styleId="tl1Char">
    <w:name w:val="Štýl1 Char"/>
    <w:basedOn w:val="Predvolenpsmoodseku"/>
    <w:link w:val="tl1"/>
    <w:rsid w:val="00B13FA3"/>
  </w:style>
  <w:style w:type="character" w:styleId="Jemnzvraznenie">
    <w:name w:val="Subtle Emphasis"/>
    <w:basedOn w:val="Predvolenpsmoodseku"/>
    <w:uiPriority w:val="19"/>
    <w:qFormat/>
    <w:rsid w:val="00B13FA3"/>
    <w:rPr>
      <w:i/>
      <w:iCs/>
      <w:color w:val="404040" w:themeColor="text1" w:themeTint="BF"/>
    </w:rPr>
  </w:style>
  <w:style w:type="character" w:customStyle="1" w:styleId="spanr">
    <w:name w:val="span_r"/>
    <w:basedOn w:val="Predvolenpsmoodseku"/>
    <w:rsid w:val="002E2B1E"/>
  </w:style>
  <w:style w:type="table" w:customStyle="1" w:styleId="Mriekatabuky2">
    <w:name w:val="Mriežka tabuľky2"/>
    <w:basedOn w:val="Normlnatabuka"/>
    <w:next w:val="Mriekatabuky"/>
    <w:uiPriority w:val="59"/>
    <w:rsid w:val="0062190C"/>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riekatabuky3">
    <w:name w:val="Mriežka tabuľky3"/>
    <w:basedOn w:val="Normlnatabuka"/>
    <w:next w:val="Mriekatabuky"/>
    <w:uiPriority w:val="59"/>
    <w:rsid w:val="0062190C"/>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riekatabuky4">
    <w:name w:val="Mriežka tabuľky4"/>
    <w:basedOn w:val="Normlnatabuka"/>
    <w:next w:val="Mriekatabuky"/>
    <w:uiPriority w:val="59"/>
    <w:rsid w:val="0062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62190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62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62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
    <w:name w:val="Iné_"/>
    <w:basedOn w:val="Predvolenpsmoodseku"/>
    <w:link w:val="In0"/>
    <w:rsid w:val="00165F0C"/>
    <w:rPr>
      <w:rFonts w:ascii="Times New Roman" w:eastAsia="Times New Roman" w:hAnsi="Times New Roman" w:cs="Times New Roman"/>
      <w:shd w:val="clear" w:color="auto" w:fill="FFFFFF"/>
      <w:lang w:val="en-US" w:bidi="en-US"/>
    </w:rPr>
  </w:style>
  <w:style w:type="paragraph" w:customStyle="1" w:styleId="In0">
    <w:name w:val="Iné"/>
    <w:basedOn w:val="Normlny"/>
    <w:link w:val="In"/>
    <w:rsid w:val="00165F0C"/>
    <w:pPr>
      <w:widowControl w:val="0"/>
      <w:shd w:val="clear" w:color="auto" w:fill="FFFFFF"/>
      <w:spacing w:after="100" w:line="336" w:lineRule="auto"/>
      <w:jc w:val="both"/>
    </w:pPr>
    <w:rPr>
      <w:rFonts w:ascii="Times New Roman" w:eastAsia="Times New Roman" w:hAnsi="Times New Roman" w:cs="Times New Roman"/>
      <w:lang w:val="en-US" w:bidi="en-US"/>
    </w:rPr>
  </w:style>
  <w:style w:type="character" w:customStyle="1" w:styleId="Zkladntext0">
    <w:name w:val="Základný text_"/>
    <w:basedOn w:val="Predvolenpsmoodseku"/>
    <w:link w:val="Zkladntext1"/>
    <w:rsid w:val="00165F0C"/>
    <w:rPr>
      <w:rFonts w:ascii="Times New Roman" w:eastAsia="Times New Roman" w:hAnsi="Times New Roman" w:cs="Times New Roman"/>
      <w:shd w:val="clear" w:color="auto" w:fill="FFFFFF"/>
    </w:rPr>
  </w:style>
  <w:style w:type="paragraph" w:customStyle="1" w:styleId="Zkladntext1">
    <w:name w:val="Základný text1"/>
    <w:basedOn w:val="Normlny"/>
    <w:link w:val="Zkladntext0"/>
    <w:rsid w:val="00165F0C"/>
    <w:pPr>
      <w:widowControl w:val="0"/>
      <w:shd w:val="clear" w:color="auto" w:fill="FFFFFF"/>
      <w:spacing w:after="100" w:line="336" w:lineRule="auto"/>
      <w:jc w:val="both"/>
    </w:pPr>
    <w:rPr>
      <w:rFonts w:ascii="Times New Roman" w:eastAsia="Times New Roman" w:hAnsi="Times New Roman" w:cs="Times New Roman"/>
    </w:rPr>
  </w:style>
  <w:style w:type="character" w:customStyle="1" w:styleId="Nzovtabuky">
    <w:name w:val="Názov tabuľky_"/>
    <w:basedOn w:val="Predvolenpsmoodseku"/>
    <w:link w:val="Nzovtabuky0"/>
    <w:rsid w:val="003E5EA4"/>
    <w:rPr>
      <w:rFonts w:ascii="Arial" w:eastAsia="Arial" w:hAnsi="Arial" w:cs="Arial"/>
      <w:sz w:val="14"/>
      <w:szCs w:val="14"/>
      <w:shd w:val="clear" w:color="auto" w:fill="FFFFFF"/>
      <w:lang w:val="en-US" w:bidi="en-US"/>
    </w:rPr>
  </w:style>
  <w:style w:type="paragraph" w:customStyle="1" w:styleId="Nzovtabuky0">
    <w:name w:val="Názov tabuľky"/>
    <w:basedOn w:val="Normlny"/>
    <w:link w:val="Nzovtabuky"/>
    <w:rsid w:val="003E5EA4"/>
    <w:pPr>
      <w:widowControl w:val="0"/>
      <w:shd w:val="clear" w:color="auto" w:fill="FFFFFF"/>
    </w:pPr>
    <w:rPr>
      <w:rFonts w:ascii="Arial" w:eastAsia="Arial" w:hAnsi="Arial" w:cs="Arial"/>
      <w:sz w:val="14"/>
      <w:szCs w:val="14"/>
      <w:lang w:val="en-US" w:bidi="en-US"/>
    </w:rPr>
  </w:style>
  <w:style w:type="table" w:customStyle="1" w:styleId="Tabukasmriekou7farebnzvraznenie11">
    <w:name w:val="Tabuľka s mriežkou 7 – farebná – zvýraznenie 11"/>
    <w:basedOn w:val="Normlnatabuka"/>
    <w:uiPriority w:val="52"/>
    <w:rsid w:val="0091013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Popis">
    <w:name w:val="caption"/>
    <w:basedOn w:val="Normlny"/>
    <w:next w:val="Normlny"/>
    <w:uiPriority w:val="35"/>
    <w:unhideWhenUsed/>
    <w:qFormat/>
    <w:rsid w:val="00215117"/>
    <w:pPr>
      <w:spacing w:after="200"/>
    </w:pPr>
    <w:rPr>
      <w:i/>
      <w:iCs/>
      <w:color w:val="1F497D" w:themeColor="text2"/>
      <w:sz w:val="18"/>
      <w:szCs w:val="18"/>
    </w:rPr>
  </w:style>
  <w:style w:type="table" w:customStyle="1" w:styleId="Mriekatabuky8">
    <w:name w:val="Mriežka tabuľky8"/>
    <w:basedOn w:val="Normlnatabuka"/>
    <w:next w:val="Mriekatabuky"/>
    <w:uiPriority w:val="59"/>
    <w:rsid w:val="005F06AE"/>
    <w:rPr>
      <w:rFonts w:ascii="Calibri" w:eastAsia="Times New Roman"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EE4B7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2813">
      <w:bodyDiv w:val="1"/>
      <w:marLeft w:val="0"/>
      <w:marRight w:val="0"/>
      <w:marTop w:val="0"/>
      <w:marBottom w:val="0"/>
      <w:divBdr>
        <w:top w:val="none" w:sz="0" w:space="0" w:color="auto"/>
        <w:left w:val="none" w:sz="0" w:space="0" w:color="auto"/>
        <w:bottom w:val="none" w:sz="0" w:space="0" w:color="auto"/>
        <w:right w:val="none" w:sz="0" w:space="0" w:color="auto"/>
      </w:divBdr>
    </w:div>
    <w:div w:id="166403321">
      <w:bodyDiv w:val="1"/>
      <w:marLeft w:val="0"/>
      <w:marRight w:val="0"/>
      <w:marTop w:val="0"/>
      <w:marBottom w:val="0"/>
      <w:divBdr>
        <w:top w:val="none" w:sz="0" w:space="0" w:color="auto"/>
        <w:left w:val="none" w:sz="0" w:space="0" w:color="auto"/>
        <w:bottom w:val="none" w:sz="0" w:space="0" w:color="auto"/>
        <w:right w:val="none" w:sz="0" w:space="0" w:color="auto"/>
      </w:divBdr>
    </w:div>
    <w:div w:id="168447695">
      <w:bodyDiv w:val="1"/>
      <w:marLeft w:val="0"/>
      <w:marRight w:val="0"/>
      <w:marTop w:val="0"/>
      <w:marBottom w:val="0"/>
      <w:divBdr>
        <w:top w:val="none" w:sz="0" w:space="0" w:color="auto"/>
        <w:left w:val="none" w:sz="0" w:space="0" w:color="auto"/>
        <w:bottom w:val="none" w:sz="0" w:space="0" w:color="auto"/>
        <w:right w:val="none" w:sz="0" w:space="0" w:color="auto"/>
      </w:divBdr>
    </w:div>
    <w:div w:id="303048309">
      <w:bodyDiv w:val="1"/>
      <w:marLeft w:val="0"/>
      <w:marRight w:val="0"/>
      <w:marTop w:val="0"/>
      <w:marBottom w:val="0"/>
      <w:divBdr>
        <w:top w:val="none" w:sz="0" w:space="0" w:color="auto"/>
        <w:left w:val="none" w:sz="0" w:space="0" w:color="auto"/>
        <w:bottom w:val="none" w:sz="0" w:space="0" w:color="auto"/>
        <w:right w:val="none" w:sz="0" w:space="0" w:color="auto"/>
      </w:divBdr>
    </w:div>
    <w:div w:id="407307918">
      <w:bodyDiv w:val="1"/>
      <w:marLeft w:val="0"/>
      <w:marRight w:val="0"/>
      <w:marTop w:val="0"/>
      <w:marBottom w:val="0"/>
      <w:divBdr>
        <w:top w:val="none" w:sz="0" w:space="0" w:color="auto"/>
        <w:left w:val="none" w:sz="0" w:space="0" w:color="auto"/>
        <w:bottom w:val="none" w:sz="0" w:space="0" w:color="auto"/>
        <w:right w:val="none" w:sz="0" w:space="0" w:color="auto"/>
      </w:divBdr>
    </w:div>
    <w:div w:id="539632096">
      <w:bodyDiv w:val="1"/>
      <w:marLeft w:val="0"/>
      <w:marRight w:val="0"/>
      <w:marTop w:val="0"/>
      <w:marBottom w:val="0"/>
      <w:divBdr>
        <w:top w:val="none" w:sz="0" w:space="0" w:color="auto"/>
        <w:left w:val="none" w:sz="0" w:space="0" w:color="auto"/>
        <w:bottom w:val="none" w:sz="0" w:space="0" w:color="auto"/>
        <w:right w:val="none" w:sz="0" w:space="0" w:color="auto"/>
      </w:divBdr>
    </w:div>
    <w:div w:id="609094283">
      <w:bodyDiv w:val="1"/>
      <w:marLeft w:val="0"/>
      <w:marRight w:val="0"/>
      <w:marTop w:val="0"/>
      <w:marBottom w:val="0"/>
      <w:divBdr>
        <w:top w:val="none" w:sz="0" w:space="0" w:color="auto"/>
        <w:left w:val="none" w:sz="0" w:space="0" w:color="auto"/>
        <w:bottom w:val="none" w:sz="0" w:space="0" w:color="auto"/>
        <w:right w:val="none" w:sz="0" w:space="0" w:color="auto"/>
      </w:divBdr>
    </w:div>
    <w:div w:id="737480530">
      <w:bodyDiv w:val="1"/>
      <w:marLeft w:val="0"/>
      <w:marRight w:val="0"/>
      <w:marTop w:val="0"/>
      <w:marBottom w:val="0"/>
      <w:divBdr>
        <w:top w:val="none" w:sz="0" w:space="0" w:color="auto"/>
        <w:left w:val="none" w:sz="0" w:space="0" w:color="auto"/>
        <w:bottom w:val="none" w:sz="0" w:space="0" w:color="auto"/>
        <w:right w:val="none" w:sz="0" w:space="0" w:color="auto"/>
      </w:divBdr>
    </w:div>
    <w:div w:id="778725092">
      <w:bodyDiv w:val="1"/>
      <w:marLeft w:val="0"/>
      <w:marRight w:val="0"/>
      <w:marTop w:val="0"/>
      <w:marBottom w:val="0"/>
      <w:divBdr>
        <w:top w:val="none" w:sz="0" w:space="0" w:color="auto"/>
        <w:left w:val="none" w:sz="0" w:space="0" w:color="auto"/>
        <w:bottom w:val="none" w:sz="0" w:space="0" w:color="auto"/>
        <w:right w:val="none" w:sz="0" w:space="0" w:color="auto"/>
      </w:divBdr>
    </w:div>
    <w:div w:id="804927145">
      <w:bodyDiv w:val="1"/>
      <w:marLeft w:val="0"/>
      <w:marRight w:val="0"/>
      <w:marTop w:val="0"/>
      <w:marBottom w:val="0"/>
      <w:divBdr>
        <w:top w:val="none" w:sz="0" w:space="0" w:color="auto"/>
        <w:left w:val="none" w:sz="0" w:space="0" w:color="auto"/>
        <w:bottom w:val="none" w:sz="0" w:space="0" w:color="auto"/>
        <w:right w:val="none" w:sz="0" w:space="0" w:color="auto"/>
      </w:divBdr>
    </w:div>
    <w:div w:id="824322108">
      <w:bodyDiv w:val="1"/>
      <w:marLeft w:val="0"/>
      <w:marRight w:val="0"/>
      <w:marTop w:val="0"/>
      <w:marBottom w:val="0"/>
      <w:divBdr>
        <w:top w:val="none" w:sz="0" w:space="0" w:color="auto"/>
        <w:left w:val="none" w:sz="0" w:space="0" w:color="auto"/>
        <w:bottom w:val="none" w:sz="0" w:space="0" w:color="auto"/>
        <w:right w:val="none" w:sz="0" w:space="0" w:color="auto"/>
      </w:divBdr>
    </w:div>
    <w:div w:id="1062673469">
      <w:bodyDiv w:val="1"/>
      <w:marLeft w:val="0"/>
      <w:marRight w:val="0"/>
      <w:marTop w:val="0"/>
      <w:marBottom w:val="0"/>
      <w:divBdr>
        <w:top w:val="none" w:sz="0" w:space="0" w:color="auto"/>
        <w:left w:val="none" w:sz="0" w:space="0" w:color="auto"/>
        <w:bottom w:val="none" w:sz="0" w:space="0" w:color="auto"/>
        <w:right w:val="none" w:sz="0" w:space="0" w:color="auto"/>
      </w:divBdr>
    </w:div>
    <w:div w:id="1159923020">
      <w:bodyDiv w:val="1"/>
      <w:marLeft w:val="0"/>
      <w:marRight w:val="0"/>
      <w:marTop w:val="0"/>
      <w:marBottom w:val="0"/>
      <w:divBdr>
        <w:top w:val="none" w:sz="0" w:space="0" w:color="auto"/>
        <w:left w:val="none" w:sz="0" w:space="0" w:color="auto"/>
        <w:bottom w:val="none" w:sz="0" w:space="0" w:color="auto"/>
        <w:right w:val="none" w:sz="0" w:space="0" w:color="auto"/>
      </w:divBdr>
    </w:div>
    <w:div w:id="1235118725">
      <w:bodyDiv w:val="1"/>
      <w:marLeft w:val="0"/>
      <w:marRight w:val="0"/>
      <w:marTop w:val="0"/>
      <w:marBottom w:val="0"/>
      <w:divBdr>
        <w:top w:val="none" w:sz="0" w:space="0" w:color="auto"/>
        <w:left w:val="none" w:sz="0" w:space="0" w:color="auto"/>
        <w:bottom w:val="none" w:sz="0" w:space="0" w:color="auto"/>
        <w:right w:val="none" w:sz="0" w:space="0" w:color="auto"/>
      </w:divBdr>
    </w:div>
    <w:div w:id="1241401226">
      <w:bodyDiv w:val="1"/>
      <w:marLeft w:val="0"/>
      <w:marRight w:val="0"/>
      <w:marTop w:val="0"/>
      <w:marBottom w:val="0"/>
      <w:divBdr>
        <w:top w:val="none" w:sz="0" w:space="0" w:color="auto"/>
        <w:left w:val="none" w:sz="0" w:space="0" w:color="auto"/>
        <w:bottom w:val="none" w:sz="0" w:space="0" w:color="auto"/>
        <w:right w:val="none" w:sz="0" w:space="0" w:color="auto"/>
      </w:divBdr>
    </w:div>
    <w:div w:id="1268197295">
      <w:bodyDiv w:val="1"/>
      <w:marLeft w:val="0"/>
      <w:marRight w:val="0"/>
      <w:marTop w:val="0"/>
      <w:marBottom w:val="0"/>
      <w:divBdr>
        <w:top w:val="none" w:sz="0" w:space="0" w:color="auto"/>
        <w:left w:val="none" w:sz="0" w:space="0" w:color="auto"/>
        <w:bottom w:val="none" w:sz="0" w:space="0" w:color="auto"/>
        <w:right w:val="none" w:sz="0" w:space="0" w:color="auto"/>
      </w:divBdr>
    </w:div>
    <w:div w:id="1320884212">
      <w:bodyDiv w:val="1"/>
      <w:marLeft w:val="0"/>
      <w:marRight w:val="0"/>
      <w:marTop w:val="0"/>
      <w:marBottom w:val="0"/>
      <w:divBdr>
        <w:top w:val="none" w:sz="0" w:space="0" w:color="auto"/>
        <w:left w:val="none" w:sz="0" w:space="0" w:color="auto"/>
        <w:bottom w:val="none" w:sz="0" w:space="0" w:color="auto"/>
        <w:right w:val="none" w:sz="0" w:space="0" w:color="auto"/>
      </w:divBdr>
    </w:div>
    <w:div w:id="1407803056">
      <w:bodyDiv w:val="1"/>
      <w:marLeft w:val="0"/>
      <w:marRight w:val="0"/>
      <w:marTop w:val="0"/>
      <w:marBottom w:val="0"/>
      <w:divBdr>
        <w:top w:val="none" w:sz="0" w:space="0" w:color="auto"/>
        <w:left w:val="none" w:sz="0" w:space="0" w:color="auto"/>
        <w:bottom w:val="none" w:sz="0" w:space="0" w:color="auto"/>
        <w:right w:val="none" w:sz="0" w:space="0" w:color="auto"/>
      </w:divBdr>
    </w:div>
    <w:div w:id="1415278411">
      <w:bodyDiv w:val="1"/>
      <w:marLeft w:val="0"/>
      <w:marRight w:val="0"/>
      <w:marTop w:val="0"/>
      <w:marBottom w:val="0"/>
      <w:divBdr>
        <w:top w:val="none" w:sz="0" w:space="0" w:color="auto"/>
        <w:left w:val="none" w:sz="0" w:space="0" w:color="auto"/>
        <w:bottom w:val="none" w:sz="0" w:space="0" w:color="auto"/>
        <w:right w:val="none" w:sz="0" w:space="0" w:color="auto"/>
      </w:divBdr>
    </w:div>
    <w:div w:id="1465268763">
      <w:bodyDiv w:val="1"/>
      <w:marLeft w:val="0"/>
      <w:marRight w:val="0"/>
      <w:marTop w:val="0"/>
      <w:marBottom w:val="0"/>
      <w:divBdr>
        <w:top w:val="none" w:sz="0" w:space="0" w:color="auto"/>
        <w:left w:val="none" w:sz="0" w:space="0" w:color="auto"/>
        <w:bottom w:val="none" w:sz="0" w:space="0" w:color="auto"/>
        <w:right w:val="none" w:sz="0" w:space="0" w:color="auto"/>
      </w:divBdr>
    </w:div>
    <w:div w:id="1570338845">
      <w:bodyDiv w:val="1"/>
      <w:marLeft w:val="0"/>
      <w:marRight w:val="0"/>
      <w:marTop w:val="0"/>
      <w:marBottom w:val="0"/>
      <w:divBdr>
        <w:top w:val="none" w:sz="0" w:space="0" w:color="auto"/>
        <w:left w:val="none" w:sz="0" w:space="0" w:color="auto"/>
        <w:bottom w:val="none" w:sz="0" w:space="0" w:color="auto"/>
        <w:right w:val="none" w:sz="0" w:space="0" w:color="auto"/>
      </w:divBdr>
    </w:div>
    <w:div w:id="1612711844">
      <w:bodyDiv w:val="1"/>
      <w:marLeft w:val="0"/>
      <w:marRight w:val="0"/>
      <w:marTop w:val="0"/>
      <w:marBottom w:val="0"/>
      <w:divBdr>
        <w:top w:val="none" w:sz="0" w:space="0" w:color="auto"/>
        <w:left w:val="none" w:sz="0" w:space="0" w:color="auto"/>
        <w:bottom w:val="none" w:sz="0" w:space="0" w:color="auto"/>
        <w:right w:val="none" w:sz="0" w:space="0" w:color="auto"/>
      </w:divBdr>
    </w:div>
    <w:div w:id="1614440779">
      <w:bodyDiv w:val="1"/>
      <w:marLeft w:val="0"/>
      <w:marRight w:val="0"/>
      <w:marTop w:val="0"/>
      <w:marBottom w:val="0"/>
      <w:divBdr>
        <w:top w:val="none" w:sz="0" w:space="0" w:color="auto"/>
        <w:left w:val="none" w:sz="0" w:space="0" w:color="auto"/>
        <w:bottom w:val="none" w:sz="0" w:space="0" w:color="auto"/>
        <w:right w:val="none" w:sz="0" w:space="0" w:color="auto"/>
      </w:divBdr>
    </w:div>
    <w:div w:id="1641111321">
      <w:bodyDiv w:val="1"/>
      <w:marLeft w:val="0"/>
      <w:marRight w:val="0"/>
      <w:marTop w:val="0"/>
      <w:marBottom w:val="0"/>
      <w:divBdr>
        <w:top w:val="none" w:sz="0" w:space="0" w:color="auto"/>
        <w:left w:val="none" w:sz="0" w:space="0" w:color="auto"/>
        <w:bottom w:val="none" w:sz="0" w:space="0" w:color="auto"/>
        <w:right w:val="none" w:sz="0" w:space="0" w:color="auto"/>
      </w:divBdr>
    </w:div>
    <w:div w:id="1737237387">
      <w:bodyDiv w:val="1"/>
      <w:marLeft w:val="0"/>
      <w:marRight w:val="0"/>
      <w:marTop w:val="0"/>
      <w:marBottom w:val="0"/>
      <w:divBdr>
        <w:top w:val="none" w:sz="0" w:space="0" w:color="auto"/>
        <w:left w:val="none" w:sz="0" w:space="0" w:color="auto"/>
        <w:bottom w:val="none" w:sz="0" w:space="0" w:color="auto"/>
        <w:right w:val="none" w:sz="0" w:space="0" w:color="auto"/>
      </w:divBdr>
    </w:div>
    <w:div w:id="1809979637">
      <w:bodyDiv w:val="1"/>
      <w:marLeft w:val="0"/>
      <w:marRight w:val="0"/>
      <w:marTop w:val="0"/>
      <w:marBottom w:val="0"/>
      <w:divBdr>
        <w:top w:val="none" w:sz="0" w:space="0" w:color="auto"/>
        <w:left w:val="none" w:sz="0" w:space="0" w:color="auto"/>
        <w:bottom w:val="none" w:sz="0" w:space="0" w:color="auto"/>
        <w:right w:val="none" w:sz="0" w:space="0" w:color="auto"/>
      </w:divBdr>
    </w:div>
    <w:div w:id="1888369938">
      <w:bodyDiv w:val="1"/>
      <w:marLeft w:val="0"/>
      <w:marRight w:val="0"/>
      <w:marTop w:val="0"/>
      <w:marBottom w:val="0"/>
      <w:divBdr>
        <w:top w:val="none" w:sz="0" w:space="0" w:color="auto"/>
        <w:left w:val="none" w:sz="0" w:space="0" w:color="auto"/>
        <w:bottom w:val="none" w:sz="0" w:space="0" w:color="auto"/>
        <w:right w:val="none" w:sz="0" w:space="0" w:color="auto"/>
      </w:divBdr>
    </w:div>
    <w:div w:id="1957440729">
      <w:bodyDiv w:val="1"/>
      <w:marLeft w:val="0"/>
      <w:marRight w:val="0"/>
      <w:marTop w:val="0"/>
      <w:marBottom w:val="0"/>
      <w:divBdr>
        <w:top w:val="none" w:sz="0" w:space="0" w:color="auto"/>
        <w:left w:val="none" w:sz="0" w:space="0" w:color="auto"/>
        <w:bottom w:val="none" w:sz="0" w:space="0" w:color="auto"/>
        <w:right w:val="none" w:sz="0" w:space="0" w:color="auto"/>
      </w:divBdr>
    </w:div>
    <w:div w:id="1977222820">
      <w:bodyDiv w:val="1"/>
      <w:marLeft w:val="0"/>
      <w:marRight w:val="0"/>
      <w:marTop w:val="0"/>
      <w:marBottom w:val="0"/>
      <w:divBdr>
        <w:top w:val="none" w:sz="0" w:space="0" w:color="auto"/>
        <w:left w:val="none" w:sz="0" w:space="0" w:color="auto"/>
        <w:bottom w:val="none" w:sz="0" w:space="0" w:color="auto"/>
        <w:right w:val="none" w:sz="0" w:space="0" w:color="auto"/>
      </w:divBdr>
    </w:div>
    <w:div w:id="2030401080">
      <w:bodyDiv w:val="1"/>
      <w:marLeft w:val="0"/>
      <w:marRight w:val="0"/>
      <w:marTop w:val="0"/>
      <w:marBottom w:val="0"/>
      <w:divBdr>
        <w:top w:val="none" w:sz="0" w:space="0" w:color="auto"/>
        <w:left w:val="none" w:sz="0" w:space="0" w:color="auto"/>
        <w:bottom w:val="none" w:sz="0" w:space="0" w:color="auto"/>
        <w:right w:val="none" w:sz="0" w:space="0" w:color="auto"/>
      </w:divBdr>
    </w:div>
    <w:div w:id="2062746107">
      <w:bodyDiv w:val="1"/>
      <w:marLeft w:val="0"/>
      <w:marRight w:val="0"/>
      <w:marTop w:val="0"/>
      <w:marBottom w:val="0"/>
      <w:divBdr>
        <w:top w:val="none" w:sz="0" w:space="0" w:color="auto"/>
        <w:left w:val="none" w:sz="0" w:space="0" w:color="auto"/>
        <w:bottom w:val="none" w:sz="0" w:space="0" w:color="auto"/>
        <w:right w:val="none" w:sz="0" w:space="0" w:color="auto"/>
      </w:divBdr>
    </w:div>
    <w:div w:id="2127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chart" Target="charts/chart13.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image" Target="media/image3.emf"/><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mindop.sk/ministerstvo-1/vystavba-5/bytova-politika/dokumenty/koncepcie" TargetMode="External"/><Relationship Id="rId2" Type="http://schemas.openxmlformats.org/officeDocument/2006/relationships/hyperlink" Target="https://www.alianciapas.sk/2019/03/25/dane-z-nehnutelnosti-sa-tento-rok-zvysili-len-v-styroch-mestach-poplatok-za-rozvoj-takmer-vobec/" TargetMode="External"/><Relationship Id="rId1" Type="http://schemas.openxmlformats.org/officeDocument/2006/relationships/hyperlink" Target="https://www.finance.gov.sk/sk/financie/institut-financnej-politiky/publikacie-ifp/komentare/22-lepsia-dan-z-nehnutelnosti-hrsti-nez-dan-z-prijmu-streche-november-2018.html" TargetMode="External"/><Relationship Id="rId6" Type="http://schemas.openxmlformats.org/officeDocument/2006/relationships/hyperlink" Target="https://rokovania.gov.sk/RVL/Material/21219/1" TargetMode="External"/><Relationship Id="rId5" Type="http://schemas.openxmlformats.org/officeDocument/2006/relationships/hyperlink" Target="http://www.minv.sk/?eso-efektivna-spolahliva-otvorena-verejna-sprava" TargetMode="External"/><Relationship Id="rId4" Type="http://schemas.openxmlformats.org/officeDocument/2006/relationships/hyperlink" Target="https://www.nbs.sk/sk/statisticke-udaje/vybrane-makroekonomicke-ukazovatele/ceny-nehnutelnosti-na-byvanie/ceny-nehnutelnosti-na-byvanie-podla-krajo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J:\Ekonomika\Fi&#353;kalna%20politika%20(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SYST&#201;MOV&#201;%20PRIE&#268;INKY\Desktop\&#353;kolstvo\Analytick&#253;%20koment&#225;r%20hospod&#225;renie\hospod&#225;renie%20AK%20MRA.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D:\MOJE%20DOKUMENTY\Rozpo&#269;et\Rozpo&#269;et%202020\Gestor\Stano\IG_Ukazovatele_Zdravie.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oleObject" Target="file:///D:\MOJE%20DOKUMENTY\Odbor%20rozpo&#269;tovej%20politiky\Rozpocet\Stanovisko%20k%20rozpoctu%202020\doprava\rozpocet%20schvaleny%20vs%20upraveny.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oleObject" Target="Zo&#353;it1" TargetMode="External"/><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H_rok_programu_Microsoft_Excel.xlsx"/><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Desktop\Stvrtrocna%20sprava%203Q%202019\V&#253;po&#269;ty%20EU.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Desktop\Pracovn&#233;%20zlo&#382;ky\Stanovisko%20RVS%202020\V&#253;po&#269;ty%20EU.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D:\MOJE%20DOKUMENTY\Odbor%20rozpo&#269;tovej%20politiky\Rozpocet\Stanovisko%20k%20rozpoctu%202020\Obce\prijmy%20SR%20vs.%20obce.xlsx" TargetMode="External"/><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oleObject" Target="file:///D:\MOJE%20DOKUMENTY\Odbor%20rozpo&#269;tovej%20politiky\Rozpocet\Stanovisko%20k%20rozpoctu%202020\Obce\K&#243;pia%20-%20Dane.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J:\Ekonomika\Fi&#353;kalna%20politika%20(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J:\Ekonomika\Fi&#353;kalna%20politika%20(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J:\Ekonomika\Fi&#353;kalna%20politika%20(2).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J:\Ekonomika\Fi&#353;kalna%20politika%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OJE%20DOKUMENTY\&#352;R\N&#225;vrh%20rozpo&#269;tu\gov_10a_exp.xls"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SYST&#201;MOV&#201;%20PRIE&#268;INKY\Desktop\Stanovisko%20k%20n&#225;vrhu%20&#352;R%20jese&#328;%202019\Programov&#225;%20&#353;trukt&#250;ra.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D:\SYST&#201;MOV&#201;%20PRIE&#268;INKY\Desktop\Stanovisko%20k%20n&#225;vrhu%20&#352;R%20jese&#328;%202019\Programov&#225;%20&#353;trukt&#250;ra.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SYST&#201;MOV&#201;%20PRIE&#268;INKY\Desktop\Stanovisko%20k%20n&#225;vrhu%20&#352;R%20jese&#328;%202019\Programov&#225;%20&#353;trukt&#250;r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445346724324932"/>
          <c:y val="0.12806916426512968"/>
          <c:w val="0.6893602186131027"/>
          <c:h val="0.82654110599287478"/>
        </c:manualLayout>
      </c:layout>
      <c:barChart>
        <c:barDir val="bar"/>
        <c:grouping val="clustered"/>
        <c:varyColors val="0"/>
        <c:ser>
          <c:idx val="14"/>
          <c:order val="14"/>
          <c:tx>
            <c:strRef>
              <c:f>Makro!$Q$1</c:f>
              <c:strCache>
                <c:ptCount val="1"/>
                <c:pt idx="0">
                  <c:v>2019 OS</c:v>
                </c:pt>
              </c:strCache>
            </c:strRef>
          </c:tx>
          <c:spPr>
            <a:solidFill>
              <a:srgbClr val="00B0F0"/>
            </a:solidFill>
            <a:ln w="3175">
              <a:solidFill>
                <a:srgbClr val="002060"/>
              </a:solidFill>
            </a:ln>
          </c:spPr>
          <c:invertIfNegative val="0"/>
          <c:cat>
            <c:strRef>
              <c:f>Makro!$A$2:$A$20</c:f>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extLst/>
            </c:strRef>
          </c:cat>
          <c:val>
            <c:numRef>
              <c:f>Makro!$Q$2:$Q$20</c:f>
              <c:numCache>
                <c:formatCode>#,##0.00</c:formatCode>
                <c:ptCount val="10"/>
                <c:pt idx="0">
                  <c:v>2.4392674584721163</c:v>
                </c:pt>
                <c:pt idx="1">
                  <c:v>1.6894542228597098</c:v>
                </c:pt>
                <c:pt idx="2">
                  <c:v>3.0969091498085133</c:v>
                </c:pt>
                <c:pt idx="3">
                  <c:v>1.9061886091405134</c:v>
                </c:pt>
                <c:pt idx="4">
                  <c:v>2.7857415455792012</c:v>
                </c:pt>
                <c:pt idx="5">
                  <c:v>3.183530668957979</c:v>
                </c:pt>
                <c:pt idx="6">
                  <c:v>7.4037512339585332</c:v>
                </c:pt>
                <c:pt idx="7">
                  <c:v>4.798218248177144</c:v>
                </c:pt>
                <c:pt idx="8">
                  <c:v>5.7997315397281968</c:v>
                </c:pt>
                <c:pt idx="9">
                  <c:v>2.4862378667651841</c:v>
                </c:pt>
              </c:numCache>
              <c:extLst/>
            </c:numRef>
          </c:val>
          <c:extLst xmlns:c15="http://schemas.microsoft.com/office/drawing/2012/chart">
            <c:ext xmlns:c16="http://schemas.microsoft.com/office/drawing/2014/chart" uri="{C3380CC4-5D6E-409C-BE32-E72D297353CC}">
              <c16:uniqueId val="{00000000-8441-4BC9-BAFD-56A075DA39D2}"/>
            </c:ext>
          </c:extLst>
        </c:ser>
        <c:ser>
          <c:idx val="17"/>
          <c:order val="17"/>
          <c:tx>
            <c:strRef>
              <c:f>Makro!$T$1</c:f>
              <c:strCache>
                <c:ptCount val="1"/>
                <c:pt idx="0">
                  <c:v>2020 RVS</c:v>
                </c:pt>
              </c:strCache>
              <c:extLst xmlns:c15="http://schemas.microsoft.com/office/drawing/2012/chart"/>
            </c:strRef>
          </c:tx>
          <c:spPr>
            <a:solidFill>
              <a:schemeClr val="accent1">
                <a:lumMod val="20000"/>
                <a:lumOff val="80000"/>
              </a:schemeClr>
            </a:solidFill>
            <a:ln w="3175">
              <a:solidFill>
                <a:srgbClr val="002060"/>
              </a:solidFill>
            </a:ln>
            <a:effectLst/>
          </c:spPr>
          <c:invertIfNegative val="0"/>
          <c:dLbls>
            <c:dLbl>
              <c:idx val="2"/>
              <c:layout>
                <c:manualLayout>
                  <c:x val="0"/>
                  <c:y val="-5.7636887608069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41-4BC9-BAFD-56A075DA39D2}"/>
                </c:ext>
              </c:extLst>
            </c:dLbl>
            <c:dLbl>
              <c:idx val="6"/>
              <c:layout>
                <c:manualLayout>
                  <c:x val="1.1180679785330867E-2"/>
                  <c:y val="-1.7291066282420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41-4BC9-BAFD-56A075DA39D2}"/>
                </c:ext>
              </c:extLst>
            </c:dLbl>
            <c:dLbl>
              <c:idx val="7"/>
              <c:layout>
                <c:manualLayout>
                  <c:x val="0"/>
                  <c:y val="-1.1526469854092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41-4BC9-BAFD-56A075DA39D2}"/>
                </c:ext>
              </c:extLst>
            </c:dLbl>
            <c:dLbl>
              <c:idx val="9"/>
              <c:layout>
                <c:manualLayout>
                  <c:x val="1.5652951699463326E-2"/>
                  <c:y val="-1.15273775216138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41-4BC9-BAFD-56A075DA39D2}"/>
                </c:ext>
              </c:extLst>
            </c:dLbl>
            <c:spPr>
              <a:noFill/>
              <a:ln>
                <a:noFill/>
              </a:ln>
              <a:effectLst/>
            </c:spPr>
            <c:txPr>
              <a:bodyPr wrap="square" lIns="38100" tIns="19050" rIns="38100" bIns="19050" anchor="ctr">
                <a:spAutoFit/>
              </a:bodyPr>
              <a:lstStyle/>
              <a:p>
                <a:pPr>
                  <a:defRPr sz="800" b="1">
                    <a:solidFill>
                      <a:srgbClr val="002060"/>
                    </a:solidFill>
                    <a:latin typeface="Arial Narrow" panose="020B060602020203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Makro!$A$2:$A$20</c:f>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extLst/>
            </c:strRef>
          </c:cat>
          <c:val>
            <c:numRef>
              <c:f>Makro!$T$2:$T$20</c:f>
              <c:numCache>
                <c:formatCode>#,##0.00</c:formatCode>
                <c:ptCount val="10"/>
                <c:pt idx="0">
                  <c:v>2.259557831390957</c:v>
                </c:pt>
                <c:pt idx="1">
                  <c:v>2.1111794526583516</c:v>
                </c:pt>
                <c:pt idx="2">
                  <c:v>1.0995792832004359</c:v>
                </c:pt>
                <c:pt idx="3">
                  <c:v>3.6269152691642326</c:v>
                </c:pt>
                <c:pt idx="4">
                  <c:v>5.3154818982999563</c:v>
                </c:pt>
                <c:pt idx="5">
                  <c:v>4.1090703800110706</c:v>
                </c:pt>
                <c:pt idx="6">
                  <c:v>4.6875</c:v>
                </c:pt>
                <c:pt idx="7">
                  <c:v>2.5460553408336972</c:v>
                </c:pt>
                <c:pt idx="8">
                  <c:v>5.8473549675285579</c:v>
                </c:pt>
                <c:pt idx="9">
                  <c:v>2.0882759966229569</c:v>
                </c:pt>
              </c:numCache>
              <c:extLst/>
            </c:numRef>
          </c:val>
          <c:extLst xmlns:c15="http://schemas.microsoft.com/office/drawing/2012/chart">
            <c:ext xmlns:c16="http://schemas.microsoft.com/office/drawing/2014/chart" uri="{C3380CC4-5D6E-409C-BE32-E72D297353CC}">
              <c16:uniqueId val="{00000005-8441-4BC9-BAFD-56A075DA39D2}"/>
            </c:ext>
          </c:extLst>
        </c:ser>
        <c:dLbls>
          <c:showLegendKey val="0"/>
          <c:showVal val="0"/>
          <c:showCatName val="0"/>
          <c:showSerName val="0"/>
          <c:showPercent val="0"/>
          <c:showBubbleSize val="0"/>
        </c:dLbls>
        <c:gapWidth val="95"/>
        <c:axId val="72446720"/>
        <c:axId val="72448256"/>
        <c:extLst>
          <c:ext xmlns:c15="http://schemas.microsoft.com/office/drawing/2012/chart" uri="{02D57815-91ED-43cb-92C2-25804820EDAC}">
            <c15:filteredBarSeries>
              <c15:ser>
                <c:idx val="0"/>
                <c:order val="0"/>
                <c:tx>
                  <c:strRef>
                    <c:extLst>
                      <c:ext uri="{02D57815-91ED-43cb-92C2-25804820EDAC}">
                        <c15:formulaRef>
                          <c15:sqref>Makro!$B$1</c15:sqref>
                        </c15:formulaRef>
                      </c:ext>
                    </c:extLst>
                    <c:strCache>
                      <c:ptCount val="1"/>
                      <c:pt idx="0">
                        <c:v>2006</c:v>
                      </c:pt>
                    </c:strCache>
                  </c:strRef>
                </c:tx>
                <c:spPr>
                  <a:solidFill>
                    <a:schemeClr val="accent1"/>
                  </a:solidFill>
                  <a:ln>
                    <a:noFill/>
                  </a:ln>
                  <a:effectLst/>
                </c:spPr>
                <c:invertIfNegative val="0"/>
                <c:cat>
                  <c:strRef>
                    <c:extLst>
                      <c:ex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c:ext uri="{02D57815-91ED-43cb-92C2-25804820EDAC}">
                        <c15:formulaRef>
                          <c15:sqref>Makro!$B$2:$B$20</c15:sqref>
                        </c15:formulaRef>
                      </c:ext>
                    </c:extLst>
                    <c:numCache>
                      <c:formatCode>#,##0.00</c:formatCode>
                      <c:ptCount val="10"/>
                      <c:pt idx="0">
                        <c:v>8.4855095035850638</c:v>
                      </c:pt>
                      <c:pt idx="1">
                        <c:v>5.927081588054306</c:v>
                      </c:pt>
                      <c:pt idx="2">
                        <c:v>9.3793782400670267</c:v>
                      </c:pt>
                      <c:pt idx="3">
                        <c:v>9.0760641264232333</c:v>
                      </c:pt>
                      <c:pt idx="4">
                        <c:v>22.919442302347704</c:v>
                      </c:pt>
                      <c:pt idx="5">
                        <c:v>19.536501509008719</c:v>
                      </c:pt>
                      <c:pt idx="6">
                        <c:v>8.6084514902596823</c:v>
                      </c:pt>
                      <c:pt idx="7">
                        <c:v>3.9613480371885279</c:v>
                      </c:pt>
                      <c:pt idx="8">
                        <c:v>13.311163188220581</c:v>
                      </c:pt>
                      <c:pt idx="9">
                        <c:v>4.4792132320071731</c:v>
                      </c:pt>
                    </c:numCache>
                  </c:numRef>
                </c:val>
                <c:extLst>
                  <c:ext xmlns:c16="http://schemas.microsoft.com/office/drawing/2014/chart" uri="{C3380CC4-5D6E-409C-BE32-E72D297353CC}">
                    <c16:uniqueId val="{00000006-8441-4BC9-BAFD-56A075DA39D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Makro!$C$1</c15:sqref>
                        </c15:formulaRef>
                      </c:ext>
                    </c:extLst>
                    <c:strCache>
                      <c:ptCount val="1"/>
                      <c:pt idx="0">
                        <c:v>2007</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Makro!$C$2:$C$20</c15:sqref>
                        </c15:formulaRef>
                      </c:ext>
                    </c:extLst>
                    <c:numCache>
                      <c:formatCode>#,##0.00</c:formatCode>
                      <c:ptCount val="10"/>
                      <c:pt idx="0">
                        <c:v>10.834435814295041</c:v>
                      </c:pt>
                      <c:pt idx="1">
                        <c:v>7.6778480892242262</c:v>
                      </c:pt>
                      <c:pt idx="2">
                        <c:v>0.27645105613807175</c:v>
                      </c:pt>
                      <c:pt idx="3">
                        <c:v>8.8719617775610438</c:v>
                      </c:pt>
                      <c:pt idx="4">
                        <c:v>14.602307591380303</c:v>
                      </c:pt>
                      <c:pt idx="5">
                        <c:v>9.443872199336889</c:v>
                      </c:pt>
                      <c:pt idx="6">
                        <c:v>7.3817743877960806</c:v>
                      </c:pt>
                      <c:pt idx="7">
                        <c:v>4.6179702168317238</c:v>
                      </c:pt>
                      <c:pt idx="8">
                        <c:v>11.019318200577677</c:v>
                      </c:pt>
                      <c:pt idx="9">
                        <c:v>2.7639911004620821</c:v>
                      </c:pt>
                    </c:numCache>
                  </c:numRef>
                </c:val>
                <c:extLst xmlns:c15="http://schemas.microsoft.com/office/drawing/2012/chart">
                  <c:ext xmlns:c16="http://schemas.microsoft.com/office/drawing/2014/chart" uri="{C3380CC4-5D6E-409C-BE32-E72D297353CC}">
                    <c16:uniqueId val="{00000007-8441-4BC9-BAFD-56A075DA39D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Makro!$D$1</c15:sqref>
                        </c15:formulaRef>
                      </c:ext>
                    </c:extLst>
                    <c:strCache>
                      <c:ptCount val="1"/>
                      <c:pt idx="0">
                        <c:v>2008</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Makro!$D$2:$D$20</c15:sqref>
                        </c15:formulaRef>
                      </c:ext>
                    </c:extLst>
                    <c:numCache>
                      <c:formatCode>#,##0.00</c:formatCode>
                      <c:ptCount val="10"/>
                      <c:pt idx="0">
                        <c:v>5.6527220089285679</c:v>
                      </c:pt>
                      <c:pt idx="1">
                        <c:v>6.007414251475085</c:v>
                      </c:pt>
                      <c:pt idx="2">
                        <c:v>6.6859259765169821</c:v>
                      </c:pt>
                      <c:pt idx="3">
                        <c:v>1.5907811454365595</c:v>
                      </c:pt>
                      <c:pt idx="4">
                        <c:v>3.0192405397503563</c:v>
                      </c:pt>
                      <c:pt idx="5">
                        <c:v>3.567981583976243</c:v>
                      </c:pt>
                      <c:pt idx="6">
                        <c:v>8.1214858236631002</c:v>
                      </c:pt>
                      <c:pt idx="7">
                        <c:v>3.3182202778708536</c:v>
                      </c:pt>
                      <c:pt idx="8">
                        <c:v>9.5710009728722696</c:v>
                      </c:pt>
                      <c:pt idx="9">
                        <c:v>4.5876307055422894</c:v>
                      </c:pt>
                    </c:numCache>
                  </c:numRef>
                </c:val>
                <c:extLst xmlns:c15="http://schemas.microsoft.com/office/drawing/2012/chart">
                  <c:ext xmlns:c16="http://schemas.microsoft.com/office/drawing/2014/chart" uri="{C3380CC4-5D6E-409C-BE32-E72D297353CC}">
                    <c16:uniqueId val="{00000008-8441-4BC9-BAFD-56A075DA39D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Makro!$E$1</c15:sqref>
                        </c15:formulaRef>
                      </c:ext>
                    </c:extLst>
                    <c:strCache>
                      <c:ptCount val="1"/>
                      <c:pt idx="0">
                        <c:v>2009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Makro!$E$2:$E$20</c15:sqref>
                        </c15:formulaRef>
                      </c:ext>
                    </c:extLst>
                    <c:numCache>
                      <c:formatCode>#,##0.00</c:formatCode>
                      <c:ptCount val="10"/>
                      <c:pt idx="0">
                        <c:v>-5.4913167953359316</c:v>
                      </c:pt>
                      <c:pt idx="1">
                        <c:v>-0.56922555146106113</c:v>
                      </c:pt>
                      <c:pt idx="2">
                        <c:v>5.9936658821046152</c:v>
                      </c:pt>
                      <c:pt idx="3">
                        <c:v>-18.680436879515248</c:v>
                      </c:pt>
                      <c:pt idx="4">
                        <c:v>-16.763632835839569</c:v>
                      </c:pt>
                      <c:pt idx="5">
                        <c:v>-18.766480697297816</c:v>
                      </c:pt>
                      <c:pt idx="6">
                        <c:v>3.0386014411573514</c:v>
                      </c:pt>
                      <c:pt idx="7">
                        <c:v>1.3885136997569214</c:v>
                      </c:pt>
                      <c:pt idx="8">
                        <c:v>12.044517174121351</c:v>
                      </c:pt>
                      <c:pt idx="9">
                        <c:v>1.6236443564851655</c:v>
                      </c:pt>
                    </c:numCache>
                  </c:numRef>
                </c:val>
                <c:extLst xmlns:c15="http://schemas.microsoft.com/office/drawing/2012/chart">
                  <c:ext xmlns:c16="http://schemas.microsoft.com/office/drawing/2014/chart" uri="{C3380CC4-5D6E-409C-BE32-E72D297353CC}">
                    <c16:uniqueId val="{00000009-8441-4BC9-BAFD-56A075DA39D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Makro!$F$1</c15:sqref>
                        </c15:formulaRef>
                      </c:ext>
                    </c:extLst>
                    <c:strCache>
                      <c:ptCount val="1"/>
                      <c:pt idx="0">
                        <c:v>2010</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Makro!$F$2:$F$20</c15:sqref>
                        </c15:formulaRef>
                      </c:ext>
                    </c:extLst>
                    <c:numCache>
                      <c:formatCode>#,##0.00</c:formatCode>
                      <c:ptCount val="10"/>
                      <c:pt idx="0">
                        <c:v>5.0818680010347839</c:v>
                      </c:pt>
                      <c:pt idx="1">
                        <c:v>0.41308181324388737</c:v>
                      </c:pt>
                      <c:pt idx="2">
                        <c:v>1.7975186216524275</c:v>
                      </c:pt>
                      <c:pt idx="3">
                        <c:v>7.2431338201529583</c:v>
                      </c:pt>
                      <c:pt idx="4">
                        <c:v>15.734681592918243</c:v>
                      </c:pt>
                      <c:pt idx="5">
                        <c:v>14.719176054104043</c:v>
                      </c:pt>
                      <c:pt idx="6">
                        <c:v>3.2214765100671228</c:v>
                      </c:pt>
                      <c:pt idx="7">
                        <c:v>2.1999999999999997</c:v>
                      </c:pt>
                      <c:pt idx="8">
                        <c:v>14.374705830267972</c:v>
                      </c:pt>
                      <c:pt idx="9">
                        <c:v>0.96309892889521187</c:v>
                      </c:pt>
                    </c:numCache>
                  </c:numRef>
                </c:val>
                <c:extLst xmlns:c15="http://schemas.microsoft.com/office/drawing/2012/chart">
                  <c:ext xmlns:c16="http://schemas.microsoft.com/office/drawing/2014/chart" uri="{C3380CC4-5D6E-409C-BE32-E72D297353CC}">
                    <c16:uniqueId val="{0000000A-8441-4BC9-BAFD-56A075DA39D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Makro!$G$1</c15:sqref>
                        </c15:formulaRef>
                      </c:ext>
                    </c:extLst>
                    <c:strCache>
                      <c:ptCount val="1"/>
                      <c:pt idx="0">
                        <c:v>2011</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Makro!$G$2:$G$20</c15:sqref>
                        </c15:formulaRef>
                      </c:ext>
                    </c:extLst>
                    <c:numCache>
                      <c:formatCode>#,##0.00</c:formatCode>
                      <c:ptCount val="10"/>
                      <c:pt idx="0">
                        <c:v>2.8418730089488253</c:v>
                      </c:pt>
                      <c:pt idx="1">
                        <c:v>-0.58011709747891604</c:v>
                      </c:pt>
                      <c:pt idx="2">
                        <c:v>-1.7076966853010633</c:v>
                      </c:pt>
                      <c:pt idx="3">
                        <c:v>12.653689871478635</c:v>
                      </c:pt>
                      <c:pt idx="4">
                        <c:v>12.007688935085525</c:v>
                      </c:pt>
                      <c:pt idx="5">
                        <c:v>9.6423647837468494</c:v>
                      </c:pt>
                      <c:pt idx="6">
                        <c:v>2.2106631989596837</c:v>
                      </c:pt>
                      <c:pt idx="7">
                        <c:v>-1.6</c:v>
                      </c:pt>
                      <c:pt idx="8">
                        <c:v>13.600000000000001</c:v>
                      </c:pt>
                      <c:pt idx="9">
                        <c:v>3.908765900839728</c:v>
                      </c:pt>
                    </c:numCache>
                  </c:numRef>
                </c:val>
                <c:extLst xmlns:c15="http://schemas.microsoft.com/office/drawing/2012/chart">
                  <c:ext xmlns:c16="http://schemas.microsoft.com/office/drawing/2014/chart" uri="{C3380CC4-5D6E-409C-BE32-E72D297353CC}">
                    <c16:uniqueId val="{0000000B-8441-4BC9-BAFD-56A075DA39D2}"/>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Makro!$H$1</c15:sqref>
                        </c15:formulaRef>
                      </c:ext>
                    </c:extLst>
                    <c:strCache>
                      <c:ptCount val="1"/>
                      <c:pt idx="0">
                        <c:v>2012</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Makro!$H$2:$H$20</c15:sqref>
                        </c15:formulaRef>
                      </c:ext>
                    </c:extLst>
                    <c:numCache>
                      <c:formatCode>#,##0.00</c:formatCode>
                      <c:ptCount val="10"/>
                      <c:pt idx="0">
                        <c:v>1.5233614737102386</c:v>
                      </c:pt>
                      <c:pt idx="1">
                        <c:v>-0.41938623514099493</c:v>
                      </c:pt>
                      <c:pt idx="2">
                        <c:v>-2.6031551088731342</c:v>
                      </c:pt>
                      <c:pt idx="3">
                        <c:v>-9.236957498647925</c:v>
                      </c:pt>
                      <c:pt idx="4">
                        <c:v>9.3065154476330783</c:v>
                      </c:pt>
                      <c:pt idx="5">
                        <c:v>2.53902025585655</c:v>
                      </c:pt>
                      <c:pt idx="6">
                        <c:v>2.4173027989821794</c:v>
                      </c:pt>
                      <c:pt idx="7">
                        <c:v>-1.2</c:v>
                      </c:pt>
                      <c:pt idx="8">
                        <c:v>14.000000000000002</c:v>
                      </c:pt>
                      <c:pt idx="9">
                        <c:v>3.6150362463793773</c:v>
                      </c:pt>
                    </c:numCache>
                  </c:numRef>
                </c:val>
                <c:extLst xmlns:c15="http://schemas.microsoft.com/office/drawing/2012/chart">
                  <c:ext xmlns:c16="http://schemas.microsoft.com/office/drawing/2014/chart" uri="{C3380CC4-5D6E-409C-BE32-E72D297353CC}">
                    <c16:uniqueId val="{0000000C-8441-4BC9-BAFD-56A075DA39D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Makro!$I$1</c15:sqref>
                        </c15:formulaRef>
                      </c:ext>
                    </c:extLst>
                    <c:strCache>
                      <c:ptCount val="1"/>
                      <c:pt idx="0">
                        <c:v>2013</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Makro!$I$2:$I$20</c15:sqref>
                        </c15:formulaRef>
                      </c:ext>
                    </c:extLst>
                    <c:numCache>
                      <c:formatCode>#,##0.00</c:formatCode>
                      <c:ptCount val="10"/>
                      <c:pt idx="0">
                        <c:v>1.4</c:v>
                      </c:pt>
                      <c:pt idx="1">
                        <c:v>-0.8</c:v>
                      </c:pt>
                      <c:pt idx="2">
                        <c:v>2.2000000000000002</c:v>
                      </c:pt>
                      <c:pt idx="3">
                        <c:v>-1.1000000000000001</c:v>
                      </c:pt>
                      <c:pt idx="4">
                        <c:v>6.2</c:v>
                      </c:pt>
                      <c:pt idx="5">
                        <c:v>5.0999999999999996</c:v>
                      </c:pt>
                      <c:pt idx="6">
                        <c:v>2.4</c:v>
                      </c:pt>
                      <c:pt idx="7">
                        <c:v>1</c:v>
                      </c:pt>
                      <c:pt idx="8">
                        <c:v>14.2</c:v>
                      </c:pt>
                      <c:pt idx="9">
                        <c:v>1.4</c:v>
                      </c:pt>
                    </c:numCache>
                  </c:numRef>
                </c:val>
                <c:extLst xmlns:c15="http://schemas.microsoft.com/office/drawing/2012/chart">
                  <c:ext xmlns:c16="http://schemas.microsoft.com/office/drawing/2014/chart" uri="{C3380CC4-5D6E-409C-BE32-E72D297353CC}">
                    <c16:uniqueId val="{0000000D-8441-4BC9-BAFD-56A075DA39D2}"/>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Makro!$J$1</c15:sqref>
                        </c15:formulaRef>
                      </c:ext>
                    </c:extLst>
                    <c:strCache>
                      <c:ptCount val="1"/>
                      <c:pt idx="0">
                        <c:v>2014</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Makro!$J$2:$J$20</c15:sqref>
                        </c15:formulaRef>
                      </c:ext>
                    </c:extLst>
                    <c:numCache>
                      <c:formatCode>#,##0.00</c:formatCode>
                      <c:ptCount val="10"/>
                      <c:pt idx="0">
                        <c:v>2.5219335874674398</c:v>
                      </c:pt>
                      <c:pt idx="1">
                        <c:v>2.3531050027769673</c:v>
                      </c:pt>
                      <c:pt idx="2">
                        <c:v>5.9486626143724797</c:v>
                      </c:pt>
                      <c:pt idx="3">
                        <c:v>3.4938290919412029</c:v>
                      </c:pt>
                      <c:pt idx="4">
                        <c:v>3.633376635008978</c:v>
                      </c:pt>
                      <c:pt idx="5">
                        <c:v>4.2612003682173549</c:v>
                      </c:pt>
                      <c:pt idx="6">
                        <c:v>4.0999999999999996</c:v>
                      </c:pt>
                      <c:pt idx="7">
                        <c:v>4.2</c:v>
                      </c:pt>
                      <c:pt idx="8">
                        <c:v>13.2</c:v>
                      </c:pt>
                      <c:pt idx="9">
                        <c:v>-0.1</c:v>
                      </c:pt>
                    </c:numCache>
                  </c:numRef>
                </c:val>
                <c:extLst xmlns:c15="http://schemas.microsoft.com/office/drawing/2012/chart">
                  <c:ext xmlns:c16="http://schemas.microsoft.com/office/drawing/2014/chart" uri="{C3380CC4-5D6E-409C-BE32-E72D297353CC}">
                    <c16:uniqueId val="{0000000E-8441-4BC9-BAFD-56A075DA39D2}"/>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Makro!$K$1</c15:sqref>
                        </c15:formulaRef>
                      </c:ext>
                    </c:extLst>
                    <c:strCache>
                      <c:ptCount val="1"/>
                      <c:pt idx="0">
                        <c:v>2015</c:v>
                      </c:pt>
                    </c:strCache>
                  </c:strRef>
                </c:tx>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Makro!$K$2:$K$20</c15:sqref>
                        </c15:formulaRef>
                      </c:ext>
                    </c:extLst>
                    <c:numCache>
                      <c:formatCode>#,##0.00</c:formatCode>
                      <c:ptCount val="10"/>
                      <c:pt idx="0">
                        <c:v>3.8501006044002306</c:v>
                      </c:pt>
                      <c:pt idx="1">
                        <c:v>2.2688066928936657</c:v>
                      </c:pt>
                      <c:pt idx="2">
                        <c:v>5.4268914827961368</c:v>
                      </c:pt>
                      <c:pt idx="3">
                        <c:v>19.799853972634331</c:v>
                      </c:pt>
                      <c:pt idx="4">
                        <c:v>6.3940770536740965</c:v>
                      </c:pt>
                      <c:pt idx="5">
                        <c:v>8.3716421403442496</c:v>
                      </c:pt>
                      <c:pt idx="6">
                        <c:v>2.9137529137529095</c:v>
                      </c:pt>
                      <c:pt idx="7">
                        <c:v>3.2531979462785632</c:v>
                      </c:pt>
                      <c:pt idx="8">
                        <c:v>11.476974904772725</c:v>
                      </c:pt>
                      <c:pt idx="9">
                        <c:v>-0.32875013973152623</c:v>
                      </c:pt>
                    </c:numCache>
                  </c:numRef>
                </c:val>
                <c:extLst xmlns:c15="http://schemas.microsoft.com/office/drawing/2012/chart">
                  <c:ext xmlns:c16="http://schemas.microsoft.com/office/drawing/2014/chart" uri="{C3380CC4-5D6E-409C-BE32-E72D297353CC}">
                    <c16:uniqueId val="{0000000F-8441-4BC9-BAFD-56A075DA39D2}"/>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Makro!$L$1</c15:sqref>
                        </c15:formulaRef>
                      </c:ext>
                    </c:extLst>
                    <c:strCache>
                      <c:ptCount val="1"/>
                      <c:pt idx="0">
                        <c:v>2016</c:v>
                      </c:pt>
                    </c:strCache>
                  </c:strRef>
                </c:tx>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Makro!$L$2:$L$20</c15:sqref>
                        </c15:formulaRef>
                      </c:ext>
                    </c:extLst>
                    <c:numCache>
                      <c:formatCode>#,##0.00</c:formatCode>
                      <c:ptCount val="10"/>
                      <c:pt idx="0">
                        <c:v>3.1254101047196503</c:v>
                      </c:pt>
                      <c:pt idx="1">
                        <c:v>2.8992404580418407</c:v>
                      </c:pt>
                      <c:pt idx="2">
                        <c:v>1.6054719368641779</c:v>
                      </c:pt>
                      <c:pt idx="3">
                        <c:v>-9.367419690905777</c:v>
                      </c:pt>
                      <c:pt idx="4">
                        <c:v>5.5036489525588372</c:v>
                      </c:pt>
                      <c:pt idx="5">
                        <c:v>3.4151846426850874</c:v>
                      </c:pt>
                      <c:pt idx="6">
                        <c:v>3.2842582106455298</c:v>
                      </c:pt>
                      <c:pt idx="7">
                        <c:v>3.8235974497387248</c:v>
                      </c:pt>
                      <c:pt idx="8">
                        <c:v>9.6440535489591337</c:v>
                      </c:pt>
                      <c:pt idx="9">
                        <c:v>-0.51947654708679458</c:v>
                      </c:pt>
                    </c:numCache>
                  </c:numRef>
                </c:val>
                <c:extLst xmlns:c15="http://schemas.microsoft.com/office/drawing/2012/chart">
                  <c:ext xmlns:c16="http://schemas.microsoft.com/office/drawing/2014/chart" uri="{C3380CC4-5D6E-409C-BE32-E72D297353CC}">
                    <c16:uniqueId val="{00000010-8441-4BC9-BAFD-56A075DA39D2}"/>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Makro!$M$1</c15:sqref>
                        </c15:formulaRef>
                      </c:ext>
                    </c:extLst>
                    <c:strCache>
                      <c:ptCount val="1"/>
                      <c:pt idx="0">
                        <c:v>2017</c:v>
                      </c:pt>
                    </c:strCache>
                  </c:strRef>
                </c:tx>
                <c:spPr>
                  <a:solidFill>
                    <a:schemeClr val="accent1"/>
                  </a:solidFill>
                  <a:ln>
                    <a:solidFill>
                      <a:srgbClr val="002060"/>
                    </a:solid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Makro!$M$2:$M$20</c15:sqref>
                        </c15:formulaRef>
                      </c:ext>
                    </c:extLst>
                    <c:numCache>
                      <c:formatCode>#,##0.00</c:formatCode>
                      <c:ptCount val="10"/>
                      <c:pt idx="0">
                        <c:v>3.1883410545346269</c:v>
                      </c:pt>
                      <c:pt idx="1">
                        <c:v>3.5057542874366243</c:v>
                      </c:pt>
                      <c:pt idx="2">
                        <c:v>1.7212680295039195</c:v>
                      </c:pt>
                      <c:pt idx="3">
                        <c:v>3.4108677022780309</c:v>
                      </c:pt>
                      <c:pt idx="4">
                        <c:v>5.9049473479381609</c:v>
                      </c:pt>
                      <c:pt idx="5">
                        <c:v>5.3245130684623554</c:v>
                      </c:pt>
                      <c:pt idx="6">
                        <c:v>4.6052631578947345</c:v>
                      </c:pt>
                      <c:pt idx="7">
                        <c:v>3.2542980503483587</c:v>
                      </c:pt>
                      <c:pt idx="8">
                        <c:v>8.1310515723197394</c:v>
                      </c:pt>
                      <c:pt idx="9">
                        <c:v>1.3083863171367671</c:v>
                      </c:pt>
                    </c:numCache>
                  </c:numRef>
                </c:val>
                <c:extLst xmlns:c15="http://schemas.microsoft.com/office/drawing/2012/chart">
                  <c:ext xmlns:c16="http://schemas.microsoft.com/office/drawing/2014/chart" uri="{C3380CC4-5D6E-409C-BE32-E72D297353CC}">
                    <c16:uniqueId val="{00000011-8441-4BC9-BAFD-56A075DA39D2}"/>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Makro!$O$1</c15:sqref>
                        </c15:formulaRef>
                      </c:ext>
                    </c:extLst>
                    <c:strCache>
                      <c:ptCount val="1"/>
                      <c:pt idx="0">
                        <c:v>Rozdiel prognóza/OS</c:v>
                      </c:pt>
                    </c:strCache>
                  </c:strRef>
                </c:tx>
                <c:spPr>
                  <a:solidFill>
                    <a:schemeClr val="accent1">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Makro!$O$2:$O$20</c15:sqref>
                        </c15:formulaRef>
                      </c:ext>
                    </c:extLst>
                    <c:numCache>
                      <c:formatCode>#,##0.00</c:formatCode>
                      <c:ptCount val="10"/>
                      <c:pt idx="0">
                        <c:v>-1.7269890123362774</c:v>
                      </c:pt>
                      <c:pt idx="1">
                        <c:v>-1.2163889714371656</c:v>
                      </c:pt>
                      <c:pt idx="2">
                        <c:v>1.7555461957428298</c:v>
                      </c:pt>
                      <c:pt idx="3">
                        <c:v>-2.30572624643266</c:v>
                      </c:pt>
                      <c:pt idx="4">
                        <c:v>-5.0560037269331115</c:v>
                      </c:pt>
                      <c:pt idx="5">
                        <c:v>-3.6073457513726703</c:v>
                      </c:pt>
                      <c:pt idx="6">
                        <c:v>2.7624010229880591</c:v>
                      </c:pt>
                      <c:pt idx="7">
                        <c:v>1.9430738523531721</c:v>
                      </c:pt>
                      <c:pt idx="8">
                        <c:v>-1.5027372022386682</c:v>
                      </c:pt>
                      <c:pt idx="9">
                        <c:v>0.74180632317912831</c:v>
                      </c:pt>
                    </c:numCache>
                  </c:numRef>
                </c:val>
                <c:extLst xmlns:c15="http://schemas.microsoft.com/office/drawing/2012/chart">
                  <c:ext xmlns:c16="http://schemas.microsoft.com/office/drawing/2014/chart" uri="{C3380CC4-5D6E-409C-BE32-E72D297353CC}">
                    <c16:uniqueId val="{00000012-8441-4BC9-BAFD-56A075DA39D2}"/>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Makro!$P$1</c15:sqref>
                        </c15:formulaRef>
                      </c:ext>
                    </c:extLst>
                    <c:strCache>
                      <c:ptCount val="1"/>
                      <c:pt idx="0">
                        <c:v>2018 RVS</c:v>
                      </c:pt>
                    </c:strCache>
                  </c:strRef>
                </c:tx>
                <c:spPr>
                  <a:solidFill>
                    <a:schemeClr val="accent1">
                      <a:lumMod val="20000"/>
                      <a:lumOff val="80000"/>
                    </a:schemeClr>
                  </a:solidFill>
                  <a:ln>
                    <a:solidFill>
                      <a:srgbClr val="002060"/>
                    </a:solidFill>
                  </a:ln>
                  <a:effectLst/>
                </c:spPr>
                <c:invertIfNegative val="0"/>
                <c:dLbls>
                  <c:dLbl>
                    <c:idx val="0"/>
                    <c:tx>
                      <c:rich>
                        <a:bodyPr/>
                        <a:lstStyle/>
                        <a:p>
                          <a:r>
                            <a:rPr lang="en-US"/>
                            <a:t>- 0,09</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3-8441-4BC9-BAFD-56A075DA39D2}"/>
                      </c:ext>
                    </c:extLst>
                  </c:dLbl>
                  <c:dLbl>
                    <c:idx val="1"/>
                    <c:layout>
                      <c:manualLayout>
                        <c:x val="3.397031008272907E-2"/>
                        <c:y val="4.3859740004986887E-3"/>
                      </c:manualLayout>
                    </c:layout>
                    <c:tx>
                      <c:rich>
                        <a:bodyPr/>
                        <a:lstStyle/>
                        <a:p>
                          <a:r>
                            <a:rPr lang="en-US"/>
                            <a:t>0,05</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4-8441-4BC9-BAFD-56A075DA39D2}"/>
                      </c:ext>
                    </c:extLst>
                  </c:dLbl>
                  <c:dLbl>
                    <c:idx val="2"/>
                    <c:layout>
                      <c:manualLayout>
                        <c:x val="8.4925775206822676E-3"/>
                        <c:y val="0"/>
                      </c:manualLayout>
                    </c:layout>
                    <c:tx>
                      <c:rich>
                        <a:bodyPr/>
                        <a:lstStyle/>
                        <a:p>
                          <a:r>
                            <a:rPr lang="en-US"/>
                            <a:t>0,43</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5-8441-4BC9-BAFD-56A075DA39D2}"/>
                      </c:ext>
                    </c:extLst>
                  </c:dLbl>
                  <c:dLbl>
                    <c:idx val="3"/>
                    <c:layout>
                      <c:manualLayout>
                        <c:x val="2.1231443801705669E-3"/>
                        <c:y val="2.6315844002992132E-2"/>
                      </c:manualLayout>
                    </c:layout>
                    <c:tx>
                      <c:rich>
                        <a:bodyPr/>
                        <a:lstStyle/>
                        <a:p>
                          <a:r>
                            <a:rPr lang="en-US"/>
                            <a:t>5,35</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6-8441-4BC9-BAFD-56A075DA39D2}"/>
                      </c:ext>
                    </c:extLst>
                  </c:dLbl>
                  <c:dLbl>
                    <c:idx val="4"/>
                    <c:tx>
                      <c:rich>
                        <a:bodyPr/>
                        <a:lstStyle/>
                        <a:p>
                          <a:r>
                            <a:rPr lang="en-US"/>
                            <a:t>- 1,05</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7-8441-4BC9-BAFD-56A075DA39D2}"/>
                      </c:ext>
                    </c:extLst>
                  </c:dLbl>
                  <c:dLbl>
                    <c:idx val="5"/>
                    <c:layout>
                      <c:manualLayout>
                        <c:x val="2.123144380170567E-2"/>
                        <c:y val="-4.3859740004986887E-3"/>
                      </c:manualLayout>
                    </c:layout>
                    <c:tx>
                      <c:rich>
                        <a:bodyPr/>
                        <a:lstStyle/>
                        <a:p>
                          <a:r>
                            <a:rPr lang="en-US"/>
                            <a:t>- 0,14</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8-8441-4BC9-BAFD-56A075DA39D2}"/>
                      </c:ext>
                    </c:extLst>
                  </c:dLbl>
                  <c:dLbl>
                    <c:idx val="6"/>
                    <c:layout>
                      <c:manualLayout>
                        <c:x val="6.3694331405117011E-3"/>
                        <c:y val="2.6315844002992132E-2"/>
                      </c:manualLayout>
                    </c:layout>
                    <c:tx>
                      <c:rich>
                        <a:bodyPr/>
                        <a:lstStyle/>
                        <a:p>
                          <a:r>
                            <a:rPr lang="en-US"/>
                            <a:t>1,54</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9-8441-4BC9-BAFD-56A075DA39D2}"/>
                      </c:ext>
                    </c:extLst>
                  </c:dLbl>
                  <c:dLbl>
                    <c:idx val="7"/>
                    <c:layout>
                      <c:manualLayout>
                        <c:x val="2.1231443801705593E-2"/>
                        <c:y val="-4.385974000498608E-3"/>
                      </c:manualLayout>
                    </c:layout>
                    <c:tx>
                      <c:rich>
                        <a:bodyPr/>
                        <a:lstStyle/>
                        <a:p>
                          <a:r>
                            <a:rPr lang="en-US"/>
                            <a:t>0,71</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A-8441-4BC9-BAFD-56A075DA39D2}"/>
                      </c:ext>
                    </c:extLst>
                  </c:dLbl>
                  <c:dLbl>
                    <c:idx val="8"/>
                    <c:tx>
                      <c:rich>
                        <a:bodyPr/>
                        <a:lstStyle/>
                        <a:p>
                          <a:r>
                            <a:rPr lang="en-US"/>
                            <a:t>- 0,40</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B-8441-4BC9-BAFD-56A075DA39D2}"/>
                      </c:ext>
                    </c:extLst>
                  </c:dLbl>
                  <c:dLbl>
                    <c:idx val="9"/>
                    <c:layout>
                      <c:manualLayout>
                        <c:x val="5.0955465124093532E-2"/>
                        <c:y val="0"/>
                      </c:manualLayout>
                    </c:layout>
                    <c:tx>
                      <c:rich>
                        <a:bodyPr/>
                        <a:lstStyle/>
                        <a:p>
                          <a:r>
                            <a:rPr lang="en-US"/>
                            <a:t>0,79</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C-8441-4BC9-BAFD-56A075DA39D2}"/>
                      </c:ext>
                    </c:extLst>
                  </c:dLbl>
                  <c:spPr>
                    <a:noFill/>
                    <a:ln>
                      <a:noFill/>
                    </a:ln>
                    <a:effectLst/>
                  </c:sp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Makro!$P$2:$P$20</c15:sqref>
                        </c15:formulaRef>
                      </c:ext>
                    </c:extLst>
                    <c:numCache>
                      <c:formatCode>#,##0.00</c:formatCode>
                      <c:ptCount val="10"/>
                      <c:pt idx="0">
                        <c:v>4.1662564708083938</c:v>
                      </c:pt>
                      <c:pt idx="1">
                        <c:v>2.9058431942968754</c:v>
                      </c:pt>
                      <c:pt idx="2">
                        <c:v>1.3413629540656835</c:v>
                      </c:pt>
                      <c:pt idx="3">
                        <c:v>4.2119148555731734</c:v>
                      </c:pt>
                      <c:pt idx="4">
                        <c:v>7.8417452725123127</c:v>
                      </c:pt>
                      <c:pt idx="5">
                        <c:v>6.7908764203306493</c:v>
                      </c:pt>
                      <c:pt idx="6">
                        <c:v>4.6413502109704741</c:v>
                      </c:pt>
                      <c:pt idx="7">
                        <c:v>2.8551443958239719</c:v>
                      </c:pt>
                      <c:pt idx="8">
                        <c:v>7.302468741966865</c:v>
                      </c:pt>
                      <c:pt idx="9">
                        <c:v>1.7444315435860558</c:v>
                      </c:pt>
                    </c:numCache>
                  </c:numRef>
                </c:val>
                <c:extLst xmlns:c15="http://schemas.microsoft.com/office/drawing/2012/chart">
                  <c:ext xmlns:c16="http://schemas.microsoft.com/office/drawing/2014/chart" uri="{C3380CC4-5D6E-409C-BE32-E72D297353CC}">
                    <c16:uniqueId val="{0000001D-8441-4BC9-BAFD-56A075DA39D2}"/>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Makro!$R$1</c15:sqref>
                        </c15:formulaRef>
                      </c:ext>
                    </c:extLst>
                    <c:strCache>
                      <c:ptCount val="1"/>
                      <c:pt idx="0">
                        <c:v>Rozdiel 2019 RVS/OS</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Makro!$R$2:$R$20</c15:sqref>
                        </c15:formulaRef>
                      </c:ext>
                    </c:extLst>
                    <c:numCache>
                      <c:formatCode>#,##0.00</c:formatCode>
                      <c:ptCount val="10"/>
                      <c:pt idx="0">
                        <c:v>-0.17970962708115934</c:v>
                      </c:pt>
                      <c:pt idx="1">
                        <c:v>0.4217252297986418</c:v>
                      </c:pt>
                      <c:pt idx="2">
                        <c:v>-1.9973298666080774</c:v>
                      </c:pt>
                      <c:pt idx="3">
                        <c:v>1.7207266600237192</c:v>
                      </c:pt>
                      <c:pt idx="4">
                        <c:v>2.5297403527207551</c:v>
                      </c:pt>
                      <c:pt idx="5">
                        <c:v>0.92553971105309163</c:v>
                      </c:pt>
                      <c:pt idx="6">
                        <c:v>-2.7162512339585332</c:v>
                      </c:pt>
                      <c:pt idx="7">
                        <c:v>-2.2521629073434468</c:v>
                      </c:pt>
                      <c:pt idx="8">
                        <c:v>4.7623427800361107E-2</c:v>
                      </c:pt>
                      <c:pt idx="9">
                        <c:v>-0.39796187014222717</c:v>
                      </c:pt>
                    </c:numCache>
                  </c:numRef>
                </c:val>
                <c:extLst xmlns:c15="http://schemas.microsoft.com/office/drawing/2012/chart">
                  <c:ext xmlns:c16="http://schemas.microsoft.com/office/drawing/2014/chart" uri="{C3380CC4-5D6E-409C-BE32-E72D297353CC}">
                    <c16:uniqueId val="{0000001E-8441-4BC9-BAFD-56A075DA39D2}"/>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Makro!$S$1</c15:sqref>
                        </c15:formulaRef>
                      </c:ext>
                    </c:extLst>
                    <c:strCache>
                      <c:ptCount val="1"/>
                      <c:pt idx="0">
                        <c:v>2019 RVS</c:v>
                      </c:pt>
                    </c:strCache>
                  </c:strRef>
                </c:tx>
                <c:spPr>
                  <a:solidFill>
                    <a:srgbClr val="92D050"/>
                  </a:solidFill>
                  <a:ln>
                    <a:solidFill>
                      <a:srgbClr val="002060"/>
                    </a:solid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Makro!$S$2:$S$20</c15:sqref>
                        </c15:formulaRef>
                      </c:ext>
                    </c:extLst>
                    <c:numCache>
                      <c:formatCode>#,##0.00</c:formatCode>
                      <c:ptCount val="10"/>
                      <c:pt idx="0">
                        <c:v>4.4995126620853032</c:v>
                      </c:pt>
                      <c:pt idx="1">
                        <c:v>2.8540125387920057</c:v>
                      </c:pt>
                      <c:pt idx="2">
                        <c:v>1.5846149524220365</c:v>
                      </c:pt>
                      <c:pt idx="3">
                        <c:v>3.199436296278102</c:v>
                      </c:pt>
                      <c:pt idx="4">
                        <c:v>7.691391413757831</c:v>
                      </c:pt>
                      <c:pt idx="5">
                        <c:v>6.2803528747001236</c:v>
                      </c:pt>
                      <c:pt idx="6">
                        <c:v>4.8387096774193505</c:v>
                      </c:pt>
                      <c:pt idx="7">
                        <c:v>2.9044370445538759</c:v>
                      </c:pt>
                      <c:pt idx="8">
                        <c:v>6.6995482211739326</c:v>
                      </c:pt>
                      <c:pt idx="9">
                        <c:v>2.5</c:v>
                      </c:pt>
                    </c:numCache>
                  </c:numRef>
                </c:val>
                <c:extLst xmlns:c15="http://schemas.microsoft.com/office/drawing/2012/chart">
                  <c:ext xmlns:c16="http://schemas.microsoft.com/office/drawing/2014/chart" uri="{C3380CC4-5D6E-409C-BE32-E72D297353CC}">
                    <c16:uniqueId val="{0000001F-8441-4BC9-BAFD-56A075DA39D2}"/>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Makro!$U$1</c15:sqref>
                        </c15:formulaRef>
                      </c:ext>
                    </c:extLst>
                    <c:strCache>
                      <c:ptCount val="1"/>
                      <c:pt idx="0">
                        <c:v>2021 RVS</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Makro!$U$2:$U$20</c15:sqref>
                        </c15:formulaRef>
                      </c:ext>
                    </c:extLst>
                    <c:numCache>
                      <c:formatCode>#,##0.00</c:formatCode>
                      <c:ptCount val="10"/>
                      <c:pt idx="0">
                        <c:v>2.7617960700955679</c:v>
                      </c:pt>
                      <c:pt idx="1">
                        <c:v>2.5198432392619319</c:v>
                      </c:pt>
                      <c:pt idx="2">
                        <c:v>1.2627810619642466</c:v>
                      </c:pt>
                      <c:pt idx="3">
                        <c:v>3.3194405465788446</c:v>
                      </c:pt>
                      <c:pt idx="4">
                        <c:v>4.6149411212360381</c:v>
                      </c:pt>
                      <c:pt idx="5">
                        <c:v>3.8312441304994671</c:v>
                      </c:pt>
                      <c:pt idx="6">
                        <c:v>5.0921861281826075</c:v>
                      </c:pt>
                      <c:pt idx="7">
                        <c:v>2.8760732675312539</c:v>
                      </c:pt>
                      <c:pt idx="8">
                        <c:v>5.7886503274996377</c:v>
                      </c:pt>
                      <c:pt idx="9">
                        <c:v>2.1541577067082596</c:v>
                      </c:pt>
                    </c:numCache>
                  </c:numRef>
                </c:val>
                <c:extLst xmlns:c15="http://schemas.microsoft.com/office/drawing/2012/chart">
                  <c:ext xmlns:c16="http://schemas.microsoft.com/office/drawing/2014/chart" uri="{C3380CC4-5D6E-409C-BE32-E72D297353CC}">
                    <c16:uniqueId val="{00000020-8441-4BC9-BAFD-56A075DA39D2}"/>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Makro!$V$1</c15:sqref>
                        </c15:formulaRef>
                      </c:ext>
                    </c:extLst>
                    <c:strCache>
                      <c:ptCount val="1"/>
                      <c:pt idx="0">
                        <c:v>Zas. Sep. 2015 odhad 2015</c:v>
                      </c:pt>
                    </c:strCache>
                  </c:strRef>
                </c:tx>
                <c:spPr>
                  <a:solidFill>
                    <a:schemeClr val="accent5">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Makro!$V$2:$V$20</c15:sqref>
                        </c15:formulaRef>
                      </c:ext>
                    </c:extLst>
                    <c:numCache>
                      <c:formatCode>#,##0.00</c:formatCode>
                      <c:ptCount val="10"/>
                      <c:pt idx="0">
                        <c:v>3.2115190127860682</c:v>
                      </c:pt>
                      <c:pt idx="1">
                        <c:v>2.0514370433113438</c:v>
                      </c:pt>
                      <c:pt idx="2">
                        <c:v>3.4026462493317755</c:v>
                      </c:pt>
                      <c:pt idx="3">
                        <c:v>7.5707944658332416</c:v>
                      </c:pt>
                      <c:pt idx="4">
                        <c:v>6.0598996687273088</c:v>
                      </c:pt>
                      <c:pt idx="5">
                        <c:v>7.0669788904707209</c:v>
                      </c:pt>
                      <c:pt idx="6">
                        <c:v>2.4475524475524368</c:v>
                      </c:pt>
                      <c:pt idx="7">
                        <c:v>2.5416647060649389</c:v>
                      </c:pt>
                      <c:pt idx="8">
                        <c:v>11.515953965753306</c:v>
                      </c:pt>
                      <c:pt idx="9">
                        <c:v>-0.2</c:v>
                      </c:pt>
                    </c:numCache>
                  </c:numRef>
                </c:val>
                <c:extLst xmlns:c15="http://schemas.microsoft.com/office/drawing/2012/chart">
                  <c:ext xmlns:c16="http://schemas.microsoft.com/office/drawing/2014/chart" uri="{C3380CC4-5D6E-409C-BE32-E72D297353CC}">
                    <c16:uniqueId val="{00000021-8441-4BC9-BAFD-56A075DA39D2}"/>
                  </c:ext>
                </c:extLst>
              </c15:ser>
            </c15:filteredBarSeries>
            <c15:filteredBarSeries>
              <c15:ser>
                <c:idx val="20"/>
                <c:order val="20"/>
                <c:tx>
                  <c:strRef>
                    <c:extLst xmlns:c15="http://schemas.microsoft.com/office/drawing/2012/chart">
                      <c:ext xmlns:c15="http://schemas.microsoft.com/office/drawing/2012/chart" uri="{02D57815-91ED-43cb-92C2-25804820EDAC}">
                        <c15:formulaRef>
                          <c15:sqref>Makro!$W$1</c15:sqref>
                        </c15:formulaRef>
                      </c:ext>
                    </c:extLst>
                    <c:strCache>
                      <c:ptCount val="1"/>
                      <c:pt idx="0">
                        <c:v>Zasad. Sep. 2015 odhad 2016</c:v>
                      </c:pt>
                    </c:strCache>
                  </c:strRef>
                </c:tx>
                <c:spPr>
                  <a:solidFill>
                    <a:schemeClr val="accent6">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Makro!$W$2:$W$20</c15:sqref>
                        </c15:formulaRef>
                      </c:ext>
                    </c:extLst>
                    <c:numCache>
                      <c:formatCode>#,##0.00</c:formatCode>
                      <c:ptCount val="10"/>
                      <c:pt idx="0">
                        <c:v>3.1183536440284154</c:v>
                      </c:pt>
                      <c:pt idx="1">
                        <c:v>2.7340668392375145</c:v>
                      </c:pt>
                      <c:pt idx="2">
                        <c:v>-0.6714173834616588</c:v>
                      </c:pt>
                      <c:pt idx="3">
                        <c:v>-0.67141227102767154</c:v>
                      </c:pt>
                      <c:pt idx="4">
                        <c:v>5.6125061811925336</c:v>
                      </c:pt>
                      <c:pt idx="5">
                        <c:v>3.8923506427853027</c:v>
                      </c:pt>
                      <c:pt idx="6">
                        <c:v>3.0716723549488067</c:v>
                      </c:pt>
                      <c:pt idx="7">
                        <c:v>2.1560551840442255</c:v>
                      </c:pt>
                      <c:pt idx="8">
                        <c:v>10.588675435256119</c:v>
                      </c:pt>
                      <c:pt idx="9">
                        <c:v>0.9</c:v>
                      </c:pt>
                    </c:numCache>
                  </c:numRef>
                </c:val>
                <c:extLst xmlns:c15="http://schemas.microsoft.com/office/drawing/2012/chart">
                  <c:ext xmlns:c16="http://schemas.microsoft.com/office/drawing/2014/chart" uri="{C3380CC4-5D6E-409C-BE32-E72D297353CC}">
                    <c16:uniqueId val="{00000022-8441-4BC9-BAFD-56A075DA39D2}"/>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Makro!$X$1</c15:sqref>
                        </c15:formulaRef>
                      </c:ext>
                    </c:extLst>
                    <c:strCache>
                      <c:ptCount val="1"/>
                      <c:pt idx="0">
                        <c:v>Zasad. Sep. 2015 odhad 2017</c:v>
                      </c:pt>
                    </c:strCache>
                  </c:strRef>
                </c:tx>
                <c:spPr>
                  <a:solidFill>
                    <a:schemeClr val="accent1">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Makro!$X$2:$X$20</c15:sqref>
                        </c15:formulaRef>
                      </c:ext>
                    </c:extLst>
                    <c:numCache>
                      <c:formatCode>#,##0.00</c:formatCode>
                      <c:ptCount val="10"/>
                      <c:pt idx="0">
                        <c:v>3.6234020119766619</c:v>
                      </c:pt>
                      <c:pt idx="1">
                        <c:v>2.7118180940963743</c:v>
                      </c:pt>
                      <c:pt idx="2">
                        <c:v>1.4636617628090098</c:v>
                      </c:pt>
                      <c:pt idx="3">
                        <c:v>1.9516627077591941</c:v>
                      </c:pt>
                      <c:pt idx="4">
                        <c:v>6.2516898623087958</c:v>
                      </c:pt>
                      <c:pt idx="5">
                        <c:v>4.8888461083574697</c:v>
                      </c:pt>
                      <c:pt idx="6">
                        <c:v>4.635761589403975</c:v>
                      </c:pt>
                      <c:pt idx="7">
                        <c:v>2.6995346749016935</c:v>
                      </c:pt>
                      <c:pt idx="8">
                        <c:v>9.8262900589501641</c:v>
                      </c:pt>
                      <c:pt idx="9">
                        <c:v>1.8</c:v>
                      </c:pt>
                    </c:numCache>
                  </c:numRef>
                </c:val>
                <c:extLst xmlns:c15="http://schemas.microsoft.com/office/drawing/2012/chart">
                  <c:ext xmlns:c16="http://schemas.microsoft.com/office/drawing/2014/chart" uri="{C3380CC4-5D6E-409C-BE32-E72D297353CC}">
                    <c16:uniqueId val="{00000023-8441-4BC9-BAFD-56A075DA39D2}"/>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Makro!$Y$1</c15:sqref>
                        </c15:formulaRef>
                      </c:ext>
                    </c:extLst>
                    <c:strCache>
                      <c:ptCount val="1"/>
                      <c:pt idx="0">
                        <c:v>Zasad. Sep. 2015 odhad 2018</c:v>
                      </c:pt>
                    </c:strCache>
                  </c:strRef>
                </c:tx>
                <c:spPr>
                  <a:solidFill>
                    <a:schemeClr val="accent2">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Makro!$Y$2:$Y$20</c15:sqref>
                        </c15:formulaRef>
                      </c:ext>
                    </c:extLst>
                    <c:numCache>
                      <c:formatCode>#,##0.00</c:formatCode>
                      <c:ptCount val="10"/>
                      <c:pt idx="0">
                        <c:v>3.5653435613285156</c:v>
                      </c:pt>
                      <c:pt idx="1">
                        <c:v>2.7831386446818263</c:v>
                      </c:pt>
                      <c:pt idx="2">
                        <c:v>1.5254498723050069</c:v>
                      </c:pt>
                      <c:pt idx="3">
                        <c:v>3.2269841127910759</c:v>
                      </c:pt>
                      <c:pt idx="4">
                        <c:v>5.6034547723061268</c:v>
                      </c:pt>
                      <c:pt idx="5">
                        <c:v>4.9624375623529948</c:v>
                      </c:pt>
                      <c:pt idx="6">
                        <c:v>4.7468354430379778</c:v>
                      </c:pt>
                      <c:pt idx="7">
                        <c:v>2.7156426382547671</c:v>
                      </c:pt>
                      <c:pt idx="8">
                        <c:v>8.9766997360960463</c:v>
                      </c:pt>
                      <c:pt idx="9">
                        <c:v>2</c:v>
                      </c:pt>
                    </c:numCache>
                  </c:numRef>
                </c:val>
                <c:extLst xmlns:c15="http://schemas.microsoft.com/office/drawing/2012/chart">
                  <c:ext xmlns:c16="http://schemas.microsoft.com/office/drawing/2014/chart" uri="{C3380CC4-5D6E-409C-BE32-E72D297353CC}">
                    <c16:uniqueId val="{00000024-8441-4BC9-BAFD-56A075DA39D2}"/>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Makro!$Z$1</c15:sqref>
                        </c15:formulaRef>
                      </c:ext>
                    </c:extLst>
                    <c:strCache>
                      <c:ptCount val="1"/>
                      <c:pt idx="0">
                        <c:v>Zasad. Feb.2016 odhad 2015</c:v>
                      </c:pt>
                    </c:strCache>
                  </c:strRef>
                </c:tx>
                <c:spPr>
                  <a:solidFill>
                    <a:schemeClr val="accent3">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Makro!$Z$2:$Z$20</c15:sqref>
                        </c15:formulaRef>
                      </c:ext>
                    </c:extLst>
                    <c:numCache>
                      <c:formatCode>#,##0.00</c:formatCode>
                      <c:ptCount val="10"/>
                      <c:pt idx="0">
                        <c:v>3.5725385687004119</c:v>
                      </c:pt>
                      <c:pt idx="1">
                        <c:v>2.2507229069116619</c:v>
                      </c:pt>
                      <c:pt idx="2">
                        <c:v>3.6301947736839368</c:v>
                      </c:pt>
                      <c:pt idx="3">
                        <c:v>14.55743036512227</c:v>
                      </c:pt>
                      <c:pt idx="4">
                        <c:v>6.7447430460879421</c:v>
                      </c:pt>
                      <c:pt idx="5">
                        <c:v>8.2877712532210435</c:v>
                      </c:pt>
                      <c:pt idx="6">
                        <c:v>2.8</c:v>
                      </c:pt>
                      <c:pt idx="7">
                        <c:v>3.2</c:v>
                      </c:pt>
                      <c:pt idx="8">
                        <c:v>11.5</c:v>
                      </c:pt>
                      <c:pt idx="9">
                        <c:v>-0.3</c:v>
                      </c:pt>
                    </c:numCache>
                  </c:numRef>
                </c:val>
                <c:extLst xmlns:c15="http://schemas.microsoft.com/office/drawing/2012/chart">
                  <c:ext xmlns:c16="http://schemas.microsoft.com/office/drawing/2014/chart" uri="{C3380CC4-5D6E-409C-BE32-E72D297353CC}">
                    <c16:uniqueId val="{00000025-8441-4BC9-BAFD-56A075DA39D2}"/>
                  </c:ext>
                </c:extLst>
              </c15:ser>
            </c15:filteredBarSeries>
            <c15:filteredBarSeries>
              <c15:ser>
                <c:idx val="24"/>
                <c:order val="24"/>
                <c:tx>
                  <c:strRef>
                    <c:extLst xmlns:c15="http://schemas.microsoft.com/office/drawing/2012/chart">
                      <c:ext xmlns:c15="http://schemas.microsoft.com/office/drawing/2012/chart" uri="{02D57815-91ED-43cb-92C2-25804820EDAC}">
                        <c15:formulaRef>
                          <c15:sqref>Makro!$AA$1</c15:sqref>
                        </c15:formulaRef>
                      </c:ext>
                    </c:extLst>
                    <c:strCache>
                      <c:ptCount val="1"/>
                      <c:pt idx="0">
                        <c:v>Zasad. Feb.2016 odhad 2016</c:v>
                      </c:pt>
                    </c:strCache>
                  </c:strRef>
                </c:tx>
                <c:spPr>
                  <a:solidFill>
                    <a:schemeClr val="accent4">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Makro!$AA$2:$AA$20</c15:sqref>
                        </c15:formulaRef>
                      </c:ext>
                    </c:extLst>
                    <c:numCache>
                      <c:formatCode>#,##0.00</c:formatCode>
                      <c:ptCount val="10"/>
                      <c:pt idx="0">
                        <c:v>3.2103214709743977</c:v>
                      </c:pt>
                      <c:pt idx="1">
                        <c:v>3.1536802707069711</c:v>
                      </c:pt>
                      <c:pt idx="2">
                        <c:v>-0.56963899252897576</c:v>
                      </c:pt>
                      <c:pt idx="3">
                        <c:v>0.8570475230839314</c:v>
                      </c:pt>
                      <c:pt idx="4">
                        <c:v>4.9408827191476767</c:v>
                      </c:pt>
                      <c:pt idx="5">
                        <c:v>3.5727862381908393</c:v>
                      </c:pt>
                      <c:pt idx="6">
                        <c:v>3.3</c:v>
                      </c:pt>
                      <c:pt idx="7">
                        <c:v>3.1</c:v>
                      </c:pt>
                      <c:pt idx="8">
                        <c:v>10.4</c:v>
                      </c:pt>
                      <c:pt idx="9">
                        <c:v>0.2</c:v>
                      </c:pt>
                    </c:numCache>
                  </c:numRef>
                </c:val>
                <c:extLst xmlns:c15="http://schemas.microsoft.com/office/drawing/2012/chart">
                  <c:ext xmlns:c16="http://schemas.microsoft.com/office/drawing/2014/chart" uri="{C3380CC4-5D6E-409C-BE32-E72D297353CC}">
                    <c16:uniqueId val="{00000026-8441-4BC9-BAFD-56A075DA39D2}"/>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Makro!$AB$1</c15:sqref>
                        </c15:formulaRef>
                      </c:ext>
                    </c:extLst>
                    <c:strCache>
                      <c:ptCount val="1"/>
                      <c:pt idx="0">
                        <c:v>Zasad. Feb.2016 odhad 2017</c:v>
                      </c:pt>
                    </c:strCache>
                  </c:strRef>
                </c:tx>
                <c:spPr>
                  <a:solidFill>
                    <a:schemeClr val="accent5">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Makro!$AB$2:$AB$20</c15:sqref>
                        </c15:formulaRef>
                      </c:ext>
                    </c:extLst>
                    <c:numCache>
                      <c:formatCode>#,##0.00</c:formatCode>
                      <c:ptCount val="10"/>
                      <c:pt idx="0">
                        <c:v>3.61889264835078</c:v>
                      </c:pt>
                      <c:pt idx="1">
                        <c:v>2.6443486099263946</c:v>
                      </c:pt>
                      <c:pt idx="2">
                        <c:v>2.0591403218570115</c:v>
                      </c:pt>
                      <c:pt idx="3">
                        <c:v>1.4071249671479213</c:v>
                      </c:pt>
                      <c:pt idx="4">
                        <c:v>6.0585629254074735</c:v>
                      </c:pt>
                      <c:pt idx="5">
                        <c:v>4.6322359815243352</c:v>
                      </c:pt>
                      <c:pt idx="6">
                        <c:v>4.5</c:v>
                      </c:pt>
                      <c:pt idx="7">
                        <c:v>2.9</c:v>
                      </c:pt>
                      <c:pt idx="8">
                        <c:v>9.5</c:v>
                      </c:pt>
                      <c:pt idx="9">
                        <c:v>1.6</c:v>
                      </c:pt>
                    </c:numCache>
                  </c:numRef>
                </c:val>
                <c:extLst xmlns:c15="http://schemas.microsoft.com/office/drawing/2012/chart">
                  <c:ext xmlns:c16="http://schemas.microsoft.com/office/drawing/2014/chart" uri="{C3380CC4-5D6E-409C-BE32-E72D297353CC}">
                    <c16:uniqueId val="{00000027-8441-4BC9-BAFD-56A075DA39D2}"/>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Makro!$AC$1</c15:sqref>
                        </c15:formulaRef>
                      </c:ext>
                    </c:extLst>
                    <c:strCache>
                      <c:ptCount val="1"/>
                      <c:pt idx="0">
                        <c:v>Zasad. Feb.2016 odhad 2018</c:v>
                      </c:pt>
                    </c:strCache>
                  </c:strRef>
                </c:tx>
                <c:spPr>
                  <a:solidFill>
                    <a:schemeClr val="accent6">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Makro!$AC$2:$AC$20</c15:sqref>
                        </c15:formulaRef>
                      </c:ext>
                    </c:extLst>
                    <c:numCache>
                      <c:formatCode>#,##0.00</c:formatCode>
                      <c:ptCount val="10"/>
                      <c:pt idx="0">
                        <c:v>4.0871732479111023</c:v>
                      </c:pt>
                      <c:pt idx="1">
                        <c:v>2.6748167852640226</c:v>
                      </c:pt>
                      <c:pt idx="2">
                        <c:v>1.3174138803202284</c:v>
                      </c:pt>
                      <c:pt idx="3">
                        <c:v>0.94518506920855394</c:v>
                      </c:pt>
                      <c:pt idx="4">
                        <c:v>7.525931696817878</c:v>
                      </c:pt>
                      <c:pt idx="5">
                        <c:v>5.841696472646718</c:v>
                      </c:pt>
                      <c:pt idx="6">
                        <c:v>4.7</c:v>
                      </c:pt>
                      <c:pt idx="7">
                        <c:v>2.5</c:v>
                      </c:pt>
                      <c:pt idx="8">
                        <c:v>8.3000000000000007</c:v>
                      </c:pt>
                      <c:pt idx="9">
                        <c:v>2.1</c:v>
                      </c:pt>
                    </c:numCache>
                  </c:numRef>
                </c:val>
                <c:extLst xmlns:c15="http://schemas.microsoft.com/office/drawing/2012/chart">
                  <c:ext xmlns:c16="http://schemas.microsoft.com/office/drawing/2014/chart" uri="{C3380CC4-5D6E-409C-BE32-E72D297353CC}">
                    <c16:uniqueId val="{00000028-8441-4BC9-BAFD-56A075DA39D2}"/>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Makro!$AD$1</c15:sqref>
                        </c15:formulaRef>
                      </c:ext>
                    </c:extLst>
                    <c:strCache>
                      <c:ptCount val="1"/>
                      <c:pt idx="0">
                        <c:v>Zasad. Jún 2016 odhad 2016</c:v>
                      </c:pt>
                    </c:strCache>
                  </c:strRef>
                </c:tx>
                <c:spPr>
                  <a:solidFill>
                    <a:schemeClr val="accent1">
                      <a:lumMod val="60000"/>
                      <a:lumOff val="4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Makro!$AD$2:$AD$20</c15:sqref>
                        </c15:formulaRef>
                      </c:ext>
                    </c:extLst>
                    <c:numCache>
                      <c:formatCode>#,##0.00</c:formatCode>
                      <c:ptCount val="10"/>
                      <c:pt idx="0">
                        <c:v>3.174091309869298</c:v>
                      </c:pt>
                      <c:pt idx="1">
                        <c:v>3.0540049472244979</c:v>
                      </c:pt>
                      <c:pt idx="2">
                        <c:v>0.24499321722208922</c:v>
                      </c:pt>
                      <c:pt idx="3">
                        <c:v>5.0080028002463806E-2</c:v>
                      </c:pt>
                      <c:pt idx="4">
                        <c:v>4.1547429664945401</c:v>
                      </c:pt>
                      <c:pt idx="5">
                        <c:v>2.5474572872944634</c:v>
                      </c:pt>
                      <c:pt idx="6">
                        <c:v>3.1710079275198089</c:v>
                      </c:pt>
                      <c:pt idx="7">
                        <c:v>3.4412256154493281</c:v>
                      </c:pt>
                      <c:pt idx="8">
                        <c:v>9.6588043228530154</c:v>
                      </c:pt>
                      <c:pt idx="9">
                        <c:v>-0.3</c:v>
                      </c:pt>
                    </c:numCache>
                  </c:numRef>
                </c:val>
                <c:extLst xmlns:c15="http://schemas.microsoft.com/office/drawing/2012/chart">
                  <c:ext xmlns:c16="http://schemas.microsoft.com/office/drawing/2014/chart" uri="{C3380CC4-5D6E-409C-BE32-E72D297353CC}">
                    <c16:uniqueId val="{00000029-8441-4BC9-BAFD-56A075DA39D2}"/>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Makro!$AE$1</c15:sqref>
                        </c15:formulaRef>
                      </c:ext>
                    </c:extLst>
                    <c:strCache>
                      <c:ptCount val="1"/>
                      <c:pt idx="0">
                        <c:v>Zasad. Jún 2016 odhad 2017</c:v>
                      </c:pt>
                    </c:strCache>
                  </c:strRef>
                </c:tx>
                <c:spPr>
                  <a:solidFill>
                    <a:schemeClr val="accent2">
                      <a:lumMod val="60000"/>
                      <a:lumOff val="4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Makro!$AE$2:$AE$20</c15:sqref>
                        </c15:formulaRef>
                      </c:ext>
                    </c:extLst>
                    <c:numCache>
                      <c:formatCode>#,##0.00</c:formatCode>
                      <c:ptCount val="10"/>
                      <c:pt idx="0">
                        <c:v>3.7191632803347696</c:v>
                      </c:pt>
                      <c:pt idx="1">
                        <c:v>2.4116019212062412</c:v>
                      </c:pt>
                      <c:pt idx="2">
                        <c:v>1.7172535644919273</c:v>
                      </c:pt>
                      <c:pt idx="3">
                        <c:v>4.094290410349366</c:v>
                      </c:pt>
                      <c:pt idx="4">
                        <c:v>6.0442316291927867</c:v>
                      </c:pt>
                      <c:pt idx="5">
                        <c:v>5.0082008998853844</c:v>
                      </c:pt>
                      <c:pt idx="6">
                        <c:v>4.2810098792535722</c:v>
                      </c:pt>
                      <c:pt idx="7">
                        <c:v>3.0119237870487092</c:v>
                      </c:pt>
                      <c:pt idx="8">
                        <c:v>8.6596833537242865</c:v>
                      </c:pt>
                      <c:pt idx="9">
                        <c:v>1.3</c:v>
                      </c:pt>
                    </c:numCache>
                  </c:numRef>
                </c:val>
                <c:extLst xmlns:c15="http://schemas.microsoft.com/office/drawing/2012/chart">
                  <c:ext xmlns:c16="http://schemas.microsoft.com/office/drawing/2014/chart" uri="{C3380CC4-5D6E-409C-BE32-E72D297353CC}">
                    <c16:uniqueId val="{0000002A-8441-4BC9-BAFD-56A075DA39D2}"/>
                  </c:ext>
                </c:extLst>
              </c15:ser>
            </c15:filteredBarSeries>
            <c15:filteredBarSeries>
              <c15:ser>
                <c:idx val="29"/>
                <c:order val="29"/>
                <c:tx>
                  <c:strRef>
                    <c:extLst xmlns:c15="http://schemas.microsoft.com/office/drawing/2012/chart">
                      <c:ext xmlns:c15="http://schemas.microsoft.com/office/drawing/2012/chart" uri="{02D57815-91ED-43cb-92C2-25804820EDAC}">
                        <c15:formulaRef>
                          <c15:sqref>Makro!$AF$1</c15:sqref>
                        </c15:formulaRef>
                      </c:ext>
                    </c:extLst>
                    <c:strCache>
                      <c:ptCount val="1"/>
                      <c:pt idx="0">
                        <c:v>Zasad. Jún 2016 odhad 2018</c:v>
                      </c:pt>
                    </c:strCache>
                  </c:strRef>
                </c:tx>
                <c:spPr>
                  <a:solidFill>
                    <a:schemeClr val="accent3">
                      <a:lumMod val="60000"/>
                      <a:lumOff val="4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Makro!$AF$2:$AF$20</c15:sqref>
                        </c15:formulaRef>
                      </c:ext>
                    </c:extLst>
                    <c:numCache>
                      <c:formatCode>#,##0.00</c:formatCode>
                      <c:ptCount val="10"/>
                      <c:pt idx="0">
                        <c:v>4.1223110555921316</c:v>
                      </c:pt>
                      <c:pt idx="1">
                        <c:v>2.7162756489526929</c:v>
                      </c:pt>
                      <c:pt idx="2">
                        <c:v>1.3396433954485865</c:v>
                      </c:pt>
                      <c:pt idx="3">
                        <c:v>0.91487952675350925</c:v>
                      </c:pt>
                      <c:pt idx="4">
                        <c:v>7.4736975439983366</c:v>
                      </c:pt>
                      <c:pt idx="5">
                        <c:v>5.7797098788239465</c:v>
                      </c:pt>
                      <c:pt idx="6">
                        <c:v>4.5263157894736894</c:v>
                      </c:pt>
                      <c:pt idx="7">
                        <c:v>2.6552853815141386</c:v>
                      </c:pt>
                      <c:pt idx="8">
                        <c:v>7.4999629315296952</c:v>
                      </c:pt>
                      <c:pt idx="9">
                        <c:v>1.8</c:v>
                      </c:pt>
                    </c:numCache>
                  </c:numRef>
                </c:val>
                <c:extLst xmlns:c15="http://schemas.microsoft.com/office/drawing/2012/chart">
                  <c:ext xmlns:c16="http://schemas.microsoft.com/office/drawing/2014/chart" uri="{C3380CC4-5D6E-409C-BE32-E72D297353CC}">
                    <c16:uniqueId val="{0000002B-8441-4BC9-BAFD-56A075DA39D2}"/>
                  </c:ext>
                </c:extLst>
              </c15:ser>
            </c15:filteredBarSeries>
            <c15:filteredBarSeries>
              <c15:ser>
                <c:idx val="30"/>
                <c:order val="30"/>
                <c:tx>
                  <c:strRef>
                    <c:extLst xmlns:c15="http://schemas.microsoft.com/office/drawing/2012/chart">
                      <c:ext xmlns:c15="http://schemas.microsoft.com/office/drawing/2012/chart" uri="{02D57815-91ED-43cb-92C2-25804820EDAC}">
                        <c15:formulaRef>
                          <c15:sqref>Makro!$AG$1</c15:sqref>
                        </c15:formulaRef>
                      </c:ext>
                    </c:extLst>
                    <c:strCache>
                      <c:ptCount val="1"/>
                      <c:pt idx="0">
                        <c:v>Zasad. Jún 2016 odhad 2019</c:v>
                      </c:pt>
                    </c:strCache>
                  </c:strRef>
                </c:tx>
                <c:spPr>
                  <a:solidFill>
                    <a:schemeClr val="accent4">
                      <a:lumMod val="60000"/>
                      <a:lumOff val="4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Makro!$AG$2:$AG$20</c15:sqref>
                        </c15:formulaRef>
                      </c:ext>
                    </c:extLst>
                    <c:numCache>
                      <c:formatCode>#,##0.00</c:formatCode>
                      <c:ptCount val="10"/>
                      <c:pt idx="0">
                        <c:v>4.6267109868173062</c:v>
                      </c:pt>
                      <c:pt idx="1">
                        <c:v>2.8651266444401191</c:v>
                      </c:pt>
                      <c:pt idx="2">
                        <c:v>1.1930744169029284</c:v>
                      </c:pt>
                      <c:pt idx="3">
                        <c:v>2.0484521995312255</c:v>
                      </c:pt>
                      <c:pt idx="4">
                        <c:v>8.4530653659679267</c:v>
                      </c:pt>
                      <c:pt idx="5">
                        <c:v>6.6438822951259358</c:v>
                      </c:pt>
                      <c:pt idx="6">
                        <c:v>5.1359516616314105</c:v>
                      </c:pt>
                      <c:pt idx="7">
                        <c:v>2.9338491519055099</c:v>
                      </c:pt>
                      <c:pt idx="8">
                        <c:v>6.4815396930163418</c:v>
                      </c:pt>
                      <c:pt idx="9">
                        <c:v>2.1</c:v>
                      </c:pt>
                    </c:numCache>
                  </c:numRef>
                </c:val>
                <c:extLst xmlns:c15="http://schemas.microsoft.com/office/drawing/2012/chart">
                  <c:ext xmlns:c16="http://schemas.microsoft.com/office/drawing/2014/chart" uri="{C3380CC4-5D6E-409C-BE32-E72D297353CC}">
                    <c16:uniqueId val="{0000002C-8441-4BC9-BAFD-56A075DA39D2}"/>
                  </c:ext>
                </c:extLst>
              </c15:ser>
            </c15:filteredBarSeries>
            <c15:filteredBarSeries>
              <c15:ser>
                <c:idx val="31"/>
                <c:order val="31"/>
                <c:tx>
                  <c:strRef>
                    <c:extLst xmlns:c15="http://schemas.microsoft.com/office/drawing/2012/chart">
                      <c:ext xmlns:c15="http://schemas.microsoft.com/office/drawing/2012/chart" uri="{02D57815-91ED-43cb-92C2-25804820EDAC}">
                        <c15:formulaRef>
                          <c15:sqref>Makro!$AH$1</c15:sqref>
                        </c15:formulaRef>
                      </c:ext>
                    </c:extLst>
                    <c:strCache>
                      <c:ptCount val="1"/>
                      <c:pt idx="0">
                        <c:v>Zasad. Sep.2016 odhad 2016</c:v>
                      </c:pt>
                    </c:strCache>
                  </c:strRef>
                </c:tx>
                <c:spPr>
                  <a:solidFill>
                    <a:schemeClr val="accent5">
                      <a:lumMod val="60000"/>
                      <a:lumOff val="4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Makro!$AH$2:$AH$20</c15:sqref>
                        </c15:formulaRef>
                      </c:ext>
                    </c:extLst>
                    <c:numCache>
                      <c:formatCode>#,##0.00</c:formatCode>
                      <c:ptCount val="10"/>
                      <c:pt idx="0">
                        <c:v>3.5760395496688746</c:v>
                      </c:pt>
                      <c:pt idx="1">
                        <c:v>2.9400362500733301</c:v>
                      </c:pt>
                      <c:pt idx="2">
                        <c:v>1.8270701459625949</c:v>
                      </c:pt>
                      <c:pt idx="3">
                        <c:v>-0.13997643646731506</c:v>
                      </c:pt>
                      <c:pt idx="4">
                        <c:v>5.4742446457604954</c:v>
                      </c:pt>
                      <c:pt idx="5">
                        <c:v>4.2354699745106972</c:v>
                      </c:pt>
                      <c:pt idx="6">
                        <c:v>2.8312570781426905</c:v>
                      </c:pt>
                      <c:pt idx="7">
                        <c:v>3.3224996459621403</c:v>
                      </c:pt>
                      <c:pt idx="8">
                        <c:v>9.7877133512913463</c:v>
                      </c:pt>
                      <c:pt idx="9">
                        <c:v>-0.5</c:v>
                      </c:pt>
                    </c:numCache>
                  </c:numRef>
                </c:val>
                <c:extLst xmlns:c15="http://schemas.microsoft.com/office/drawing/2012/chart">
                  <c:ext xmlns:c16="http://schemas.microsoft.com/office/drawing/2014/chart" uri="{C3380CC4-5D6E-409C-BE32-E72D297353CC}">
                    <c16:uniqueId val="{0000002D-8441-4BC9-BAFD-56A075DA39D2}"/>
                  </c:ext>
                </c:extLst>
              </c15:ser>
            </c15:filteredBarSeries>
            <c15:filteredBarSeries>
              <c15:ser>
                <c:idx val="32"/>
                <c:order val="32"/>
                <c:tx>
                  <c:strRef>
                    <c:extLst xmlns:c15="http://schemas.microsoft.com/office/drawing/2012/chart">
                      <c:ext xmlns:c15="http://schemas.microsoft.com/office/drawing/2012/chart" uri="{02D57815-91ED-43cb-92C2-25804820EDAC}">
                        <c15:formulaRef>
                          <c15:sqref>Makro!$AI$1</c15:sqref>
                        </c15:formulaRef>
                      </c:ext>
                    </c:extLst>
                    <c:strCache>
                      <c:ptCount val="1"/>
                      <c:pt idx="0">
                        <c:v>Zasad. Sep.2016 odhad 2017</c:v>
                      </c:pt>
                    </c:strCache>
                  </c:strRef>
                </c:tx>
                <c:spPr>
                  <a:solidFill>
                    <a:schemeClr val="accent6">
                      <a:lumMod val="60000"/>
                      <a:lumOff val="4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Makro!$AI$2:$AI$20</c15:sqref>
                        </c15:formulaRef>
                      </c:ext>
                    </c:extLst>
                    <c:numCache>
                      <c:formatCode>#,##0.00</c:formatCode>
                      <c:ptCount val="10"/>
                      <c:pt idx="0">
                        <c:v>3.5318382740930909</c:v>
                      </c:pt>
                      <c:pt idx="1">
                        <c:v>2.4957418365670447</c:v>
                      </c:pt>
                      <c:pt idx="2">
                        <c:v>1.702198713489711</c:v>
                      </c:pt>
                      <c:pt idx="3">
                        <c:v>4.003029787268364</c:v>
                      </c:pt>
                      <c:pt idx="4">
                        <c:v>5.7716042543500601</c:v>
                      </c:pt>
                      <c:pt idx="5">
                        <c:v>4.8970999110497626</c:v>
                      </c:pt>
                      <c:pt idx="6">
                        <c:v>3.524229074889873</c:v>
                      </c:pt>
                      <c:pt idx="7">
                        <c:v>2.5731046966093851</c:v>
                      </c:pt>
                      <c:pt idx="8">
                        <c:v>8.512869027249284</c:v>
                      </c:pt>
                      <c:pt idx="9">
                        <c:v>0.9</c:v>
                      </c:pt>
                    </c:numCache>
                  </c:numRef>
                </c:val>
                <c:extLst xmlns:c15="http://schemas.microsoft.com/office/drawing/2012/chart">
                  <c:ext xmlns:c16="http://schemas.microsoft.com/office/drawing/2014/chart" uri="{C3380CC4-5D6E-409C-BE32-E72D297353CC}">
                    <c16:uniqueId val="{0000002E-8441-4BC9-BAFD-56A075DA39D2}"/>
                  </c:ext>
                </c:extLst>
              </c15:ser>
            </c15:filteredBarSeries>
            <c15:filteredBarSeries>
              <c15:ser>
                <c:idx val="33"/>
                <c:order val="33"/>
                <c:tx>
                  <c:strRef>
                    <c:extLst xmlns:c15="http://schemas.microsoft.com/office/drawing/2012/chart">
                      <c:ext xmlns:c15="http://schemas.microsoft.com/office/drawing/2012/chart" uri="{02D57815-91ED-43cb-92C2-25804820EDAC}">
                        <c15:formulaRef>
                          <c15:sqref>Makro!$AJ$1</c15:sqref>
                        </c15:formulaRef>
                      </c:ext>
                    </c:extLst>
                    <c:strCache>
                      <c:ptCount val="1"/>
                      <c:pt idx="0">
                        <c:v>Zasad. Sep.2016 odhad 2018</c:v>
                      </c:pt>
                    </c:strCache>
                  </c:strRef>
                </c:tx>
                <c:spPr>
                  <a:solidFill>
                    <a:schemeClr val="accent1">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Makro!$AJ$2:$AJ$20</c15:sqref>
                        </c15:formulaRef>
                      </c:ext>
                    </c:extLst>
                    <c:numCache>
                      <c:formatCode>#,##0.00</c:formatCode>
                      <c:ptCount val="10"/>
                      <c:pt idx="0">
                        <c:v>3.8734044569005643</c:v>
                      </c:pt>
                      <c:pt idx="1">
                        <c:v>2.7380522356259318</c:v>
                      </c:pt>
                      <c:pt idx="2">
                        <c:v>1.3076949919695657</c:v>
                      </c:pt>
                      <c:pt idx="3">
                        <c:v>0.50777098688790101</c:v>
                      </c:pt>
                      <c:pt idx="4">
                        <c:v>7.3399330855661749</c:v>
                      </c:pt>
                      <c:pt idx="5">
                        <c:v>5.835703436533346</c:v>
                      </c:pt>
                      <c:pt idx="6">
                        <c:v>4.2553191489361764</c:v>
                      </c:pt>
                      <c:pt idx="7">
                        <c:v>2.6784931883669483</c:v>
                      </c:pt>
                      <c:pt idx="8">
                        <c:v>7.4111142714427887</c:v>
                      </c:pt>
                      <c:pt idx="9">
                        <c:v>1.6</c:v>
                      </c:pt>
                    </c:numCache>
                  </c:numRef>
                </c:val>
                <c:extLst xmlns:c15="http://schemas.microsoft.com/office/drawing/2012/chart">
                  <c:ext xmlns:c16="http://schemas.microsoft.com/office/drawing/2014/chart" uri="{C3380CC4-5D6E-409C-BE32-E72D297353CC}">
                    <c16:uniqueId val="{0000002F-8441-4BC9-BAFD-56A075DA39D2}"/>
                  </c:ext>
                </c:extLst>
              </c15:ser>
            </c15:filteredBarSeries>
            <c15:filteredBarSeries>
              <c15:ser>
                <c:idx val="34"/>
                <c:order val="34"/>
                <c:tx>
                  <c:strRef>
                    <c:extLst xmlns:c15="http://schemas.microsoft.com/office/drawing/2012/chart">
                      <c:ext xmlns:c15="http://schemas.microsoft.com/office/drawing/2012/chart" uri="{02D57815-91ED-43cb-92C2-25804820EDAC}">
                        <c15:formulaRef>
                          <c15:sqref>Makro!$AK$1</c15:sqref>
                        </c15:formulaRef>
                      </c:ext>
                    </c:extLst>
                    <c:strCache>
                      <c:ptCount val="1"/>
                      <c:pt idx="0">
                        <c:v>Zasad. Sep.2016 odhad 2019</c:v>
                      </c:pt>
                    </c:strCache>
                  </c:strRef>
                </c:tx>
                <c:spPr>
                  <a:solidFill>
                    <a:schemeClr val="accent2">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Makro!$AK$2:$AK$20</c15:sqref>
                        </c15:formulaRef>
                      </c:ext>
                    </c:extLst>
                    <c:numCache>
                      <c:formatCode>#,##0.00</c:formatCode>
                      <c:ptCount val="10"/>
                      <c:pt idx="0">
                        <c:v>4.390490525435653</c:v>
                      </c:pt>
                      <c:pt idx="1">
                        <c:v>2.9384409043826665</c:v>
                      </c:pt>
                      <c:pt idx="2">
                        <c:v>1.1443610607943411</c:v>
                      </c:pt>
                      <c:pt idx="3">
                        <c:v>2.0062372380064142</c:v>
                      </c:pt>
                      <c:pt idx="4">
                        <c:v>7.741276744865222</c:v>
                      </c:pt>
                      <c:pt idx="5">
                        <c:v>6.2573813519544608</c:v>
                      </c:pt>
                      <c:pt idx="6">
                        <c:v>4.7959183673469408</c:v>
                      </c:pt>
                      <c:pt idx="7">
                        <c:v>2.8087681963701705</c:v>
                      </c:pt>
                      <c:pt idx="8">
                        <c:v>6.4163652931505304</c:v>
                      </c:pt>
                      <c:pt idx="9">
                        <c:v>1.9</c:v>
                      </c:pt>
                    </c:numCache>
                  </c:numRef>
                </c:val>
                <c:extLst xmlns:c15="http://schemas.microsoft.com/office/drawing/2012/chart">
                  <c:ext xmlns:c16="http://schemas.microsoft.com/office/drawing/2014/chart" uri="{C3380CC4-5D6E-409C-BE32-E72D297353CC}">
                    <c16:uniqueId val="{00000030-8441-4BC9-BAFD-56A075DA39D2}"/>
                  </c:ext>
                </c:extLst>
              </c15:ser>
            </c15:filteredBarSeries>
            <c15:filteredBarSeries>
              <c15:ser>
                <c:idx val="35"/>
                <c:order val="35"/>
                <c:tx>
                  <c:strRef>
                    <c:extLst xmlns:c15="http://schemas.microsoft.com/office/drawing/2012/chart">
                      <c:ext xmlns:c15="http://schemas.microsoft.com/office/drawing/2012/chart" uri="{02D57815-91ED-43cb-92C2-25804820EDAC}">
                        <c15:formulaRef>
                          <c15:sqref>Makro!$AL$1</c15:sqref>
                        </c15:formulaRef>
                      </c:ext>
                    </c:extLst>
                    <c:strCache>
                      <c:ptCount val="1"/>
                      <c:pt idx="0">
                        <c:v>Zasad.Feb.2017 odhad 2016</c:v>
                      </c:pt>
                    </c:strCache>
                  </c:strRef>
                </c:tx>
                <c:spPr>
                  <a:solidFill>
                    <a:schemeClr val="accent3">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Makro!$AL$2:$AL$20</c15:sqref>
                        </c15:formulaRef>
                      </c:ext>
                    </c:extLst>
                    <c:numCache>
                      <c:formatCode>#,##0.00</c:formatCode>
                      <c:ptCount val="10"/>
                      <c:pt idx="0">
                        <c:v>3.3493924701202937</c:v>
                      </c:pt>
                      <c:pt idx="1">
                        <c:v>2.722432586673218</c:v>
                      </c:pt>
                      <c:pt idx="2">
                        <c:v>2.6157391937342345</c:v>
                      </c:pt>
                      <c:pt idx="3">
                        <c:v>-7.2389566897971047</c:v>
                      </c:pt>
                      <c:pt idx="4">
                        <c:v>4.4264555218755275</c:v>
                      </c:pt>
                      <c:pt idx="5">
                        <c:v>2.2628981482915478</c:v>
                      </c:pt>
                      <c:pt idx="6">
                        <c:v>3.0577576443941101</c:v>
                      </c:pt>
                      <c:pt idx="7">
                        <c:v>3.5613766591094054</c:v>
                      </c:pt>
                      <c:pt idx="8">
                        <c:v>9.7425463138475159</c:v>
                      </c:pt>
                      <c:pt idx="9">
                        <c:v>-0.5</c:v>
                      </c:pt>
                    </c:numCache>
                  </c:numRef>
                </c:val>
                <c:extLst xmlns:c15="http://schemas.microsoft.com/office/drawing/2012/chart">
                  <c:ext xmlns:c16="http://schemas.microsoft.com/office/drawing/2014/chart" uri="{C3380CC4-5D6E-409C-BE32-E72D297353CC}">
                    <c16:uniqueId val="{00000031-8441-4BC9-BAFD-56A075DA39D2}"/>
                  </c:ext>
                </c:extLst>
              </c15:ser>
            </c15:filteredBarSeries>
            <c15:filteredBarSeries>
              <c15:ser>
                <c:idx val="36"/>
                <c:order val="36"/>
                <c:tx>
                  <c:strRef>
                    <c:extLst xmlns:c15="http://schemas.microsoft.com/office/drawing/2012/chart">
                      <c:ext xmlns:c15="http://schemas.microsoft.com/office/drawing/2012/chart" uri="{02D57815-91ED-43cb-92C2-25804820EDAC}">
                        <c15:formulaRef>
                          <c15:sqref>Makro!$AM$1</c15:sqref>
                        </c15:formulaRef>
                      </c:ext>
                    </c:extLst>
                    <c:strCache>
                      <c:ptCount val="1"/>
                      <c:pt idx="0">
                        <c:v>Zasad.Feb.2017 odhad 2017</c:v>
                      </c:pt>
                    </c:strCache>
                  </c:strRef>
                </c:tx>
                <c:spPr>
                  <a:solidFill>
                    <a:schemeClr val="accent4">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Makro!$AM$2:$AM$20</c15:sqref>
                        </c15:formulaRef>
                      </c:ext>
                    </c:extLst>
                    <c:numCache>
                      <c:formatCode>#,##0.00</c:formatCode>
                      <c:ptCount val="10"/>
                      <c:pt idx="0">
                        <c:v>3.3239061454537921</c:v>
                      </c:pt>
                      <c:pt idx="1">
                        <c:v>2.456328333424751</c:v>
                      </c:pt>
                      <c:pt idx="2">
                        <c:v>1.6278322204362761</c:v>
                      </c:pt>
                      <c:pt idx="3">
                        <c:v>3.008907404452188</c:v>
                      </c:pt>
                      <c:pt idx="4">
                        <c:v>5.6305533250865292</c:v>
                      </c:pt>
                      <c:pt idx="5">
                        <c:v>4.2254517501920663</c:v>
                      </c:pt>
                      <c:pt idx="6">
                        <c:v>3.5164835164835262</c:v>
                      </c:pt>
                      <c:pt idx="7">
                        <c:v>2.3962032713727544</c:v>
                      </c:pt>
                      <c:pt idx="8">
                        <c:v>8.4414787380530729</c:v>
                      </c:pt>
                      <c:pt idx="9">
                        <c:v>1.1000000000000001</c:v>
                      </c:pt>
                    </c:numCache>
                  </c:numRef>
                </c:val>
                <c:extLst xmlns:c15="http://schemas.microsoft.com/office/drawing/2012/chart">
                  <c:ext xmlns:c16="http://schemas.microsoft.com/office/drawing/2014/chart" uri="{C3380CC4-5D6E-409C-BE32-E72D297353CC}">
                    <c16:uniqueId val="{00000032-8441-4BC9-BAFD-56A075DA39D2}"/>
                  </c:ext>
                </c:extLst>
              </c15:ser>
            </c15:filteredBarSeries>
            <c15:filteredBarSeries>
              <c15:ser>
                <c:idx val="37"/>
                <c:order val="37"/>
                <c:tx>
                  <c:strRef>
                    <c:extLst xmlns:c15="http://schemas.microsoft.com/office/drawing/2012/chart">
                      <c:ext xmlns:c15="http://schemas.microsoft.com/office/drawing/2012/chart" uri="{02D57815-91ED-43cb-92C2-25804820EDAC}">
                        <c15:formulaRef>
                          <c15:sqref>Makro!$AN$1</c15:sqref>
                        </c15:formulaRef>
                      </c:ext>
                    </c:extLst>
                    <c:strCache>
                      <c:ptCount val="1"/>
                      <c:pt idx="0">
                        <c:v>Zasad.Feb.2017 odhad 2018</c:v>
                      </c:pt>
                    </c:strCache>
                  </c:strRef>
                </c:tx>
                <c:spPr>
                  <a:solidFill>
                    <a:schemeClr val="accent5">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Makro!$AN$2:$AN$20</c15:sqref>
                        </c15:formulaRef>
                      </c:ext>
                    </c:extLst>
                    <c:numCache>
                      <c:formatCode>#,##0.00</c:formatCode>
                      <c:ptCount val="10"/>
                      <c:pt idx="0">
                        <c:v>4.0176235420772866</c:v>
                      </c:pt>
                      <c:pt idx="1">
                        <c:v>2.7453715225511433</c:v>
                      </c:pt>
                      <c:pt idx="2">
                        <c:v>1.983483015973464</c:v>
                      </c:pt>
                      <c:pt idx="3">
                        <c:v>1.937871018583337</c:v>
                      </c:pt>
                      <c:pt idx="4">
                        <c:v>7.3283555955778956</c:v>
                      </c:pt>
                      <c:pt idx="5">
                        <c:v>6.0303921391106963</c:v>
                      </c:pt>
                      <c:pt idx="6">
                        <c:v>4.3524416135881205</c:v>
                      </c:pt>
                      <c:pt idx="7">
                        <c:v>2.6160523429257454</c:v>
                      </c:pt>
                      <c:pt idx="8">
                        <c:v>7.6213292118111582</c:v>
                      </c:pt>
                      <c:pt idx="9">
                        <c:v>1.7</c:v>
                      </c:pt>
                    </c:numCache>
                  </c:numRef>
                </c:val>
                <c:extLst xmlns:c15="http://schemas.microsoft.com/office/drawing/2012/chart">
                  <c:ext xmlns:c16="http://schemas.microsoft.com/office/drawing/2014/chart" uri="{C3380CC4-5D6E-409C-BE32-E72D297353CC}">
                    <c16:uniqueId val="{00000033-8441-4BC9-BAFD-56A075DA39D2}"/>
                  </c:ext>
                </c:extLst>
              </c15:ser>
            </c15:filteredBarSeries>
            <c15:filteredBarSeries>
              <c15:ser>
                <c:idx val="38"/>
                <c:order val="38"/>
                <c:tx>
                  <c:strRef>
                    <c:extLst xmlns:c15="http://schemas.microsoft.com/office/drawing/2012/chart">
                      <c:ext xmlns:c15="http://schemas.microsoft.com/office/drawing/2012/chart" uri="{02D57815-91ED-43cb-92C2-25804820EDAC}">
                        <c15:formulaRef>
                          <c15:sqref>Makro!$AO$1</c15:sqref>
                        </c15:formulaRef>
                      </c:ext>
                    </c:extLst>
                    <c:strCache>
                      <c:ptCount val="1"/>
                      <c:pt idx="0">
                        <c:v>Zasad.Feb.2017 odhad 2019</c:v>
                      </c:pt>
                    </c:strCache>
                  </c:strRef>
                </c:tx>
                <c:spPr>
                  <a:solidFill>
                    <a:schemeClr val="accent6">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Makro!$AO$2:$AO$20</c15:sqref>
                        </c15:formulaRef>
                      </c:ext>
                    </c:extLst>
                    <c:numCache>
                      <c:formatCode>#,##0.00</c:formatCode>
                      <c:ptCount val="10"/>
                      <c:pt idx="0">
                        <c:v>4.3569270546844452</c:v>
                      </c:pt>
                      <c:pt idx="1">
                        <c:v>2.8746163240017442</c:v>
                      </c:pt>
                      <c:pt idx="2">
                        <c:v>1.8516508125873576</c:v>
                      </c:pt>
                      <c:pt idx="3">
                        <c:v>1.9836258108093752</c:v>
                      </c:pt>
                      <c:pt idx="4">
                        <c:v>7.668974433211817</c:v>
                      </c:pt>
                      <c:pt idx="5">
                        <c:v>6.2796679031543512</c:v>
                      </c:pt>
                      <c:pt idx="6">
                        <c:v>4.7812817904374416</c:v>
                      </c:pt>
                      <c:pt idx="7">
                        <c:v>2.8556449804814088</c:v>
                      </c:pt>
                      <c:pt idx="8">
                        <c:v>6.9025666525898934</c:v>
                      </c:pt>
                      <c:pt idx="9">
                        <c:v>1.9</c:v>
                      </c:pt>
                    </c:numCache>
                  </c:numRef>
                </c:val>
                <c:extLst xmlns:c15="http://schemas.microsoft.com/office/drawing/2012/chart">
                  <c:ext xmlns:c16="http://schemas.microsoft.com/office/drawing/2014/chart" uri="{C3380CC4-5D6E-409C-BE32-E72D297353CC}">
                    <c16:uniqueId val="{00000034-8441-4BC9-BAFD-56A075DA39D2}"/>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Makro!$AP$1</c15:sqref>
                        </c15:formulaRef>
                      </c:ext>
                    </c:extLst>
                    <c:strCache>
                      <c:ptCount val="1"/>
                      <c:pt idx="0">
                        <c:v>Zasad. Jún 2017 odhad 2017</c:v>
                      </c:pt>
                    </c:strCache>
                  </c:strRef>
                </c:tx>
                <c:spPr>
                  <a:solidFill>
                    <a:schemeClr val="accent1">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Makro!$AP$2:$AP$20</c15:sqref>
                        </c15:formulaRef>
                      </c:ext>
                    </c:extLst>
                    <c:numCache>
                      <c:formatCode>#,##0.00</c:formatCode>
                      <c:ptCount val="10"/>
                      <c:pt idx="0">
                        <c:v>3.3385800195824489</c:v>
                      </c:pt>
                      <c:pt idx="1">
                        <c:v>3.1124709807611284</c:v>
                      </c:pt>
                      <c:pt idx="2">
                        <c:v>1.3735017889946466</c:v>
                      </c:pt>
                      <c:pt idx="3">
                        <c:v>4.184421668931404</c:v>
                      </c:pt>
                      <c:pt idx="4">
                        <c:v>5.9744347686108812</c:v>
                      </c:pt>
                      <c:pt idx="5">
                        <c:v>6.0972907457293557</c:v>
                      </c:pt>
                      <c:pt idx="6">
                        <c:v>3.6184210526315708</c:v>
                      </c:pt>
                      <c:pt idx="7">
                        <c:v>2.2297373649607266</c:v>
                      </c:pt>
                      <c:pt idx="8">
                        <c:v>8.2371012515751971</c:v>
                      </c:pt>
                      <c:pt idx="9">
                        <c:v>1.2960112123617362</c:v>
                      </c:pt>
                    </c:numCache>
                  </c:numRef>
                </c:val>
                <c:extLst xmlns:c15="http://schemas.microsoft.com/office/drawing/2012/chart">
                  <c:ext xmlns:c16="http://schemas.microsoft.com/office/drawing/2014/chart" uri="{C3380CC4-5D6E-409C-BE32-E72D297353CC}">
                    <c16:uniqueId val="{00000035-8441-4BC9-BAFD-56A075DA39D2}"/>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Makro!$AQ$1</c15:sqref>
                        </c15:formulaRef>
                      </c:ext>
                    </c:extLst>
                    <c:strCache>
                      <c:ptCount val="1"/>
                      <c:pt idx="0">
                        <c:v>Zasad. Jún 2017 odhad 2018</c:v>
                      </c:pt>
                    </c:strCache>
                  </c:strRef>
                </c:tx>
                <c:spPr>
                  <a:solidFill>
                    <a:schemeClr val="accent2">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Makro!$AQ$2:$AQ$20</c15:sqref>
                        </c15:formulaRef>
                      </c:ext>
                    </c:extLst>
                    <c:numCache>
                      <c:formatCode>#,##0.00</c:formatCode>
                      <c:ptCount val="10"/>
                      <c:pt idx="0">
                        <c:v>4.2043499405701512</c:v>
                      </c:pt>
                      <c:pt idx="1">
                        <c:v>2.7555487682317414</c:v>
                      </c:pt>
                      <c:pt idx="2">
                        <c:v>1.990414820634312</c:v>
                      </c:pt>
                      <c:pt idx="3">
                        <c:v>3.8300107927631721</c:v>
                      </c:pt>
                      <c:pt idx="4">
                        <c:v>7.7361556545063603</c:v>
                      </c:pt>
                      <c:pt idx="5">
                        <c:v>6.8452095491341014</c:v>
                      </c:pt>
                      <c:pt idx="6">
                        <c:v>4.5502645502645489</c:v>
                      </c:pt>
                      <c:pt idx="7">
                        <c:v>2.8733305231983142</c:v>
                      </c:pt>
                      <c:pt idx="8">
                        <c:v>7.5119056436564797</c:v>
                      </c:pt>
                      <c:pt idx="9">
                        <c:v>1.6649946496950507</c:v>
                      </c:pt>
                    </c:numCache>
                  </c:numRef>
                </c:val>
                <c:extLst xmlns:c15="http://schemas.microsoft.com/office/drawing/2012/chart">
                  <c:ext xmlns:c16="http://schemas.microsoft.com/office/drawing/2014/chart" uri="{C3380CC4-5D6E-409C-BE32-E72D297353CC}">
                    <c16:uniqueId val="{00000036-8441-4BC9-BAFD-56A075DA39D2}"/>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Makro!$AR$1</c15:sqref>
                        </c15:formulaRef>
                      </c:ext>
                    </c:extLst>
                    <c:strCache>
                      <c:ptCount val="1"/>
                      <c:pt idx="0">
                        <c:v>Zasad. Jún 2017 odhad 2019</c:v>
                      </c:pt>
                    </c:strCache>
                  </c:strRef>
                </c:tx>
                <c:spPr>
                  <a:solidFill>
                    <a:schemeClr val="accent3">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Makro!$AR$2:$AR$20</c15:sqref>
                        </c15:formulaRef>
                      </c:ext>
                    </c:extLst>
                    <c:numCache>
                      <c:formatCode>#,##0.00</c:formatCode>
                      <c:ptCount val="10"/>
                      <c:pt idx="0">
                        <c:v>4.3619181024772358</c:v>
                      </c:pt>
                      <c:pt idx="1">
                        <c:v>2.8574741507932044</c:v>
                      </c:pt>
                      <c:pt idx="2">
                        <c:v>1.8681886463769448</c:v>
                      </c:pt>
                      <c:pt idx="3">
                        <c:v>3.0678676508554048</c:v>
                      </c:pt>
                      <c:pt idx="4">
                        <c:v>7.6510999128400314</c:v>
                      </c:pt>
                      <c:pt idx="5">
                        <c:v>6.3118030006282577</c:v>
                      </c:pt>
                      <c:pt idx="6">
                        <c:v>4.7570850202429238</c:v>
                      </c:pt>
                      <c:pt idx="7">
                        <c:v>2.847887238576341</c:v>
                      </c:pt>
                      <c:pt idx="8">
                        <c:v>6.8458512829915996</c:v>
                      </c:pt>
                      <c:pt idx="9">
                        <c:v>1.9066281698553622</c:v>
                      </c:pt>
                    </c:numCache>
                  </c:numRef>
                </c:val>
                <c:extLst xmlns:c15="http://schemas.microsoft.com/office/drawing/2012/chart">
                  <c:ext xmlns:c16="http://schemas.microsoft.com/office/drawing/2014/chart" uri="{C3380CC4-5D6E-409C-BE32-E72D297353CC}">
                    <c16:uniqueId val="{00000037-8441-4BC9-BAFD-56A075DA39D2}"/>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Makro!$AS$1</c15:sqref>
                        </c15:formulaRef>
                      </c:ext>
                    </c:extLst>
                    <c:strCache>
                      <c:ptCount val="1"/>
                      <c:pt idx="0">
                        <c:v>Zasad. Jún 2017 odhad 2020</c:v>
                      </c:pt>
                    </c:strCache>
                  </c:strRef>
                </c:tx>
                <c:spPr>
                  <a:solidFill>
                    <a:schemeClr val="accent4">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Makro!$AS$2:$AS$20</c15:sqref>
                        </c15:formulaRef>
                      </c:ext>
                    </c:extLst>
                    <c:numCache>
                      <c:formatCode>#,##0.00</c:formatCode>
                      <c:ptCount val="10"/>
                      <c:pt idx="0">
                        <c:v>3.8817458318303188</c:v>
                      </c:pt>
                      <c:pt idx="1">
                        <c:v>2.8905970953006399</c:v>
                      </c:pt>
                      <c:pt idx="2">
                        <c:v>1.8262379367997905</c:v>
                      </c:pt>
                      <c:pt idx="3">
                        <c:v>3.186818543198755</c:v>
                      </c:pt>
                      <c:pt idx="4">
                        <c:v>6.2535282647323109</c:v>
                      </c:pt>
                      <c:pt idx="5">
                        <c:v>5.4033611160746009</c:v>
                      </c:pt>
                      <c:pt idx="6">
                        <c:v>5.2173913043478182</c:v>
                      </c:pt>
                      <c:pt idx="7">
                        <c:v>3.0127693956975676</c:v>
                      </c:pt>
                      <c:pt idx="8">
                        <c:v>6.1697775883312005</c:v>
                      </c:pt>
                      <c:pt idx="9">
                        <c:v>2.0999932737969962</c:v>
                      </c:pt>
                    </c:numCache>
                  </c:numRef>
                </c:val>
                <c:extLst xmlns:c15="http://schemas.microsoft.com/office/drawing/2012/chart">
                  <c:ext xmlns:c16="http://schemas.microsoft.com/office/drawing/2014/chart" uri="{C3380CC4-5D6E-409C-BE32-E72D297353CC}">
                    <c16:uniqueId val="{00000038-8441-4BC9-BAFD-56A075DA39D2}"/>
                  </c:ext>
                </c:extLst>
              </c15:ser>
            </c15:filteredBarSeries>
            <c15:filteredBarSeries>
              <c15:ser>
                <c:idx val="43"/>
                <c:order val="43"/>
                <c:tx>
                  <c:strRef>
                    <c:extLst xmlns:c15="http://schemas.microsoft.com/office/drawing/2012/chart">
                      <c:ext xmlns:c15="http://schemas.microsoft.com/office/drawing/2012/chart" uri="{02D57815-91ED-43cb-92C2-25804820EDAC}">
                        <c15:formulaRef>
                          <c15:sqref>Makro!$AT$1</c15:sqref>
                        </c15:formulaRef>
                      </c:ext>
                    </c:extLst>
                    <c:strCache>
                      <c:ptCount val="1"/>
                      <c:pt idx="0">
                        <c:v>Zasad. Sep. 2017 odhad 2017</c:v>
                      </c:pt>
                    </c:strCache>
                  </c:strRef>
                </c:tx>
                <c:spPr>
                  <a:solidFill>
                    <a:schemeClr val="accent5">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Makro!$AT$2:$AT$20</c15:sqref>
                        </c15:formulaRef>
                      </c:ext>
                    </c:extLst>
                    <c:numCache>
                      <c:formatCode>#,##0.00</c:formatCode>
                      <c:ptCount val="10"/>
                      <c:pt idx="0">
                        <c:v>3.3344437711642083</c:v>
                      </c:pt>
                      <c:pt idx="1">
                        <c:v>3.3613962438292955</c:v>
                      </c:pt>
                      <c:pt idx="2">
                        <c:v>0.36566030574467501</c:v>
                      </c:pt>
                      <c:pt idx="3">
                        <c:v>3.0134773331814024</c:v>
                      </c:pt>
                      <c:pt idx="4">
                        <c:v>4.9938059030395943</c:v>
                      </c:pt>
                      <c:pt idx="5">
                        <c:v>4.7737037044708552</c:v>
                      </c:pt>
                      <c:pt idx="6">
                        <c:v>3.9473684210526327</c:v>
                      </c:pt>
                      <c:pt idx="7">
                        <c:v>2.5854860933040902</c:v>
                      </c:pt>
                      <c:pt idx="8">
                        <c:v>8.1898027287660753</c:v>
                      </c:pt>
                      <c:pt idx="9">
                        <c:v>1.2606449717224466</c:v>
                      </c:pt>
                    </c:numCache>
                  </c:numRef>
                </c:val>
                <c:extLst xmlns:c15="http://schemas.microsoft.com/office/drawing/2012/chart">
                  <c:ext xmlns:c16="http://schemas.microsoft.com/office/drawing/2014/chart" uri="{C3380CC4-5D6E-409C-BE32-E72D297353CC}">
                    <c16:uniqueId val="{00000039-8441-4BC9-BAFD-56A075DA39D2}"/>
                  </c:ext>
                </c:extLst>
              </c15:ser>
            </c15:filteredBarSeries>
            <c15:filteredBarSeries>
              <c15:ser>
                <c:idx val="44"/>
                <c:order val="44"/>
                <c:tx>
                  <c:strRef>
                    <c:extLst xmlns:c15="http://schemas.microsoft.com/office/drawing/2012/chart">
                      <c:ext xmlns:c15="http://schemas.microsoft.com/office/drawing/2012/chart" uri="{02D57815-91ED-43cb-92C2-25804820EDAC}">
                        <c15:formulaRef>
                          <c15:sqref>Makro!$AU$1</c15:sqref>
                        </c15:formulaRef>
                      </c:ext>
                    </c:extLst>
                    <c:strCache>
                      <c:ptCount val="1"/>
                      <c:pt idx="0">
                        <c:v>Zasad. Sep 2017 odhad 2018</c:v>
                      </c:pt>
                    </c:strCache>
                  </c:strRef>
                </c:tx>
                <c:spPr>
                  <a:solidFill>
                    <a:schemeClr val="accent6">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Makro!$AU$2:$AU$20</c15:sqref>
                        </c15:formulaRef>
                      </c:ext>
                    </c:extLst>
                    <c:numCache>
                      <c:formatCode>#,##0.00</c:formatCode>
                      <c:ptCount val="10"/>
                      <c:pt idx="0">
                        <c:v>4.1662564708083938</c:v>
                      </c:pt>
                      <c:pt idx="1">
                        <c:v>2.9058431942968754</c:v>
                      </c:pt>
                      <c:pt idx="2">
                        <c:v>1.3413629540656835</c:v>
                      </c:pt>
                      <c:pt idx="3">
                        <c:v>4.2119148555731734</c:v>
                      </c:pt>
                      <c:pt idx="4">
                        <c:v>7.8417452725123127</c:v>
                      </c:pt>
                      <c:pt idx="5">
                        <c:v>6.7908764203306493</c:v>
                      </c:pt>
                      <c:pt idx="6">
                        <c:v>4.6413502109704741</c:v>
                      </c:pt>
                      <c:pt idx="7">
                        <c:v>2.8551443958239719</c:v>
                      </c:pt>
                      <c:pt idx="8">
                        <c:v>7.302468741966865</c:v>
                      </c:pt>
                      <c:pt idx="9">
                        <c:v>1.7444315435860558</c:v>
                      </c:pt>
                    </c:numCache>
                  </c:numRef>
                </c:val>
                <c:extLst xmlns:c15="http://schemas.microsoft.com/office/drawing/2012/chart">
                  <c:ext xmlns:c16="http://schemas.microsoft.com/office/drawing/2014/chart" uri="{C3380CC4-5D6E-409C-BE32-E72D297353CC}">
                    <c16:uniqueId val="{0000003A-8441-4BC9-BAFD-56A075DA39D2}"/>
                  </c:ext>
                </c:extLst>
              </c15:ser>
            </c15:filteredBarSeries>
            <c15:filteredBarSeries>
              <c15:ser>
                <c:idx val="45"/>
                <c:order val="45"/>
                <c:tx>
                  <c:strRef>
                    <c:extLst xmlns:c15="http://schemas.microsoft.com/office/drawing/2012/chart">
                      <c:ext xmlns:c15="http://schemas.microsoft.com/office/drawing/2012/chart" uri="{02D57815-91ED-43cb-92C2-25804820EDAC}">
                        <c15:formulaRef>
                          <c15:sqref>Makro!$AV$1</c15:sqref>
                        </c15:formulaRef>
                      </c:ext>
                    </c:extLst>
                    <c:strCache>
                      <c:ptCount val="1"/>
                      <c:pt idx="0">
                        <c:v>Zasad. Sep. 2017 odhad 2019</c:v>
                      </c:pt>
                    </c:strCache>
                  </c:strRef>
                </c:tx>
                <c:spPr>
                  <a:solidFill>
                    <a:schemeClr val="accent1">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Makro!$AV$2:$AV$20</c15:sqref>
                        </c15:formulaRef>
                      </c:ext>
                    </c:extLst>
                    <c:numCache>
                      <c:formatCode>#,##0.00</c:formatCode>
                      <c:ptCount val="10"/>
                      <c:pt idx="0">
                        <c:v>4.3734515982513322</c:v>
                      </c:pt>
                      <c:pt idx="1">
                        <c:v>2.8540125387920057</c:v>
                      </c:pt>
                      <c:pt idx="2">
                        <c:v>1.5846149524220365</c:v>
                      </c:pt>
                      <c:pt idx="3">
                        <c:v>3.199436296278102</c:v>
                      </c:pt>
                      <c:pt idx="4">
                        <c:v>7.691391413757831</c:v>
                      </c:pt>
                      <c:pt idx="5">
                        <c:v>6.2803528747001236</c:v>
                      </c:pt>
                      <c:pt idx="6">
                        <c:v>4.8387096774193505</c:v>
                      </c:pt>
                      <c:pt idx="7">
                        <c:v>2.9044370445538759</c:v>
                      </c:pt>
                      <c:pt idx="8">
                        <c:v>6.6995482211739326</c:v>
                      </c:pt>
                      <c:pt idx="9">
                        <c:v>1.879938784262758</c:v>
                      </c:pt>
                    </c:numCache>
                  </c:numRef>
                </c:val>
                <c:extLst xmlns:c15="http://schemas.microsoft.com/office/drawing/2012/chart">
                  <c:ext xmlns:c16="http://schemas.microsoft.com/office/drawing/2014/chart" uri="{C3380CC4-5D6E-409C-BE32-E72D297353CC}">
                    <c16:uniqueId val="{0000003B-8441-4BC9-BAFD-56A075DA39D2}"/>
                  </c:ext>
                </c:extLst>
              </c15:ser>
            </c15:filteredBarSeries>
            <c15:filteredBarSeries>
              <c15:ser>
                <c:idx val="46"/>
                <c:order val="46"/>
                <c:tx>
                  <c:strRef>
                    <c:extLst xmlns:c15="http://schemas.microsoft.com/office/drawing/2012/chart">
                      <c:ext xmlns:c15="http://schemas.microsoft.com/office/drawing/2012/chart" uri="{02D57815-91ED-43cb-92C2-25804820EDAC}">
                        <c15:formulaRef>
                          <c15:sqref>Makro!$AW$1</c15:sqref>
                        </c15:formulaRef>
                      </c:ext>
                    </c:extLst>
                    <c:strCache>
                      <c:ptCount val="1"/>
                      <c:pt idx="0">
                        <c:v>Zasad. Sep 2017 odhad 2020</c:v>
                      </c:pt>
                    </c:strCache>
                  </c:strRef>
                </c:tx>
                <c:spPr>
                  <a:solidFill>
                    <a:schemeClr val="accent2">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Makro!$AW$2:$AW$20</c15:sqref>
                        </c15:formulaRef>
                      </c:ext>
                    </c:extLst>
                    <c:numCache>
                      <c:formatCode>#,##0.00</c:formatCode>
                      <c:ptCount val="10"/>
                      <c:pt idx="0">
                        <c:v>3.8783375877819326</c:v>
                      </c:pt>
                      <c:pt idx="1">
                        <c:v>2.8766104429726269</c:v>
                      </c:pt>
                      <c:pt idx="2">
                        <c:v>1.5558958734777528</c:v>
                      </c:pt>
                      <c:pt idx="3">
                        <c:v>3.1908107049315904</c:v>
                      </c:pt>
                      <c:pt idx="4">
                        <c:v>6.2756308847702114</c:v>
                      </c:pt>
                      <c:pt idx="5">
                        <c:v>5.3847494243796978</c:v>
                      </c:pt>
                      <c:pt idx="6">
                        <c:v>5.1923076923076961</c:v>
                      </c:pt>
                      <c:pt idx="7">
                        <c:v>3.0696705839616145</c:v>
                      </c:pt>
                      <c:pt idx="8">
                        <c:v>6.0807239469603482</c:v>
                      </c:pt>
                      <c:pt idx="9">
                        <c:v>2.0999194545459732</c:v>
                      </c:pt>
                    </c:numCache>
                  </c:numRef>
                </c:val>
                <c:extLst xmlns:c15="http://schemas.microsoft.com/office/drawing/2012/chart">
                  <c:ext xmlns:c16="http://schemas.microsoft.com/office/drawing/2014/chart" uri="{C3380CC4-5D6E-409C-BE32-E72D297353CC}">
                    <c16:uniqueId val="{0000003C-8441-4BC9-BAFD-56A075DA39D2}"/>
                  </c:ext>
                </c:extLst>
              </c15:ser>
            </c15:filteredBarSeries>
            <c15:filteredBarSeries>
              <c15:ser>
                <c:idx val="47"/>
                <c:order val="47"/>
                <c:tx>
                  <c:strRef>
                    <c:extLst xmlns:c15="http://schemas.microsoft.com/office/drawing/2012/chart">
                      <c:ext xmlns:c15="http://schemas.microsoft.com/office/drawing/2012/chart" uri="{02D57815-91ED-43cb-92C2-25804820EDAC}">
                        <c15:formulaRef>
                          <c15:sqref>Makro!$AX$1</c15:sqref>
                        </c15:formulaRef>
                      </c:ext>
                    </c:extLst>
                    <c:strCache>
                      <c:ptCount val="1"/>
                      <c:pt idx="0">
                        <c:v>Zasad. Feb. 2018 odhad 2017</c:v>
                      </c:pt>
                    </c:strCache>
                  </c:strRef>
                </c:tx>
                <c:spPr>
                  <a:solidFill>
                    <a:schemeClr val="accent3">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Makro!$AX$2:$AX$20</c15:sqref>
                        </c15:formulaRef>
                      </c:ext>
                    </c:extLst>
                    <c:numCache>
                      <c:formatCode>#,##0.00</c:formatCode>
                      <c:ptCount val="10"/>
                      <c:pt idx="0">
                        <c:v>3.4148380549375634</c:v>
                      </c:pt>
                      <c:pt idx="1">
                        <c:v>3.7197691187157877</c:v>
                      </c:pt>
                      <c:pt idx="2">
                        <c:v>-0.55391055451939897</c:v>
                      </c:pt>
                      <c:pt idx="3">
                        <c:v>4.2695398551455988</c:v>
                      </c:pt>
                      <c:pt idx="4">
                        <c:v>3.6407125796490858</c:v>
                      </c:pt>
                      <c:pt idx="5">
                        <c:v>4.1136038294920629</c:v>
                      </c:pt>
                      <c:pt idx="6">
                        <c:v>4.6052631578947345</c:v>
                      </c:pt>
                      <c:pt idx="7">
                        <c:v>3.2559616198673424</c:v>
                      </c:pt>
                      <c:pt idx="8">
                        <c:v>8.1575803803221074</c:v>
                      </c:pt>
                      <c:pt idx="9">
                        <c:v>1.3067541252434145</c:v>
                      </c:pt>
                    </c:numCache>
                  </c:numRef>
                </c:val>
                <c:extLst xmlns:c15="http://schemas.microsoft.com/office/drawing/2012/chart">
                  <c:ext xmlns:c16="http://schemas.microsoft.com/office/drawing/2014/chart" uri="{C3380CC4-5D6E-409C-BE32-E72D297353CC}">
                    <c16:uniqueId val="{0000003D-8441-4BC9-BAFD-56A075DA39D2}"/>
                  </c:ext>
                </c:extLst>
              </c15:ser>
            </c15:filteredBarSeries>
            <c15:filteredBarSeries>
              <c15:ser>
                <c:idx val="48"/>
                <c:order val="48"/>
                <c:tx>
                  <c:strRef>
                    <c:extLst xmlns:c15="http://schemas.microsoft.com/office/drawing/2012/chart">
                      <c:ext xmlns:c15="http://schemas.microsoft.com/office/drawing/2012/chart" uri="{02D57815-91ED-43cb-92C2-25804820EDAC}">
                        <c15:formulaRef>
                          <c15:sqref>Makro!$AY$1</c15:sqref>
                        </c15:formulaRef>
                      </c:ext>
                    </c:extLst>
                    <c:strCache>
                      <c:ptCount val="1"/>
                      <c:pt idx="0">
                        <c:v>Zasad. Feb. 2018 odhad 2018</c:v>
                      </c:pt>
                    </c:strCache>
                  </c:strRef>
                </c:tx>
                <c:spPr>
                  <a:solidFill>
                    <a:schemeClr val="accent4">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Makro!$AY$2:$AY$20</c15:sqref>
                        </c15:formulaRef>
                      </c:ext>
                    </c:extLst>
                    <c:numCache>
                      <c:formatCode>#,##0.00</c:formatCode>
                      <c:ptCount val="10"/>
                      <c:pt idx="0">
                        <c:v>4.2132237559521224</c:v>
                      </c:pt>
                      <c:pt idx="1">
                        <c:v>3.4983369697778821</c:v>
                      </c:pt>
                      <c:pt idx="2">
                        <c:v>0.6245413252709664</c:v>
                      </c:pt>
                      <c:pt idx="3">
                        <c:v>5.1633486218114477</c:v>
                      </c:pt>
                      <c:pt idx="4">
                        <c:v>7.8756579859551756</c:v>
                      </c:pt>
                      <c:pt idx="5">
                        <c:v>7.145797474066784</c:v>
                      </c:pt>
                      <c:pt idx="6">
                        <c:v>5.2410901467505155</c:v>
                      </c:pt>
                      <c:pt idx="7">
                        <c:v>3.1505718449750253</c:v>
                      </c:pt>
                      <c:pt idx="8">
                        <c:v>7.2537248845564148</c:v>
                      </c:pt>
                      <c:pt idx="9">
                        <c:v>2.0266667109876568</c:v>
                      </c:pt>
                    </c:numCache>
                  </c:numRef>
                </c:val>
                <c:extLst xmlns:c15="http://schemas.microsoft.com/office/drawing/2012/chart">
                  <c:ext xmlns:c16="http://schemas.microsoft.com/office/drawing/2014/chart" uri="{C3380CC4-5D6E-409C-BE32-E72D297353CC}">
                    <c16:uniqueId val="{0000003E-8441-4BC9-BAFD-56A075DA39D2}"/>
                  </c:ext>
                </c:extLst>
              </c15:ser>
            </c15:filteredBarSeries>
            <c15:filteredBarSeries>
              <c15:ser>
                <c:idx val="49"/>
                <c:order val="49"/>
                <c:tx>
                  <c:strRef>
                    <c:extLst xmlns:c15="http://schemas.microsoft.com/office/drawing/2012/chart">
                      <c:ext xmlns:c15="http://schemas.microsoft.com/office/drawing/2012/chart" uri="{02D57815-91ED-43cb-92C2-25804820EDAC}">
                        <c15:formulaRef>
                          <c15:sqref>Makro!$AZ$1</c15:sqref>
                        </c15:formulaRef>
                      </c:ext>
                    </c:extLst>
                    <c:strCache>
                      <c:ptCount val="1"/>
                      <c:pt idx="0">
                        <c:v>Zasad. Feb. 2018 odhad 2019</c:v>
                      </c:pt>
                    </c:strCache>
                  </c:strRef>
                </c:tx>
                <c:spPr>
                  <a:solidFill>
                    <a:schemeClr val="accent5">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Makro!$AZ$2:$AZ$20</c15:sqref>
                        </c15:formulaRef>
                      </c:ext>
                    </c:extLst>
                    <c:numCache>
                      <c:formatCode>#,##0.00</c:formatCode>
                      <c:ptCount val="10"/>
                      <c:pt idx="0">
                        <c:v>4.5082075300671542</c:v>
                      </c:pt>
                      <c:pt idx="1">
                        <c:v>3.1999225658115416</c:v>
                      </c:pt>
                      <c:pt idx="2">
                        <c:v>1.2703806199453993</c:v>
                      </c:pt>
                      <c:pt idx="3">
                        <c:v>3.2799277083456424</c:v>
                      </c:pt>
                      <c:pt idx="4">
                        <c:v>8.5005399917416735</c:v>
                      </c:pt>
                      <c:pt idx="5">
                        <c:v>7.191013511983102</c:v>
                      </c:pt>
                      <c:pt idx="6">
                        <c:v>5.3784860557768877</c:v>
                      </c:pt>
                      <c:pt idx="7">
                        <c:v>3.2789498940208661</c:v>
                      </c:pt>
                      <c:pt idx="8">
                        <c:v>6.6984931864088422</c:v>
                      </c:pt>
                      <c:pt idx="9">
                        <c:v>2.0328790754654769</c:v>
                      </c:pt>
                    </c:numCache>
                  </c:numRef>
                </c:val>
                <c:extLst xmlns:c15="http://schemas.microsoft.com/office/drawing/2012/chart">
                  <c:ext xmlns:c16="http://schemas.microsoft.com/office/drawing/2014/chart" uri="{C3380CC4-5D6E-409C-BE32-E72D297353CC}">
                    <c16:uniqueId val="{0000003F-8441-4BC9-BAFD-56A075DA39D2}"/>
                  </c:ext>
                </c:extLst>
              </c15:ser>
            </c15:filteredBarSeries>
            <c15:filteredBarSeries>
              <c15:ser>
                <c:idx val="50"/>
                <c:order val="50"/>
                <c:tx>
                  <c:strRef>
                    <c:extLst xmlns:c15="http://schemas.microsoft.com/office/drawing/2012/chart">
                      <c:ext xmlns:c15="http://schemas.microsoft.com/office/drawing/2012/chart" uri="{02D57815-91ED-43cb-92C2-25804820EDAC}">
                        <c15:formulaRef>
                          <c15:sqref>Makro!$BA$1</c15:sqref>
                        </c15:formulaRef>
                      </c:ext>
                    </c:extLst>
                    <c:strCache>
                      <c:ptCount val="1"/>
                      <c:pt idx="0">
                        <c:v>Zasad. Feb. 2018 odhad 2020</c:v>
                      </c:pt>
                    </c:strCache>
                  </c:strRef>
                </c:tx>
                <c:spPr>
                  <a:solidFill>
                    <a:schemeClr val="accent6">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Makro!$BA$2:$BA$20</c15:sqref>
                        </c15:formulaRef>
                      </c:ext>
                    </c:extLst>
                    <c:numCache>
                      <c:formatCode>#,##0.00</c:formatCode>
                      <c:ptCount val="10"/>
                      <c:pt idx="0">
                        <c:v>3.8741085149651688</c:v>
                      </c:pt>
                      <c:pt idx="1">
                        <c:v>2.7793481056987979</c:v>
                      </c:pt>
                      <c:pt idx="2">
                        <c:v>1.175795834340021</c:v>
                      </c:pt>
                      <c:pt idx="3">
                        <c:v>3.2953395740739966</c:v>
                      </c:pt>
                      <c:pt idx="4">
                        <c:v>7.0829799668113091</c:v>
                      </c:pt>
                      <c:pt idx="5">
                        <c:v>6.1510222967257056</c:v>
                      </c:pt>
                      <c:pt idx="6">
                        <c:v>5.1984877126654006</c:v>
                      </c:pt>
                      <c:pt idx="7">
                        <c:v>2.9391044619940798</c:v>
                      </c:pt>
                      <c:pt idx="8">
                        <c:v>6.1404678015497973</c:v>
                      </c:pt>
                      <c:pt idx="9">
                        <c:v>2.194873622108795</c:v>
                      </c:pt>
                    </c:numCache>
                  </c:numRef>
                </c:val>
                <c:extLst xmlns:c15="http://schemas.microsoft.com/office/drawing/2012/chart">
                  <c:ext xmlns:c16="http://schemas.microsoft.com/office/drawing/2014/chart" uri="{C3380CC4-5D6E-409C-BE32-E72D297353CC}">
                    <c16:uniqueId val="{00000040-8441-4BC9-BAFD-56A075DA39D2}"/>
                  </c:ext>
                </c:extLst>
              </c15:ser>
            </c15:filteredBarSeries>
            <c15:filteredBarSeries>
              <c15:ser>
                <c:idx val="51"/>
                <c:order val="51"/>
                <c:tx>
                  <c:strRef>
                    <c:extLst xmlns:c15="http://schemas.microsoft.com/office/drawing/2012/chart">
                      <c:ext xmlns:c15="http://schemas.microsoft.com/office/drawing/2012/chart" uri="{02D57815-91ED-43cb-92C2-25804820EDAC}">
                        <c15:formulaRef>
                          <c15:sqref>Makro!$BB$1</c15:sqref>
                        </c15:formulaRef>
                      </c:ext>
                    </c:extLst>
                    <c:strCache>
                      <c:ptCount val="1"/>
                      <c:pt idx="0">
                        <c:v>Zasad. Jún 2018 odhad 2018</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Makro!$BB$2:$BB$20</c15:sqref>
                        </c15:formulaRef>
                      </c:ext>
                    </c:extLst>
                    <c:numCache>
                      <c:formatCode>#,##0.00</c:formatCode>
                      <c:ptCount val="10"/>
                      <c:pt idx="0">
                        <c:v>4.0592271866503937</c:v>
                      </c:pt>
                      <c:pt idx="1">
                        <c:v>3.4168069379744148</c:v>
                      </c:pt>
                      <c:pt idx="2">
                        <c:v>1.5319613258273801</c:v>
                      </c:pt>
                      <c:pt idx="3">
                        <c:v>6.5366558221572557</c:v>
                      </c:pt>
                      <c:pt idx="4">
                        <c:v>7.2934203820497423</c:v>
                      </c:pt>
                      <c:pt idx="5">
                        <c:v>7.1232380950834173</c:v>
                      </c:pt>
                      <c:pt idx="6">
                        <c:v>5.7651991614255715</c:v>
                      </c:pt>
                      <c:pt idx="7">
                        <c:v>3.1661497662306859</c:v>
                      </c:pt>
                      <c:pt idx="8">
                        <c:v>6.9313937333442599</c:v>
                      </c:pt>
                      <c:pt idx="9">
                        <c:v>2.5192850572442804</c:v>
                      </c:pt>
                    </c:numCache>
                  </c:numRef>
                </c:val>
                <c:extLst xmlns:c15="http://schemas.microsoft.com/office/drawing/2012/chart">
                  <c:ext xmlns:c16="http://schemas.microsoft.com/office/drawing/2014/chart" uri="{C3380CC4-5D6E-409C-BE32-E72D297353CC}">
                    <c16:uniqueId val="{00000041-8441-4BC9-BAFD-56A075DA39D2}"/>
                  </c:ext>
                </c:extLst>
              </c15:ser>
            </c15:filteredBarSeries>
            <c15:filteredBarSeries>
              <c15:ser>
                <c:idx val="52"/>
                <c:order val="52"/>
                <c:tx>
                  <c:strRef>
                    <c:extLst xmlns:c15="http://schemas.microsoft.com/office/drawing/2012/chart">
                      <c:ext xmlns:c15="http://schemas.microsoft.com/office/drawing/2012/chart" uri="{02D57815-91ED-43cb-92C2-25804820EDAC}">
                        <c15:formulaRef>
                          <c15:sqref>Makro!$BC$1</c15:sqref>
                        </c15:formulaRef>
                      </c:ext>
                    </c:extLst>
                    <c:strCache>
                      <c:ptCount val="1"/>
                      <c:pt idx="0">
                        <c:v>Zasad. Jún 2018 odhad 2019</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Makro!$BC$2:$BC$20</c15:sqref>
                        </c15:formulaRef>
                      </c:ext>
                    </c:extLst>
                    <c:numCache>
                      <c:formatCode>#,##0.00</c:formatCode>
                      <c:ptCount val="10"/>
                      <c:pt idx="0">
                        <c:v>4.5221106084760931</c:v>
                      </c:pt>
                      <c:pt idx="1">
                        <c:v>3.2008829878013234</c:v>
                      </c:pt>
                      <c:pt idx="2">
                        <c:v>1.274238870354405</c:v>
                      </c:pt>
                      <c:pt idx="3">
                        <c:v>3.98827078567352</c:v>
                      </c:pt>
                      <c:pt idx="4">
                        <c:v>8.4873840660673281</c:v>
                      </c:pt>
                      <c:pt idx="5">
                        <c:v>7.4108556756948829</c:v>
                      </c:pt>
                      <c:pt idx="6">
                        <c:v>5.7482656095143803</c:v>
                      </c:pt>
                      <c:pt idx="7">
                        <c:v>3.3689377861667591</c:v>
                      </c:pt>
                      <c:pt idx="8">
                        <c:v>6.3885949098136763</c:v>
                      </c:pt>
                      <c:pt idx="9">
                        <c:v>2.3017822126310206</c:v>
                      </c:pt>
                    </c:numCache>
                  </c:numRef>
                </c:val>
                <c:extLst xmlns:c15="http://schemas.microsoft.com/office/drawing/2012/chart">
                  <c:ext xmlns:c16="http://schemas.microsoft.com/office/drawing/2014/chart" uri="{C3380CC4-5D6E-409C-BE32-E72D297353CC}">
                    <c16:uniqueId val="{00000042-8441-4BC9-BAFD-56A075DA39D2}"/>
                  </c:ext>
                </c:extLst>
              </c15:ser>
            </c15:filteredBarSeries>
            <c15:filteredBarSeries>
              <c15:ser>
                <c:idx val="53"/>
                <c:order val="53"/>
                <c:tx>
                  <c:strRef>
                    <c:extLst xmlns:c15="http://schemas.microsoft.com/office/drawing/2012/chart">
                      <c:ext xmlns:c15="http://schemas.microsoft.com/office/drawing/2012/chart" uri="{02D57815-91ED-43cb-92C2-25804820EDAC}">
                        <c15:formulaRef>
                          <c15:sqref>Makro!$BD$1</c15:sqref>
                        </c15:formulaRef>
                      </c:ext>
                    </c:extLst>
                    <c:strCache>
                      <c:ptCount val="1"/>
                      <c:pt idx="0">
                        <c:v>Zasad. Jún 2018 odhad 2020</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Makro!$BD$2:$BD$20</c15:sqref>
                        </c15:formulaRef>
                      </c:ext>
                    </c:extLst>
                    <c:numCache>
                      <c:formatCode>#,##0.00</c:formatCode>
                      <c:ptCount val="10"/>
                      <c:pt idx="0">
                        <c:v>3.8691179017393162</c:v>
                      </c:pt>
                      <c:pt idx="1">
                        <c:v>2.8079964985531003</c:v>
                      </c:pt>
                      <c:pt idx="2">
                        <c:v>1.2289484096851711</c:v>
                      </c:pt>
                      <c:pt idx="3">
                        <c:v>3.3292489911392886</c:v>
                      </c:pt>
                      <c:pt idx="4">
                        <c:v>7.1439517685175424</c:v>
                      </c:pt>
                      <c:pt idx="5">
                        <c:v>6.194030662754435</c:v>
                      </c:pt>
                      <c:pt idx="6">
                        <c:v>5.4358013120899829</c:v>
                      </c:pt>
                      <c:pt idx="7">
                        <c:v>2.9772780227533602</c:v>
                      </c:pt>
                      <c:pt idx="8">
                        <c:v>5.830809184690974</c:v>
                      </c:pt>
                      <c:pt idx="9">
                        <c:v>2.3874424888113532</c:v>
                      </c:pt>
                    </c:numCache>
                  </c:numRef>
                </c:val>
                <c:extLst xmlns:c15="http://schemas.microsoft.com/office/drawing/2012/chart">
                  <c:ext xmlns:c16="http://schemas.microsoft.com/office/drawing/2014/chart" uri="{C3380CC4-5D6E-409C-BE32-E72D297353CC}">
                    <c16:uniqueId val="{00000043-8441-4BC9-BAFD-56A075DA39D2}"/>
                  </c:ext>
                </c:extLst>
              </c15:ser>
            </c15:filteredBarSeries>
            <c15:filteredBarSeries>
              <c15:ser>
                <c:idx val="54"/>
                <c:order val="54"/>
                <c:tx>
                  <c:strRef>
                    <c:extLst xmlns:c15="http://schemas.microsoft.com/office/drawing/2012/chart">
                      <c:ext xmlns:c15="http://schemas.microsoft.com/office/drawing/2012/chart" uri="{02D57815-91ED-43cb-92C2-25804820EDAC}">
                        <c15:formulaRef>
                          <c15:sqref>Makro!$BE$1</c15:sqref>
                        </c15:formulaRef>
                      </c:ext>
                    </c:extLst>
                    <c:strCache>
                      <c:ptCount val="1"/>
                      <c:pt idx="0">
                        <c:v>Zasad. Jún 2018 odhad 2021</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Makro!$BE$2:$BE$20</c15:sqref>
                        </c15:formulaRef>
                      </c:ext>
                    </c:extLst>
                    <c:numCache>
                      <c:formatCode>#,##0.00</c:formatCode>
                      <c:ptCount val="10"/>
                      <c:pt idx="0">
                        <c:v>3.2874042230120581</c:v>
                      </c:pt>
                      <c:pt idx="1">
                        <c:v>2.4667457740260801</c:v>
                      </c:pt>
                      <c:pt idx="2">
                        <c:v>1.1107848995931757</c:v>
                      </c:pt>
                      <c:pt idx="3">
                        <c:v>2.975538985907189</c:v>
                      </c:pt>
                      <c:pt idx="4">
                        <c:v>5.8500473695725308</c:v>
                      </c:pt>
                      <c:pt idx="5">
                        <c:v>5.261681378065175</c:v>
                      </c:pt>
                      <c:pt idx="6">
                        <c:v>5.3333333333333233</c:v>
                      </c:pt>
                      <c:pt idx="7">
                        <c:v>2.7310774740846089</c:v>
                      </c:pt>
                      <c:pt idx="8">
                        <c:v>5.567870898495034</c:v>
                      </c:pt>
                      <c:pt idx="9">
                        <c:v>2.5330756020788048</c:v>
                      </c:pt>
                    </c:numCache>
                  </c:numRef>
                </c:val>
                <c:extLst xmlns:c15="http://schemas.microsoft.com/office/drawing/2012/chart">
                  <c:ext xmlns:c16="http://schemas.microsoft.com/office/drawing/2014/chart" uri="{C3380CC4-5D6E-409C-BE32-E72D297353CC}">
                    <c16:uniqueId val="{00000044-8441-4BC9-BAFD-56A075DA39D2}"/>
                  </c:ext>
                </c:extLst>
              </c15:ser>
            </c15:filteredBarSeries>
            <c15:filteredBarSeries>
              <c15:ser>
                <c:idx val="55"/>
                <c:order val="55"/>
                <c:tx>
                  <c:strRef>
                    <c:extLst xmlns:c15="http://schemas.microsoft.com/office/drawing/2012/chart">
                      <c:ext xmlns:c15="http://schemas.microsoft.com/office/drawing/2012/chart" uri="{02D57815-91ED-43cb-92C2-25804820EDAC}">
                        <c15:formulaRef>
                          <c15:sqref>Makro!$BF$1</c15:sqref>
                        </c15:formulaRef>
                      </c:ext>
                    </c:extLst>
                    <c:strCache>
                      <c:ptCount val="1"/>
                      <c:pt idx="0">
                        <c:v>Zasad. Sep. 2018 odhad 2018</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Makro!$BF$2:$BF$20</c15:sqref>
                        </c15:formulaRef>
                      </c:ext>
                    </c:extLst>
                    <c:numCache>
                      <c:formatCode>#,##0.00</c:formatCode>
                      <c:ptCount val="10"/>
                      <c:pt idx="0">
                        <c:v>4.0747365700230409</c:v>
                      </c:pt>
                      <c:pt idx="1">
                        <c:v>2.95896744030264</c:v>
                      </c:pt>
                      <c:pt idx="2">
                        <c:v>1.7759397914120401</c:v>
                      </c:pt>
                      <c:pt idx="3">
                        <c:v>9.5593079254990609</c:v>
                      </c:pt>
                      <c:pt idx="4">
                        <c:v>6.7934477777647162</c:v>
                      </c:pt>
                      <c:pt idx="5">
                        <c:v>6.6465295257268631</c:v>
                      </c:pt>
                      <c:pt idx="6">
                        <c:v>6.1844863731656208</c:v>
                      </c:pt>
                      <c:pt idx="7">
                        <c:v>3.5621542802523276</c:v>
                      </c:pt>
                      <c:pt idx="8">
                        <c:v>6.901849836953768</c:v>
                      </c:pt>
                      <c:pt idx="9">
                        <c:v>2.5321335879291862</c:v>
                      </c:pt>
                    </c:numCache>
                  </c:numRef>
                </c:val>
                <c:extLst xmlns:c15="http://schemas.microsoft.com/office/drawing/2012/chart">
                  <c:ext xmlns:c16="http://schemas.microsoft.com/office/drawing/2014/chart" uri="{C3380CC4-5D6E-409C-BE32-E72D297353CC}">
                    <c16:uniqueId val="{00000045-8441-4BC9-BAFD-56A075DA39D2}"/>
                  </c:ext>
                </c:extLst>
              </c15:ser>
            </c15:filteredBarSeries>
            <c15:filteredBarSeries>
              <c15:ser>
                <c:idx val="56"/>
                <c:order val="56"/>
                <c:tx>
                  <c:strRef>
                    <c:extLst xmlns:c15="http://schemas.microsoft.com/office/drawing/2012/chart">
                      <c:ext xmlns:c15="http://schemas.microsoft.com/office/drawing/2012/chart" uri="{02D57815-91ED-43cb-92C2-25804820EDAC}">
                        <c15:formulaRef>
                          <c15:sqref>Makro!$BG$1</c15:sqref>
                        </c15:formulaRef>
                      </c:ext>
                    </c:extLst>
                    <c:strCache>
                      <c:ptCount val="1"/>
                      <c:pt idx="0">
                        <c:v>Zasad. Sep 2018 odhad 2019</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Makro!$BG$2:$BG$20</c15:sqref>
                        </c15:formulaRef>
                      </c:ext>
                    </c:extLst>
                    <c:numCache>
                      <c:formatCode>#,##0.00</c:formatCode>
                      <c:ptCount val="10"/>
                      <c:pt idx="0">
                        <c:v>4.4995126620853032</c:v>
                      </c:pt>
                      <c:pt idx="1">
                        <c:v>3.2446565266949667</c:v>
                      </c:pt>
                      <c:pt idx="2">
                        <c:v>1.4891573172998385</c:v>
                      </c:pt>
                      <c:pt idx="3">
                        <c:v>3.087142592502512</c:v>
                      </c:pt>
                      <c:pt idx="4">
                        <c:v>7.9421012393676493</c:v>
                      </c:pt>
                      <c:pt idx="5">
                        <c:v>6.7787482703897339</c:v>
                      </c:pt>
                      <c:pt idx="6">
                        <c:v>6.3178677196446209</c:v>
                      </c:pt>
                      <c:pt idx="7">
                        <c:v>3.7267282481512121</c:v>
                      </c:pt>
                      <c:pt idx="8">
                        <c:v>6.3742792848351684</c:v>
                      </c:pt>
                      <c:pt idx="9">
                        <c:v>2.4980441543422494</c:v>
                      </c:pt>
                    </c:numCache>
                  </c:numRef>
                </c:val>
                <c:extLst xmlns:c15="http://schemas.microsoft.com/office/drawing/2012/chart">
                  <c:ext xmlns:c16="http://schemas.microsoft.com/office/drawing/2014/chart" uri="{C3380CC4-5D6E-409C-BE32-E72D297353CC}">
                    <c16:uniqueId val="{00000046-8441-4BC9-BAFD-56A075DA39D2}"/>
                  </c:ext>
                </c:extLst>
              </c15:ser>
            </c15:filteredBarSeries>
            <c15:filteredBarSeries>
              <c15:ser>
                <c:idx val="57"/>
                <c:order val="57"/>
                <c:tx>
                  <c:strRef>
                    <c:extLst xmlns:c15="http://schemas.microsoft.com/office/drawing/2012/chart">
                      <c:ext xmlns:c15="http://schemas.microsoft.com/office/drawing/2012/chart" uri="{02D57815-91ED-43cb-92C2-25804820EDAC}">
                        <c15:formulaRef>
                          <c15:sqref>Makro!$BH$1</c15:sqref>
                        </c15:formulaRef>
                      </c:ext>
                    </c:extLst>
                    <c:strCache>
                      <c:ptCount val="1"/>
                      <c:pt idx="0">
                        <c:v>Zasad. Sep. 2018 odhad 2020</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Makro!$BH$2:$BH$20</c15:sqref>
                        </c15:formulaRef>
                      </c:ext>
                    </c:extLst>
                    <c:numCache>
                      <c:formatCode>#,##0.00</c:formatCode>
                      <c:ptCount val="10"/>
                      <c:pt idx="0">
                        <c:v>3.9148883673591151</c:v>
                      </c:pt>
                      <c:pt idx="1">
                        <c:v>2.8206049573037628</c:v>
                      </c:pt>
                      <c:pt idx="2">
                        <c:v>1.6901925491522585</c:v>
                      </c:pt>
                      <c:pt idx="3">
                        <c:v>3.0210367968918517</c:v>
                      </c:pt>
                      <c:pt idx="4">
                        <c:v>6.6272854248330626</c:v>
                      </c:pt>
                      <c:pt idx="5">
                        <c:v>5.6929933043320613</c:v>
                      </c:pt>
                      <c:pt idx="6">
                        <c:v>6.2209842154131945</c:v>
                      </c:pt>
                      <c:pt idx="7">
                        <c:v>3.6466801569213114</c:v>
                      </c:pt>
                      <c:pt idx="8">
                        <c:v>5.9254151933624506</c:v>
                      </c:pt>
                      <c:pt idx="9">
                        <c:v>2.483730356432412</c:v>
                      </c:pt>
                    </c:numCache>
                  </c:numRef>
                </c:val>
                <c:extLst xmlns:c15="http://schemas.microsoft.com/office/drawing/2012/chart">
                  <c:ext xmlns:c16="http://schemas.microsoft.com/office/drawing/2014/chart" uri="{C3380CC4-5D6E-409C-BE32-E72D297353CC}">
                    <c16:uniqueId val="{00000047-8441-4BC9-BAFD-56A075DA39D2}"/>
                  </c:ext>
                </c:extLst>
              </c15:ser>
            </c15:filteredBarSeries>
            <c15:filteredBarSeries>
              <c15:ser>
                <c:idx val="58"/>
                <c:order val="58"/>
                <c:tx>
                  <c:strRef>
                    <c:extLst xmlns:c15="http://schemas.microsoft.com/office/drawing/2012/chart">
                      <c:ext xmlns:c15="http://schemas.microsoft.com/office/drawing/2012/chart" uri="{02D57815-91ED-43cb-92C2-25804820EDAC}">
                        <c15:formulaRef>
                          <c15:sqref>Makro!$BI$1</c15:sqref>
                        </c15:formulaRef>
                      </c:ext>
                    </c:extLst>
                    <c:strCache>
                      <c:ptCount val="1"/>
                      <c:pt idx="0">
                        <c:v>Zasad. Sep 2018 odhad 2021</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Makro!$BI$2:$BI$20</c15:sqref>
                        </c15:formulaRef>
                      </c:ext>
                    </c:extLst>
                    <c:numCache>
                      <c:formatCode>#,##0.00</c:formatCode>
                      <c:ptCount val="10"/>
                      <c:pt idx="0">
                        <c:v>3.3252780949083238</c:v>
                      </c:pt>
                      <c:pt idx="1">
                        <c:v>2.4180859334398841</c:v>
                      </c:pt>
                      <c:pt idx="2">
                        <c:v>1.1892072822822009</c:v>
                      </c:pt>
                      <c:pt idx="3">
                        <c:v>2.9957550160556901</c:v>
                      </c:pt>
                      <c:pt idx="4">
                        <c:v>5.7146649088417378</c:v>
                      </c:pt>
                      <c:pt idx="5">
                        <c:v>5.0541871690655826</c:v>
                      </c:pt>
                      <c:pt idx="6">
                        <c:v>5.4195804195804165</c:v>
                      </c:pt>
                      <c:pt idx="7">
                        <c:v>2.8532405025917473</c:v>
                      </c:pt>
                      <c:pt idx="8">
                        <c:v>5.6505170972840659</c:v>
                      </c:pt>
                      <c:pt idx="9">
                        <c:v>2.4951473618607167</c:v>
                      </c:pt>
                    </c:numCache>
                  </c:numRef>
                </c:val>
                <c:extLst xmlns:c15="http://schemas.microsoft.com/office/drawing/2012/chart">
                  <c:ext xmlns:c16="http://schemas.microsoft.com/office/drawing/2014/chart" uri="{C3380CC4-5D6E-409C-BE32-E72D297353CC}">
                    <c16:uniqueId val="{00000048-8441-4BC9-BAFD-56A075DA39D2}"/>
                  </c:ext>
                </c:extLst>
              </c15:ser>
            </c15:filteredBarSeries>
            <c15:filteredBarSeries>
              <c15:ser>
                <c:idx val="59"/>
                <c:order val="59"/>
                <c:tx>
                  <c:strRef>
                    <c:extLst xmlns:c15="http://schemas.microsoft.com/office/drawing/2012/chart">
                      <c:ext xmlns:c15="http://schemas.microsoft.com/office/drawing/2012/chart" uri="{02D57815-91ED-43cb-92C2-25804820EDAC}">
                        <c15:formulaRef>
                          <c15:sqref>Makro!$BJ$1</c15:sqref>
                        </c15:formulaRef>
                      </c:ext>
                    </c:extLst>
                    <c:strCache>
                      <c:ptCount val="1"/>
                      <c:pt idx="0">
                        <c:v>Zasad. Feb. 2019 odhad 2018</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Makro!$BJ$2:$BJ$20</c15:sqref>
                        </c15:formulaRef>
                      </c:ext>
                    </c:extLst>
                    <c:numCache>
                      <c:formatCode>#,##0.00</c:formatCode>
                      <c:ptCount val="10"/>
                      <c:pt idx="0">
                        <c:v>4.3412027903005246</c:v>
                      </c:pt>
                      <c:pt idx="1">
                        <c:v>2.9786511746515032</c:v>
                      </c:pt>
                      <c:pt idx="2">
                        <c:v>1.3698401645200642</c:v>
                      </c:pt>
                      <c:pt idx="3">
                        <c:v>6.9863655400992375</c:v>
                      </c:pt>
                      <c:pt idx="4">
                        <c:v>4.8875381071473711</c:v>
                      </c:pt>
                      <c:pt idx="5">
                        <c:v>4.8332357283886296</c:v>
                      </c:pt>
                      <c:pt idx="6">
                        <c:v>6.2893081761006275</c:v>
                      </c:pt>
                      <c:pt idx="7">
                        <c:v>3.6874271964957517</c:v>
                      </c:pt>
                      <c:pt idx="8">
                        <c:v>6.608676168768203</c:v>
                      </c:pt>
                      <c:pt idx="9">
                        <c:v>2.509350506570196</c:v>
                      </c:pt>
                    </c:numCache>
                  </c:numRef>
                </c:val>
                <c:extLst xmlns:c15="http://schemas.microsoft.com/office/drawing/2012/chart">
                  <c:ext xmlns:c16="http://schemas.microsoft.com/office/drawing/2014/chart" uri="{C3380CC4-5D6E-409C-BE32-E72D297353CC}">
                    <c16:uniqueId val="{00000049-8441-4BC9-BAFD-56A075DA39D2}"/>
                  </c:ext>
                </c:extLst>
              </c15:ser>
            </c15:filteredBarSeries>
            <c15:filteredBarSeries>
              <c15:ser>
                <c:idx val="60"/>
                <c:order val="60"/>
                <c:tx>
                  <c:strRef>
                    <c:extLst xmlns:c15="http://schemas.microsoft.com/office/drawing/2012/chart">
                      <c:ext xmlns:c15="http://schemas.microsoft.com/office/drawing/2012/chart" uri="{02D57815-91ED-43cb-92C2-25804820EDAC}">
                        <c15:formulaRef>
                          <c15:sqref>Makro!$BK$1</c15:sqref>
                        </c15:formulaRef>
                      </c:ext>
                    </c:extLst>
                    <c:strCache>
                      <c:ptCount val="1"/>
                      <c:pt idx="0">
                        <c:v>Zasad. Feb. 2019 odhad 2019</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Makro!$BK$2:$BK$20</c15:sqref>
                        </c15:formulaRef>
                      </c:ext>
                    </c:extLst>
                    <c:numCache>
                      <c:formatCode>#,##0.00</c:formatCode>
                      <c:ptCount val="10"/>
                      <c:pt idx="0">
                        <c:v>4.0348430234782295</c:v>
                      </c:pt>
                      <c:pt idx="1">
                        <c:v>3.3389404656887889</c:v>
                      </c:pt>
                      <c:pt idx="2">
                        <c:v>1.750231768661159</c:v>
                      </c:pt>
                      <c:pt idx="3">
                        <c:v>1.9323134853927781</c:v>
                      </c:pt>
                      <c:pt idx="4">
                        <c:v>6.8665563499740623</c:v>
                      </c:pt>
                      <c:pt idx="5">
                        <c:v>5.8513898884214433</c:v>
                      </c:pt>
                      <c:pt idx="6">
                        <c:v>6.7061143984220806</c:v>
                      </c:pt>
                      <c:pt idx="7">
                        <c:v>3.9876832902049575</c:v>
                      </c:pt>
                      <c:pt idx="8">
                        <c:v>6.0272951957584233</c:v>
                      </c:pt>
                      <c:pt idx="9">
                        <c:v>2.6141856633449922</c:v>
                      </c:pt>
                    </c:numCache>
                  </c:numRef>
                </c:val>
                <c:extLst xmlns:c15="http://schemas.microsoft.com/office/drawing/2012/chart">
                  <c:ext xmlns:c16="http://schemas.microsoft.com/office/drawing/2014/chart" uri="{C3380CC4-5D6E-409C-BE32-E72D297353CC}">
                    <c16:uniqueId val="{0000004A-8441-4BC9-BAFD-56A075DA39D2}"/>
                  </c:ext>
                </c:extLst>
              </c15:ser>
            </c15:filteredBarSeries>
            <c15:filteredBarSeries>
              <c15:ser>
                <c:idx val="61"/>
                <c:order val="61"/>
                <c:tx>
                  <c:strRef>
                    <c:extLst xmlns:c15="http://schemas.microsoft.com/office/drawing/2012/chart">
                      <c:ext xmlns:c15="http://schemas.microsoft.com/office/drawing/2012/chart" uri="{02D57815-91ED-43cb-92C2-25804820EDAC}">
                        <c15:formulaRef>
                          <c15:sqref>Makro!$BL$1</c15:sqref>
                        </c15:formulaRef>
                      </c:ext>
                    </c:extLst>
                    <c:strCache>
                      <c:ptCount val="1"/>
                      <c:pt idx="0">
                        <c:v>Zasad. Feb. 2019 odhad 2020</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Makro!$BL$2:$BL$20</c15:sqref>
                        </c15:formulaRef>
                      </c:ext>
                    </c:extLst>
                    <c:numCache>
                      <c:formatCode>#,##0.00</c:formatCode>
                      <c:ptCount val="10"/>
                      <c:pt idx="0">
                        <c:v>3.6951605120379538</c:v>
                      </c:pt>
                      <c:pt idx="1">
                        <c:v>2.8587960308185334</c:v>
                      </c:pt>
                      <c:pt idx="2">
                        <c:v>1.7269459203214321</c:v>
                      </c:pt>
                      <c:pt idx="3">
                        <c:v>2.9321510627162484</c:v>
                      </c:pt>
                      <c:pt idx="4">
                        <c:v>6.0828149837276246</c:v>
                      </c:pt>
                      <c:pt idx="5">
                        <c:v>5.2795677859140744</c:v>
                      </c:pt>
                      <c:pt idx="6">
                        <c:v>6.2846580406654251</c:v>
                      </c:pt>
                      <c:pt idx="7">
                        <c:v>3.8042658411731045</c:v>
                      </c:pt>
                      <c:pt idx="8">
                        <c:v>5.6448852577347362</c:v>
                      </c:pt>
                      <c:pt idx="9">
                        <c:v>2.3894896605573868</c:v>
                      </c:pt>
                    </c:numCache>
                  </c:numRef>
                </c:val>
                <c:extLst xmlns:c15="http://schemas.microsoft.com/office/drawing/2012/chart">
                  <c:ext xmlns:c16="http://schemas.microsoft.com/office/drawing/2014/chart" uri="{C3380CC4-5D6E-409C-BE32-E72D297353CC}">
                    <c16:uniqueId val="{0000004B-8441-4BC9-BAFD-56A075DA39D2}"/>
                  </c:ext>
                </c:extLst>
              </c15:ser>
            </c15:filteredBarSeries>
            <c15:filteredBarSeries>
              <c15:ser>
                <c:idx val="62"/>
                <c:order val="62"/>
                <c:tx>
                  <c:strRef>
                    <c:extLst xmlns:c15="http://schemas.microsoft.com/office/drawing/2012/chart">
                      <c:ext xmlns:c15="http://schemas.microsoft.com/office/drawing/2012/chart" uri="{02D57815-91ED-43cb-92C2-25804820EDAC}">
                        <c15:formulaRef>
                          <c15:sqref>Makro!$BM$1</c15:sqref>
                        </c15:formulaRef>
                      </c:ext>
                    </c:extLst>
                    <c:strCache>
                      <c:ptCount val="1"/>
                      <c:pt idx="0">
                        <c:v>Zasad. Feb. 2019 odhad 2021</c:v>
                      </c:pt>
                    </c:strCache>
                  </c:strRef>
                </c:tx>
                <c:invertIfNegative val="0"/>
                <c:cat>
                  <c:strRef>
                    <c:extLst xmlns:c15="http://schemas.microsoft.com/office/drawing/2012/chart">
                      <c:ext xmlns:c15="http://schemas.microsoft.com/office/drawing/2012/chart" uri="{02D57815-91ED-43cb-92C2-25804820EDAC}">
                        <c15:formulaRef>
                          <c15:sqref>Makro!$A$2:$A$20</c15:sqref>
                        </c15:formulaRef>
                      </c:ext>
                    </c:extLst>
                    <c:strCache>
                      <c:ptCount val="10"/>
                      <c:pt idx="0">
                        <c:v>HDP, s.c. (YoY zmena)</c:v>
                      </c:pt>
                      <c:pt idx="1">
                        <c:v>Súkromná spotreba, s.c.</c:v>
                      </c:pt>
                      <c:pt idx="2">
                        <c:v>Vládna spotreba, s.c.</c:v>
                      </c:pt>
                      <c:pt idx="3">
                        <c:v>Fixné investície, s.c.</c:v>
                      </c:pt>
                      <c:pt idx="4">
                        <c:v>Export tovarov a služieb, s.c.</c:v>
                      </c:pt>
                      <c:pt idx="5">
                        <c:v>Import tovarov a služieb, s.c.</c:v>
                      </c:pt>
                      <c:pt idx="6">
                        <c:v>Priem. mesač. nominálna mzda</c:v>
                      </c:pt>
                      <c:pt idx="7">
                        <c:v>Priem. mesač. reálna mzda</c:v>
                      </c:pt>
                      <c:pt idx="8">
                        <c:v>Miera nezamestnanosti (VZPS)</c:v>
                      </c:pt>
                      <c:pt idx="9">
                        <c:v>Index spotrebiteľských cien (CPI)</c:v>
                      </c:pt>
                    </c:strCache>
                  </c:strRef>
                </c:cat>
                <c:val>
                  <c:numRef>
                    <c:extLst xmlns:c15="http://schemas.microsoft.com/office/drawing/2012/chart">
                      <c:ext xmlns:c15="http://schemas.microsoft.com/office/drawing/2012/chart" uri="{02D57815-91ED-43cb-92C2-25804820EDAC}">
                        <c15:formulaRef>
                          <c15:sqref>Makro!$BM$2:$BM$20</c15:sqref>
                        </c15:formulaRef>
                      </c:ext>
                    </c:extLst>
                    <c:numCache>
                      <c:formatCode>#,##0.00</c:formatCode>
                      <c:ptCount val="10"/>
                      <c:pt idx="0">
                        <c:v>3.1895849439412149</c:v>
                      </c:pt>
                      <c:pt idx="1">
                        <c:v>2.2419282497661897</c:v>
                      </c:pt>
                      <c:pt idx="2">
                        <c:v>1.0159853541405806</c:v>
                      </c:pt>
                      <c:pt idx="3">
                        <c:v>3.0747478056270205</c:v>
                      </c:pt>
                      <c:pt idx="4">
                        <c:v>5.2050727138824193</c:v>
                      </c:pt>
                      <c:pt idx="5">
                        <c:v>4.4681553903281879</c:v>
                      </c:pt>
                      <c:pt idx="6">
                        <c:v>5.3043478260869525</c:v>
                      </c:pt>
                      <c:pt idx="7">
                        <c:v>2.8525570166988201</c:v>
                      </c:pt>
                      <c:pt idx="8">
                        <c:v>5.4536772943999479</c:v>
                      </c:pt>
                      <c:pt idx="9">
                        <c:v>2.3837917894350857</c:v>
                      </c:pt>
                    </c:numCache>
                  </c:numRef>
                </c:val>
                <c:extLst xmlns:c15="http://schemas.microsoft.com/office/drawing/2012/chart">
                  <c:ext xmlns:c16="http://schemas.microsoft.com/office/drawing/2014/chart" uri="{C3380CC4-5D6E-409C-BE32-E72D297353CC}">
                    <c16:uniqueId val="{0000004C-8441-4BC9-BAFD-56A075DA39D2}"/>
                  </c:ext>
                </c:extLst>
              </c15:ser>
            </c15:filteredBarSeries>
          </c:ext>
        </c:extLst>
      </c:barChart>
      <c:catAx>
        <c:axId val="724467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Narrow" panose="020B0606020202030204" pitchFamily="34" charset="0"/>
                <a:ea typeface="+mn-ea"/>
                <a:cs typeface="+mn-cs"/>
              </a:defRPr>
            </a:pPr>
            <a:endParaRPr lang="sk-SK"/>
          </a:p>
        </c:txPr>
        <c:crossAx val="72448256"/>
        <c:crosses val="autoZero"/>
        <c:auto val="1"/>
        <c:lblAlgn val="ctr"/>
        <c:lblOffset val="100"/>
        <c:noMultiLvlLbl val="0"/>
      </c:catAx>
      <c:valAx>
        <c:axId val="72448256"/>
        <c:scaling>
          <c:orientation val="minMax"/>
          <c:max val="8.5"/>
          <c:min val="0"/>
        </c:scaling>
        <c:delete val="0"/>
        <c:axPos val="t"/>
        <c:majorGridlines>
          <c:spPr>
            <a:ln w="3175" cap="flat" cmpd="sng" algn="ctr">
              <a:solidFill>
                <a:srgbClr val="00B0F0"/>
              </a:solidFill>
              <a:round/>
            </a:ln>
            <a:effectLst/>
          </c:spPr>
        </c:majorGridlines>
        <c:title>
          <c:tx>
            <c:rich>
              <a:bodyPr/>
              <a:lstStyle/>
              <a:p>
                <a:pPr>
                  <a:defRPr/>
                </a:pPr>
                <a:r>
                  <a:rPr lang="sk-SK" sz="800">
                    <a:solidFill>
                      <a:srgbClr val="002060"/>
                    </a:solidFill>
                    <a:latin typeface="Arial Narrow" panose="020B0606020202030204" pitchFamily="34" charset="0"/>
                  </a:rPr>
                  <a:t>% - zmena</a:t>
                </a:r>
              </a:p>
            </c:rich>
          </c:tx>
          <c:layout>
            <c:manualLayout>
              <c:xMode val="edge"/>
              <c:yMode val="edge"/>
              <c:x val="5.3748961165185301E-2"/>
              <c:y val="2.3054755043227664E-2"/>
            </c:manualLayout>
          </c:layout>
          <c:overlay val="0"/>
        </c:title>
        <c:numFmt formatCode="#,##0.0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Arial Narrow" panose="020B0606020202030204" pitchFamily="34" charset="0"/>
                <a:ea typeface="+mn-ea"/>
                <a:cs typeface="+mn-cs"/>
              </a:defRPr>
            </a:pPr>
            <a:endParaRPr lang="sk-SK"/>
          </a:p>
        </c:txPr>
        <c:crossAx val="72446720"/>
        <c:crosses val="autoZero"/>
        <c:crossBetween val="between"/>
      </c:valAx>
      <c:spPr>
        <a:noFill/>
        <a:ln>
          <a:noFill/>
        </a:ln>
        <a:effectLst/>
      </c:spPr>
    </c:plotArea>
    <c:legend>
      <c:legendPos val="b"/>
      <c:layout>
        <c:manualLayout>
          <c:xMode val="edge"/>
          <c:yMode val="edge"/>
          <c:x val="0.69292042877466797"/>
          <c:y val="0.15922122126664998"/>
          <c:w val="0.22686039468680011"/>
          <c:h val="9.7262928589257752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20000"/>
                <a:lumOff val="80000"/>
              </a:schemeClr>
            </a:solidFill>
            <a:ln>
              <a:noFill/>
            </a:ln>
            <a:effectLst/>
          </c:spPr>
          <c:invertIfNegative val="0"/>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25-4F15-8F0D-EC4DD73E2F63}"/>
                </c:ext>
              </c:extLst>
            </c:dLbl>
            <c:spPr>
              <a:noFill/>
              <a:ln>
                <a:noFill/>
              </a:ln>
              <a:effectLst/>
            </c:spPr>
            <c:txPr>
              <a:bodyPr rot="-5400000" spcFirstLastPara="1" vertOverflow="ellipsis"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'Zdroje na žiaka'!$F$22:$F$33</c:f>
              <c:strCache>
                <c:ptCount val="12"/>
                <c:pt idx="0">
                  <c:v>&lt;100</c:v>
                </c:pt>
                <c:pt idx="1">
                  <c:v>100-149</c:v>
                </c:pt>
                <c:pt idx="2">
                  <c:v>150-199</c:v>
                </c:pt>
                <c:pt idx="3">
                  <c:v>200-249</c:v>
                </c:pt>
                <c:pt idx="4">
                  <c:v>250-299</c:v>
                </c:pt>
                <c:pt idx="5">
                  <c:v>300-349</c:v>
                </c:pt>
                <c:pt idx="6">
                  <c:v>350-399</c:v>
                </c:pt>
                <c:pt idx="7">
                  <c:v>400-449</c:v>
                </c:pt>
                <c:pt idx="8">
                  <c:v>450-499</c:v>
                </c:pt>
                <c:pt idx="9">
                  <c:v>500-549</c:v>
                </c:pt>
                <c:pt idx="10">
                  <c:v>550-600</c:v>
                </c:pt>
                <c:pt idx="11">
                  <c:v>&gt;600</c:v>
                </c:pt>
              </c:strCache>
            </c:strRef>
          </c:cat>
          <c:val>
            <c:numRef>
              <c:f>'Zdroje na žiaka'!$G$22:$G$33</c:f>
              <c:numCache>
                <c:formatCode>_-* #\ ##0\ _€_-;\-* #\ ##0\ _€_-;_-* "-"??\ _€_-;_-@_-</c:formatCode>
                <c:ptCount val="12"/>
                <c:pt idx="0">
                  <c:v>3196.0912243360272</c:v>
                </c:pt>
                <c:pt idx="1">
                  <c:v>2923.5118683888909</c:v>
                </c:pt>
                <c:pt idx="2">
                  <c:v>2546.9499613194525</c:v>
                </c:pt>
                <c:pt idx="3">
                  <c:v>2214.1595342058895</c:v>
                </c:pt>
                <c:pt idx="4">
                  <c:v>2045.5993951589969</c:v>
                </c:pt>
                <c:pt idx="5">
                  <c:v>2092.5523680755541</c:v>
                </c:pt>
                <c:pt idx="6">
                  <c:v>1917.9402809242636</c:v>
                </c:pt>
                <c:pt idx="7">
                  <c:v>1976.8654889863656</c:v>
                </c:pt>
                <c:pt idx="8">
                  <c:v>1912.6807175333181</c:v>
                </c:pt>
                <c:pt idx="9">
                  <c:v>1878.1069840254161</c:v>
                </c:pt>
                <c:pt idx="10">
                  <c:v>1951.6936168611267</c:v>
                </c:pt>
                <c:pt idx="11">
                  <c:v>1829.1478655570279</c:v>
                </c:pt>
              </c:numCache>
            </c:numRef>
          </c:val>
          <c:extLst>
            <c:ext xmlns:c16="http://schemas.microsoft.com/office/drawing/2014/chart" uri="{C3380CC4-5D6E-409C-BE32-E72D297353CC}">
              <c16:uniqueId val="{00000000-6E12-42F7-A19A-BB8BC42CE772}"/>
            </c:ext>
          </c:extLst>
        </c:ser>
        <c:dLbls>
          <c:showLegendKey val="0"/>
          <c:showVal val="0"/>
          <c:showCatName val="0"/>
          <c:showSerName val="0"/>
          <c:showPercent val="0"/>
          <c:showBubbleSize val="0"/>
        </c:dLbls>
        <c:gapWidth val="219"/>
        <c:overlap val="-27"/>
        <c:axId val="1488227375"/>
        <c:axId val="1488218223"/>
      </c:barChart>
      <c:catAx>
        <c:axId val="14882273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sk-SK"/>
                  <a:t>Počet</a:t>
                </a:r>
                <a:r>
                  <a:rPr lang="sk-SK" baseline="0"/>
                  <a:t> žiakov ZŠ</a:t>
                </a:r>
                <a:endParaRPr lang="sk-SK"/>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crossAx val="1488218223"/>
        <c:crosses val="autoZero"/>
        <c:auto val="1"/>
        <c:lblAlgn val="ctr"/>
        <c:lblOffset val="100"/>
        <c:noMultiLvlLbl val="0"/>
      </c:catAx>
      <c:valAx>
        <c:axId val="1488218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sk-SK"/>
                  <a:t>Priemerný</a:t>
                </a:r>
                <a:r>
                  <a:rPr lang="sk-SK" baseline="0"/>
                  <a:t> o</a:t>
                </a:r>
                <a:r>
                  <a:rPr lang="sk-SK"/>
                  <a:t>bjem prostriedkov</a:t>
                </a:r>
                <a:r>
                  <a:rPr lang="sk-SK" baseline="0"/>
                  <a:t> ZŠ (v e</a:t>
                </a:r>
                <a:r>
                  <a:rPr lang="sk-SK"/>
                  <a:t>ur na jedného</a:t>
                </a:r>
                <a:r>
                  <a:rPr lang="sk-SK" baseline="0"/>
                  <a:t> žiaka)</a:t>
                </a:r>
                <a:endParaRPr lang="sk-SK"/>
              </a:p>
            </c:rich>
          </c:tx>
          <c:layout>
            <c:manualLayout>
              <c:xMode val="edge"/>
              <c:yMode val="edge"/>
              <c:x val="2.4719101123595506E-2"/>
              <c:y val="4.03729838709677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crossAx val="14882273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Narrow" panose="020B0606020202030204" pitchFamily="34" charset="0"/>
        </a:defRPr>
      </a:pPr>
      <a:endParaRPr lang="sk-SK"/>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06013240882204"/>
          <c:y val="3.8787878787878788E-2"/>
          <c:w val="0.86257668351157601"/>
          <c:h val="0.6700197566213314"/>
        </c:manualLayout>
      </c:layout>
      <c:lineChart>
        <c:grouping val="standard"/>
        <c:varyColors val="0"/>
        <c:ser>
          <c:idx val="0"/>
          <c:order val="0"/>
          <c:tx>
            <c:strRef>
              <c:f>'BŠ-Záväzky FUN'!$A$3</c:f>
              <c:strCache>
                <c:ptCount val="1"/>
                <c:pt idx="0">
                  <c:v>Záväzky v lehote splatnosti</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5.4771177730595873E-2"/>
                  <c:y val="-5.03529548725764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BA-4979-83B6-4FD063DFDA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'BŠ-Záväzky FUN'!$B$2:$H$2</c:f>
              <c:strCache>
                <c:ptCount val="7"/>
                <c:pt idx="0">
                  <c:v>2013</c:v>
                </c:pt>
                <c:pt idx="1">
                  <c:v>2014</c:v>
                </c:pt>
                <c:pt idx="2">
                  <c:v>2015</c:v>
                </c:pt>
                <c:pt idx="3">
                  <c:v>2016</c:v>
                </c:pt>
                <c:pt idx="4">
                  <c:v>2017</c:v>
                </c:pt>
                <c:pt idx="5">
                  <c:v>2018</c:v>
                </c:pt>
                <c:pt idx="6">
                  <c:v>k 31.8.2019</c:v>
                </c:pt>
              </c:strCache>
            </c:strRef>
          </c:cat>
          <c:val>
            <c:numRef>
              <c:f>'BŠ-Záväzky FUN'!$B$3:$H$3</c:f>
              <c:numCache>
                <c:formatCode>#,##0</c:formatCode>
                <c:ptCount val="7"/>
                <c:pt idx="0">
                  <c:v>128985</c:v>
                </c:pt>
                <c:pt idx="1">
                  <c:v>118191</c:v>
                </c:pt>
                <c:pt idx="2">
                  <c:v>120205</c:v>
                </c:pt>
                <c:pt idx="3">
                  <c:v>123329</c:v>
                </c:pt>
                <c:pt idx="4">
                  <c:v>127621</c:v>
                </c:pt>
                <c:pt idx="5">
                  <c:v>156170</c:v>
                </c:pt>
                <c:pt idx="6">
                  <c:v>170980</c:v>
                </c:pt>
              </c:numCache>
            </c:numRef>
          </c:val>
          <c:smooth val="0"/>
          <c:extLst>
            <c:ext xmlns:c16="http://schemas.microsoft.com/office/drawing/2014/chart" uri="{C3380CC4-5D6E-409C-BE32-E72D297353CC}">
              <c16:uniqueId val="{00000000-599E-4CB6-9031-0F95D341BBD6}"/>
            </c:ext>
          </c:extLst>
        </c:ser>
        <c:ser>
          <c:idx val="1"/>
          <c:order val="1"/>
          <c:tx>
            <c:strRef>
              <c:f>'BŠ-Záväzky FUN'!$A$4</c:f>
              <c:strCache>
                <c:ptCount val="1"/>
                <c:pt idx="0">
                  <c:v>Záväzky po lehote splatnosti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5.0423824182068533E-2"/>
                  <c:y val="-6.379381508763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BA-4979-83B6-4FD063DFDA5D}"/>
                </c:ext>
              </c:extLst>
            </c:dLbl>
            <c:dLbl>
              <c:idx val="1"/>
              <c:layout>
                <c:manualLayout>
                  <c:x val="-5.2597500956332206E-2"/>
                  <c:y val="-5.80981156425214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9E-465E-B055-5488EFF93BE4}"/>
                </c:ext>
              </c:extLst>
            </c:dLbl>
            <c:dLbl>
              <c:idx val="2"/>
              <c:layout>
                <c:manualLayout>
                  <c:x val="-5.0423824182068533E-2"/>
                  <c:y val="-6.36352142028758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9E-465E-B055-5488EFF93BE4}"/>
                </c:ext>
              </c:extLst>
            </c:dLbl>
            <c:dLbl>
              <c:idx val="3"/>
              <c:layout>
                <c:manualLayout>
                  <c:x val="-5.0423824182068533E-2"/>
                  <c:y val="-5.80981156425214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9E-465E-B055-5488EFF93BE4}"/>
                </c:ext>
              </c:extLst>
            </c:dLbl>
            <c:dLbl>
              <c:idx val="4"/>
              <c:layout>
                <c:manualLayout>
                  <c:x val="-5.0423824182068533E-2"/>
                  <c:y val="-5.2561017082167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9E-465E-B055-5488EFF93B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'BŠ-Záväzky FUN'!$B$2:$H$2</c:f>
              <c:strCache>
                <c:ptCount val="7"/>
                <c:pt idx="0">
                  <c:v>2013</c:v>
                </c:pt>
                <c:pt idx="1">
                  <c:v>2014</c:v>
                </c:pt>
                <c:pt idx="2">
                  <c:v>2015</c:v>
                </c:pt>
                <c:pt idx="3">
                  <c:v>2016</c:v>
                </c:pt>
                <c:pt idx="4">
                  <c:v>2017</c:v>
                </c:pt>
                <c:pt idx="5">
                  <c:v>2018</c:v>
                </c:pt>
                <c:pt idx="6">
                  <c:v>k 31.8.2019</c:v>
                </c:pt>
              </c:strCache>
            </c:strRef>
          </c:cat>
          <c:val>
            <c:numRef>
              <c:f>'BŠ-Záväzky FUN'!$B$4:$H$4</c:f>
              <c:numCache>
                <c:formatCode>#,##0</c:formatCode>
                <c:ptCount val="7"/>
                <c:pt idx="0">
                  <c:v>236825</c:v>
                </c:pt>
                <c:pt idx="1">
                  <c:v>317856</c:v>
                </c:pt>
                <c:pt idx="2">
                  <c:v>426923</c:v>
                </c:pt>
                <c:pt idx="3">
                  <c:v>527165</c:v>
                </c:pt>
                <c:pt idx="4">
                  <c:v>646389</c:v>
                </c:pt>
                <c:pt idx="5">
                  <c:v>656350</c:v>
                </c:pt>
                <c:pt idx="6">
                  <c:v>697987</c:v>
                </c:pt>
              </c:numCache>
            </c:numRef>
          </c:val>
          <c:smooth val="0"/>
          <c:extLst>
            <c:ext xmlns:c16="http://schemas.microsoft.com/office/drawing/2014/chart" uri="{C3380CC4-5D6E-409C-BE32-E72D297353CC}">
              <c16:uniqueId val="{00000001-599E-4CB6-9031-0F95D341BBD6}"/>
            </c:ext>
          </c:extLst>
        </c:ser>
        <c:ser>
          <c:idx val="2"/>
          <c:order val="2"/>
          <c:tx>
            <c:strRef>
              <c:f>'BŠ-Záväzky FUN'!$A$5</c:f>
              <c:strCache>
                <c:ptCount val="1"/>
                <c:pt idx="0">
                  <c:v>Celkové záväzky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'BŠ-Záväzky FUN'!$B$2:$H$2</c:f>
              <c:strCache>
                <c:ptCount val="7"/>
                <c:pt idx="0">
                  <c:v>2013</c:v>
                </c:pt>
                <c:pt idx="1">
                  <c:v>2014</c:v>
                </c:pt>
                <c:pt idx="2">
                  <c:v>2015</c:v>
                </c:pt>
                <c:pt idx="3">
                  <c:v>2016</c:v>
                </c:pt>
                <c:pt idx="4">
                  <c:v>2017</c:v>
                </c:pt>
                <c:pt idx="5">
                  <c:v>2018</c:v>
                </c:pt>
                <c:pt idx="6">
                  <c:v>k 31.8.2019</c:v>
                </c:pt>
              </c:strCache>
            </c:strRef>
          </c:cat>
          <c:val>
            <c:numRef>
              <c:f>'BŠ-Záväzky FUN'!$B$5:$H$5</c:f>
              <c:numCache>
                <c:formatCode>#,##0</c:formatCode>
                <c:ptCount val="7"/>
                <c:pt idx="0">
                  <c:v>365810</c:v>
                </c:pt>
                <c:pt idx="1">
                  <c:v>436047</c:v>
                </c:pt>
                <c:pt idx="2">
                  <c:v>547128</c:v>
                </c:pt>
                <c:pt idx="3">
                  <c:v>650494</c:v>
                </c:pt>
                <c:pt idx="4">
                  <c:v>774009</c:v>
                </c:pt>
                <c:pt idx="5">
                  <c:v>812520</c:v>
                </c:pt>
                <c:pt idx="6">
                  <c:v>868967</c:v>
                </c:pt>
              </c:numCache>
            </c:numRef>
          </c:val>
          <c:smooth val="0"/>
          <c:extLst>
            <c:ext xmlns:c16="http://schemas.microsoft.com/office/drawing/2014/chart" uri="{C3380CC4-5D6E-409C-BE32-E72D297353CC}">
              <c16:uniqueId val="{00000003-599E-4CB6-9031-0F95D341BBD6}"/>
            </c:ext>
          </c:extLst>
        </c:ser>
        <c:dLbls>
          <c:showLegendKey val="0"/>
          <c:showVal val="0"/>
          <c:showCatName val="0"/>
          <c:showSerName val="0"/>
          <c:showPercent val="0"/>
          <c:showBubbleSize val="0"/>
        </c:dLbls>
        <c:marker val="1"/>
        <c:smooth val="0"/>
        <c:axId val="1233475007"/>
        <c:axId val="1233476255"/>
      </c:lineChart>
      <c:catAx>
        <c:axId val="123347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33476255"/>
        <c:crossesAt val="0"/>
        <c:auto val="1"/>
        <c:lblAlgn val="ctr"/>
        <c:lblOffset val="100"/>
        <c:noMultiLvlLbl val="0"/>
      </c:catAx>
      <c:valAx>
        <c:axId val="1233476255"/>
        <c:scaling>
          <c:orientation val="minMax"/>
          <c:max val="9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k-SK">
                    <a:latin typeface="Arial Narrow" panose="020B0606020202030204" pitchFamily="34" charset="0"/>
                  </a:rPr>
                  <a:t>tis.</a:t>
                </a:r>
                <a:r>
                  <a:rPr lang="sk-SK" baseline="0">
                    <a:latin typeface="Arial Narrow" panose="020B0606020202030204" pitchFamily="34" charset="0"/>
                  </a:rPr>
                  <a:t> eur</a:t>
                </a:r>
                <a:endParaRPr lang="sk-SK">
                  <a:latin typeface="Arial Narrow" panose="020B060602020203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33475007"/>
        <c:crosses val="autoZero"/>
        <c:crossBetween val="between"/>
        <c:majorUnit val="100000"/>
        <c:minorUnit val="5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Hárok1!$A$2</c:f>
              <c:strCache>
                <c:ptCount val="1"/>
                <c:pt idx="0">
                  <c:v>schválený</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Hárok1!$D$1:$I$1</c:f>
              <c:numCache>
                <c:formatCode>General</c:formatCode>
                <c:ptCount val="6"/>
                <c:pt idx="0">
                  <c:v>2015</c:v>
                </c:pt>
                <c:pt idx="1">
                  <c:v>2016</c:v>
                </c:pt>
                <c:pt idx="2">
                  <c:v>2017</c:v>
                </c:pt>
                <c:pt idx="3">
                  <c:v>2018</c:v>
                </c:pt>
                <c:pt idx="4">
                  <c:v>2019</c:v>
                </c:pt>
                <c:pt idx="5">
                  <c:v>2020</c:v>
                </c:pt>
              </c:numCache>
            </c:numRef>
          </c:cat>
          <c:val>
            <c:numRef>
              <c:f>Hárok1!$D$2:$I$2</c:f>
              <c:numCache>
                <c:formatCode>General</c:formatCode>
                <c:ptCount val="6"/>
                <c:pt idx="0">
                  <c:v>2091144</c:v>
                </c:pt>
                <c:pt idx="1">
                  <c:v>2040734</c:v>
                </c:pt>
                <c:pt idx="2">
                  <c:v>2149834</c:v>
                </c:pt>
                <c:pt idx="3">
                  <c:v>1176185</c:v>
                </c:pt>
                <c:pt idx="4">
                  <c:v>1153931</c:v>
                </c:pt>
                <c:pt idx="5">
                  <c:v>1159324</c:v>
                </c:pt>
              </c:numCache>
            </c:numRef>
          </c:val>
          <c:extLst>
            <c:ext xmlns:c16="http://schemas.microsoft.com/office/drawing/2014/chart" uri="{C3380CC4-5D6E-409C-BE32-E72D297353CC}">
              <c16:uniqueId val="{00000000-CA8A-413B-AD97-F066B7E19600}"/>
            </c:ext>
          </c:extLst>
        </c:ser>
        <c:ser>
          <c:idx val="1"/>
          <c:order val="1"/>
          <c:tx>
            <c:strRef>
              <c:f>Hárok1!$A$3</c:f>
              <c:strCache>
                <c:ptCount val="1"/>
                <c:pt idx="0">
                  <c:v>upravený k 30.6</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Hárok1!$D$1:$I$1</c:f>
              <c:numCache>
                <c:formatCode>General</c:formatCode>
                <c:ptCount val="6"/>
                <c:pt idx="0">
                  <c:v>2015</c:v>
                </c:pt>
                <c:pt idx="1">
                  <c:v>2016</c:v>
                </c:pt>
                <c:pt idx="2">
                  <c:v>2017</c:v>
                </c:pt>
                <c:pt idx="3">
                  <c:v>2018</c:v>
                </c:pt>
                <c:pt idx="4">
                  <c:v>2019</c:v>
                </c:pt>
                <c:pt idx="5">
                  <c:v>2020</c:v>
                </c:pt>
              </c:numCache>
            </c:numRef>
          </c:cat>
          <c:val>
            <c:numRef>
              <c:f>Hárok1!$D$3:$I$3</c:f>
              <c:numCache>
                <c:formatCode>General</c:formatCode>
                <c:ptCount val="6"/>
                <c:pt idx="0">
                  <c:v>2913901</c:v>
                </c:pt>
                <c:pt idx="1">
                  <c:v>2428624</c:v>
                </c:pt>
                <c:pt idx="2">
                  <c:v>3132996</c:v>
                </c:pt>
                <c:pt idx="3">
                  <c:v>2889555</c:v>
                </c:pt>
                <c:pt idx="4">
                  <c:v>2153710</c:v>
                </c:pt>
              </c:numCache>
            </c:numRef>
          </c:val>
          <c:extLst>
            <c:ext xmlns:c16="http://schemas.microsoft.com/office/drawing/2014/chart" uri="{C3380CC4-5D6E-409C-BE32-E72D297353CC}">
              <c16:uniqueId val="{00000001-CA8A-413B-AD97-F066B7E19600}"/>
            </c:ext>
          </c:extLst>
        </c:ser>
        <c:dLbls>
          <c:showLegendKey val="0"/>
          <c:showVal val="0"/>
          <c:showCatName val="0"/>
          <c:showSerName val="0"/>
          <c:showPercent val="0"/>
          <c:showBubbleSize val="0"/>
        </c:dLbls>
        <c:gapWidth val="164"/>
        <c:overlap val="-22"/>
        <c:axId val="1084011039"/>
        <c:axId val="1084011455"/>
      </c:barChart>
      <c:catAx>
        <c:axId val="108401103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084011455"/>
        <c:crosses val="autoZero"/>
        <c:auto val="1"/>
        <c:lblAlgn val="ctr"/>
        <c:lblOffset val="100"/>
        <c:noMultiLvlLbl val="0"/>
      </c:catAx>
      <c:valAx>
        <c:axId val="1084011455"/>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084011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54694683271583"/>
          <c:y val="2.8252387846985121E-2"/>
          <c:w val="0.29357858045522089"/>
          <c:h val="0.9583824691938697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E7-4EE0-817B-8CB77063FF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E7-4EE0-817B-8CB77063FF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E7-4EE0-817B-8CB77063FF60}"/>
              </c:ext>
            </c:extLst>
          </c:dPt>
          <c:dPt>
            <c:idx val="3"/>
            <c:bubble3D val="0"/>
            <c:explosion val="10"/>
            <c:spPr>
              <a:solidFill>
                <a:schemeClr val="accent4"/>
              </a:solidFill>
              <a:ln w="19050">
                <a:solidFill>
                  <a:schemeClr val="lt1"/>
                </a:solidFill>
              </a:ln>
              <a:effectLst/>
            </c:spPr>
            <c:extLst>
              <c:ext xmlns:c16="http://schemas.microsoft.com/office/drawing/2014/chart" uri="{C3380CC4-5D6E-409C-BE32-E72D297353CC}">
                <c16:uniqueId val="{00000007-3FE7-4EE0-817B-8CB77063FF60}"/>
              </c:ext>
            </c:extLst>
          </c:dPt>
          <c:dPt>
            <c:idx val="4"/>
            <c:bubble3D val="0"/>
            <c:explosion val="10"/>
            <c:spPr>
              <a:solidFill>
                <a:srgbClr val="FF0000"/>
              </a:solidFill>
              <a:ln w="19050">
                <a:solidFill>
                  <a:schemeClr val="lt1"/>
                </a:solidFill>
              </a:ln>
              <a:effectLst/>
            </c:spPr>
            <c:extLst>
              <c:ext xmlns:c16="http://schemas.microsoft.com/office/drawing/2014/chart" uri="{C3380CC4-5D6E-409C-BE32-E72D297353CC}">
                <c16:uniqueId val="{00000009-3FE7-4EE0-817B-8CB77063FF6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FE7-4EE0-817B-8CB77063FF60}"/>
              </c:ext>
            </c:extLst>
          </c:dPt>
          <c:dLbls>
            <c:dLbl>
              <c:idx val="2"/>
              <c:layout>
                <c:manualLayout>
                  <c:x val="7.4101154022413865E-2"/>
                  <c:y val="-4.73976647125659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E7-4EE0-817B-8CB77063FF60}"/>
                </c:ext>
              </c:extLst>
            </c:dLbl>
            <c:dLbl>
              <c:idx val="3"/>
              <c:layout>
                <c:manualLayout>
                  <c:x val="-8.6753044758294106E-3"/>
                  <c:y val="3.79737797258969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E7-4EE0-817B-8CB77063FF60}"/>
                </c:ext>
              </c:extLst>
            </c:dLbl>
            <c:dLbl>
              <c:idx val="4"/>
              <c:layout>
                <c:manualLayout>
                  <c:x val="-6.905907594883973E-3"/>
                  <c:y val="-6.4771500539762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E7-4EE0-817B-8CB77063FF60}"/>
                </c:ext>
              </c:extLst>
            </c:dLbl>
            <c:dLbl>
              <c:idx val="5"/>
              <c:layout>
                <c:manualLayout>
                  <c:x val="7.6162094321543139E-2"/>
                  <c:y val="6.208713835203848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E7-4EE0-817B-8CB77063FF6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k-SK"/>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Hárok1!$A$2:$A$7</c:f>
              <c:strCache>
                <c:ptCount val="6"/>
                <c:pt idx="0">
                  <c:v>železničná infraštruktúra</c:v>
                </c:pt>
                <c:pt idx="1">
                  <c:v>cestná infraštruktúra</c:v>
                </c:pt>
                <c:pt idx="2">
                  <c:v>podpora bývania</c:v>
                </c:pt>
                <c:pt idx="3">
                  <c:v>letecká doprava</c:v>
                </c:pt>
                <c:pt idx="4">
                  <c:v>cestovný ruch</c:v>
                </c:pt>
                <c:pt idx="5">
                  <c:v>ostatné činnosti</c:v>
                </c:pt>
              </c:strCache>
            </c:strRef>
          </c:cat>
          <c:val>
            <c:numRef>
              <c:f>Hárok1!$B$2:$B$7</c:f>
              <c:numCache>
                <c:formatCode>_-* #\ ##0\ _€_-;\-* #\ ##0\ _€_-;_-* "-"??\ _€_-;_-@_-</c:formatCode>
                <c:ptCount val="6"/>
                <c:pt idx="0">
                  <c:v>656091</c:v>
                </c:pt>
                <c:pt idx="1">
                  <c:v>325758</c:v>
                </c:pt>
                <c:pt idx="2">
                  <c:v>76000</c:v>
                </c:pt>
                <c:pt idx="3">
                  <c:v>6000</c:v>
                </c:pt>
                <c:pt idx="4">
                  <c:v>9578</c:v>
                </c:pt>
                <c:pt idx="5">
                  <c:v>85797</c:v>
                </c:pt>
              </c:numCache>
            </c:numRef>
          </c:val>
          <c:extLst>
            <c:ext xmlns:c16="http://schemas.microsoft.com/office/drawing/2014/chart" uri="{C3380CC4-5D6E-409C-BE32-E72D297353CC}">
              <c16:uniqueId val="{0000000C-3FE7-4EE0-817B-8CB77063FF60}"/>
            </c:ext>
          </c:extLst>
        </c:ser>
        <c:dLbls>
          <c:dLblPos val="bestFit"/>
          <c:showLegendKey val="0"/>
          <c:showVal val="1"/>
          <c:showCatName val="0"/>
          <c:showSerName val="0"/>
          <c:showPercent val="0"/>
          <c:showBubbleSize val="0"/>
          <c:showLeaderLines val="1"/>
        </c:dLbls>
        <c:firstSliceAng val="299"/>
      </c:pieChart>
      <c:spPr>
        <a:noFill/>
        <a:ln>
          <a:noFill/>
        </a:ln>
        <a:effectLst/>
      </c:spPr>
    </c:plotArea>
    <c:legend>
      <c:legendPos val="r"/>
      <c:layout>
        <c:manualLayout>
          <c:xMode val="edge"/>
          <c:yMode val="edge"/>
          <c:x val="0.63982158480189966"/>
          <c:y val="2.0508141771951056E-2"/>
          <c:w val="0.34695090197058698"/>
          <c:h val="0.958983149776303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37292213473316"/>
          <c:y val="5.0925925925925923E-2"/>
          <c:w val="0.79407152230971123"/>
          <c:h val="0.61475940507436577"/>
        </c:manualLayout>
      </c:layout>
      <c:barChart>
        <c:barDir val="col"/>
        <c:grouping val="clustered"/>
        <c:varyColors val="0"/>
        <c:ser>
          <c:idx val="0"/>
          <c:order val="0"/>
          <c:tx>
            <c:strRef>
              <c:f>Hárok2!$V$15</c:f>
              <c:strCache>
                <c:ptCount val="1"/>
                <c:pt idx="0">
                  <c:v>MPSVR SR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Hárok2!$W$13:$AC$14</c:f>
              <c:multiLvlStrCache>
                <c:ptCount val="7"/>
                <c:lvl>
                  <c:pt idx="0">
                    <c:v>2017</c:v>
                  </c:pt>
                  <c:pt idx="1">
                    <c:v>2018</c:v>
                  </c:pt>
                  <c:pt idx="2">
                    <c:v>2019</c:v>
                  </c:pt>
                  <c:pt idx="3">
                    <c:v>2019</c:v>
                  </c:pt>
                  <c:pt idx="4">
                    <c:v>2020</c:v>
                  </c:pt>
                  <c:pt idx="5">
                    <c:v>2021</c:v>
                  </c:pt>
                  <c:pt idx="6">
                    <c:v>2022</c:v>
                  </c:pt>
                </c:lvl>
                <c:lvl>
                  <c:pt idx="0">
                    <c:v>Skutočné čerpanie</c:v>
                  </c:pt>
                  <c:pt idx="2">
                    <c:v>Návrh rozpočtu</c:v>
                  </c:pt>
                  <c:pt idx="3">
                    <c:v>Očakávaný stav</c:v>
                  </c:pt>
                  <c:pt idx="4">
                    <c:v>Návrh rozpočtu</c:v>
                  </c:pt>
                </c:lvl>
              </c:multiLvlStrCache>
            </c:multiLvlStrRef>
          </c:cat>
          <c:val>
            <c:numRef>
              <c:f>Hárok2!$W$15:$AC$15</c:f>
              <c:numCache>
                <c:formatCode>#\ ##0.0</c:formatCode>
                <c:ptCount val="7"/>
                <c:pt idx="0">
                  <c:v>2185.5</c:v>
                </c:pt>
                <c:pt idx="1">
                  <c:v>2331.6999999999998</c:v>
                </c:pt>
                <c:pt idx="2">
                  <c:v>2300.9</c:v>
                </c:pt>
                <c:pt idx="3">
                  <c:v>2637.2</c:v>
                </c:pt>
                <c:pt idx="4">
                  <c:v>2847.7</c:v>
                </c:pt>
                <c:pt idx="5">
                  <c:v>2896.6</c:v>
                </c:pt>
                <c:pt idx="6">
                  <c:v>2951.4</c:v>
                </c:pt>
              </c:numCache>
            </c:numRef>
          </c:val>
          <c:extLst>
            <c:ext xmlns:c16="http://schemas.microsoft.com/office/drawing/2014/chart" uri="{C3380CC4-5D6E-409C-BE32-E72D297353CC}">
              <c16:uniqueId val="{00000000-5797-4C43-9BB4-A86A12658BE1}"/>
            </c:ext>
          </c:extLst>
        </c:ser>
        <c:ser>
          <c:idx val="1"/>
          <c:order val="1"/>
          <c:tx>
            <c:strRef>
              <c:f>Hárok2!$V$16</c:f>
              <c:strCache>
                <c:ptCount val="1"/>
                <c:pt idx="0">
                  <c:v>Podpora rodiny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Hárok2!$W$13:$AC$14</c:f>
              <c:multiLvlStrCache>
                <c:ptCount val="7"/>
                <c:lvl>
                  <c:pt idx="0">
                    <c:v>2017</c:v>
                  </c:pt>
                  <c:pt idx="1">
                    <c:v>2018</c:v>
                  </c:pt>
                  <c:pt idx="2">
                    <c:v>2019</c:v>
                  </c:pt>
                  <c:pt idx="3">
                    <c:v>2019</c:v>
                  </c:pt>
                  <c:pt idx="4">
                    <c:v>2020</c:v>
                  </c:pt>
                  <c:pt idx="5">
                    <c:v>2021</c:v>
                  </c:pt>
                  <c:pt idx="6">
                    <c:v>2022</c:v>
                  </c:pt>
                </c:lvl>
                <c:lvl>
                  <c:pt idx="0">
                    <c:v>Skutočné čerpanie</c:v>
                  </c:pt>
                  <c:pt idx="2">
                    <c:v>Návrh rozpočtu</c:v>
                  </c:pt>
                  <c:pt idx="3">
                    <c:v>Očakávaný stav</c:v>
                  </c:pt>
                  <c:pt idx="4">
                    <c:v>Návrh rozpočtu</c:v>
                  </c:pt>
                </c:lvl>
              </c:multiLvlStrCache>
            </c:multiLvlStrRef>
          </c:cat>
          <c:val>
            <c:numRef>
              <c:f>Hárok2!$W$16:$AC$16</c:f>
              <c:numCache>
                <c:formatCode>General</c:formatCode>
                <c:ptCount val="7"/>
                <c:pt idx="0">
                  <c:v>722.5</c:v>
                </c:pt>
                <c:pt idx="1">
                  <c:v>737.5</c:v>
                </c:pt>
                <c:pt idx="2">
                  <c:v>756.4</c:v>
                </c:pt>
                <c:pt idx="3">
                  <c:v>765.2</c:v>
                </c:pt>
                <c:pt idx="4">
                  <c:v>939.3</c:v>
                </c:pt>
                <c:pt idx="5">
                  <c:v>959</c:v>
                </c:pt>
                <c:pt idx="6">
                  <c:v>980.3</c:v>
                </c:pt>
              </c:numCache>
            </c:numRef>
          </c:val>
          <c:extLst>
            <c:ext xmlns:c16="http://schemas.microsoft.com/office/drawing/2014/chart" uri="{C3380CC4-5D6E-409C-BE32-E72D297353CC}">
              <c16:uniqueId val="{00000001-5797-4C43-9BB4-A86A12658BE1}"/>
            </c:ext>
          </c:extLst>
        </c:ser>
        <c:ser>
          <c:idx val="2"/>
          <c:order val="2"/>
          <c:tx>
            <c:strRef>
              <c:f>Hárok2!$V$17</c:f>
              <c:strCache>
                <c:ptCount val="1"/>
                <c:pt idx="0">
                  <c:v>podprogram Podpora rodiny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Hárok2!$W$13:$AC$14</c:f>
              <c:multiLvlStrCache>
                <c:ptCount val="7"/>
                <c:lvl>
                  <c:pt idx="0">
                    <c:v>2017</c:v>
                  </c:pt>
                  <c:pt idx="1">
                    <c:v>2018</c:v>
                  </c:pt>
                  <c:pt idx="2">
                    <c:v>2019</c:v>
                  </c:pt>
                  <c:pt idx="3">
                    <c:v>2019</c:v>
                  </c:pt>
                  <c:pt idx="4">
                    <c:v>2020</c:v>
                  </c:pt>
                  <c:pt idx="5">
                    <c:v>2021</c:v>
                  </c:pt>
                  <c:pt idx="6">
                    <c:v>2022</c:v>
                  </c:pt>
                </c:lvl>
                <c:lvl>
                  <c:pt idx="0">
                    <c:v>Skutočné čerpanie</c:v>
                  </c:pt>
                  <c:pt idx="2">
                    <c:v>Návrh rozpočtu</c:v>
                  </c:pt>
                  <c:pt idx="3">
                    <c:v>Očakávaný stav</c:v>
                  </c:pt>
                  <c:pt idx="4">
                    <c:v>Návrh rozpočtu</c:v>
                  </c:pt>
                </c:lvl>
              </c:multiLvlStrCache>
            </c:multiLvlStrRef>
          </c:cat>
          <c:val>
            <c:numRef>
              <c:f>Hárok2!$W$17:$AC$17</c:f>
              <c:numCache>
                <c:formatCode>#\ ##0.0</c:formatCode>
                <c:ptCount val="7"/>
                <c:pt idx="0">
                  <c:v>965.4</c:v>
                </c:pt>
                <c:pt idx="1">
                  <c:v>1032.9000000000001</c:v>
                </c:pt>
                <c:pt idx="2">
                  <c:v>1015.9</c:v>
                </c:pt>
                <c:pt idx="3">
                  <c:v>1047.2</c:v>
                </c:pt>
                <c:pt idx="4">
                  <c:v>1248.5999999999999</c:v>
                </c:pt>
                <c:pt idx="5">
                  <c:v>1291.2</c:v>
                </c:pt>
                <c:pt idx="6">
                  <c:v>1328</c:v>
                </c:pt>
              </c:numCache>
            </c:numRef>
          </c:val>
          <c:extLst>
            <c:ext xmlns:c16="http://schemas.microsoft.com/office/drawing/2014/chart" uri="{C3380CC4-5D6E-409C-BE32-E72D297353CC}">
              <c16:uniqueId val="{00000002-5797-4C43-9BB4-A86A12658BE1}"/>
            </c:ext>
          </c:extLst>
        </c:ser>
        <c:dLbls>
          <c:showLegendKey val="0"/>
          <c:showVal val="0"/>
          <c:showCatName val="0"/>
          <c:showSerName val="0"/>
          <c:showPercent val="0"/>
          <c:showBubbleSize val="0"/>
        </c:dLbls>
        <c:gapWidth val="150"/>
        <c:axId val="871059279"/>
        <c:axId val="871065519"/>
      </c:barChart>
      <c:catAx>
        <c:axId val="871059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sk-SK"/>
          </a:p>
        </c:txPr>
        <c:crossAx val="871065519"/>
        <c:crosses val="autoZero"/>
        <c:auto val="1"/>
        <c:lblAlgn val="ctr"/>
        <c:lblOffset val="100"/>
        <c:noMultiLvlLbl val="0"/>
      </c:catAx>
      <c:valAx>
        <c:axId val="871065519"/>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sk-SK"/>
          </a:p>
        </c:txPr>
        <c:crossAx val="871059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12871328815103E-2"/>
          <c:y val="5.2684907951791232E-2"/>
          <c:w val="0.88033014937252252"/>
          <c:h val="0.77256989997818626"/>
        </c:manualLayout>
      </c:layout>
      <c:lineChart>
        <c:grouping val="standard"/>
        <c:varyColors val="0"/>
        <c:ser>
          <c:idx val="0"/>
          <c:order val="0"/>
          <c:tx>
            <c:strRef>
              <c:f>'Čistá poz.'!$B$4</c:f>
              <c:strCache>
                <c:ptCount val="1"/>
                <c:pt idx="0">
                  <c:v>Čistá finančná pozícia SR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'Čistá poz.'!$C$3:$T$3</c:f>
              <c:strCach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 N</c:v>
                </c:pt>
                <c:pt idx="16">
                  <c:v>2021N</c:v>
                </c:pt>
                <c:pt idx="17">
                  <c:v>2022 N</c:v>
                </c:pt>
              </c:strCache>
            </c:strRef>
          </c:cat>
          <c:val>
            <c:numRef>
              <c:f>'Čistá poz.'!$C$4:$T$4</c:f>
              <c:numCache>
                <c:formatCode>General</c:formatCode>
                <c:ptCount val="18"/>
                <c:pt idx="0">
                  <c:v>219</c:v>
                </c:pt>
                <c:pt idx="1">
                  <c:v>367</c:v>
                </c:pt>
                <c:pt idx="2">
                  <c:v>321</c:v>
                </c:pt>
                <c:pt idx="3">
                  <c:v>250</c:v>
                </c:pt>
                <c:pt idx="4">
                  <c:v>424</c:v>
                </c:pt>
                <c:pt idx="5">
                  <c:v>1045</c:v>
                </c:pt>
                <c:pt idx="6">
                  <c:v>1336</c:v>
                </c:pt>
                <c:pt idx="7">
                  <c:v>1415</c:v>
                </c:pt>
                <c:pt idx="8">
                  <c:v>1360</c:v>
                </c:pt>
                <c:pt idx="9">
                  <c:v>480</c:v>
                </c:pt>
                <c:pt idx="10">
                  <c:v>3598</c:v>
                </c:pt>
                <c:pt idx="11" formatCode="#,##0">
                  <c:v>1208</c:v>
                </c:pt>
                <c:pt idx="12">
                  <c:v>688</c:v>
                </c:pt>
                <c:pt idx="13">
                  <c:v>1328</c:v>
                </c:pt>
                <c:pt idx="14">
                  <c:v>819</c:v>
                </c:pt>
                <c:pt idx="15">
                  <c:v>756</c:v>
                </c:pt>
                <c:pt idx="16">
                  <c:v>876</c:v>
                </c:pt>
                <c:pt idx="17" formatCode="#,##0">
                  <c:v>1183</c:v>
                </c:pt>
              </c:numCache>
            </c:numRef>
          </c:val>
          <c:smooth val="0"/>
          <c:extLst>
            <c:ext xmlns:c16="http://schemas.microsoft.com/office/drawing/2014/chart" uri="{C3380CC4-5D6E-409C-BE32-E72D297353CC}">
              <c16:uniqueId val="{00000011-5537-4EB8-8EB1-C1C151F41D69}"/>
            </c:ext>
          </c:extLst>
        </c:ser>
        <c:dLbls>
          <c:dLblPos val="t"/>
          <c:showLegendKey val="0"/>
          <c:showVal val="1"/>
          <c:showCatName val="0"/>
          <c:showSerName val="0"/>
          <c:showPercent val="0"/>
          <c:showBubbleSize val="0"/>
        </c:dLbls>
        <c:smooth val="0"/>
        <c:axId val="352429952"/>
        <c:axId val="352430512"/>
      </c:lineChart>
      <c:catAx>
        <c:axId val="35242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352430512"/>
        <c:crosses val="autoZero"/>
        <c:auto val="1"/>
        <c:lblAlgn val="ctr"/>
        <c:lblOffset val="100"/>
        <c:tickLblSkip val="1"/>
        <c:noMultiLvlLbl val="0"/>
      </c:catAx>
      <c:valAx>
        <c:axId val="35243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35242995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1D-465A-8D6F-3FE8F77146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1D-465A-8D6F-3FE8F77146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1D-465A-8D6F-3FE8F77146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1D-465A-8D6F-3FE8F77146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21D-465A-8D6F-3FE8F771469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21D-465A-8D6F-3FE8F771469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21D-465A-8D6F-3FE8F771469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21D-465A-8D6F-3FE8F771469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21D-465A-8D6F-3FE8F771469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21D-465A-8D6F-3FE8F771469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21D-465A-8D6F-3FE8F771469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21D-465A-8D6F-3FE8F771469D}"/>
              </c:ext>
            </c:extLst>
          </c:dPt>
          <c:dLbls>
            <c:dLbl>
              <c:idx val="1"/>
              <c:layout>
                <c:manualLayout>
                  <c:x val="0"/>
                  <c:y val="-0.2570694087403598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1D-465A-8D6F-3FE8F771469D}"/>
                </c:ext>
              </c:extLst>
            </c:dLbl>
            <c:dLbl>
              <c:idx val="2"/>
              <c:layout>
                <c:manualLayout>
                  <c:x val="-0.12096079828793167"/>
                  <c:y val="-1.682591222279309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1D-465A-8D6F-3FE8F771469D}"/>
                </c:ext>
              </c:extLst>
            </c:dLbl>
            <c:dLbl>
              <c:idx val="4"/>
              <c:layout>
                <c:manualLayout>
                  <c:x val="-2.2045855379188711E-3"/>
                  <c:y val="-3.271792474877308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1D-465A-8D6F-3FE8F771469D}"/>
                </c:ext>
              </c:extLst>
            </c:dLbl>
            <c:dLbl>
              <c:idx val="5"/>
              <c:layout>
                <c:manualLayout>
                  <c:x val="8.8183421516754845E-3"/>
                  <c:y val="-2.804393549894835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1D-465A-8D6F-3FE8F771469D}"/>
                </c:ext>
              </c:extLst>
            </c:dLbl>
            <c:dLbl>
              <c:idx val="6"/>
              <c:layout>
                <c:manualLayout>
                  <c:x val="3.968253968253968E-2"/>
                  <c:y val="-9.3479784996494501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1D-465A-8D6F-3FE8F771469D}"/>
                </c:ext>
              </c:extLst>
            </c:dLbl>
            <c:dLbl>
              <c:idx val="7"/>
              <c:layout>
                <c:manualLayout>
                  <c:x val="0"/>
                  <c:y val="4.206590324842252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1D-465A-8D6F-3FE8F771469D}"/>
                </c:ext>
              </c:extLst>
            </c:dLbl>
            <c:dLbl>
              <c:idx val="9"/>
              <c:layout>
                <c:manualLayout>
                  <c:x val="2.2045855379188711E-3"/>
                  <c:y val="-3.739191399859782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21D-465A-8D6F-3FE8F771469D}"/>
                </c:ext>
              </c:extLst>
            </c:dLbl>
            <c:dLbl>
              <c:idx val="10"/>
              <c:layout>
                <c:manualLayout>
                  <c:x val="0"/>
                  <c:y val="-0.1355456882449170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21D-465A-8D6F-3FE8F771469D}"/>
                </c:ext>
              </c:extLst>
            </c:dLbl>
            <c:dLbl>
              <c:idx val="11"/>
              <c:layout>
                <c:manualLayout>
                  <c:x val="2.6455026455026454E-2"/>
                  <c:y val="9.3479784996494501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21D-465A-8D6F-3FE8F77146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Údaje!$A$64:$A$74</c:f>
              <c:strCache>
                <c:ptCount val="11"/>
                <c:pt idx="0">
                  <c:v>OP II</c:v>
                </c:pt>
                <c:pt idx="1">
                  <c:v>OP KŽP</c:v>
                </c:pt>
                <c:pt idx="2">
                  <c:v>OP ĽZ</c:v>
                </c:pt>
                <c:pt idx="3">
                  <c:v>OP VaI</c:v>
                </c:pt>
                <c:pt idx="4">
                  <c:v>IROP</c:v>
                </c:pt>
                <c:pt idx="5">
                  <c:v>OP EVS</c:v>
                </c:pt>
                <c:pt idx="6">
                  <c:v>OP TP</c:v>
                </c:pt>
                <c:pt idx="7">
                  <c:v>Program Interreg V-A SK-CZ</c:v>
                </c:pt>
                <c:pt idx="8">
                  <c:v>Program Interreg V-A SK-AT</c:v>
                </c:pt>
                <c:pt idx="9">
                  <c:v>PS INTERACT III</c:v>
                </c:pt>
                <c:pt idx="10">
                  <c:v>OP RH</c:v>
                </c:pt>
              </c:strCache>
            </c:strRef>
          </c:cat>
          <c:val>
            <c:numRef>
              <c:f>Údaje!$B$64:$B$74</c:f>
              <c:numCache>
                <c:formatCode>#,##0.00</c:formatCode>
                <c:ptCount val="11"/>
                <c:pt idx="0">
                  <c:v>40.632302416841682</c:v>
                </c:pt>
                <c:pt idx="1">
                  <c:v>19.274381071488765</c:v>
                </c:pt>
                <c:pt idx="2">
                  <c:v>20.849579542730872</c:v>
                </c:pt>
                <c:pt idx="3">
                  <c:v>7.3864567012052555</c:v>
                </c:pt>
                <c:pt idx="4">
                  <c:v>7.4559276489328585</c:v>
                </c:pt>
                <c:pt idx="5">
                  <c:v>1.5789872142633106</c:v>
                </c:pt>
                <c:pt idx="6">
                  <c:v>2.124675980734223</c:v>
                </c:pt>
                <c:pt idx="7">
                  <c:v>0.17681153502780422</c:v>
                </c:pt>
                <c:pt idx="8">
                  <c:v>8.3258289633590193E-2</c:v>
                </c:pt>
                <c:pt idx="9">
                  <c:v>0.40868481085082808</c:v>
                </c:pt>
                <c:pt idx="10">
                  <c:v>2.8934788290812273E-2</c:v>
                </c:pt>
              </c:numCache>
            </c:numRef>
          </c:val>
          <c:extLst>
            <c:ext xmlns:c16="http://schemas.microsoft.com/office/drawing/2014/chart" uri="{C3380CC4-5D6E-409C-BE32-E72D297353CC}">
              <c16:uniqueId val="{00000018-F21D-465A-8D6F-3FE8F771469D}"/>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skutocnost!$A$7</c:f>
              <c:strCache>
                <c:ptCount val="1"/>
                <c:pt idx="0">
                  <c:v>zmena ŠR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skutocnost!$E$6:$G$6</c:f>
              <c:strCache>
                <c:ptCount val="3"/>
                <c:pt idx="0">
                  <c:v>2017/2016</c:v>
                </c:pt>
                <c:pt idx="1">
                  <c:v>2018/2017</c:v>
                </c:pt>
                <c:pt idx="2">
                  <c:v>2019OS/2018</c:v>
                </c:pt>
              </c:strCache>
            </c:strRef>
          </c:cat>
          <c:val>
            <c:numRef>
              <c:f>skutocnost!$E$7:$G$7</c:f>
              <c:numCache>
                <c:formatCode>0.00</c:formatCode>
                <c:ptCount val="3"/>
                <c:pt idx="0">
                  <c:v>-1.8337736202865358</c:v>
                </c:pt>
                <c:pt idx="1">
                  <c:v>9.7536136566175458</c:v>
                </c:pt>
                <c:pt idx="2">
                  <c:v>2.4321349965701273</c:v>
                </c:pt>
              </c:numCache>
            </c:numRef>
          </c:val>
          <c:extLst>
            <c:ext xmlns:c16="http://schemas.microsoft.com/office/drawing/2014/chart" uri="{C3380CC4-5D6E-409C-BE32-E72D297353CC}">
              <c16:uniqueId val="{00000000-E2CC-4748-8C09-8C510373C255}"/>
            </c:ext>
          </c:extLst>
        </c:ser>
        <c:ser>
          <c:idx val="2"/>
          <c:order val="1"/>
          <c:tx>
            <c:strRef>
              <c:f>skutocnost!$A$8</c:f>
              <c:strCache>
                <c:ptCount val="1"/>
                <c:pt idx="0">
                  <c:v>zmena obce</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skutocnost!$E$6:$G$6</c:f>
              <c:strCache>
                <c:ptCount val="3"/>
                <c:pt idx="0">
                  <c:v>2017/2016</c:v>
                </c:pt>
                <c:pt idx="1">
                  <c:v>2018/2017</c:v>
                </c:pt>
                <c:pt idx="2">
                  <c:v>2019OS/2018</c:v>
                </c:pt>
              </c:strCache>
            </c:strRef>
          </c:cat>
          <c:val>
            <c:numRef>
              <c:f>skutocnost!$E$8:$G$8</c:f>
              <c:numCache>
                <c:formatCode>0.00</c:formatCode>
                <c:ptCount val="3"/>
                <c:pt idx="0">
                  <c:v>4.6822382037791357</c:v>
                </c:pt>
                <c:pt idx="1">
                  <c:v>14.299146644135121</c:v>
                </c:pt>
                <c:pt idx="2">
                  <c:v>2.3087106410918494</c:v>
                </c:pt>
              </c:numCache>
            </c:numRef>
          </c:val>
          <c:extLst>
            <c:ext xmlns:c16="http://schemas.microsoft.com/office/drawing/2014/chart" uri="{C3380CC4-5D6E-409C-BE32-E72D297353CC}">
              <c16:uniqueId val="{00000001-E2CC-4748-8C09-8C510373C255}"/>
            </c:ext>
          </c:extLst>
        </c:ser>
        <c:ser>
          <c:idx val="0"/>
          <c:order val="2"/>
          <c:tx>
            <c:strRef>
              <c:f>skutocnost!$A$9</c:f>
              <c:strCache>
                <c:ptCount val="1"/>
                <c:pt idx="0">
                  <c:v>zmena VÚC</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skutocnost!$E$6:$G$6</c:f>
              <c:strCache>
                <c:ptCount val="3"/>
                <c:pt idx="0">
                  <c:v>2017/2016</c:v>
                </c:pt>
                <c:pt idx="1">
                  <c:v>2018/2017</c:v>
                </c:pt>
                <c:pt idx="2">
                  <c:v>2019OS/2018</c:v>
                </c:pt>
              </c:strCache>
            </c:strRef>
          </c:cat>
          <c:val>
            <c:numRef>
              <c:f>skutocnost!$E$9:$G$9</c:f>
              <c:numCache>
                <c:formatCode>0.00</c:formatCode>
                <c:ptCount val="3"/>
                <c:pt idx="0">
                  <c:v>9.5964470373704529</c:v>
                </c:pt>
                <c:pt idx="1">
                  <c:v>4.3498148909913539</c:v>
                </c:pt>
                <c:pt idx="2">
                  <c:v>10.927078175803317</c:v>
                </c:pt>
              </c:numCache>
            </c:numRef>
          </c:val>
          <c:extLst>
            <c:ext xmlns:c16="http://schemas.microsoft.com/office/drawing/2014/chart" uri="{C3380CC4-5D6E-409C-BE32-E72D297353CC}">
              <c16:uniqueId val="{00000002-E2CC-4748-8C09-8C510373C255}"/>
            </c:ext>
          </c:extLst>
        </c:ser>
        <c:dLbls>
          <c:dLblPos val="outEnd"/>
          <c:showLegendKey val="0"/>
          <c:showVal val="1"/>
          <c:showCatName val="0"/>
          <c:showSerName val="0"/>
          <c:showPercent val="0"/>
          <c:showBubbleSize val="0"/>
        </c:dLbls>
        <c:gapWidth val="164"/>
        <c:overlap val="-22"/>
        <c:axId val="1922917247"/>
        <c:axId val="1922913919"/>
      </c:barChart>
      <c:catAx>
        <c:axId val="1922917247"/>
        <c:scaling>
          <c:orientation val="minMax"/>
        </c:scaling>
        <c:delete val="0"/>
        <c:axPos val="b"/>
        <c:numFmt formatCode="General" sourceLinked="1"/>
        <c:majorTickMark val="in"/>
        <c:minorTickMark val="none"/>
        <c:tickLblPos val="low"/>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922913919"/>
        <c:crosses val="autoZero"/>
        <c:auto val="1"/>
        <c:lblAlgn val="ctr"/>
        <c:lblOffset val="100"/>
        <c:noMultiLvlLbl val="0"/>
      </c:catAx>
      <c:valAx>
        <c:axId val="192291391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922917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49630329957924E-2"/>
          <c:y val="7.1172616893569768E-2"/>
          <c:w val="0.79836240118013757"/>
          <c:h val="0.6115816663962963"/>
        </c:manualLayout>
      </c:layout>
      <c:lineChart>
        <c:grouping val="standard"/>
        <c:varyColors val="0"/>
        <c:ser>
          <c:idx val="0"/>
          <c:order val="0"/>
          <c:tx>
            <c:strRef>
              <c:f>Hárok1!$A$11</c:f>
              <c:strCache>
                <c:ptCount val="1"/>
                <c:pt idx="0">
                  <c:v>prevod DPFO</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Hárok1!$B$1:$H$1</c:f>
              <c:strCache>
                <c:ptCount val="7"/>
                <c:pt idx="0">
                  <c:v>2014</c:v>
                </c:pt>
                <c:pt idx="1">
                  <c:v>2015</c:v>
                </c:pt>
                <c:pt idx="2">
                  <c:v>2016</c:v>
                </c:pt>
                <c:pt idx="3">
                  <c:v>2017</c:v>
                </c:pt>
                <c:pt idx="4">
                  <c:v>2018</c:v>
                </c:pt>
                <c:pt idx="5">
                  <c:v>2019 OS</c:v>
                </c:pt>
                <c:pt idx="6">
                  <c:v>2020 N</c:v>
                </c:pt>
              </c:strCache>
            </c:strRef>
          </c:cat>
          <c:val>
            <c:numRef>
              <c:f>Hárok1!$B$11:$H$11</c:f>
              <c:numCache>
                <c:formatCode>General</c:formatCode>
                <c:ptCount val="7"/>
                <c:pt idx="0">
                  <c:v>72.346647471641347</c:v>
                </c:pt>
                <c:pt idx="1">
                  <c:v>74.365042332199977</c:v>
                </c:pt>
                <c:pt idx="2">
                  <c:v>76.156689331954226</c:v>
                </c:pt>
                <c:pt idx="3">
                  <c:v>76.744067856689853</c:v>
                </c:pt>
                <c:pt idx="4">
                  <c:v>77.990191265644654</c:v>
                </c:pt>
                <c:pt idx="5">
                  <c:v>79.485836224871278</c:v>
                </c:pt>
                <c:pt idx="6">
                  <c:v>79.457273113439683</c:v>
                </c:pt>
              </c:numCache>
            </c:numRef>
          </c:val>
          <c:smooth val="0"/>
          <c:extLst>
            <c:ext xmlns:c16="http://schemas.microsoft.com/office/drawing/2014/chart" uri="{C3380CC4-5D6E-409C-BE32-E72D297353CC}">
              <c16:uniqueId val="{00000000-7B3D-4FA7-ABCA-3D85FF68153E}"/>
            </c:ext>
          </c:extLst>
        </c:ser>
        <c:dLbls>
          <c:showLegendKey val="0"/>
          <c:showVal val="0"/>
          <c:showCatName val="0"/>
          <c:showSerName val="0"/>
          <c:showPercent val="0"/>
          <c:showBubbleSize val="0"/>
        </c:dLbls>
        <c:marker val="1"/>
        <c:smooth val="0"/>
        <c:axId val="658359600"/>
        <c:axId val="658360016"/>
      </c:lineChart>
      <c:lineChart>
        <c:grouping val="standard"/>
        <c:varyColors val="0"/>
        <c:ser>
          <c:idx val="1"/>
          <c:order val="1"/>
          <c:tx>
            <c:strRef>
              <c:f>Hárok1!$A$12</c:f>
              <c:strCache>
                <c:ptCount val="1"/>
                <c:pt idx="0">
                  <c:v>ostatné dane</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strRef>
              <c:f>Hárok1!$B$1:$H$1</c:f>
              <c:strCache>
                <c:ptCount val="7"/>
                <c:pt idx="0">
                  <c:v>2014</c:v>
                </c:pt>
                <c:pt idx="1">
                  <c:v>2015</c:v>
                </c:pt>
                <c:pt idx="2">
                  <c:v>2016</c:v>
                </c:pt>
                <c:pt idx="3">
                  <c:v>2017</c:v>
                </c:pt>
                <c:pt idx="4">
                  <c:v>2018</c:v>
                </c:pt>
                <c:pt idx="5">
                  <c:v>2019 OS</c:v>
                </c:pt>
                <c:pt idx="6">
                  <c:v>2020 N</c:v>
                </c:pt>
              </c:strCache>
            </c:strRef>
          </c:cat>
          <c:val>
            <c:numRef>
              <c:f>Hárok1!$B$12:$H$12</c:f>
              <c:numCache>
                <c:formatCode>General</c:formatCode>
                <c:ptCount val="7"/>
                <c:pt idx="0">
                  <c:v>27.653352528358646</c:v>
                </c:pt>
                <c:pt idx="1">
                  <c:v>25.634957667800016</c:v>
                </c:pt>
                <c:pt idx="2">
                  <c:v>23.843310668045778</c:v>
                </c:pt>
                <c:pt idx="3">
                  <c:v>23.255932143310147</c:v>
                </c:pt>
                <c:pt idx="4">
                  <c:v>22.009808734355349</c:v>
                </c:pt>
                <c:pt idx="5">
                  <c:v>20.514163775128711</c:v>
                </c:pt>
                <c:pt idx="6">
                  <c:v>20.542726886560317</c:v>
                </c:pt>
              </c:numCache>
            </c:numRef>
          </c:val>
          <c:smooth val="0"/>
          <c:extLst>
            <c:ext xmlns:c16="http://schemas.microsoft.com/office/drawing/2014/chart" uri="{C3380CC4-5D6E-409C-BE32-E72D297353CC}">
              <c16:uniqueId val="{00000001-7B3D-4FA7-ABCA-3D85FF68153E}"/>
            </c:ext>
          </c:extLst>
        </c:ser>
        <c:dLbls>
          <c:showLegendKey val="0"/>
          <c:showVal val="0"/>
          <c:showCatName val="0"/>
          <c:showSerName val="0"/>
          <c:showPercent val="0"/>
          <c:showBubbleSize val="0"/>
        </c:dLbls>
        <c:marker val="1"/>
        <c:smooth val="0"/>
        <c:axId val="345517616"/>
        <c:axId val="345511792"/>
      </c:lineChart>
      <c:catAx>
        <c:axId val="65835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58360016"/>
        <c:crosses val="autoZero"/>
        <c:auto val="1"/>
        <c:lblAlgn val="ctr"/>
        <c:lblOffset val="100"/>
        <c:noMultiLvlLbl val="0"/>
      </c:catAx>
      <c:valAx>
        <c:axId val="658360016"/>
        <c:scaling>
          <c:orientation val="minMax"/>
          <c:min val="7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sk-SK" sz="1000"/>
                  <a:t>Prevod DPFO</a:t>
                </a:r>
              </a:p>
            </c:rich>
          </c:tx>
          <c:layout>
            <c:manualLayout>
              <c:xMode val="edge"/>
              <c:yMode val="edge"/>
              <c:x val="1.1138338159946536E-2"/>
              <c:y val="0.180021712816801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58359600"/>
        <c:crosses val="autoZero"/>
        <c:crossBetween val="between"/>
      </c:valAx>
      <c:valAx>
        <c:axId val="345511792"/>
        <c:scaling>
          <c:orientation val="minMax"/>
          <c:min val="2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sk-SK" sz="1000"/>
                  <a:t>Ostatné dane</a:t>
                </a:r>
              </a:p>
            </c:rich>
          </c:tx>
          <c:layout>
            <c:manualLayout>
              <c:xMode val="edge"/>
              <c:yMode val="edge"/>
              <c:x val="0.94961015816440186"/>
              <c:y val="0.186266019441706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345517616"/>
        <c:crosses val="max"/>
        <c:crossBetween val="between"/>
      </c:valAx>
      <c:catAx>
        <c:axId val="345517616"/>
        <c:scaling>
          <c:orientation val="minMax"/>
        </c:scaling>
        <c:delete val="1"/>
        <c:axPos val="b"/>
        <c:numFmt formatCode="General" sourceLinked="1"/>
        <c:majorTickMark val="out"/>
        <c:minorTickMark val="none"/>
        <c:tickLblPos val="nextTo"/>
        <c:crossAx val="345511792"/>
        <c:crosses val="autoZero"/>
        <c:auto val="1"/>
        <c:lblAlgn val="ctr"/>
        <c:lblOffset val="100"/>
        <c:noMultiLvlLbl val="0"/>
      </c:catAx>
      <c:spPr>
        <a:noFill/>
        <a:ln>
          <a:noFill/>
        </a:ln>
        <a:effectLst/>
      </c:spPr>
    </c:plotArea>
    <c:legend>
      <c:legendPos val="b"/>
      <c:layout>
        <c:manualLayout>
          <c:xMode val="edge"/>
          <c:yMode val="edge"/>
          <c:x val="0.31849560518011655"/>
          <c:y val="0.84149645087467517"/>
          <c:w val="0.36300878963976685"/>
          <c:h val="0.158503549125324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900">
          <a:latin typeface="Arial Narrow" panose="020B0606020202030204" pitchFamily="34" charset="0"/>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360173431035165E-2"/>
          <c:y val="4.5971170536590278E-2"/>
          <c:w val="0.91435168253660515"/>
          <c:h val="0.631074963761172"/>
        </c:manualLayout>
      </c:layout>
      <c:barChart>
        <c:barDir val="col"/>
        <c:grouping val="stacked"/>
        <c:varyColors val="0"/>
        <c:ser>
          <c:idx val="0"/>
          <c:order val="0"/>
          <c:tx>
            <c:strRef>
              <c:f>DaňPríjmy_ESA2010_HDP!$A$24</c:f>
              <c:strCache>
                <c:ptCount val="1"/>
                <c:pt idx="0">
                  <c:v>Dane z príjmov, ziskov a kap. majetku</c:v>
                </c:pt>
              </c:strCache>
            </c:strRef>
          </c:tx>
          <c:spPr>
            <a:solidFill>
              <a:schemeClr val="accent1">
                <a:lumMod val="20000"/>
                <a:lumOff val="80000"/>
              </a:schemeClr>
            </a:solidFill>
            <a:ln w="12700">
              <a:solidFill>
                <a:schemeClr val="accent1">
                  <a:lumMod val="20000"/>
                  <a:lumOff val="8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DaňPríjmy_ESA2010_HDP!$B$23:$M$23</c:f>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f>DaňPríjmy_ESA2010_HDP!$B$24:$M$24</c:f>
              <c:numCache>
                <c:formatCode>#\ ##0.0</c:formatCode>
                <c:ptCount val="11"/>
                <c:pt idx="0">
                  <c:v>19.687927169633799</c:v>
                </c:pt>
                <c:pt idx="1">
                  <c:v>21.533108217816551</c:v>
                </c:pt>
                <c:pt idx="2">
                  <c:v>21.789013976964547</c:v>
                </c:pt>
                <c:pt idx="3">
                  <c:v>22.482356894813485</c:v>
                </c:pt>
                <c:pt idx="4">
                  <c:v>23.6607444225377</c:v>
                </c:pt>
                <c:pt idx="5">
                  <c:v>23.467637040898442</c:v>
                </c:pt>
                <c:pt idx="6">
                  <c:v>22.775616297574672</c:v>
                </c:pt>
                <c:pt idx="7">
                  <c:v>22.566449030890528</c:v>
                </c:pt>
                <c:pt idx="8">
                  <c:v>22.675883196420056</c:v>
                </c:pt>
                <c:pt idx="9">
                  <c:v>22.679873644863381</c:v>
                </c:pt>
                <c:pt idx="10">
                  <c:v>23.006089865945455</c:v>
                </c:pt>
              </c:numCache>
            </c:numRef>
          </c:val>
          <c:extLst>
            <c:ext xmlns:c16="http://schemas.microsoft.com/office/drawing/2014/chart" uri="{C3380CC4-5D6E-409C-BE32-E72D297353CC}">
              <c16:uniqueId val="{00000000-A35D-4847-8093-66A9C98057A5}"/>
            </c:ext>
          </c:extLst>
        </c:ser>
        <c:ser>
          <c:idx val="3"/>
          <c:order val="3"/>
          <c:tx>
            <c:strRef>
              <c:f>DaňPríjmy_ESA2010_HDP!$A$27</c:f>
              <c:strCache>
                <c:ptCount val="1"/>
                <c:pt idx="0">
                  <c:v>Dane na tovary a služby</c:v>
                </c:pt>
              </c:strCache>
            </c:strRef>
          </c:tx>
          <c:spPr>
            <a:solidFill>
              <a:srgbClr val="FFFF00"/>
            </a:solidFill>
            <a:ln w="12700">
              <a:solidFill>
                <a:srgbClr val="FFFF00"/>
              </a:solidFill>
            </a:ln>
            <a:effectLst>
              <a:outerShdw dist="101600" dir="5400000" algn="ctr" rotWithShape="0">
                <a:srgbClr val="000000">
                  <a:alpha val="6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DaňPríjmy_ESA2010_HDP!$B$23:$M$23</c:f>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f>DaňPríjmy_ESA2010_HDP!$B$27:$M$27</c:f>
              <c:numCache>
                <c:formatCode>#\ ##0.0</c:formatCode>
                <c:ptCount val="11"/>
                <c:pt idx="0">
                  <c:v>37.38358238868593</c:v>
                </c:pt>
                <c:pt idx="1">
                  <c:v>34.205635603725533</c:v>
                </c:pt>
                <c:pt idx="2">
                  <c:v>33.304508648875817</c:v>
                </c:pt>
                <c:pt idx="3">
                  <c:v>32.827356623512095</c:v>
                </c:pt>
                <c:pt idx="4">
                  <c:v>32.745847133305823</c:v>
                </c:pt>
                <c:pt idx="5">
                  <c:v>32.02285997223165</c:v>
                </c:pt>
                <c:pt idx="6">
                  <c:v>32.01734592062774</c:v>
                </c:pt>
                <c:pt idx="7">
                  <c:v>31.384814329183385</c:v>
                </c:pt>
                <c:pt idx="8">
                  <c:v>31.135221942536795</c:v>
                </c:pt>
                <c:pt idx="9">
                  <c:v>30.907673029099627</c:v>
                </c:pt>
                <c:pt idx="10">
                  <c:v>30.803038202055191</c:v>
                </c:pt>
              </c:numCache>
            </c:numRef>
          </c:val>
          <c:extLst>
            <c:ext xmlns:c16="http://schemas.microsoft.com/office/drawing/2014/chart" uri="{C3380CC4-5D6E-409C-BE32-E72D297353CC}">
              <c16:uniqueId val="{00000001-A35D-4847-8093-66A9C98057A5}"/>
            </c:ext>
          </c:extLst>
        </c:ser>
        <c:ser>
          <c:idx val="5"/>
          <c:order val="5"/>
          <c:tx>
            <c:strRef>
              <c:f>DaňPríjmy_ESA2010_HDP!$A$29</c:f>
              <c:strCache>
                <c:ptCount val="1"/>
                <c:pt idx="0">
                  <c:v>Ostatné dane</c:v>
                </c:pt>
              </c:strCache>
            </c:strRef>
          </c:tx>
          <c:spPr>
            <a:solidFill>
              <a:srgbClr val="FF0000"/>
            </a:solidFill>
            <a:ln w="12700">
              <a:solidFill>
                <a:srgbClr val="FF0000"/>
              </a:solidFill>
            </a:ln>
            <a:effectLst/>
          </c:spPr>
          <c:invertIfNegative val="0"/>
          <c:dLbls>
            <c:delete val="1"/>
          </c:dLbls>
          <c:cat>
            <c:strRef>
              <c:f>DaňPríjmy_ESA2010_HDP!$B$23:$M$23</c:f>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f>DaňPríjmy_ESA2010_HDP!$B$29:$M$29</c:f>
              <c:numCache>
                <c:formatCode>#\ ##0.0</c:formatCode>
                <c:ptCount val="11"/>
                <c:pt idx="0">
                  <c:v>0.64220626678625359</c:v>
                </c:pt>
                <c:pt idx="1">
                  <c:v>1.5333535891336549</c:v>
                </c:pt>
                <c:pt idx="2">
                  <c:v>1.8796592021068808</c:v>
                </c:pt>
                <c:pt idx="3">
                  <c:v>1.6826238385885948</c:v>
                </c:pt>
                <c:pt idx="4">
                  <c:v>1.8190953226357593</c:v>
                </c:pt>
                <c:pt idx="5">
                  <c:v>1.8510350667891446</c:v>
                </c:pt>
                <c:pt idx="6">
                  <c:v>2.1232883267367764</c:v>
                </c:pt>
                <c:pt idx="7">
                  <c:v>2.1302597167228208</c:v>
                </c:pt>
                <c:pt idx="8">
                  <c:v>2.1689793416891749</c:v>
                </c:pt>
                <c:pt idx="9">
                  <c:v>2.2449575516676168</c:v>
                </c:pt>
                <c:pt idx="10">
                  <c:v>1.6090618516679638</c:v>
                </c:pt>
              </c:numCache>
            </c:numRef>
          </c:val>
          <c:extLst>
            <c:ext xmlns:c16="http://schemas.microsoft.com/office/drawing/2014/chart" uri="{C3380CC4-5D6E-409C-BE32-E72D297353CC}">
              <c16:uniqueId val="{00000002-A35D-4847-8093-66A9C98057A5}"/>
            </c:ext>
          </c:extLst>
        </c:ser>
        <c:ser>
          <c:idx val="6"/>
          <c:order val="6"/>
          <c:tx>
            <c:strRef>
              <c:f>DaňPríjmy_ESA2010_HDP!$A$30</c:f>
              <c:strCache>
                <c:ptCount val="1"/>
                <c:pt idx="0">
                  <c:v>Fondy sociálneho a zdravotného poistenia (FSZP)</c:v>
                </c:pt>
              </c:strCache>
            </c:strRef>
          </c:tx>
          <c:spPr>
            <a:solidFill>
              <a:srgbClr val="00B0F0"/>
            </a:solidFill>
            <a:ln w="12700">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DaňPríjmy_ESA2010_HDP!$B$23:$M$23</c:f>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f>DaňPríjmy_ESA2010_HDP!$B$30:$M$30</c:f>
              <c:numCache>
                <c:formatCode>#\ ##0.0</c:formatCode>
                <c:ptCount val="11"/>
                <c:pt idx="0">
                  <c:v>38.879329755051849</c:v>
                </c:pt>
                <c:pt idx="1">
                  <c:v>39.25314616785645</c:v>
                </c:pt>
                <c:pt idx="2">
                  <c:v>40.53371558440594</c:v>
                </c:pt>
                <c:pt idx="3">
                  <c:v>39.839958771519299</c:v>
                </c:pt>
                <c:pt idx="4">
                  <c:v>39.389868390193051</c:v>
                </c:pt>
                <c:pt idx="5">
                  <c:v>40.334607877373855</c:v>
                </c:pt>
                <c:pt idx="6">
                  <c:v>40.862926216110957</c:v>
                </c:pt>
                <c:pt idx="7">
                  <c:v>41.835976529761098</c:v>
                </c:pt>
                <c:pt idx="8">
                  <c:v>41.972816119360296</c:v>
                </c:pt>
                <c:pt idx="9">
                  <c:v>42.161495396750496</c:v>
                </c:pt>
                <c:pt idx="10">
                  <c:v>42.595214541166264</c:v>
                </c:pt>
              </c:numCache>
            </c:numRef>
          </c:val>
          <c:extLst>
            <c:ext xmlns:c16="http://schemas.microsoft.com/office/drawing/2014/chart" uri="{C3380CC4-5D6E-409C-BE32-E72D297353CC}">
              <c16:uniqueId val="{00000003-A35D-4847-8093-66A9C98057A5}"/>
            </c:ext>
          </c:extLst>
        </c:ser>
        <c:dLbls>
          <c:dLblPos val="ctr"/>
          <c:showLegendKey val="0"/>
          <c:showVal val="1"/>
          <c:showCatName val="0"/>
          <c:showSerName val="0"/>
          <c:showPercent val="0"/>
          <c:showBubbleSize val="0"/>
        </c:dLbls>
        <c:gapWidth val="169"/>
        <c:overlap val="100"/>
        <c:axId val="414368448"/>
        <c:axId val="414369696"/>
        <c:extLst>
          <c:ext xmlns:c15="http://schemas.microsoft.com/office/drawing/2012/chart" uri="{02D57815-91ED-43cb-92C2-25804820EDAC}">
            <c15:filteredBarSeries>
              <c15:ser>
                <c:idx val="1"/>
                <c:order val="1"/>
                <c:tx>
                  <c:strRef>
                    <c:extLst>
                      <c:ext uri="{02D57815-91ED-43cb-92C2-25804820EDAC}">
                        <c15:formulaRef>
                          <c15:sqref>DaňPríjmy_ESA2010_HDP!$A$25</c15:sqref>
                        </c15:formulaRef>
                      </c:ext>
                    </c:extLst>
                    <c:strCache>
                      <c:ptCount val="1"/>
                      <c:pt idx="0">
                        <c:v>Daň z príjmov fyzických osôb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DaňPríjmy_ESA2010_HDP!$B$23:$M$23</c15:sqref>
                        </c15:formulaRef>
                      </c:ext>
                    </c:extLst>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extLst>
                      <c:ext uri="{02D57815-91ED-43cb-92C2-25804820EDAC}">
                        <c15:formulaRef>
                          <c15:sqref>DaňPríjmy_ESA2010_HDP!$B$25:$M$25</c15:sqref>
                        </c15:formulaRef>
                      </c:ext>
                    </c:extLst>
                    <c:numCache>
                      <c:formatCode>#\ ##0.0</c:formatCode>
                      <c:ptCount val="11"/>
                      <c:pt idx="0">
                        <c:v>9.6423209912505747</c:v>
                      </c:pt>
                      <c:pt idx="1">
                        <c:v>11.556229035884524</c:v>
                      </c:pt>
                      <c:pt idx="2">
                        <c:v>10.698168318245653</c:v>
                      </c:pt>
                      <c:pt idx="3">
                        <c:v>10.638173193117558</c:v>
                      </c:pt>
                      <c:pt idx="4">
                        <c:v>10.715928015817395</c:v>
                      </c:pt>
                      <c:pt idx="5">
                        <c:v>11.298814415042484</c:v>
                      </c:pt>
                      <c:pt idx="6">
                        <c:v>11.195577067871961</c:v>
                      </c:pt>
                      <c:pt idx="7">
                        <c:v>11.692167667156083</c:v>
                      </c:pt>
                      <c:pt idx="8">
                        <c:v>12.177023149163027</c:v>
                      </c:pt>
                      <c:pt idx="9">
                        <c:v>12.158483088526022</c:v>
                      </c:pt>
                      <c:pt idx="10">
                        <c:v>12.390579124667768</c:v>
                      </c:pt>
                    </c:numCache>
                  </c:numRef>
                </c:val>
                <c:extLst>
                  <c:ext xmlns:c16="http://schemas.microsoft.com/office/drawing/2014/chart" uri="{C3380CC4-5D6E-409C-BE32-E72D297353CC}">
                    <c16:uniqueId val="{00000004-A35D-4847-8093-66A9C98057A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DaňPríjmy_ESA2010_HDP!$A$26</c15:sqref>
                        </c15:formulaRef>
                      </c:ext>
                    </c:extLst>
                    <c:strCache>
                      <c:ptCount val="1"/>
                      <c:pt idx="0">
                        <c:v>Daň z príjmov právnických osôb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DaňPríjmy_ESA2010_HDP!$B$23:$M$23</c15:sqref>
                        </c15:formulaRef>
                      </c:ext>
                    </c:extLst>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DaňPríjmy_ESA2010_HDP!$B$26:$M$26</c15:sqref>
                        </c15:formulaRef>
                      </c:ext>
                    </c:extLst>
                    <c:numCache>
                      <c:formatCode>#\ ##0.0</c:formatCode>
                      <c:ptCount val="11"/>
                      <c:pt idx="0">
                        <c:v>9.4676210954609505</c:v>
                      </c:pt>
                      <c:pt idx="1">
                        <c:v>9.3087960568612189</c:v>
                      </c:pt>
                      <c:pt idx="2">
                        <c:v>10.55669840189988</c:v>
                      </c:pt>
                      <c:pt idx="3">
                        <c:v>11.684398145035626</c:v>
                      </c:pt>
                      <c:pt idx="4">
                        <c:v>12.687113012118457</c:v>
                      </c:pt>
                      <c:pt idx="5">
                        <c:v>11.883195756805863</c:v>
                      </c:pt>
                      <c:pt idx="6">
                        <c:v>11.468227939743311</c:v>
                      </c:pt>
                      <c:pt idx="7">
                        <c:v>10.113725032090011</c:v>
                      </c:pt>
                      <c:pt idx="8">
                        <c:v>9.6411501514861975</c:v>
                      </c:pt>
                      <c:pt idx="9">
                        <c:v>10.438653616818474</c:v>
                      </c:pt>
                      <c:pt idx="10">
                        <c:v>10.399180666023046</c:v>
                      </c:pt>
                    </c:numCache>
                  </c:numRef>
                </c:val>
                <c:extLst xmlns:c15="http://schemas.microsoft.com/office/drawing/2012/chart">
                  <c:ext xmlns:c16="http://schemas.microsoft.com/office/drawing/2014/chart" uri="{C3380CC4-5D6E-409C-BE32-E72D297353CC}">
                    <c16:uniqueId val="{00000005-A35D-4847-8093-66A9C98057A5}"/>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DaňPríjmy_ESA2010_HDP!$A$28</c15:sqref>
                        </c15:formulaRef>
                      </c:ext>
                    </c:extLst>
                    <c:strCache>
                      <c:ptCount val="1"/>
                      <c:pt idx="0">
                        <c:v>Daň z pridanej hodnoty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DaňPríjmy_ESA2010_HDP!$B$23:$M$23</c15:sqref>
                        </c15:formulaRef>
                      </c:ext>
                    </c:extLst>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DaňPríjmy_ESA2010_HDP!$B$28:$M$28</c15:sqref>
                        </c15:formulaRef>
                      </c:ext>
                    </c:extLst>
                    <c:numCache>
                      <c:formatCode>#\ ##0.0</c:formatCode>
                      <c:ptCount val="11"/>
                      <c:pt idx="0">
                        <c:v>26.248522831979251</c:v>
                      </c:pt>
                      <c:pt idx="1">
                        <c:v>23.49322875593322</c:v>
                      </c:pt>
                      <c:pt idx="2">
                        <c:v>23.408712674604889</c:v>
                      </c:pt>
                      <c:pt idx="3">
                        <c:v>23.426313118572423</c:v>
                      </c:pt>
                      <c:pt idx="4">
                        <c:v>23.575826310687109</c:v>
                      </c:pt>
                      <c:pt idx="5">
                        <c:v>22.854388193555245</c:v>
                      </c:pt>
                      <c:pt idx="6">
                        <c:v>23.193879965509009</c:v>
                      </c:pt>
                      <c:pt idx="7">
                        <c:v>22.966028036362509</c:v>
                      </c:pt>
                      <c:pt idx="8">
                        <c:v>22.968849053502343</c:v>
                      </c:pt>
                      <c:pt idx="9">
                        <c:v>22.847241791720023</c:v>
                      </c:pt>
                      <c:pt idx="10">
                        <c:v>22.916563695219086</c:v>
                      </c:pt>
                    </c:numCache>
                  </c:numRef>
                </c:val>
                <c:extLst xmlns:c15="http://schemas.microsoft.com/office/drawing/2012/chart">
                  <c:ext xmlns:c16="http://schemas.microsoft.com/office/drawing/2014/chart" uri="{C3380CC4-5D6E-409C-BE32-E72D297353CC}">
                    <c16:uniqueId val="{00000006-A35D-4847-8093-66A9C98057A5}"/>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DaňPríjmy_ESA2010_HDP!$A$31</c15:sqref>
                        </c15:formulaRef>
                      </c:ext>
                    </c:extLst>
                    <c:strCache>
                      <c:ptCount val="1"/>
                      <c:pt idx="0">
                        <c:v>       Sociálna poisťovňa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DaňPríjmy_ESA2010_HDP!$B$23:$M$23</c15:sqref>
                        </c15:formulaRef>
                      </c:ext>
                    </c:extLst>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DaňPríjmy_ESA2010_HDP!$B$31:$M$31</c15:sqref>
                        </c15:formulaRef>
                      </c:ext>
                    </c:extLst>
                    <c:numCache>
                      <c:formatCode>#\ ##0.0</c:formatCode>
                      <c:ptCount val="11"/>
                      <c:pt idx="0">
                        <c:v>25.588965813279724</c:v>
                      </c:pt>
                      <c:pt idx="1">
                        <c:v>26.081619294350091</c:v>
                      </c:pt>
                      <c:pt idx="2">
                        <c:v>27.393123817355917</c:v>
                      </c:pt>
                      <c:pt idx="3">
                        <c:v>26.87649236178104</c:v>
                      </c:pt>
                      <c:pt idx="4">
                        <c:v>26.827024724771892</c:v>
                      </c:pt>
                      <c:pt idx="5">
                        <c:v>27.761062215631597</c:v>
                      </c:pt>
                      <c:pt idx="6">
                        <c:v>27.812460161538151</c:v>
                      </c:pt>
                      <c:pt idx="7">
                        <c:v>28.507017195647382</c:v>
                      </c:pt>
                      <c:pt idx="8">
                        <c:v>28.167328418408058</c:v>
                      </c:pt>
                      <c:pt idx="9">
                        <c:v>28.18137000271923</c:v>
                      </c:pt>
                      <c:pt idx="10">
                        <c:v>28.437266606676221</c:v>
                      </c:pt>
                    </c:numCache>
                  </c:numRef>
                </c:val>
                <c:extLst xmlns:c15="http://schemas.microsoft.com/office/drawing/2012/chart">
                  <c:ext xmlns:c16="http://schemas.microsoft.com/office/drawing/2014/chart" uri="{C3380CC4-5D6E-409C-BE32-E72D297353CC}">
                    <c16:uniqueId val="{00000007-A35D-4847-8093-66A9C98057A5}"/>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DaňPríjmy_ESA2010_HDP!$A$32</c15:sqref>
                        </c15:formulaRef>
                      </c:ext>
                    </c:extLst>
                    <c:strCache>
                      <c:ptCount val="1"/>
                      <c:pt idx="0">
                        <c:v>Zdravotné poisťovne</c:v>
                      </c:pt>
                    </c:strCache>
                  </c:strRef>
                </c:tx>
                <c:spPr>
                  <a:solidFill>
                    <a:srgbClr val="00B0F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DaňPríjmy_ESA2010_HDP!$B$23:$M$23</c15:sqref>
                        </c15:formulaRef>
                      </c:ext>
                    </c:extLst>
                    <c:strCache>
                      <c:ptCount val="11"/>
                      <c:pt idx="0">
                        <c:v>2011</c:v>
                      </c:pt>
                      <c:pt idx="1">
                        <c:v>2012</c:v>
                      </c:pt>
                      <c:pt idx="2">
                        <c:v>2013</c:v>
                      </c:pt>
                      <c:pt idx="3">
                        <c:v>2014</c:v>
                      </c:pt>
                      <c:pt idx="4">
                        <c:v>2015</c:v>
                      </c:pt>
                      <c:pt idx="5">
                        <c:v>2016</c:v>
                      </c:pt>
                      <c:pt idx="6">
                        <c:v>2017</c:v>
                      </c:pt>
                      <c:pt idx="7">
                        <c:v>2018</c:v>
                      </c:pt>
                      <c:pt idx="8">
                        <c:v>2019 OS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DaňPríjmy_ESA2010_HDP!$B$32:$M$32</c15:sqref>
                        </c15:formulaRef>
                      </c:ext>
                    </c:extLst>
                    <c:numCache>
                      <c:formatCode>#\ ##0.0</c:formatCode>
                      <c:ptCount val="11"/>
                      <c:pt idx="0">
                        <c:v>13.290363941772124</c:v>
                      </c:pt>
                      <c:pt idx="1">
                        <c:v>26.081619294350091</c:v>
                      </c:pt>
                      <c:pt idx="2">
                        <c:v>13.140591767050026</c:v>
                      </c:pt>
                      <c:pt idx="3">
                        <c:v>12.963466409738261</c:v>
                      </c:pt>
                      <c:pt idx="4">
                        <c:v>12.562843665421163</c:v>
                      </c:pt>
                      <c:pt idx="5">
                        <c:v>12.573545661742253</c:v>
                      </c:pt>
                      <c:pt idx="6">
                        <c:v>13.050466054572802</c:v>
                      </c:pt>
                      <c:pt idx="7">
                        <c:v>13.273989055136715</c:v>
                      </c:pt>
                      <c:pt idx="8">
                        <c:v>13.805487700952238</c:v>
                      </c:pt>
                      <c:pt idx="9">
                        <c:v>13.980125394031262</c:v>
                      </c:pt>
                      <c:pt idx="10">
                        <c:v>14.157947934490041</c:v>
                      </c:pt>
                    </c:numCache>
                  </c:numRef>
                </c:val>
                <c:extLst xmlns:c15="http://schemas.microsoft.com/office/drawing/2012/chart">
                  <c:ext xmlns:c16="http://schemas.microsoft.com/office/drawing/2014/chart" uri="{C3380CC4-5D6E-409C-BE32-E72D297353CC}">
                    <c16:uniqueId val="{00000008-A35D-4847-8093-66A9C98057A5}"/>
                  </c:ext>
                </c:extLst>
              </c15:ser>
            </c15:filteredBarSeries>
          </c:ext>
        </c:extLst>
      </c:barChart>
      <c:catAx>
        <c:axId val="4143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crossAx val="414369696"/>
        <c:crosses val="autoZero"/>
        <c:auto val="1"/>
        <c:lblAlgn val="ctr"/>
        <c:lblOffset val="100"/>
        <c:noMultiLvlLbl val="0"/>
      </c:catAx>
      <c:valAx>
        <c:axId val="414369696"/>
        <c:scaling>
          <c:orientation val="minMax"/>
          <c:max val="100"/>
          <c:min val="0"/>
        </c:scaling>
        <c:delete val="0"/>
        <c:axPos val="l"/>
        <c:majorGridlines>
          <c:spPr>
            <a:ln w="3175" cap="flat" cmpd="sng" algn="ctr">
              <a:solidFill>
                <a:srgbClr val="00B0F0"/>
              </a:solidFill>
              <a:round/>
            </a:ln>
            <a:effectLst/>
          </c:spPr>
        </c:majorGridlines>
        <c:title>
          <c:tx>
            <c:rich>
              <a:bodyPr rot="0" spcFirstLastPara="1" vertOverflow="ellipsis" wrap="square" anchor="ctr" anchorCtr="1"/>
              <a:lstStyle/>
              <a:p>
                <a:pPr>
                  <a:defRPr sz="800" b="0" i="0" u="none" strike="noStrike" kern="1200" baseline="0">
                    <a:solidFill>
                      <a:srgbClr val="002060"/>
                    </a:solidFill>
                    <a:latin typeface="Arial Narrow" panose="020B0606020202030204" pitchFamily="34" charset="0"/>
                    <a:ea typeface="+mn-ea"/>
                    <a:cs typeface="+mn-cs"/>
                  </a:defRPr>
                </a:pPr>
                <a:r>
                  <a:rPr lang="en-US" sz="800"/>
                  <a:t>%</a:t>
                </a:r>
              </a:p>
            </c:rich>
          </c:tx>
          <c:layout>
            <c:manualLayout>
              <c:xMode val="edge"/>
              <c:yMode val="edge"/>
              <c:x val="2.4051633229952869E-2"/>
              <c:y val="0.57609456234721412"/>
            </c:manualLayout>
          </c:layout>
          <c:overlay val="0"/>
          <c:spPr>
            <a:noFill/>
            <a:ln>
              <a:noFill/>
            </a:ln>
            <a:effectLst/>
          </c:spPr>
          <c:txPr>
            <a:bodyPr rot="0" spcFirstLastPara="1" vertOverflow="ellipsis"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crossAx val="414368448"/>
        <c:crosses val="autoZero"/>
        <c:crossBetween val="between"/>
      </c:valAx>
      <c:spPr>
        <a:noFill/>
        <a:ln>
          <a:noFill/>
        </a:ln>
        <a:effectLst>
          <a:softEdge rad="165100"/>
        </a:effectLst>
      </c:spPr>
    </c:plotArea>
    <c:legend>
      <c:legendPos val="b"/>
      <c:layout>
        <c:manualLayout>
          <c:xMode val="edge"/>
          <c:yMode val="edge"/>
          <c:x val="5.6473197513686901E-2"/>
          <c:y val="0.82309621307621084"/>
          <c:w val="0.85353696204874219"/>
          <c:h val="0.11457832240423323"/>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rgbClr val="002060"/>
          </a:solidFill>
          <a:latin typeface="Arial Narrow" panose="020B0606020202030204" pitchFamily="34" charset="0"/>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11137937026175"/>
          <c:y val="2.5396825396825397E-2"/>
          <c:w val="0.69603917014425065"/>
          <c:h val="0.81881464816897898"/>
        </c:manualLayout>
      </c:layout>
      <c:barChart>
        <c:barDir val="bar"/>
        <c:grouping val="clustered"/>
        <c:varyColors val="0"/>
        <c:ser>
          <c:idx val="6"/>
          <c:order val="6"/>
          <c:tx>
            <c:strRef>
              <c:f>'DaňPríjmy_ESA2010_Vývoj VF'!$H$1</c:f>
              <c:strCache>
                <c:ptCount val="1"/>
                <c:pt idx="0">
                  <c:v>2019 RVS</c:v>
                </c:pt>
              </c:strCache>
            </c:strRef>
          </c:tx>
          <c:spPr>
            <a:solidFill>
              <a:schemeClr val="accent1">
                <a:lumMod val="20000"/>
                <a:lumOff val="80000"/>
              </a:schemeClr>
            </a:solidFill>
            <a:ln>
              <a:solidFill>
                <a:schemeClr val="accent1">
                  <a:lumMod val="20000"/>
                  <a:lumOff val="80000"/>
                </a:schemeClr>
              </a:solidFill>
            </a:ln>
          </c:spPr>
          <c:invertIfNegative val="0"/>
          <c:dLbls>
            <c:delete val="1"/>
          </c:dLbls>
          <c:cat>
            <c:strRef>
              <c:f>'DaňPríjmy_ESA2010_Vývoj VF'!$A$2:$A$68</c:f>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f>'DaňPríjmy_ESA2010_Vývoj VF'!$H$2:$H$68</c:f>
              <c:numCache>
                <c:formatCode>#,##0</c:formatCode>
                <c:ptCount val="8"/>
                <c:pt idx="0">
                  <c:v>6562689</c:v>
                </c:pt>
                <c:pt idx="1">
                  <c:v>3426902</c:v>
                </c:pt>
                <c:pt idx="2">
                  <c:v>2900148</c:v>
                </c:pt>
                <c:pt idx="3">
                  <c:v>6663664</c:v>
                </c:pt>
                <c:pt idx="4">
                  <c:v>2426425</c:v>
                </c:pt>
                <c:pt idx="5">
                  <c:v>8152696</c:v>
                </c:pt>
                <c:pt idx="6">
                  <c:v>4021821</c:v>
                </c:pt>
                <c:pt idx="7">
                  <c:v>12174517</c:v>
                </c:pt>
              </c:numCache>
            </c:numRef>
          </c:val>
          <c:extLst xmlns:c15="http://schemas.microsoft.com/office/drawing/2012/chart">
            <c:ext xmlns:c16="http://schemas.microsoft.com/office/drawing/2014/chart" uri="{C3380CC4-5D6E-409C-BE32-E72D297353CC}">
              <c16:uniqueId val="{00000000-5BD3-430D-B9AE-65A6359E89EB}"/>
            </c:ext>
          </c:extLst>
        </c:ser>
        <c:ser>
          <c:idx val="7"/>
          <c:order val="7"/>
          <c:tx>
            <c:strRef>
              <c:f>'DaňPríjmy_ESA2010_Vývoj VF'!$I$1</c:f>
              <c:strCache>
                <c:ptCount val="1"/>
                <c:pt idx="0">
                  <c:v>2019 OS</c:v>
                </c:pt>
              </c:strCache>
            </c:strRef>
          </c:tx>
          <c:spPr>
            <a:solidFill>
              <a:schemeClr val="accent4">
                <a:lumMod val="20000"/>
                <a:lumOff val="80000"/>
              </a:schemeClr>
            </a:solidFill>
            <a:ln w="6350">
              <a:solidFill>
                <a:srgbClr val="002060"/>
              </a:solidFill>
            </a:ln>
          </c:spPr>
          <c:invertIfNegative val="0"/>
          <c:dLbls>
            <c:delete val="1"/>
          </c:dLbls>
          <c:cat>
            <c:strRef>
              <c:f>'DaňPríjmy_ESA2010_Vývoj VF'!$A$2:$A$68</c:f>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f>'DaňPríjmy_ESA2010_Vývoj VF'!$I$2:$I$68</c:f>
              <c:numCache>
                <c:formatCode>#,##0</c:formatCode>
                <c:ptCount val="8"/>
                <c:pt idx="0">
                  <c:v>6583042</c:v>
                </c:pt>
                <c:pt idx="1">
                  <c:v>3535115</c:v>
                </c:pt>
                <c:pt idx="2">
                  <c:v>2798925</c:v>
                </c:pt>
                <c:pt idx="3">
                  <c:v>6668093</c:v>
                </c:pt>
                <c:pt idx="4">
                  <c:v>2370782</c:v>
                </c:pt>
                <c:pt idx="5">
                  <c:v>8177265</c:v>
                </c:pt>
                <c:pt idx="6">
                  <c:v>4007875</c:v>
                </c:pt>
                <c:pt idx="7">
                  <c:v>12185140</c:v>
                </c:pt>
              </c:numCache>
            </c:numRef>
          </c:val>
          <c:extLst xmlns:c15="http://schemas.microsoft.com/office/drawing/2012/chart">
            <c:ext xmlns:c16="http://schemas.microsoft.com/office/drawing/2014/chart" uri="{C3380CC4-5D6E-409C-BE32-E72D297353CC}">
              <c16:uniqueId val="{00000001-5BD3-430D-B9AE-65A6359E89EB}"/>
            </c:ext>
          </c:extLst>
        </c:ser>
        <c:ser>
          <c:idx val="8"/>
          <c:order val="8"/>
          <c:tx>
            <c:strRef>
              <c:f>'DaňPríjmy_ESA2010_Vývoj VF'!$J$1</c:f>
              <c:strCache>
                <c:ptCount val="1"/>
                <c:pt idx="0">
                  <c:v>2020 RVS</c:v>
                </c:pt>
              </c:strCache>
            </c:strRef>
          </c:tx>
          <c:spPr>
            <a:solidFill>
              <a:srgbClr val="00B0F0"/>
            </a:solidFill>
            <a:ln w="6350">
              <a:solidFill>
                <a:srgbClr val="002060"/>
              </a:solidFill>
            </a:ln>
          </c:spPr>
          <c:invertIfNegative val="0"/>
          <c:dLbls>
            <c:dLbl>
              <c:idx val="0"/>
              <c:tx>
                <c:rich>
                  <a:bodyPr/>
                  <a:lstStyle/>
                  <a:p>
                    <a:r>
                      <a:rPr lang="en-US"/>
                      <a:t>1,4 %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D3-430D-B9AE-65A6359E89EB}"/>
                </c:ext>
              </c:extLst>
            </c:dLbl>
            <c:dLbl>
              <c:idx val="1"/>
              <c:tx>
                <c:rich>
                  <a:bodyPr/>
                  <a:lstStyle/>
                  <a:p>
                    <a:r>
                      <a:rPr lang="en-US"/>
                      <a:t>2,1 %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D3-430D-B9AE-65A6359E89EB}"/>
                </c:ext>
              </c:extLst>
            </c:dLbl>
            <c:dLbl>
              <c:idx val="2"/>
              <c:tx>
                <c:rich>
                  <a:bodyPr/>
                  <a:lstStyle/>
                  <a:p>
                    <a:r>
                      <a:rPr lang="en-US"/>
                      <a:t>0,4 %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D3-430D-B9AE-65A6359E89EB}"/>
                </c:ext>
              </c:extLst>
            </c:dLbl>
            <c:dLbl>
              <c:idx val="3"/>
              <c:tx>
                <c:rich>
                  <a:bodyPr/>
                  <a:lstStyle/>
                  <a:p>
                    <a:r>
                      <a:rPr lang="en-US"/>
                      <a:t>3,8 %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D3-430D-B9AE-65A6359E89EB}"/>
                </c:ext>
              </c:extLst>
            </c:dLbl>
            <c:dLbl>
              <c:idx val="4"/>
              <c:tx>
                <c:rich>
                  <a:bodyPr/>
                  <a:lstStyle/>
                  <a:p>
                    <a:r>
                      <a:rPr lang="en-US"/>
                      <a:t>4,9 %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D3-430D-B9AE-65A6359E89EB}"/>
                </c:ext>
              </c:extLst>
            </c:dLbl>
            <c:dLbl>
              <c:idx val="5"/>
              <c:tx>
                <c:rich>
                  <a:bodyPr/>
                  <a:lstStyle/>
                  <a:p>
                    <a:r>
                      <a:rPr lang="en-US"/>
                      <a:t>4,2 %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BD3-430D-B9AE-65A6359E89EB}"/>
                </c:ext>
              </c:extLst>
            </c:dLbl>
            <c:dLbl>
              <c:idx val="6"/>
              <c:tx>
                <c:rich>
                  <a:bodyPr/>
                  <a:lstStyle/>
                  <a:p>
                    <a:r>
                      <a:rPr lang="en-US"/>
                      <a:t>5,1 %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BD3-430D-B9AE-65A6359E89EB}"/>
                </c:ext>
              </c:extLst>
            </c:dLbl>
            <c:dLbl>
              <c:idx val="7"/>
              <c:tx>
                <c:rich>
                  <a:bodyPr/>
                  <a:lstStyle/>
                  <a:p>
                    <a:r>
                      <a:rPr lang="en-US"/>
                      <a:t>4,5 %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BD3-430D-B9AE-65A6359E89EB}"/>
                </c:ext>
              </c:extLst>
            </c:dLbl>
            <c:spPr>
              <a:noFill/>
              <a:ln>
                <a:noFill/>
              </a:ln>
              <a:effectLst/>
            </c:spPr>
            <c:txPr>
              <a:bodyPr/>
              <a:lstStyle/>
              <a:p>
                <a:pPr>
                  <a:defRPr sz="900" b="1"/>
                </a:pPr>
                <a:endParaRPr lang="sk-SK"/>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f>'DaňPríjmy_ESA2010_Vývoj VF'!$A$2:$A$68</c:f>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f>'DaňPríjmy_ESA2010_Vývoj VF'!$J$2:$J$68</c:f>
              <c:numCache>
                <c:formatCode>#,##0</c:formatCode>
                <c:ptCount val="8"/>
                <c:pt idx="0">
                  <c:v>6674469</c:v>
                </c:pt>
                <c:pt idx="1">
                  <c:v>3609204</c:v>
                </c:pt>
                <c:pt idx="2">
                  <c:v>2808985</c:v>
                </c:pt>
                <c:pt idx="3">
                  <c:v>6920372</c:v>
                </c:pt>
                <c:pt idx="4">
                  <c:v>2486184</c:v>
                </c:pt>
                <c:pt idx="5">
                  <c:v>8521767</c:v>
                </c:pt>
                <c:pt idx="6">
                  <c:v>4211742</c:v>
                </c:pt>
                <c:pt idx="7">
                  <c:v>12733509</c:v>
                </c:pt>
              </c:numCache>
            </c:numRef>
          </c:val>
          <c:extLst xmlns:c15="http://schemas.microsoft.com/office/drawing/2012/chart">
            <c:ext xmlns:c16="http://schemas.microsoft.com/office/drawing/2014/chart" uri="{C3380CC4-5D6E-409C-BE32-E72D297353CC}">
              <c16:uniqueId val="{0000000A-5BD3-430D-B9AE-65A6359E89EB}"/>
            </c:ext>
          </c:extLst>
        </c:ser>
        <c:dLbls>
          <c:dLblPos val="outEnd"/>
          <c:showLegendKey val="0"/>
          <c:showVal val="1"/>
          <c:showCatName val="0"/>
          <c:showSerName val="0"/>
          <c:showPercent val="0"/>
          <c:showBubbleSize val="0"/>
        </c:dLbls>
        <c:gapWidth val="74"/>
        <c:axId val="104595456"/>
        <c:axId val="104596992"/>
        <c:extLst>
          <c:ext xmlns:c15="http://schemas.microsoft.com/office/drawing/2012/chart" uri="{02D57815-91ED-43cb-92C2-25804820EDAC}">
            <c15:filteredBarSeries>
              <c15:ser>
                <c:idx val="0"/>
                <c:order val="0"/>
                <c:tx>
                  <c:strRef>
                    <c:extLst>
                      <c:ext uri="{02D57815-91ED-43cb-92C2-25804820EDAC}">
                        <c15:formulaRef>
                          <c15:sqref>'DaňPríjmy_ESA2010_Vývoj VF'!$B$1</c15:sqref>
                        </c15:formulaRef>
                      </c:ext>
                    </c:extLst>
                    <c:strCache>
                      <c:ptCount val="1"/>
                      <c:pt idx="0">
                        <c:v>2016 Skutočnosť</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c:ext uri="{02D57815-91ED-43cb-92C2-25804820EDAC}">
                        <c15:formulaRef>
                          <c15:sqref>'DaňPríjmy_ESA2010_Vývoj VF'!$B$2:$B$68</c15:sqref>
                        </c15:formulaRef>
                      </c:ext>
                    </c:extLst>
                    <c:numCache>
                      <c:formatCode>#,##0</c:formatCode>
                      <c:ptCount val="8"/>
                      <c:pt idx="0">
                        <c:v>5564279.535029999</c:v>
                      </c:pt>
                      <c:pt idx="1">
                        <c:v>2678998.6125899991</c:v>
                      </c:pt>
                      <c:pt idx="2">
                        <c:v>2706070</c:v>
                      </c:pt>
                      <c:pt idx="3">
                        <c:v>5418876</c:v>
                      </c:pt>
                      <c:pt idx="4">
                        <c:v>2173885</c:v>
                      </c:pt>
                      <c:pt idx="5">
                        <c:v>6582270</c:v>
                      </c:pt>
                      <c:pt idx="6">
                        <c:v>2981243</c:v>
                      </c:pt>
                      <c:pt idx="7">
                        <c:v>9563513</c:v>
                      </c:pt>
                    </c:numCache>
                  </c:numRef>
                </c:val>
                <c:extLst>
                  <c:ext xmlns:c16="http://schemas.microsoft.com/office/drawing/2014/chart" uri="{C3380CC4-5D6E-409C-BE32-E72D297353CC}">
                    <c16:uniqueId val="{0000000B-5BD3-430D-B9AE-65A6359E89E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'DaňPríjmy_ESA2010_Vývoj VF'!$C$1</c15:sqref>
                        </c15:formulaRef>
                      </c:ext>
                    </c:extLst>
                    <c:strCache>
                      <c:ptCount val="1"/>
                      <c:pt idx="0">
                        <c:v>2017 RVS</c:v>
                      </c:pt>
                    </c:strCache>
                  </c:strRef>
                </c:tx>
                <c:spPr>
                  <a:solidFill>
                    <a:srgbClr val="00B0F0"/>
                  </a:solidFill>
                  <a:ln>
                    <a:solidFill>
                      <a:srgbClr val="002060"/>
                    </a:solidFill>
                  </a:ln>
                  <a:effectLst/>
                </c:spPr>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VF'!$C$2:$C$68</c15:sqref>
                        </c15:formulaRef>
                      </c:ext>
                    </c:extLst>
                    <c:numCache>
                      <c:formatCode>#,##0</c:formatCode>
                      <c:ptCount val="8"/>
                      <c:pt idx="0">
                        <c:v>6010211</c:v>
                      </c:pt>
                      <c:pt idx="1">
                        <c:v>2815162</c:v>
                      </c:pt>
                      <c:pt idx="2">
                        <c:v>3005025</c:v>
                      </c:pt>
                      <c:pt idx="3">
                        <c:v>5759704</c:v>
                      </c:pt>
                      <c:pt idx="4">
                        <c:v>2259753</c:v>
                      </c:pt>
                      <c:pt idx="5">
                        <c:v>6862245</c:v>
                      </c:pt>
                      <c:pt idx="6">
                        <c:v>3113695</c:v>
                      </c:pt>
                      <c:pt idx="7">
                        <c:v>9975940</c:v>
                      </c:pt>
                    </c:numCache>
                  </c:numRef>
                </c:val>
                <c:extLst xmlns:c15="http://schemas.microsoft.com/office/drawing/2012/chart">
                  <c:ext xmlns:c16="http://schemas.microsoft.com/office/drawing/2014/chart" uri="{C3380CC4-5D6E-409C-BE32-E72D297353CC}">
                    <c16:uniqueId val="{0000000C-5BD3-430D-B9AE-65A6359E89E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'DaňPríjmy_ESA2010_Vývoj VF'!$D$1</c15:sqref>
                        </c15:formulaRef>
                      </c:ext>
                    </c:extLst>
                    <c:strCache>
                      <c:ptCount val="1"/>
                      <c:pt idx="0">
                        <c:v>2017 Skutočnosť</c:v>
                      </c:pt>
                    </c:strCache>
                  </c:strRef>
                </c:tx>
                <c:spPr>
                  <a:solidFill>
                    <a:schemeClr val="accent1">
                      <a:lumMod val="20000"/>
                      <a:lumOff val="80000"/>
                    </a:schemeClr>
                  </a:solidFill>
                  <a:ln>
                    <a:solidFill>
                      <a:srgbClr val="002060"/>
                    </a:solidFill>
                  </a:ln>
                  <a:effectLst/>
                </c:spPr>
                <c:invertIfNegative val="0"/>
                <c:dLbls>
                  <c:dLbl>
                    <c:idx val="0"/>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- 1,92 %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8500"/>
                              <a:gd name="adj2" fmla="val 0"/>
                            </a:avLst>
                          </a:prstGeom>
                        </c15:spPr>
                      </c:ext>
                      <c:ext xmlns:c16="http://schemas.microsoft.com/office/drawing/2014/chart" uri="{C3380CC4-5D6E-409C-BE32-E72D297353CC}">
                        <c16:uniqueId val="{0000000D-5BD3-430D-B9AE-65A6359E89EB}"/>
                      </c:ext>
                    </c:extLst>
                  </c:dLbl>
                  <c:dLbl>
                    <c:idx val="1"/>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1,06 %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9282"/>
                              <a:gd name="adj2" fmla="val -4249"/>
                            </a:avLst>
                          </a:prstGeom>
                        </c15:spPr>
                      </c:ext>
                      <c:ext xmlns:c16="http://schemas.microsoft.com/office/drawing/2014/chart" uri="{C3380CC4-5D6E-409C-BE32-E72D297353CC}">
                        <c16:uniqueId val="{0000000E-5BD3-430D-B9AE-65A6359E89EB}"/>
                      </c:ext>
                    </c:extLst>
                  </c:dLbl>
                  <c:dLbl>
                    <c:idx val="2"/>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- 4,48 %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1119"/>
                              <a:gd name="adj2" fmla="val -4249"/>
                            </a:avLst>
                          </a:prstGeom>
                        </c15:spPr>
                      </c:ext>
                      <c:ext xmlns:c16="http://schemas.microsoft.com/office/drawing/2014/chart" uri="{C3380CC4-5D6E-409C-BE32-E72D297353CC}">
                        <c16:uniqueId val="{0000000F-5BD3-430D-B9AE-65A6359E89EB}"/>
                      </c:ext>
                    </c:extLst>
                  </c:dLbl>
                  <c:dLbl>
                    <c:idx val="3"/>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1,31 %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5482"/>
                              <a:gd name="adj2" fmla="val 0"/>
                            </a:avLst>
                          </a:prstGeom>
                        </c15:spPr>
                      </c:ext>
                      <c:ext xmlns:c16="http://schemas.microsoft.com/office/drawing/2014/chart" uri="{C3380CC4-5D6E-409C-BE32-E72D297353CC}">
                        <c16:uniqueId val="{00000010-5BD3-430D-B9AE-65A6359E89EB}"/>
                      </c:ext>
                    </c:extLst>
                  </c:dLbl>
                  <c:dLbl>
                    <c:idx val="4"/>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0,68 %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0787"/>
                              <a:gd name="adj2" fmla="val 8498"/>
                            </a:avLst>
                          </a:prstGeom>
                        </c15:spPr>
                      </c:ext>
                      <c:ext xmlns:c16="http://schemas.microsoft.com/office/drawing/2014/chart" uri="{C3380CC4-5D6E-409C-BE32-E72D297353CC}">
                        <c16:uniqueId val="{00000011-5BD3-430D-B9AE-65A6359E89EB}"/>
                      </c:ext>
                    </c:extLst>
                  </c:dLbl>
                  <c:dLbl>
                    <c:idx val="5"/>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1,31 %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1344"/>
                              <a:gd name="adj2" fmla="val 0"/>
                            </a:avLst>
                          </a:prstGeom>
                        </c15:spPr>
                      </c:ext>
                      <c:ext xmlns:c16="http://schemas.microsoft.com/office/drawing/2014/chart" uri="{C3380CC4-5D6E-409C-BE32-E72D297353CC}">
                        <c16:uniqueId val="{00000012-5BD3-430D-B9AE-65A6359E89EB}"/>
                      </c:ext>
                    </c:extLst>
                  </c:dLbl>
                  <c:dLbl>
                    <c:idx val="6"/>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4,78 %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0430"/>
                              <a:gd name="adj2" fmla="val 4249"/>
                            </a:avLst>
                          </a:prstGeom>
                        </c15:spPr>
                      </c:ext>
                      <c:ext xmlns:c16="http://schemas.microsoft.com/office/drawing/2014/chart" uri="{C3380CC4-5D6E-409C-BE32-E72D297353CC}">
                        <c16:uniqueId val="{00000013-5BD3-430D-B9AE-65A6359E89EB}"/>
                      </c:ext>
                    </c:extLst>
                  </c:dLbl>
                  <c:dLbl>
                    <c:idx val="7"/>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2,39 %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outEnd"/>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6477"/>
                              <a:gd name="adj2" fmla="val 0"/>
                            </a:avLst>
                          </a:prstGeom>
                        </c15:spPr>
                      </c:ext>
                      <c:ext xmlns:c16="http://schemas.microsoft.com/office/drawing/2014/chart" uri="{C3380CC4-5D6E-409C-BE32-E72D297353CC}">
                        <c16:uniqueId val="{00000014-5BD3-430D-B9AE-65A6359E89E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k-SK"/>
                    </a:p>
                  </c:txPr>
                  <c:dLblPos val="outEnd"/>
                  <c:showLegendKey val="0"/>
                  <c:showVal val="1"/>
                  <c:showCatName val="1"/>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c15:spPr>
                      <c15:showLeaderLines val="0"/>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VF'!$D$2:$D$68</c15:sqref>
                        </c15:formulaRef>
                      </c:ext>
                    </c:extLst>
                    <c:numCache>
                      <c:formatCode>#,##0</c:formatCode>
                      <c:ptCount val="8"/>
                      <c:pt idx="0">
                        <c:v>5803651.349929139</c:v>
                      </c:pt>
                      <c:pt idx="1">
                        <c:v>2855074.4755591406</c:v>
                      </c:pt>
                      <c:pt idx="2">
                        <c:v>2770145.4347799988</c:v>
                      </c:pt>
                      <c:pt idx="3">
                        <c:v>5916502.2110999972</c:v>
                      </c:pt>
                      <c:pt idx="4">
                        <c:v>2250888.3662800007</c:v>
                      </c:pt>
                      <c:pt idx="5">
                        <c:v>7094789.0694500003</c:v>
                      </c:pt>
                      <c:pt idx="6">
                        <c:v>3329078.3611100018</c:v>
                      </c:pt>
                      <c:pt idx="7">
                        <c:v>10423867.430560002</c:v>
                      </c:pt>
                    </c:numCache>
                  </c:numRef>
                </c:val>
                <c:extLst xmlns:c15="http://schemas.microsoft.com/office/drawing/2012/chart">
                  <c:ext xmlns:c16="http://schemas.microsoft.com/office/drawing/2014/chart" uri="{C3380CC4-5D6E-409C-BE32-E72D297353CC}">
                    <c16:uniqueId val="{00000015-5BD3-430D-B9AE-65A6359E89E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'DaňPríjmy_ESA2010_Vývoj VF'!$E$1</c15:sqref>
                        </c15:formulaRef>
                      </c:ext>
                    </c:extLst>
                    <c:strCache>
                      <c:ptCount val="1"/>
                      <c:pt idx="0">
                        <c:v>Rozdiel 2018 OS- 2018 RVS</c:v>
                      </c:pt>
                    </c:strCache>
                  </c:strRef>
                </c:tx>
                <c:spPr>
                  <a:solidFill>
                    <a:schemeClr val="accent4"/>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VF'!$E$2:$E$68</c15:sqref>
                        </c15:formulaRef>
                      </c:ext>
                    </c:extLst>
                    <c:numCache>
                      <c:formatCode>#,##0</c:formatCode>
                      <c:ptCount val="8"/>
                      <c:pt idx="0">
                        <c:v>268061.50643000007</c:v>
                      </c:pt>
                      <c:pt idx="1">
                        <c:v>138508</c:v>
                      </c:pt>
                      <c:pt idx="2">
                        <c:v>163022</c:v>
                      </c:pt>
                      <c:pt idx="3">
                        <c:v>211739.40965999942</c:v>
                      </c:pt>
                      <c:pt idx="4">
                        <c:v>-25779.958329999354</c:v>
                      </c:pt>
                      <c:pt idx="5">
                        <c:v>381816.74920000043</c:v>
                      </c:pt>
                      <c:pt idx="6">
                        <c:v>97631.23041999992</c:v>
                      </c:pt>
                      <c:pt idx="7">
                        <c:v>479447.97962000035</c:v>
                      </c:pt>
                    </c:numCache>
                  </c:numRef>
                </c:val>
                <c:extLst xmlns:c15="http://schemas.microsoft.com/office/drawing/2012/chart">
                  <c:ext xmlns:c16="http://schemas.microsoft.com/office/drawing/2014/chart" uri="{C3380CC4-5D6E-409C-BE32-E72D297353CC}">
                    <c16:uniqueId val="{00000016-5BD3-430D-B9AE-65A6359E89E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'DaňPríjmy_ESA2010_Vývoj VF'!$F$1</c15:sqref>
                        </c15:formulaRef>
                      </c:ext>
                    </c:extLst>
                    <c:strCache>
                      <c:ptCount val="1"/>
                      <c:pt idx="0">
                        <c:v>2018 RVS</c:v>
                      </c:pt>
                    </c:strCache>
                  </c:strRef>
                </c:tx>
                <c:spPr>
                  <a:solidFill>
                    <a:schemeClr val="accent6">
                      <a:lumMod val="20000"/>
                      <a:lumOff val="80000"/>
                    </a:schemeClr>
                  </a:solidFill>
                  <a:ln>
                    <a:solidFill>
                      <a:srgbClr val="002060"/>
                    </a:solidFill>
                  </a:ln>
                  <a:effectLst/>
                </c:spPr>
                <c:invertIfNegative val="0"/>
                <c:dLbls>
                  <c:dLbl>
                    <c:idx val="0"/>
                    <c:tx>
                      <c:rich>
                        <a:bodyPr/>
                        <a:lstStyle/>
                        <a:p>
                          <a:r>
                            <a:rPr lang="en-US"/>
                            <a:t>100,1 %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7-5BD3-430D-B9AE-65A6359E89EB}"/>
                      </c:ext>
                    </c:extLst>
                  </c:dLbl>
                  <c:dLbl>
                    <c:idx val="1"/>
                    <c:tx>
                      <c:rich>
                        <a:bodyPr/>
                        <a:lstStyle/>
                        <a:p>
                          <a:r>
                            <a:rPr lang="en-US"/>
                            <a:t>101,7 %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8-5BD3-430D-B9AE-65A6359E89EB}"/>
                      </c:ext>
                    </c:extLst>
                  </c:dLbl>
                  <c:dLbl>
                    <c:idx val="2"/>
                    <c:tx>
                      <c:rich>
                        <a:bodyPr/>
                        <a:lstStyle/>
                        <a:p>
                          <a:r>
                            <a:rPr lang="en-US"/>
                            <a:t>98,7 %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9-5BD3-430D-B9AE-65A6359E89EB}"/>
                      </c:ext>
                    </c:extLst>
                  </c:dLbl>
                  <c:dLbl>
                    <c:idx val="3"/>
                    <c:tx>
                      <c:rich>
                        <a:bodyPr/>
                        <a:lstStyle/>
                        <a:p>
                          <a:r>
                            <a:rPr lang="en-US"/>
                            <a:t>102,7 %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A-5BD3-430D-B9AE-65A6359E89EB}"/>
                      </c:ext>
                    </c:extLst>
                  </c:dLbl>
                  <c:dLbl>
                    <c:idx val="4"/>
                    <c:tx>
                      <c:rich>
                        <a:bodyPr/>
                        <a:lstStyle/>
                        <a:p>
                          <a:r>
                            <a:rPr lang="en-US" baseline="0"/>
                            <a:t>99,6</a:t>
                          </a:r>
                          <a:r>
                            <a:rPr lang="en-US"/>
                            <a:t>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B-5BD3-430D-B9AE-65A6359E89EB}"/>
                      </c:ext>
                    </c:extLst>
                  </c:dLbl>
                  <c:dLbl>
                    <c:idx val="5"/>
                    <c:tx>
                      <c:rich>
                        <a:bodyPr/>
                        <a:lstStyle/>
                        <a:p>
                          <a:r>
                            <a:rPr lang="en-US"/>
                            <a:t>101,7 %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C-5BD3-430D-B9AE-65A6359E89EB}"/>
                      </c:ext>
                    </c:extLst>
                  </c:dLbl>
                  <c:dLbl>
                    <c:idx val="6"/>
                    <c:tx>
                      <c:rich>
                        <a:bodyPr/>
                        <a:lstStyle/>
                        <a:p>
                          <a:r>
                            <a:rPr lang="en-US"/>
                            <a:t>102,7 %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D-5BD3-430D-B9AE-65A6359E89EB}"/>
                      </c:ext>
                    </c:extLst>
                  </c:dLbl>
                  <c:dLbl>
                    <c:idx val="7"/>
                    <c:tx>
                      <c:rich>
                        <a:bodyPr/>
                        <a:lstStyle/>
                        <a:p>
                          <a:r>
                            <a:rPr lang="en-US"/>
                            <a:t>102,0 %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E-5BD3-430D-B9AE-65A6359E89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VF'!$F$2:$F$68</c15:sqref>
                        </c15:formulaRef>
                      </c:ext>
                    </c:extLst>
                    <c:numCache>
                      <c:formatCode>#,##0</c:formatCode>
                      <c:ptCount val="8"/>
                      <c:pt idx="0">
                        <c:v>5938202</c:v>
                      </c:pt>
                      <c:pt idx="1">
                        <c:v>3077092</c:v>
                      </c:pt>
                      <c:pt idx="2">
                        <c:v>2618472</c:v>
                      </c:pt>
                      <c:pt idx="3">
                        <c:v>6104417</c:v>
                      </c:pt>
                      <c:pt idx="4">
                        <c:v>2341129</c:v>
                      </c:pt>
                      <c:pt idx="5">
                        <c:v>7458232</c:v>
                      </c:pt>
                      <c:pt idx="6">
                        <c:v>3553004</c:v>
                      </c:pt>
                      <c:pt idx="7">
                        <c:v>11011236</c:v>
                      </c:pt>
                    </c:numCache>
                  </c:numRef>
                </c:val>
                <c:extLst xmlns:c15="http://schemas.microsoft.com/office/drawing/2012/chart">
                  <c:ext xmlns:c16="http://schemas.microsoft.com/office/drawing/2014/chart" uri="{C3380CC4-5D6E-409C-BE32-E72D297353CC}">
                    <c16:uniqueId val="{0000001F-5BD3-430D-B9AE-65A6359E89E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'DaňPríjmy_ESA2010_Vývoj VF'!$G$1</c15:sqref>
                        </c15:formulaRef>
                      </c:ext>
                    </c:extLst>
                    <c:strCache>
                      <c:ptCount val="1"/>
                      <c:pt idx="0">
                        <c:v>2018</c:v>
                      </c:pt>
                    </c:strCache>
                  </c:strRef>
                </c:tx>
                <c:spPr>
                  <a:solidFill>
                    <a:srgbClr val="00B050"/>
                  </a:solidFill>
                  <a:ln>
                    <a:solidFill>
                      <a:srgbClr val="002060"/>
                    </a:solidFill>
                  </a:ln>
                </c:spPr>
                <c:invertIfNegative val="0"/>
                <c:dLbls>
                  <c:delete val="1"/>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VF'!$G$2:$G$68</c15:sqref>
                        </c15:formulaRef>
                      </c:ext>
                    </c:extLst>
                    <c:numCache>
                      <c:formatCode>#,##0</c:formatCode>
                      <c:ptCount val="8"/>
                      <c:pt idx="0">
                        <c:v>6206263.5064300001</c:v>
                      </c:pt>
                      <c:pt idx="1">
                        <c:v>3215600</c:v>
                      </c:pt>
                      <c:pt idx="2">
                        <c:v>2781494</c:v>
                      </c:pt>
                      <c:pt idx="3">
                        <c:v>6316156.4096599994</c:v>
                      </c:pt>
                      <c:pt idx="4">
                        <c:v>2315349.0416700006</c:v>
                      </c:pt>
                      <c:pt idx="5">
                        <c:v>7840048.7492000004</c:v>
                      </c:pt>
                      <c:pt idx="6">
                        <c:v>3650635.2304199999</c:v>
                      </c:pt>
                      <c:pt idx="7">
                        <c:v>11490683.97962</c:v>
                      </c:pt>
                    </c:numCache>
                  </c:numRef>
                </c:val>
                <c:extLst xmlns:c15="http://schemas.microsoft.com/office/drawing/2012/chart">
                  <c:ext xmlns:c16="http://schemas.microsoft.com/office/drawing/2014/chart" uri="{C3380CC4-5D6E-409C-BE32-E72D297353CC}">
                    <c16:uniqueId val="{00000020-5BD3-430D-B9AE-65A6359E89EB}"/>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'DaňPríjmy_ESA2010_Vývoj VF'!$K$1</c15:sqref>
                        </c15:formulaRef>
                      </c:ext>
                    </c:extLst>
                    <c:strCache>
                      <c:ptCount val="1"/>
                      <c:pt idx="0">
                        <c:v>Rozdiel 2019 RVS - 2019 OS</c:v>
                      </c:pt>
                    </c:strCache>
                  </c:strRef>
                </c:tx>
                <c:invertIfNegative val="0"/>
                <c:dLbls>
                  <c:spPr>
                    <a:noFill/>
                    <a:ln>
                      <a:noFill/>
                    </a:ln>
                    <a:effectLst/>
                  </c:spPr>
                  <c:txPr>
                    <a:bodyPr/>
                    <a:lstStyle/>
                    <a:p>
                      <a:pPr>
                        <a:defRPr b="1"/>
                      </a:pPr>
                      <a:endParaRPr lang="sk-SK"/>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VF'!$K$2:$K$68</c15:sqref>
                        </c15:formulaRef>
                      </c:ext>
                    </c:extLst>
                    <c:numCache>
                      <c:formatCode>#,##0</c:formatCode>
                      <c:ptCount val="8"/>
                      <c:pt idx="0">
                        <c:v>20353</c:v>
                      </c:pt>
                      <c:pt idx="1">
                        <c:v>108213</c:v>
                      </c:pt>
                      <c:pt idx="2">
                        <c:v>-101223</c:v>
                      </c:pt>
                      <c:pt idx="3">
                        <c:v>4429</c:v>
                      </c:pt>
                      <c:pt idx="4">
                        <c:v>-55643</c:v>
                      </c:pt>
                      <c:pt idx="5">
                        <c:v>24569</c:v>
                      </c:pt>
                      <c:pt idx="6">
                        <c:v>-13946</c:v>
                      </c:pt>
                      <c:pt idx="7">
                        <c:v>10623</c:v>
                      </c:pt>
                    </c:numCache>
                  </c:numRef>
                </c:val>
                <c:extLst xmlns:c15="http://schemas.microsoft.com/office/drawing/2012/chart">
                  <c:ext xmlns:c16="http://schemas.microsoft.com/office/drawing/2014/chart" uri="{C3380CC4-5D6E-409C-BE32-E72D297353CC}">
                    <c16:uniqueId val="{00000021-5BD3-430D-B9AE-65A6359E89EB}"/>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'DaňPríjmy_ESA2010_Vývoj VF'!$L$1</c15:sqref>
                        </c15:formulaRef>
                      </c:ext>
                    </c:extLst>
                    <c:strCache>
                      <c:ptCount val="1"/>
                      <c:pt idx="0">
                        <c:v>Rozdiel 2019 RVS - 2019 OS (%)</c:v>
                      </c:pt>
                    </c:strCache>
                  </c:strRef>
                </c:tx>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VF'!$L$2:$L$68</c15:sqref>
                        </c15:formulaRef>
                      </c:ext>
                    </c:extLst>
                    <c:numCache>
                      <c:formatCode>#\ ##0.0</c:formatCode>
                      <c:ptCount val="8"/>
                      <c:pt idx="0">
                        <c:v>0.31013202057875972</c:v>
                      </c:pt>
                      <c:pt idx="1">
                        <c:v>3.157750061133934</c:v>
                      </c:pt>
                      <c:pt idx="2">
                        <c:v>-3.4902701517301877</c:v>
                      </c:pt>
                      <c:pt idx="3">
                        <c:v>6.6464935807087511E-2</c:v>
                      </c:pt>
                      <c:pt idx="4">
                        <c:v>-2.2932091451415149</c:v>
                      </c:pt>
                      <c:pt idx="5">
                        <c:v>0.30136043340755009</c:v>
                      </c:pt>
                      <c:pt idx="6">
                        <c:v>-0.34675834653009174</c:v>
                      </c:pt>
                      <c:pt idx="7">
                        <c:v>8.7256028308967004E-2</c:v>
                      </c:pt>
                    </c:numCache>
                  </c:numRef>
                </c:val>
                <c:extLst xmlns:c15="http://schemas.microsoft.com/office/drawing/2012/chart">
                  <c:ext xmlns:c16="http://schemas.microsoft.com/office/drawing/2014/chart" uri="{C3380CC4-5D6E-409C-BE32-E72D297353CC}">
                    <c16:uniqueId val="{00000022-5BD3-430D-B9AE-65A6359E89EB}"/>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'DaňPríjmy_ESA2010_Vývoj VF'!$M$1</c15:sqref>
                        </c15:formulaRef>
                      </c:ext>
                    </c:extLst>
                    <c:strCache>
                      <c:ptCount val="1"/>
                      <c:pt idx="0">
                        <c:v>Rozdiel 2020 RVS- 2019 OS</c:v>
                      </c:pt>
                    </c:strCache>
                  </c:strRef>
                </c:tx>
                <c:spPr>
                  <a:solidFill>
                    <a:schemeClr val="accent6"/>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VF'!$M$2:$M$68</c15:sqref>
                        </c15:formulaRef>
                      </c:ext>
                    </c:extLst>
                    <c:numCache>
                      <c:formatCode>#,##0</c:formatCode>
                      <c:ptCount val="8"/>
                      <c:pt idx="0">
                        <c:v>91427</c:v>
                      </c:pt>
                      <c:pt idx="1">
                        <c:v>74089</c:v>
                      </c:pt>
                      <c:pt idx="2">
                        <c:v>10060</c:v>
                      </c:pt>
                      <c:pt idx="3">
                        <c:v>252279</c:v>
                      </c:pt>
                      <c:pt idx="4">
                        <c:v>115402</c:v>
                      </c:pt>
                      <c:pt idx="5">
                        <c:v>344502</c:v>
                      </c:pt>
                      <c:pt idx="6">
                        <c:v>203867</c:v>
                      </c:pt>
                      <c:pt idx="7">
                        <c:v>548369</c:v>
                      </c:pt>
                    </c:numCache>
                  </c:numRef>
                </c:val>
                <c:extLst xmlns:c15="http://schemas.microsoft.com/office/drawing/2012/chart">
                  <c:ext xmlns:c16="http://schemas.microsoft.com/office/drawing/2014/chart" uri="{C3380CC4-5D6E-409C-BE32-E72D297353CC}">
                    <c16:uniqueId val="{00000023-5BD3-430D-B9AE-65A6359E89EB}"/>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'DaňPríjmy_ESA2010_Vývoj VF'!$N$1</c15:sqref>
                        </c15:formulaRef>
                      </c:ext>
                    </c:extLst>
                    <c:strCache>
                      <c:ptCount val="1"/>
                      <c:pt idx="0">
                        <c:v>Podiel 2020RVS/2019 OS</c:v>
                      </c:pt>
                    </c:strCache>
                  </c:strRef>
                </c:tx>
                <c:spPr>
                  <a:solidFill>
                    <a:schemeClr val="accent1">
                      <a:lumMod val="60000"/>
                    </a:schemeClr>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VF'!$N$2:$N$68</c15:sqref>
                        </c15:formulaRef>
                      </c:ext>
                    </c:extLst>
                    <c:numCache>
                      <c:formatCode>#\ ##0.0</c:formatCode>
                      <c:ptCount val="8"/>
                      <c:pt idx="0">
                        <c:v>1.3888260169082927</c:v>
                      </c:pt>
                      <c:pt idx="1">
                        <c:v>2.0958016924484775</c:v>
                      </c:pt>
                      <c:pt idx="2">
                        <c:v>0.35942370731620177</c:v>
                      </c:pt>
                      <c:pt idx="3">
                        <c:v>3.7833755468017616</c:v>
                      </c:pt>
                      <c:pt idx="4">
                        <c:v>4.8676765725401996</c:v>
                      </c:pt>
                      <c:pt idx="5">
                        <c:v>4.2129244924800648</c:v>
                      </c:pt>
                      <c:pt idx="6">
                        <c:v>5.0866606368711595</c:v>
                      </c:pt>
                      <c:pt idx="7">
                        <c:v>4.5003093932445584</c:v>
                      </c:pt>
                    </c:numCache>
                  </c:numRef>
                </c:val>
                <c:extLst xmlns:c15="http://schemas.microsoft.com/office/drawing/2012/chart">
                  <c:ext xmlns:c16="http://schemas.microsoft.com/office/drawing/2014/chart" uri="{C3380CC4-5D6E-409C-BE32-E72D297353CC}">
                    <c16:uniqueId val="{00000024-5BD3-430D-B9AE-65A6359E89EB}"/>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'DaňPríjmy_ESA2010_Vývoj VF'!$O$1</c15:sqref>
                        </c15:formulaRef>
                      </c:ext>
                    </c:extLst>
                    <c:strCache>
                      <c:ptCount val="1"/>
                      <c:pt idx="0">
                        <c:v>Rozdiel 2020 RVS-2019 RVS</c:v>
                      </c:pt>
                    </c:strCache>
                  </c:strRef>
                </c:tx>
                <c:spPr>
                  <a:solidFill>
                    <a:srgbClr val="00B050"/>
                  </a:solidFill>
                  <a:ln>
                    <a:solidFill>
                      <a:srgbClr val="00B050"/>
                    </a:solidFill>
                  </a:ln>
                </c:spPr>
                <c:invertIfNegative val="0"/>
                <c:dLbls>
                  <c:dLbl>
                    <c:idx val="0"/>
                    <c:layout>
                      <c:manualLayout>
                        <c:x val="0"/>
                        <c:y val="-1.9047619047619049E-2"/>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5-5BD3-430D-B9AE-65A6359E89EB}"/>
                      </c:ext>
                    </c:extLst>
                  </c:dLbl>
                  <c:dLbl>
                    <c:idx val="1"/>
                    <c:layout>
                      <c:manualLayout>
                        <c:x val="-5.7380662120653491E-17"/>
                        <c:y val="-1.9047619047619049E-2"/>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6-5BD3-430D-B9AE-65A6359E89EB}"/>
                      </c:ext>
                    </c:extLst>
                  </c:dLbl>
                  <c:dLbl>
                    <c:idx val="3"/>
                    <c:layout>
                      <c:manualLayout>
                        <c:x val="-5.7380662120653491E-17"/>
                        <c:y val="-2.2222222222222282E-2"/>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7-5BD3-430D-B9AE-65A6359E89EB}"/>
                      </c:ext>
                    </c:extLst>
                  </c:dLbl>
                  <c:dLbl>
                    <c:idx val="4"/>
                    <c:layout>
                      <c:manualLayout>
                        <c:x val="0"/>
                        <c:y val="-1.9047619047619049E-2"/>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8-5BD3-430D-B9AE-65A6359E89EB}"/>
                      </c:ext>
                    </c:extLst>
                  </c:dLbl>
                  <c:dLbl>
                    <c:idx val="5"/>
                    <c:layout>
                      <c:manualLayout>
                        <c:x val="-5.7380662120653491E-17"/>
                        <c:y val="-9.5238095238095524E-3"/>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9-5BD3-430D-B9AE-65A6359E89EB}"/>
                      </c:ext>
                    </c:extLst>
                  </c:dLbl>
                  <c:dLbl>
                    <c:idx val="6"/>
                    <c:layout>
                      <c:manualLayout>
                        <c:x val="0"/>
                        <c:y val="-1.2698412698412698E-2"/>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A-5BD3-430D-B9AE-65A6359E89EB}"/>
                      </c:ext>
                    </c:extLst>
                  </c:dLbl>
                  <c:dLbl>
                    <c:idx val="7"/>
                    <c:layout>
                      <c:manualLayout>
                        <c:x val="0"/>
                        <c:y val="-1.26984126984127E-2"/>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B-5BD3-430D-B9AE-65A6359E89EB}"/>
                      </c:ext>
                    </c:extLst>
                  </c:dLbl>
                  <c:spPr>
                    <a:noFill/>
                    <a:ln>
                      <a:noFill/>
                    </a:ln>
                    <a:effectLst/>
                  </c:spPr>
                  <c:txPr>
                    <a:bodyPr wrap="square" lIns="38100" tIns="19050" rIns="38100" bIns="19050" anchor="ctr">
                      <a:spAutoFit/>
                    </a:bodyPr>
                    <a:lstStyle/>
                    <a:p>
                      <a:pPr>
                        <a:defRPr b="1"/>
                      </a:pPr>
                      <a:endParaRPr lang="sk-SK"/>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8"/>
                      <c:pt idx="0">
                        <c:v>Dane z príjmov, ziskov a kap. majetku</c:v>
                      </c:pt>
                      <c:pt idx="1">
                        <c:v>Daň z príjmov fyzických osôb </c:v>
                      </c:pt>
                      <c:pt idx="2">
                        <c:v>Daň z príjmov právnických osôb </c:v>
                      </c:pt>
                      <c:pt idx="3">
                        <c:v>Daň z pridanej hodnoty</c:v>
                      </c:pt>
                      <c:pt idx="4">
                        <c:v>Spotrebné dane</c:v>
                      </c:pt>
                      <c:pt idx="5">
                        <c:v>Sociálna poisťovňa</c:v>
                      </c:pt>
                      <c:pt idx="6">
                        <c:v>Zdravotné poisťovne</c:v>
                      </c:pt>
                      <c:pt idx="7">
                        <c:v>FSZP spolu</c:v>
                      </c:pt>
                    </c:strCache>
                  </c:strRef>
                </c:cat>
                <c:val>
                  <c:numRef>
                    <c:extLst xmlns:c15="http://schemas.microsoft.com/office/drawing/2012/chart">
                      <c:ext xmlns:c15="http://schemas.microsoft.com/office/drawing/2012/chart" uri="{02D57815-91ED-43cb-92C2-25804820EDAC}">
                        <c15:formulaRef>
                          <c15:sqref>'DaňPríjmy_ESA2010_Vývoj VF'!$O$2:$O$68</c15:sqref>
                        </c15:formulaRef>
                      </c:ext>
                    </c:extLst>
                    <c:numCache>
                      <c:formatCode>#,##0</c:formatCode>
                      <c:ptCount val="8"/>
                      <c:pt idx="0">
                        <c:v>111780</c:v>
                      </c:pt>
                      <c:pt idx="1">
                        <c:v>182302</c:v>
                      </c:pt>
                      <c:pt idx="2">
                        <c:v>-91163</c:v>
                      </c:pt>
                      <c:pt idx="3">
                        <c:v>256708</c:v>
                      </c:pt>
                      <c:pt idx="4">
                        <c:v>59759</c:v>
                      </c:pt>
                      <c:pt idx="5">
                        <c:v>369071</c:v>
                      </c:pt>
                      <c:pt idx="6">
                        <c:v>189921</c:v>
                      </c:pt>
                      <c:pt idx="7">
                        <c:v>558992</c:v>
                      </c:pt>
                    </c:numCache>
                  </c:numRef>
                </c:val>
                <c:extLst xmlns:c15="http://schemas.microsoft.com/office/drawing/2012/chart">
                  <c:ext xmlns:c16="http://schemas.microsoft.com/office/drawing/2014/chart" uri="{C3380CC4-5D6E-409C-BE32-E72D297353CC}">
                    <c16:uniqueId val="{0000002C-5BD3-430D-B9AE-65A6359E89EB}"/>
                  </c:ext>
                </c:extLst>
              </c15:ser>
            </c15:filteredBarSeries>
          </c:ext>
        </c:extLst>
      </c:barChart>
      <c:catAx>
        <c:axId val="1045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sk-SK"/>
          </a:p>
        </c:txPr>
        <c:crossAx val="104596992"/>
        <c:crosses val="autoZero"/>
        <c:auto val="1"/>
        <c:lblAlgn val="ctr"/>
        <c:lblOffset val="100"/>
        <c:noMultiLvlLbl val="0"/>
      </c:catAx>
      <c:valAx>
        <c:axId val="104596992"/>
        <c:scaling>
          <c:orientation val="minMax"/>
          <c:max val="14000000"/>
        </c:scaling>
        <c:delete val="0"/>
        <c:axPos val="b"/>
        <c:majorGridlines>
          <c:spPr>
            <a:ln w="0" cap="flat" cmpd="sng" algn="ctr">
              <a:solidFill>
                <a:srgbClr val="00B0F0"/>
              </a:solidFill>
              <a:round/>
            </a:ln>
            <a:effectLst/>
          </c:spPr>
        </c:majorGridlines>
        <c:numFmt formatCode="#,##0" sourceLinked="1"/>
        <c:majorTickMark val="none"/>
        <c:minorTickMark val="none"/>
        <c:tickLblPos val="nextTo"/>
        <c:spPr>
          <a:noFill/>
          <a:ln>
            <a:noFill/>
          </a:ln>
          <a:effectLst/>
        </c:spPr>
        <c:txPr>
          <a:bodyPr rot="-60000000" vert="horz"/>
          <a:lstStyle/>
          <a:p>
            <a:pPr>
              <a:defRPr sz="900" b="0"/>
            </a:pPr>
            <a:endParaRPr lang="sk-SK"/>
          </a:p>
        </c:txPr>
        <c:crossAx val="104595456"/>
        <c:crosses val="autoZero"/>
        <c:crossBetween val="between"/>
      </c:valAx>
      <c:spPr>
        <a:noFill/>
        <a:ln>
          <a:noFill/>
        </a:ln>
        <a:effectLst/>
      </c:spPr>
    </c:plotArea>
    <c:legend>
      <c:legendPos val="r"/>
      <c:overlay val="0"/>
      <c:txPr>
        <a:bodyPr/>
        <a:lstStyle/>
        <a:p>
          <a:pPr>
            <a:defRPr sz="800"/>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rgbClr val="002060"/>
          </a:solidFill>
          <a:latin typeface="Arial Narrow" panose="020B0606020202030204" pitchFamily="34" charset="0"/>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28302853538325E-2"/>
          <c:y val="0.17138961796442115"/>
          <c:w val="0.90242446640608354"/>
          <c:h val="0.75824054601870416"/>
        </c:manualLayout>
      </c:layout>
      <c:barChart>
        <c:barDir val="col"/>
        <c:grouping val="clustered"/>
        <c:varyColors val="0"/>
        <c:ser>
          <c:idx val="2"/>
          <c:order val="2"/>
          <c:tx>
            <c:strRef>
              <c:f>'Schodok VS ESA 2010'!$A$4</c:f>
              <c:strCache>
                <c:ptCount val="1"/>
                <c:pt idx="0">
                  <c:v>Schodok skutočnosť</c:v>
                </c:pt>
              </c:strCache>
            </c:strRef>
          </c:tx>
          <c:spPr>
            <a:solidFill>
              <a:schemeClr val="accent1">
                <a:lumMod val="20000"/>
                <a:lumOff val="80000"/>
              </a:schemeClr>
            </a:solidFill>
            <a:ln w="3175">
              <a:solidFill>
                <a:srgbClr val="002060"/>
              </a:solidFill>
            </a:ln>
            <a:effectLst/>
          </c:spPr>
          <c:invertIfNegative val="0"/>
          <c:dLbls>
            <c:dLbl>
              <c:idx val="1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B0-42CA-9A14-D8252FE180E2}"/>
                </c:ext>
              </c:extLst>
            </c:dLbl>
            <c:dLbl>
              <c:idx val="1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B0-42CA-9A14-D8252FE180E2}"/>
                </c:ext>
              </c:extLst>
            </c:dLbl>
            <c:dLbl>
              <c:idx val="1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B0-42CA-9A14-D8252FE180E2}"/>
                </c:ext>
              </c:extLst>
            </c:dLbl>
            <c:dLbl>
              <c:idx val="1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B0-42CA-9A14-D8252FE180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Narrow" panose="020B0606020202030204" pitchFamily="34" charset="0"/>
                    <a:ea typeface="+mn-ea"/>
                    <a:cs typeface="+mn-cs"/>
                  </a:defRPr>
                </a:pPr>
                <a:endParaRPr lang="sk-SK"/>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'Schodok VS ESA 2010'!$B$1:$U$1</c:f>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f>'Schodok VS ESA 2010'!$B$4:$U$4</c:f>
              <c:numCache>
                <c:formatCode>#,##0</c:formatCode>
                <c:ptCount val="16"/>
                <c:pt idx="0">
                  <c:v>-1745.6798374161845</c:v>
                </c:pt>
                <c:pt idx="1">
                  <c:v>-1114.8054167363698</c:v>
                </c:pt>
                <c:pt idx="2">
                  <c:v>-1662.8050000000003</c:v>
                </c:pt>
                <c:pt idx="3">
                  <c:v>-4996.4930000000022</c:v>
                </c:pt>
                <c:pt idx="4">
                  <c:v>-5058.107</c:v>
                </c:pt>
                <c:pt idx="5">
                  <c:v>-3020.6909999999989</c:v>
                </c:pt>
                <c:pt idx="6">
                  <c:v>-3158.8849999999984</c:v>
                </c:pt>
                <c:pt idx="7">
                  <c:v>-2017.4120000000003</c:v>
                </c:pt>
                <c:pt idx="8">
                  <c:v>-2056</c:v>
                </c:pt>
                <c:pt idx="9">
                  <c:v>-2027</c:v>
                </c:pt>
                <c:pt idx="10">
                  <c:v>-1805</c:v>
                </c:pt>
                <c:pt idx="11">
                  <c:v>-805</c:v>
                </c:pt>
                <c:pt idx="12">
                  <c:v>-951.20000000000437</c:v>
                </c:pt>
                <c:pt idx="13">
                  <c:v>-639.79999999999563</c:v>
                </c:pt>
                <c:pt idx="14">
                  <c:v>-480.40000000000146</c:v>
                </c:pt>
                <c:pt idx="15">
                  <c:v>-770.09999999999854</c:v>
                </c:pt>
              </c:numCache>
            </c:numRef>
          </c:val>
          <c:extLst>
            <c:ext xmlns:c16="http://schemas.microsoft.com/office/drawing/2014/chart" uri="{C3380CC4-5D6E-409C-BE32-E72D297353CC}">
              <c16:uniqueId val="{00000004-3CB0-42CA-9A14-D8252FE180E2}"/>
            </c:ext>
          </c:extLst>
        </c:ser>
        <c:ser>
          <c:idx val="4"/>
          <c:order val="4"/>
          <c:tx>
            <c:strRef>
              <c:f>'Schodok VS ESA 2010'!$A$6</c:f>
              <c:strCache>
                <c:ptCount val="1"/>
                <c:pt idx="0">
                  <c:v>Cieľový schodok RVS v mil. eur</c:v>
                </c:pt>
              </c:strCache>
            </c:strRef>
          </c:tx>
          <c:spPr>
            <a:solidFill>
              <a:srgbClr val="00B0F0"/>
            </a:solidFill>
            <a:ln w="3175">
              <a:solidFill>
                <a:srgbClr val="002060"/>
              </a:solidFill>
            </a:ln>
            <a:effectLst/>
          </c:spPr>
          <c:invertIfNegative val="0"/>
          <c:cat>
            <c:strRef>
              <c:f>'Schodok VS ESA 2010'!$B$1:$U$1</c:f>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f>'Schodok VS ESA 2010'!$B$6:$U$6</c:f>
              <c:numCache>
                <c:formatCode>#,##0</c:formatCode>
                <c:ptCount val="16"/>
                <c:pt idx="0">
                  <c:v>-1440</c:v>
                </c:pt>
                <c:pt idx="1">
                  <c:v>-1410</c:v>
                </c:pt>
                <c:pt idx="2">
                  <c:v>-1507</c:v>
                </c:pt>
                <c:pt idx="3">
                  <c:v>-1307</c:v>
                </c:pt>
                <c:pt idx="4">
                  <c:v>-2205.6999999999998</c:v>
                </c:pt>
                <c:pt idx="5">
                  <c:v>-3448.9</c:v>
                </c:pt>
                <c:pt idx="6">
                  <c:v>-3323.7</c:v>
                </c:pt>
                <c:pt idx="7">
                  <c:v>-2186.5</c:v>
                </c:pt>
                <c:pt idx="8">
                  <c:v>-2000.4</c:v>
                </c:pt>
                <c:pt idx="9">
                  <c:v>-1940.1</c:v>
                </c:pt>
                <c:pt idx="10">
                  <c:v>-1556.5030000000006</c:v>
                </c:pt>
                <c:pt idx="11">
                  <c:v>-1083</c:v>
                </c:pt>
                <c:pt idx="12">
                  <c:v>-742.8</c:v>
                </c:pt>
                <c:pt idx="13">
                  <c:v>0</c:v>
                </c:pt>
                <c:pt idx="14">
                  <c:v>-480.4</c:v>
                </c:pt>
                <c:pt idx="15">
                  <c:v>-770.1</c:v>
                </c:pt>
              </c:numCache>
            </c:numRef>
          </c:val>
          <c:extLst>
            <c:ext xmlns:c16="http://schemas.microsoft.com/office/drawing/2014/chart" uri="{C3380CC4-5D6E-409C-BE32-E72D297353CC}">
              <c16:uniqueId val="{00000005-3CB0-42CA-9A14-D8252FE180E2}"/>
            </c:ext>
          </c:extLst>
        </c:ser>
        <c:dLbls>
          <c:showLegendKey val="0"/>
          <c:showVal val="0"/>
          <c:showCatName val="0"/>
          <c:showSerName val="0"/>
          <c:showPercent val="0"/>
          <c:showBubbleSize val="0"/>
        </c:dLbls>
        <c:gapWidth val="219"/>
        <c:overlap val="-27"/>
        <c:axId val="1749014095"/>
        <c:axId val="1749011599"/>
        <c:extLst>
          <c:ext xmlns:c15="http://schemas.microsoft.com/office/drawing/2012/chart" uri="{02D57815-91ED-43cb-92C2-25804820EDAC}">
            <c15:filteredBarSeries>
              <c15:ser>
                <c:idx val="0"/>
                <c:order val="0"/>
                <c:tx>
                  <c:strRef>
                    <c:extLst>
                      <c:ext uri="{02D57815-91ED-43cb-92C2-25804820EDAC}">
                        <c15:formulaRef>
                          <c15:sqref>'Schodok VS ESA 2010'!$A$2</c15:sqref>
                        </c15:formulaRef>
                      </c:ext>
                    </c:extLst>
                    <c:strCache>
                      <c:ptCount val="1"/>
                      <c:pt idx="0">
                        <c:v>Príjmy spolu</c:v>
                      </c:pt>
                    </c:strCache>
                  </c:strRef>
                </c:tx>
                <c:spPr>
                  <a:solidFill>
                    <a:schemeClr val="accent1"/>
                  </a:solidFill>
                  <a:ln>
                    <a:noFill/>
                  </a:ln>
                  <a:effectLst/>
                </c:spPr>
                <c:invertIfNegative val="0"/>
                <c:cat>
                  <c:strRef>
                    <c:extLst>
                      <c:ex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c:ext uri="{02D57815-91ED-43cb-92C2-25804820EDAC}">
                        <c15:formulaRef>
                          <c15:sqref>'Schodok VS ESA 2010'!$B$2:$U$2</c15:sqref>
                        </c15:formulaRef>
                      </c:ext>
                    </c:extLst>
                    <c:numCache>
                      <c:formatCode>#,##0</c:formatCode>
                      <c:ptCount val="16"/>
                      <c:pt idx="0">
                        <c:v>18342.116458607183</c:v>
                      </c:pt>
                      <c:pt idx="1">
                        <c:v>19907.269722498841</c:v>
                      </c:pt>
                      <c:pt idx="2">
                        <c:v>23636.485000000001</c:v>
                      </c:pt>
                      <c:pt idx="3">
                        <c:v>23227.662</c:v>
                      </c:pt>
                      <c:pt idx="4">
                        <c:v>23422.342000000001</c:v>
                      </c:pt>
                      <c:pt idx="5">
                        <c:v>25807.131000000001</c:v>
                      </c:pt>
                      <c:pt idx="6">
                        <c:v>26380.595999999998</c:v>
                      </c:pt>
                      <c:pt idx="7">
                        <c:v>28719.138999999996</c:v>
                      </c:pt>
                      <c:pt idx="8">
                        <c:v>29927.390000000003</c:v>
                      </c:pt>
                      <c:pt idx="9">
                        <c:v>33656.9</c:v>
                      </c:pt>
                      <c:pt idx="10">
                        <c:v>31863.9</c:v>
                      </c:pt>
                      <c:pt idx="11">
                        <c:v>34220.9</c:v>
                      </c:pt>
                      <c:pt idx="12">
                        <c:v>36569.599999999999</c:v>
                      </c:pt>
                      <c:pt idx="13">
                        <c:v>37740.400000000001</c:v>
                      </c:pt>
                      <c:pt idx="14">
                        <c:v>38865.9</c:v>
                      </c:pt>
                      <c:pt idx="15">
                        <c:v>40428.1</c:v>
                      </c:pt>
                    </c:numCache>
                  </c:numRef>
                </c:val>
                <c:extLst>
                  <c:ext xmlns:c16="http://schemas.microsoft.com/office/drawing/2014/chart" uri="{C3380CC4-5D6E-409C-BE32-E72D297353CC}">
                    <c16:uniqueId val="{00000006-3CB0-42CA-9A14-D8252FE180E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'Schodok VS ESA 2010'!$A$3</c15:sqref>
                        </c15:formulaRef>
                      </c:ext>
                    </c:extLst>
                    <c:strCache>
                      <c:ptCount val="1"/>
                      <c:pt idx="0">
                        <c:v>Výdavky spolu</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2010'!$B$3:$U$3</c15:sqref>
                        </c15:formulaRef>
                      </c:ext>
                    </c:extLst>
                    <c:numCache>
                      <c:formatCode>#,##0</c:formatCode>
                      <c:ptCount val="16"/>
                      <c:pt idx="0">
                        <c:v>20087.796296023367</c:v>
                      </c:pt>
                      <c:pt idx="1">
                        <c:v>21022.07513923521</c:v>
                      </c:pt>
                      <c:pt idx="2">
                        <c:v>25299.29</c:v>
                      </c:pt>
                      <c:pt idx="3">
                        <c:v>28224.155000000002</c:v>
                      </c:pt>
                      <c:pt idx="4">
                        <c:v>28480.449000000001</c:v>
                      </c:pt>
                      <c:pt idx="5">
                        <c:v>28827.822</c:v>
                      </c:pt>
                      <c:pt idx="6">
                        <c:v>29539.480999999996</c:v>
                      </c:pt>
                      <c:pt idx="7">
                        <c:v>30736.550999999996</c:v>
                      </c:pt>
                      <c:pt idx="8">
                        <c:v>31983.494000000002</c:v>
                      </c:pt>
                      <c:pt idx="9">
                        <c:v>35683.800000000003</c:v>
                      </c:pt>
                      <c:pt idx="10">
                        <c:v>33668.6</c:v>
                      </c:pt>
                      <c:pt idx="11">
                        <c:v>35025.9</c:v>
                      </c:pt>
                      <c:pt idx="12">
                        <c:v>37520.800000000003</c:v>
                      </c:pt>
                      <c:pt idx="13">
                        <c:v>38380.199999999997</c:v>
                      </c:pt>
                      <c:pt idx="14">
                        <c:v>39346.300000000003</c:v>
                      </c:pt>
                      <c:pt idx="15">
                        <c:v>41198.199999999997</c:v>
                      </c:pt>
                    </c:numCache>
                  </c:numRef>
                </c:val>
                <c:extLst xmlns:c15="http://schemas.microsoft.com/office/drawing/2012/chart">
                  <c:ext xmlns:c16="http://schemas.microsoft.com/office/drawing/2014/chart" uri="{C3380CC4-5D6E-409C-BE32-E72D297353CC}">
                    <c16:uniqueId val="{00000007-3CB0-42CA-9A14-D8252FE180E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'Schodok VS ESA 2010'!$A$5</c15:sqref>
                        </c15:formulaRef>
                      </c:ext>
                    </c:extLst>
                    <c:strCache>
                      <c:ptCount val="1"/>
                      <c:pt idx="0">
                        <c:v>Schodok k HDP (v%)</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2010'!$B$5:$U$5</c15:sqref>
                        </c15:formulaRef>
                      </c:ext>
                    </c:extLst>
                    <c:numCache>
                      <c:formatCode>#,##0.00</c:formatCode>
                      <c:ptCount val="16"/>
                      <c:pt idx="0">
                        <c:v>-3.1021789205355077</c:v>
                      </c:pt>
                      <c:pt idx="1">
                        <c:v>-1.7680197683828753</c:v>
                      </c:pt>
                      <c:pt idx="2">
                        <c:v>-2.4277502642659834</c:v>
                      </c:pt>
                      <c:pt idx="3">
                        <c:v>-7.8042034828054287</c:v>
                      </c:pt>
                      <c:pt idx="4">
                        <c:v>-7.4849202320897694</c:v>
                      </c:pt>
                      <c:pt idx="5">
                        <c:v>-4.2769513728421895</c:v>
                      </c:pt>
                      <c:pt idx="6">
                        <c:v>-4.3759324649490123</c:v>
                      </c:pt>
                      <c:pt idx="7">
                        <c:v>-2.7413021855280109</c:v>
                      </c:pt>
                      <c:pt idx="8">
                        <c:v>-2.7021343707286301</c:v>
                      </c:pt>
                      <c:pt idx="9">
                        <c:v>-2.5613485304152239</c:v>
                      </c:pt>
                      <c:pt idx="10">
                        <c:v>-2.2221948637135891</c:v>
                      </c:pt>
                      <c:pt idx="11">
                        <c:v>-0.95247110048865913</c:v>
                      </c:pt>
                      <c:pt idx="12">
                        <c:v>-1.0601754327303579</c:v>
                      </c:pt>
                      <c:pt idx="13">
                        <c:v>-0.68000603694011708</c:v>
                      </c:pt>
                      <c:pt idx="14">
                        <c:v>-0.48999058573458448</c:v>
                      </c:pt>
                      <c:pt idx="15">
                        <c:v>-0.74806935742386571</c:v>
                      </c:pt>
                    </c:numCache>
                  </c:numRef>
                </c:val>
                <c:extLst xmlns:c15="http://schemas.microsoft.com/office/drawing/2012/chart">
                  <c:ext xmlns:c16="http://schemas.microsoft.com/office/drawing/2014/chart" uri="{C3380CC4-5D6E-409C-BE32-E72D297353CC}">
                    <c16:uniqueId val="{00000008-3CB0-42CA-9A14-D8252FE180E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'Schodok VS ESA 2010'!$A$7</c15:sqref>
                        </c15:formulaRef>
                      </c:ext>
                    </c:extLst>
                    <c:strCache>
                      <c:ptCount val="1"/>
                      <c:pt idx="0">
                        <c:v>Cieľový schodok RVS v % HDP</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2010'!$B$7:$U$7</c15:sqref>
                        </c15:formulaRef>
                      </c:ext>
                    </c:extLst>
                    <c:numCache>
                      <c:formatCode>General</c:formatCode>
                      <c:ptCount val="16"/>
                      <c:pt idx="0">
                        <c:v>-3.3</c:v>
                      </c:pt>
                      <c:pt idx="1">
                        <c:v>-2.95</c:v>
                      </c:pt>
                      <c:pt idx="2">
                        <c:v>-2.34</c:v>
                      </c:pt>
                      <c:pt idx="3">
                        <c:v>-1.84</c:v>
                      </c:pt>
                      <c:pt idx="4">
                        <c:v>-2.9</c:v>
                      </c:pt>
                      <c:pt idx="5">
                        <c:v>-4.9000000000000004</c:v>
                      </c:pt>
                      <c:pt idx="6" formatCode="#,##0.00">
                        <c:v>-4.5999999999999996</c:v>
                      </c:pt>
                      <c:pt idx="7" formatCode="#,##0.00">
                        <c:v>-2.9</c:v>
                      </c:pt>
                      <c:pt idx="8" formatCode="#,##0.00">
                        <c:v>-2.64</c:v>
                      </c:pt>
                      <c:pt idx="9" formatCode="#,##0.00">
                        <c:v>-2.4900000000000002</c:v>
                      </c:pt>
                      <c:pt idx="10" formatCode="#,##0.00">
                        <c:v>-1.93</c:v>
                      </c:pt>
                      <c:pt idx="11" formatCode="#,##0.00">
                        <c:v>-1.29</c:v>
                      </c:pt>
                      <c:pt idx="12" formatCode="#,##0.00">
                        <c:v>-0.83</c:v>
                      </c:pt>
                      <c:pt idx="13" formatCode="#,##0.00">
                        <c:v>0</c:v>
                      </c:pt>
                      <c:pt idx="14" formatCode="#,##0.00">
                        <c:v>-0.49</c:v>
                      </c:pt>
                      <c:pt idx="15" formatCode="#,##0.00">
                        <c:v>-0.75</c:v>
                      </c:pt>
                    </c:numCache>
                  </c:numRef>
                </c:val>
                <c:extLst xmlns:c15="http://schemas.microsoft.com/office/drawing/2012/chart">
                  <c:ext xmlns:c16="http://schemas.microsoft.com/office/drawing/2014/chart" uri="{C3380CC4-5D6E-409C-BE32-E72D297353CC}">
                    <c16:uniqueId val="{00000009-3CB0-42CA-9A14-D8252FE180E2}"/>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'Schodok VS ESA 2010'!$A$8</c15:sqref>
                        </c15:formulaRef>
                      </c:ext>
                    </c:extLst>
                    <c:strCache>
                      <c:ptCount val="1"/>
                      <c:pt idx="0">
                        <c:v>HDP v b.c.</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2010'!$B$8:$U$8</c15:sqref>
                        </c15:formulaRef>
                      </c:ext>
                    </c:extLst>
                    <c:numCache>
                      <c:formatCode>#,##0</c:formatCode>
                      <c:ptCount val="16"/>
                      <c:pt idx="0">
                        <c:v>56272.7</c:v>
                      </c:pt>
                      <c:pt idx="1">
                        <c:v>63053.9</c:v>
                      </c:pt>
                      <c:pt idx="2">
                        <c:v>68491.600000000006</c:v>
                      </c:pt>
                      <c:pt idx="3">
                        <c:v>64023.1</c:v>
                      </c:pt>
                      <c:pt idx="4">
                        <c:v>67577.3</c:v>
                      </c:pt>
                      <c:pt idx="5">
                        <c:v>70627.199999999997</c:v>
                      </c:pt>
                      <c:pt idx="6">
                        <c:v>72187.7</c:v>
                      </c:pt>
                      <c:pt idx="7">
                        <c:v>73593.2</c:v>
                      </c:pt>
                      <c:pt idx="8">
                        <c:v>76088</c:v>
                      </c:pt>
                      <c:pt idx="9">
                        <c:v>79138</c:v>
                      </c:pt>
                      <c:pt idx="10">
                        <c:v>81226</c:v>
                      </c:pt>
                      <c:pt idx="11">
                        <c:v>84517</c:v>
                      </c:pt>
                      <c:pt idx="12">
                        <c:v>89721</c:v>
                      </c:pt>
                      <c:pt idx="13">
                        <c:v>94087.4</c:v>
                      </c:pt>
                      <c:pt idx="14">
                        <c:v>98042.7</c:v>
                      </c:pt>
                      <c:pt idx="15">
                        <c:v>102945</c:v>
                      </c:pt>
                    </c:numCache>
                  </c:numRef>
                </c:val>
                <c:extLst xmlns:c15="http://schemas.microsoft.com/office/drawing/2012/chart">
                  <c:ext xmlns:c16="http://schemas.microsoft.com/office/drawing/2014/chart" uri="{C3380CC4-5D6E-409C-BE32-E72D297353CC}">
                    <c16:uniqueId val="{0000000A-3CB0-42CA-9A14-D8252FE180E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'Schodok VS ESA 2010'!$A$9</c15:sqref>
                        </c15:formulaRef>
                      </c:ext>
                    </c:extLst>
                    <c:strCache>
                      <c:ptCount val="1"/>
                      <c:pt idx="0">
                        <c:v>Príjmy spolu (% HDP)</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2010'!$B$9:$U$9</c15:sqref>
                        </c15:formulaRef>
                      </c:ext>
                    </c:extLst>
                    <c:numCache>
                      <c:formatCode>#,##0.00</c:formatCode>
                      <c:ptCount val="16"/>
                      <c:pt idx="0">
                        <c:v>32.595053122752567</c:v>
                      </c:pt>
                      <c:pt idx="1">
                        <c:v>31.571829375342112</c:v>
                      </c:pt>
                      <c:pt idx="2">
                        <c:v>34.510049407518586</c:v>
                      </c:pt>
                      <c:pt idx="3">
                        <c:v>36.28012701665493</c:v>
                      </c:pt>
                      <c:pt idx="4">
                        <c:v>34.66007372298094</c:v>
                      </c:pt>
                      <c:pt idx="5">
                        <c:v>36.539932207421508</c:v>
                      </c:pt>
                      <c:pt idx="6">
                        <c:v>36.544447322743345</c:v>
                      </c:pt>
                      <c:pt idx="7">
                        <c:v>39.024174787888008</c:v>
                      </c:pt>
                      <c:pt idx="8">
                        <c:v>39.332601724319218</c:v>
                      </c:pt>
                      <c:pt idx="9">
                        <c:v>42.5</c:v>
                      </c:pt>
                      <c:pt idx="10">
                        <c:v>39.228695245364783</c:v>
                      </c:pt>
                      <c:pt idx="11">
                        <c:v>40.489960599642679</c:v>
                      </c:pt>
                      <c:pt idx="12">
                        <c:v>40.759242540765264</c:v>
                      </c:pt>
                      <c:pt idx="13">
                        <c:v>40.112066015215639</c:v>
                      </c:pt>
                      <c:pt idx="14">
                        <c:v>39.641809130103518</c:v>
                      </c:pt>
                      <c:pt idx="15">
                        <c:v>39.271552770897081</c:v>
                      </c:pt>
                    </c:numCache>
                  </c:numRef>
                </c:val>
                <c:extLst xmlns:c15="http://schemas.microsoft.com/office/drawing/2012/chart">
                  <c:ext xmlns:c16="http://schemas.microsoft.com/office/drawing/2014/chart" uri="{C3380CC4-5D6E-409C-BE32-E72D297353CC}">
                    <c16:uniqueId val="{0000000B-3CB0-42CA-9A14-D8252FE180E2}"/>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'Schodok VS ESA 2010'!$A$10</c15:sqref>
                        </c15:formulaRef>
                      </c:ext>
                    </c:extLst>
                    <c:strCache>
                      <c:ptCount val="1"/>
                      <c:pt idx="0">
                        <c:v>Výdavky spolu (% HDP)</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2010'!$B$1:$U$1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OS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2010'!$B$10:$U$10</c15:sqref>
                        </c15:formulaRef>
                      </c:ext>
                    </c:extLst>
                    <c:numCache>
                      <c:formatCode>#,##0.00</c:formatCode>
                      <c:ptCount val="16"/>
                      <c:pt idx="0">
                        <c:v>35.697232043288075</c:v>
                      </c:pt>
                      <c:pt idx="1">
                        <c:v>33.33984914372499</c:v>
                      </c:pt>
                      <c:pt idx="2">
                        <c:v>36.937799671784568</c:v>
                      </c:pt>
                      <c:pt idx="3">
                        <c:v>44.084330499460357</c:v>
                      </c:pt>
                      <c:pt idx="4">
                        <c:v>42.14499395507071</c:v>
                      </c:pt>
                      <c:pt idx="5">
                        <c:v>40.816883580263699</c:v>
                      </c:pt>
                      <c:pt idx="6">
                        <c:v>40.920379787692362</c:v>
                      </c:pt>
                      <c:pt idx="7">
                        <c:v>41.765476973416021</c:v>
                      </c:pt>
                      <c:pt idx="8">
                        <c:v>42.03487277888761</c:v>
                      </c:pt>
                      <c:pt idx="9">
                        <c:v>45.090601228234227</c:v>
                      </c:pt>
                      <c:pt idx="10">
                        <c:v>41.450520769211828</c:v>
                      </c:pt>
                      <c:pt idx="11">
                        <c:v>41.442431700131337</c:v>
                      </c:pt>
                      <c:pt idx="12">
                        <c:v>41.819417973495618</c:v>
                      </c:pt>
                      <c:pt idx="13">
                        <c:v>40.79207205215576</c:v>
                      </c:pt>
                      <c:pt idx="14">
                        <c:v>40.131799715838106</c:v>
                      </c:pt>
                      <c:pt idx="15">
                        <c:v>40.019622128320947</c:v>
                      </c:pt>
                    </c:numCache>
                  </c:numRef>
                </c:val>
                <c:extLst xmlns:c15="http://schemas.microsoft.com/office/drawing/2012/chart">
                  <c:ext xmlns:c16="http://schemas.microsoft.com/office/drawing/2014/chart" uri="{C3380CC4-5D6E-409C-BE32-E72D297353CC}">
                    <c16:uniqueId val="{0000000C-3CB0-42CA-9A14-D8252FE180E2}"/>
                  </c:ext>
                </c:extLst>
              </c15:ser>
            </c15:filteredBarSeries>
          </c:ext>
        </c:extLst>
      </c:barChart>
      <c:catAx>
        <c:axId val="1749014095"/>
        <c:scaling>
          <c:orientation val="minMax"/>
        </c:scaling>
        <c:delete val="0"/>
        <c:axPos val="b"/>
        <c:numFmt formatCode="General" sourceLinked="1"/>
        <c:majorTickMark val="none"/>
        <c:minorTickMark val="none"/>
        <c:tickLblPos val="high"/>
        <c:spPr>
          <a:noFill/>
          <a:ln w="9525" cap="flat" cmpd="sng" algn="ctr">
            <a:solidFill>
              <a:srgbClr val="002060"/>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crossAx val="1749011599"/>
        <c:crosses val="autoZero"/>
        <c:auto val="1"/>
        <c:lblAlgn val="ctr"/>
        <c:lblOffset val="100"/>
        <c:noMultiLvlLbl val="0"/>
      </c:catAx>
      <c:valAx>
        <c:axId val="1749011599"/>
        <c:scaling>
          <c:orientation val="minMax"/>
          <c:max val="500"/>
          <c:min val="-5500"/>
        </c:scaling>
        <c:delete val="0"/>
        <c:axPos val="l"/>
        <c:majorGridlines>
          <c:spPr>
            <a:ln w="3175" cap="flat" cmpd="sng" algn="ctr">
              <a:solidFill>
                <a:srgbClr val="00B0F0"/>
              </a:solidFill>
              <a:round/>
            </a:ln>
            <a:effectLst/>
          </c:spPr>
        </c:majorGridlines>
        <c:title>
          <c:tx>
            <c:rich>
              <a:bodyPr rot="0" spcFirstLastPara="1" vertOverflow="ellipsis" wrap="square" anchor="ctr" anchorCtr="1"/>
              <a:lstStyle/>
              <a:p>
                <a:pPr>
                  <a:defRPr sz="800" b="0" i="0" u="none" strike="noStrike" kern="1200" baseline="0">
                    <a:solidFill>
                      <a:srgbClr val="002060"/>
                    </a:solidFill>
                    <a:latin typeface="Arial Narrow" panose="020B0606020202030204" pitchFamily="34" charset="0"/>
                    <a:ea typeface="+mn-ea"/>
                    <a:cs typeface="+mn-cs"/>
                  </a:defRPr>
                </a:pPr>
                <a:r>
                  <a:rPr lang="en-US" sz="800"/>
                  <a:t>mil. eur</a:t>
                </a:r>
              </a:p>
            </c:rich>
          </c:tx>
          <c:layout>
            <c:manualLayout>
              <c:xMode val="edge"/>
              <c:yMode val="edge"/>
              <c:x val="7.3121823328130373E-2"/>
              <c:y val="0.82418882422305906"/>
            </c:manualLayout>
          </c:layout>
          <c:overlay val="0"/>
          <c:spPr>
            <a:noFill/>
            <a:ln>
              <a:noFill/>
            </a:ln>
            <a:effectLst/>
          </c:spPr>
          <c:txPr>
            <a:bodyPr rot="0" spcFirstLastPara="1" vertOverflow="ellipsis"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crossAx val="1749014095"/>
        <c:crosses val="autoZero"/>
        <c:crossBetween val="between"/>
      </c:valAx>
      <c:spPr>
        <a:noFill/>
        <a:ln>
          <a:noFill/>
        </a:ln>
        <a:effectLst/>
      </c:spPr>
    </c:plotArea>
    <c:legend>
      <c:legendPos val="b"/>
      <c:layout>
        <c:manualLayout>
          <c:xMode val="edge"/>
          <c:yMode val="edge"/>
          <c:x val="0.44195654725931216"/>
          <c:y val="0.81704515196469996"/>
          <c:w val="0.50280752405949258"/>
          <c:h val="0.100865894897934"/>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rgbClr val="002060"/>
          </a:solidFill>
          <a:latin typeface="Arial Narrow" panose="020B0606020202030204" pitchFamily="34" charset="0"/>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899013033745033E-2"/>
          <c:y val="8.1743869209809264E-2"/>
          <c:w val="0.85462367926267913"/>
          <c:h val="0.75075049212598421"/>
        </c:manualLayout>
      </c:layout>
      <c:barChart>
        <c:barDir val="col"/>
        <c:grouping val="clustered"/>
        <c:varyColors val="0"/>
        <c:ser>
          <c:idx val="0"/>
          <c:order val="0"/>
          <c:tx>
            <c:strRef>
              <c:f>'Dlh VS (maastricht) ESA 2010'!$A$2:$B$2</c:f>
              <c:strCache>
                <c:ptCount val="2"/>
                <c:pt idx="0">
                  <c:v>Hrubý dlh verejnej správy </c:v>
                </c:pt>
                <c:pt idx="1">
                  <c:v>mil. eur</c:v>
                </c:pt>
              </c:strCache>
            </c:strRef>
          </c:tx>
          <c:spPr>
            <a:solidFill>
              <a:schemeClr val="accent5">
                <a:lumMod val="20000"/>
                <a:lumOff val="80000"/>
              </a:schemeClr>
            </a:solidFill>
            <a:ln w="6350">
              <a:solidFill>
                <a:srgbClr val="002060"/>
              </a:solidFill>
            </a:ln>
            <a:effectLst/>
          </c:spPr>
          <c:invertIfNegative val="0"/>
          <c:dPt>
            <c:idx val="13"/>
            <c:invertIfNegative val="0"/>
            <c:bubble3D val="0"/>
            <c:spPr>
              <a:solidFill>
                <a:schemeClr val="accent6">
                  <a:lumMod val="60000"/>
                  <a:lumOff val="40000"/>
                </a:schemeClr>
              </a:solidFill>
              <a:ln w="6350">
                <a:solidFill>
                  <a:srgbClr val="002060"/>
                </a:solidFill>
              </a:ln>
              <a:effectLst/>
            </c:spPr>
            <c:extLst>
              <c:ext xmlns:c16="http://schemas.microsoft.com/office/drawing/2014/chart" uri="{C3380CC4-5D6E-409C-BE32-E72D297353CC}">
                <c16:uniqueId val="{00000001-5F9B-4978-AE49-864EC988A69A}"/>
              </c:ext>
            </c:extLst>
          </c:dPt>
          <c:dPt>
            <c:idx val="14"/>
            <c:invertIfNegative val="0"/>
            <c:bubble3D val="0"/>
            <c:spPr>
              <a:solidFill>
                <a:schemeClr val="accent6">
                  <a:lumMod val="60000"/>
                  <a:lumOff val="40000"/>
                </a:schemeClr>
              </a:solidFill>
              <a:ln w="6350">
                <a:solidFill>
                  <a:srgbClr val="002060"/>
                </a:solidFill>
              </a:ln>
              <a:effectLst/>
            </c:spPr>
            <c:extLst>
              <c:ext xmlns:c16="http://schemas.microsoft.com/office/drawing/2014/chart" uri="{C3380CC4-5D6E-409C-BE32-E72D297353CC}">
                <c16:uniqueId val="{00000003-5F9B-4978-AE49-864EC988A69A}"/>
              </c:ext>
            </c:extLst>
          </c:dPt>
          <c:dPt>
            <c:idx val="15"/>
            <c:invertIfNegative val="0"/>
            <c:bubble3D val="0"/>
            <c:spPr>
              <a:solidFill>
                <a:srgbClr val="00B0F0"/>
              </a:solidFill>
              <a:ln w="6350">
                <a:solidFill>
                  <a:srgbClr val="002060"/>
                </a:solidFill>
              </a:ln>
              <a:effectLst/>
            </c:spPr>
            <c:extLst>
              <c:ext xmlns:c16="http://schemas.microsoft.com/office/drawing/2014/chart" uri="{C3380CC4-5D6E-409C-BE32-E72D297353CC}">
                <c16:uniqueId val="{00000005-5F9B-4978-AE49-864EC988A69A}"/>
              </c:ext>
            </c:extLst>
          </c:dPt>
          <c:dPt>
            <c:idx val="16"/>
            <c:invertIfNegative val="0"/>
            <c:bubble3D val="0"/>
            <c:spPr>
              <a:solidFill>
                <a:srgbClr val="00B0F0"/>
              </a:solidFill>
              <a:ln w="6350">
                <a:solidFill>
                  <a:srgbClr val="002060"/>
                </a:solidFill>
              </a:ln>
              <a:effectLst/>
            </c:spPr>
            <c:extLst>
              <c:ext xmlns:c16="http://schemas.microsoft.com/office/drawing/2014/chart" uri="{C3380CC4-5D6E-409C-BE32-E72D297353CC}">
                <c16:uniqueId val="{00000007-5F9B-4978-AE49-864EC988A69A}"/>
              </c:ext>
            </c:extLst>
          </c:dPt>
          <c:dPt>
            <c:idx val="17"/>
            <c:invertIfNegative val="0"/>
            <c:bubble3D val="0"/>
            <c:spPr>
              <a:solidFill>
                <a:srgbClr val="00B0F0"/>
              </a:solidFill>
              <a:ln w="6350">
                <a:solidFill>
                  <a:srgbClr val="002060"/>
                </a:solidFill>
              </a:ln>
              <a:effectLst/>
            </c:spPr>
            <c:extLst>
              <c:ext xmlns:c16="http://schemas.microsoft.com/office/drawing/2014/chart" uri="{C3380CC4-5D6E-409C-BE32-E72D297353CC}">
                <c16:uniqueId val="{00000009-5F9B-4978-AE49-864EC988A69A}"/>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9B-4978-AE49-864EC988A69A}"/>
                </c:ext>
              </c:extLst>
            </c:dLbl>
            <c:dLbl>
              <c:idx val="12"/>
              <c:layout>
                <c:manualLayout>
                  <c:x val="-6.8446269678302529E-3"/>
                  <c:y val="-4.54132606721164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F9B-4978-AE49-864EC988A69A}"/>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9B-4978-AE49-864EC988A69A}"/>
                </c:ext>
              </c:extLst>
            </c:dLbl>
            <c:dLbl>
              <c:idx val="14"/>
              <c:layout>
                <c:manualLayout>
                  <c:x val="5.13347022587256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9B-4978-AE49-864EC988A69A}"/>
                </c:ext>
              </c:extLst>
            </c:dLbl>
            <c:dLbl>
              <c:idx val="15"/>
              <c:layout>
                <c:manualLayout>
                  <c:x val="1.0266940451745379E-2"/>
                  <c:y val="-1.3623978201634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9B-4978-AE49-864EC988A69A}"/>
                </c:ext>
              </c:extLst>
            </c:dLbl>
            <c:dLbl>
              <c:idx val="1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9B-4978-AE49-864EC988A69A}"/>
                </c:ext>
              </c:extLst>
            </c:dLbl>
            <c:spPr>
              <a:noFill/>
              <a:ln>
                <a:noFill/>
              </a:ln>
              <a:effectLst/>
            </c:spPr>
            <c:txPr>
              <a:bodyPr rot="0" vert="horz"/>
              <a:lstStyle/>
              <a:p>
                <a:pPr>
                  <a:defRPr sz="800">
                    <a:solidFill>
                      <a:srgbClr val="002060"/>
                    </a:solidFill>
                  </a:defRPr>
                </a:pPr>
                <a:endParaRPr lang="sk-SK"/>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2010'!$C$2:$T$2</c:f>
              <c:numCache>
                <c:formatCode>#,##0</c:formatCode>
                <c:ptCount val="18"/>
                <c:pt idx="0">
                  <c:v>17430.5</c:v>
                </c:pt>
                <c:pt idx="1">
                  <c:v>18979.8</c:v>
                </c:pt>
                <c:pt idx="2">
                  <c:v>19493.7</c:v>
                </c:pt>
                <c:pt idx="3">
                  <c:v>23236.799999999999</c:v>
                </c:pt>
                <c:pt idx="4">
                  <c:v>27842.3</c:v>
                </c:pt>
                <c:pt idx="5">
                  <c:v>30846.9</c:v>
                </c:pt>
                <c:pt idx="6">
                  <c:v>37925.707999999999</c:v>
                </c:pt>
                <c:pt idx="7">
                  <c:v>40600.008999999998</c:v>
                </c:pt>
                <c:pt idx="8">
                  <c:v>40725.017999999996</c:v>
                </c:pt>
                <c:pt idx="9">
                  <c:v>41295</c:v>
                </c:pt>
                <c:pt idx="10">
                  <c:v>42053.2</c:v>
                </c:pt>
                <c:pt idx="11">
                  <c:v>43370</c:v>
                </c:pt>
                <c:pt idx="12">
                  <c:v>44322</c:v>
                </c:pt>
                <c:pt idx="13">
                  <c:v>45719</c:v>
                </c:pt>
                <c:pt idx="14">
                  <c:v>45095</c:v>
                </c:pt>
                <c:pt idx="15">
                  <c:v>45895</c:v>
                </c:pt>
                <c:pt idx="16">
                  <c:v>47252</c:v>
                </c:pt>
                <c:pt idx="17">
                  <c:v>48484</c:v>
                </c:pt>
              </c:numCache>
            </c:numRef>
          </c:val>
          <c:extLst>
            <c:ext xmlns:c16="http://schemas.microsoft.com/office/drawing/2014/chart" uri="{C3380CC4-5D6E-409C-BE32-E72D297353CC}">
              <c16:uniqueId val="{0000000C-5F9B-4978-AE49-864EC988A69A}"/>
            </c:ext>
          </c:extLst>
        </c:ser>
        <c:ser>
          <c:idx val="1"/>
          <c:order val="1"/>
          <c:tx>
            <c:strRef>
              <c:f>'Dlh VS (maastricht) ESA 2010'!$A$3:$B$3</c:f>
              <c:strCache>
                <c:ptCount val="2"/>
                <c:pt idx="0">
                  <c:v>1. členenie podľa rezidentov</c:v>
                </c:pt>
              </c:strCache>
            </c:strRef>
          </c:tx>
          <c:spPr>
            <a:solidFill>
              <a:schemeClr val="accent3"/>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2010'!$C$3:$T$3</c:f>
            </c:numRef>
          </c:val>
          <c:extLst>
            <c:ext xmlns:c16="http://schemas.microsoft.com/office/drawing/2014/chart" uri="{C3380CC4-5D6E-409C-BE32-E72D297353CC}">
              <c16:uniqueId val="{0000000D-5F9B-4978-AE49-864EC988A69A}"/>
            </c:ext>
          </c:extLst>
        </c:ser>
        <c:ser>
          <c:idx val="2"/>
          <c:order val="2"/>
          <c:tx>
            <c:strRef>
              <c:f>'Dlh VS (maastricht) ESA 2010'!$A$4:$B$4</c:f>
              <c:strCache>
                <c:ptCount val="2"/>
                <c:pt idx="0">
                  <c:v>- domáci</c:v>
                </c:pt>
                <c:pt idx="1">
                  <c:v>mil. Eur</c:v>
                </c:pt>
              </c:strCache>
            </c:strRef>
          </c:tx>
          <c:spPr>
            <a:solidFill>
              <a:schemeClr val="accent5"/>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2010'!$C$4:$T$4</c:f>
            </c:numRef>
          </c:val>
          <c:extLst>
            <c:ext xmlns:c16="http://schemas.microsoft.com/office/drawing/2014/chart" uri="{C3380CC4-5D6E-409C-BE32-E72D297353CC}">
              <c16:uniqueId val="{0000000E-5F9B-4978-AE49-864EC988A69A}"/>
            </c:ext>
          </c:extLst>
        </c:ser>
        <c:ser>
          <c:idx val="3"/>
          <c:order val="3"/>
          <c:tx>
            <c:strRef>
              <c:f>'Dlh VS (maastricht) ESA 2010'!$A$5:$B$5</c:f>
              <c:strCache>
                <c:ptCount val="2"/>
                <c:pt idx="0">
                  <c:v>- zahraničný</c:v>
                </c:pt>
                <c:pt idx="1">
                  <c:v>mil. Eur</c:v>
                </c:pt>
              </c:strCache>
            </c:strRef>
          </c:tx>
          <c:spPr>
            <a:solidFill>
              <a:schemeClr val="accent1">
                <a:lumMod val="6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2010'!$C$5:$T$5</c:f>
            </c:numRef>
          </c:val>
          <c:extLst>
            <c:ext xmlns:c16="http://schemas.microsoft.com/office/drawing/2014/chart" uri="{C3380CC4-5D6E-409C-BE32-E72D297353CC}">
              <c16:uniqueId val="{0000000F-5F9B-4978-AE49-864EC988A69A}"/>
            </c:ext>
          </c:extLst>
        </c:ser>
        <c:ser>
          <c:idx val="4"/>
          <c:order val="4"/>
          <c:tx>
            <c:strRef>
              <c:f>'Dlh VS (maastricht) ESA 2010'!$A$6:$B$6</c:f>
              <c:strCache>
                <c:ptCount val="2"/>
                <c:pt idx="0">
                  <c:v>2. členenie podľa pôvodnej splatnosti</c:v>
                </c:pt>
              </c:strCache>
            </c:strRef>
          </c:tx>
          <c:spPr>
            <a:solidFill>
              <a:schemeClr val="accent3">
                <a:lumMod val="6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2010'!$C$6:$T$6</c:f>
            </c:numRef>
          </c:val>
          <c:extLst>
            <c:ext xmlns:c16="http://schemas.microsoft.com/office/drawing/2014/chart" uri="{C3380CC4-5D6E-409C-BE32-E72D297353CC}">
              <c16:uniqueId val="{00000010-5F9B-4978-AE49-864EC988A69A}"/>
            </c:ext>
          </c:extLst>
        </c:ser>
        <c:ser>
          <c:idx val="5"/>
          <c:order val="5"/>
          <c:tx>
            <c:strRef>
              <c:f>'Dlh VS (maastricht) ESA 2010'!$A$7:$B$7</c:f>
              <c:strCache>
                <c:ptCount val="2"/>
                <c:pt idx="0">
                  <c:v>- krátkodobý</c:v>
                </c:pt>
                <c:pt idx="1">
                  <c:v>mil. Eur</c:v>
                </c:pt>
              </c:strCache>
            </c:strRef>
          </c:tx>
          <c:spPr>
            <a:solidFill>
              <a:schemeClr val="accent5">
                <a:lumMod val="6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2010'!$C$7:$T$7</c:f>
            </c:numRef>
          </c:val>
          <c:extLst>
            <c:ext xmlns:c16="http://schemas.microsoft.com/office/drawing/2014/chart" uri="{C3380CC4-5D6E-409C-BE32-E72D297353CC}">
              <c16:uniqueId val="{00000011-5F9B-4978-AE49-864EC988A69A}"/>
            </c:ext>
          </c:extLst>
        </c:ser>
        <c:ser>
          <c:idx val="6"/>
          <c:order val="6"/>
          <c:tx>
            <c:strRef>
              <c:f>'Dlh VS (maastricht) ESA 2010'!$A$8:$B$8</c:f>
              <c:strCache>
                <c:ptCount val="2"/>
                <c:pt idx="0">
                  <c:v>- dlhodobý</c:v>
                </c:pt>
                <c:pt idx="1">
                  <c:v>mil. Eur</c:v>
                </c:pt>
              </c:strCache>
            </c:strRef>
          </c:tx>
          <c:spPr>
            <a:solidFill>
              <a:schemeClr val="accent1">
                <a:lumMod val="80000"/>
                <a:lumOff val="2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2010'!$C$8:$T$8</c:f>
            </c:numRef>
          </c:val>
          <c:extLst>
            <c:ext xmlns:c16="http://schemas.microsoft.com/office/drawing/2014/chart" uri="{C3380CC4-5D6E-409C-BE32-E72D297353CC}">
              <c16:uniqueId val="{00000012-5F9B-4978-AE49-864EC988A69A}"/>
            </c:ext>
          </c:extLst>
        </c:ser>
        <c:ser>
          <c:idx val="8"/>
          <c:order val="8"/>
          <c:tx>
            <c:strRef>
              <c:f>'Dlh VS (maastricht) ESA 2010'!$A$10:$B$10</c:f>
              <c:strCache>
                <c:ptCount val="2"/>
                <c:pt idx="0">
                  <c:v>1. členenie podľa rezidentov</c:v>
                </c:pt>
              </c:strCache>
            </c:strRef>
          </c:tx>
          <c:spPr>
            <a:solidFill>
              <a:schemeClr val="accent5">
                <a:lumMod val="80000"/>
                <a:lumOff val="2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2010'!$C$10:$T$10</c:f>
            </c:numRef>
          </c:val>
          <c:extLst>
            <c:ext xmlns:c16="http://schemas.microsoft.com/office/drawing/2014/chart" uri="{C3380CC4-5D6E-409C-BE32-E72D297353CC}">
              <c16:uniqueId val="{00000013-5F9B-4978-AE49-864EC988A69A}"/>
            </c:ext>
          </c:extLst>
        </c:ser>
        <c:ser>
          <c:idx val="9"/>
          <c:order val="9"/>
          <c:tx>
            <c:strRef>
              <c:f>'Dlh VS (maastricht) ESA 2010'!$A$11:$B$11</c:f>
              <c:strCache>
                <c:ptCount val="2"/>
                <c:pt idx="0">
                  <c:v>- domáci</c:v>
                </c:pt>
                <c:pt idx="1">
                  <c:v>% HDP</c:v>
                </c:pt>
              </c:strCache>
            </c:strRef>
          </c:tx>
          <c:spPr>
            <a:solidFill>
              <a:schemeClr val="accent1">
                <a:lumMod val="8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2010'!$C$11:$T$11</c:f>
            </c:numRef>
          </c:val>
          <c:extLst>
            <c:ext xmlns:c16="http://schemas.microsoft.com/office/drawing/2014/chart" uri="{C3380CC4-5D6E-409C-BE32-E72D297353CC}">
              <c16:uniqueId val="{00000014-5F9B-4978-AE49-864EC988A69A}"/>
            </c:ext>
          </c:extLst>
        </c:ser>
        <c:ser>
          <c:idx val="10"/>
          <c:order val="10"/>
          <c:tx>
            <c:strRef>
              <c:f>'Dlh VS (maastricht) ESA 2010'!$A$12:$B$12</c:f>
              <c:strCache>
                <c:ptCount val="2"/>
                <c:pt idx="0">
                  <c:v>- zahraničný</c:v>
                </c:pt>
                <c:pt idx="1">
                  <c:v>% HDP</c:v>
                </c:pt>
              </c:strCache>
            </c:strRef>
          </c:tx>
          <c:spPr>
            <a:solidFill>
              <a:schemeClr val="accent3">
                <a:lumMod val="8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2010'!$C$12:$T$12</c:f>
            </c:numRef>
          </c:val>
          <c:extLst>
            <c:ext xmlns:c16="http://schemas.microsoft.com/office/drawing/2014/chart" uri="{C3380CC4-5D6E-409C-BE32-E72D297353CC}">
              <c16:uniqueId val="{00000015-5F9B-4978-AE49-864EC988A69A}"/>
            </c:ext>
          </c:extLst>
        </c:ser>
        <c:ser>
          <c:idx val="11"/>
          <c:order val="11"/>
          <c:tx>
            <c:strRef>
              <c:f>'Dlh VS (maastricht) ESA 2010'!$A$13:$B$13</c:f>
              <c:strCache>
                <c:ptCount val="2"/>
                <c:pt idx="0">
                  <c:v>2. členenie podľa pôvodnej splatnosti</c:v>
                </c:pt>
              </c:strCache>
            </c:strRef>
          </c:tx>
          <c:spPr>
            <a:solidFill>
              <a:schemeClr val="accent5">
                <a:lumMod val="8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2010'!$C$13:$T$13</c:f>
            </c:numRef>
          </c:val>
          <c:extLst>
            <c:ext xmlns:c16="http://schemas.microsoft.com/office/drawing/2014/chart" uri="{C3380CC4-5D6E-409C-BE32-E72D297353CC}">
              <c16:uniqueId val="{00000016-5F9B-4978-AE49-864EC988A69A}"/>
            </c:ext>
          </c:extLst>
        </c:ser>
        <c:ser>
          <c:idx val="12"/>
          <c:order val="12"/>
          <c:tx>
            <c:strRef>
              <c:f>'Dlh VS (maastricht) ESA 2010'!$A$14:$B$14</c:f>
              <c:strCache>
                <c:ptCount val="2"/>
                <c:pt idx="0">
                  <c:v>- krátkodobý</c:v>
                </c:pt>
                <c:pt idx="1">
                  <c:v>% HDP</c:v>
                </c:pt>
              </c:strCache>
            </c:strRef>
          </c:tx>
          <c:spPr>
            <a:solidFill>
              <a:schemeClr val="accent1">
                <a:lumMod val="60000"/>
                <a:lumOff val="4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2010'!$C$14:$T$14</c:f>
            </c:numRef>
          </c:val>
          <c:extLst>
            <c:ext xmlns:c16="http://schemas.microsoft.com/office/drawing/2014/chart" uri="{C3380CC4-5D6E-409C-BE32-E72D297353CC}">
              <c16:uniqueId val="{00000017-5F9B-4978-AE49-864EC988A69A}"/>
            </c:ext>
          </c:extLst>
        </c:ser>
        <c:ser>
          <c:idx val="13"/>
          <c:order val="13"/>
          <c:tx>
            <c:strRef>
              <c:f>'Dlh VS (maastricht) ESA 2010'!$A$15:$B$15</c:f>
              <c:strCache>
                <c:ptCount val="2"/>
                <c:pt idx="0">
                  <c:v>- dlhodobý</c:v>
                </c:pt>
                <c:pt idx="1">
                  <c:v>% HDP</c:v>
                </c:pt>
              </c:strCache>
            </c:strRef>
          </c:tx>
          <c:spPr>
            <a:solidFill>
              <a:schemeClr val="accent3">
                <a:lumMod val="60000"/>
                <a:lumOff val="4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2010'!$C$15:$T$15</c:f>
            </c:numRef>
          </c:val>
          <c:extLst>
            <c:ext xmlns:c16="http://schemas.microsoft.com/office/drawing/2014/chart" uri="{C3380CC4-5D6E-409C-BE32-E72D297353CC}">
              <c16:uniqueId val="{00000018-5F9B-4978-AE49-864EC988A69A}"/>
            </c:ext>
          </c:extLst>
        </c:ser>
        <c:ser>
          <c:idx val="16"/>
          <c:order val="16"/>
          <c:tx>
            <c:strRef>
              <c:f>'Dlh VS (maastricht) ESA 2010'!$A$18:$B$18</c:f>
              <c:strCache>
                <c:ptCount val="2"/>
                <c:pt idx="0">
                  <c:v>Čistý dlh verejnej správy</c:v>
                </c:pt>
                <c:pt idx="1">
                  <c:v>% HDP</c:v>
                </c:pt>
              </c:strCache>
            </c:strRef>
          </c:tx>
          <c:spPr>
            <a:solidFill>
              <a:schemeClr val="accent3">
                <a:lumMod val="5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2010'!$C$18:$T$18</c:f>
            </c:numRef>
          </c:val>
          <c:extLst>
            <c:ext xmlns:c16="http://schemas.microsoft.com/office/drawing/2014/chart" uri="{C3380CC4-5D6E-409C-BE32-E72D297353CC}">
              <c16:uniqueId val="{00000019-5F9B-4978-AE49-864EC988A69A}"/>
            </c:ext>
          </c:extLst>
        </c:ser>
        <c:ser>
          <c:idx val="18"/>
          <c:order val="18"/>
          <c:tx>
            <c:strRef>
              <c:f>'Dlh VS (maastricht) ESA 2010'!$A$20:$B$20</c:f>
              <c:strCache>
                <c:ptCount val="2"/>
                <c:pt idx="0">
                  <c:v>Príspevky k zmene hrubého dlhu verejnej správy:</c:v>
                </c:pt>
              </c:strCache>
            </c:strRef>
          </c:tx>
          <c:spPr>
            <a:solidFill>
              <a:schemeClr val="accent1">
                <a:lumMod val="70000"/>
                <a:lumOff val="3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2010'!$C$20:$T$20</c:f>
            </c:numRef>
          </c:val>
          <c:extLst>
            <c:ext xmlns:c16="http://schemas.microsoft.com/office/drawing/2014/chart" uri="{C3380CC4-5D6E-409C-BE32-E72D297353CC}">
              <c16:uniqueId val="{0000001A-5F9B-4978-AE49-864EC988A69A}"/>
            </c:ext>
          </c:extLst>
        </c:ser>
        <c:ser>
          <c:idx val="20"/>
          <c:order val="20"/>
          <c:tx>
            <c:strRef>
              <c:f>'Dlh VS (maastricht) ESA 2010'!$A$22:$B$22</c:f>
              <c:strCache>
                <c:ptCount val="2"/>
                <c:pt idx="0">
                  <c:v>Snehová guľa</c:v>
                </c:pt>
                <c:pt idx="1">
                  <c:v>% HDP</c:v>
                </c:pt>
              </c:strCache>
            </c:strRef>
          </c:tx>
          <c:spPr>
            <a:solidFill>
              <a:schemeClr val="accent5">
                <a:lumMod val="70000"/>
                <a:lumOff val="3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2010'!$C$22:$T$22</c:f>
            </c:numRef>
          </c:val>
          <c:extLst>
            <c:ext xmlns:c16="http://schemas.microsoft.com/office/drawing/2014/chart" uri="{C3380CC4-5D6E-409C-BE32-E72D297353CC}">
              <c16:uniqueId val="{0000001B-5F9B-4978-AE49-864EC988A69A}"/>
            </c:ext>
          </c:extLst>
        </c:ser>
        <c:ser>
          <c:idx val="21"/>
          <c:order val="21"/>
          <c:tx>
            <c:strRef>
              <c:f>'Dlh VS (maastricht) ESA 2010'!$A$23:$B$23</c:f>
              <c:strCache>
                <c:ptCount val="2"/>
                <c:pt idx="0">
                  <c:v>Úroky</c:v>
                </c:pt>
                <c:pt idx="1">
                  <c:v>% HDP</c:v>
                </c:pt>
              </c:strCache>
            </c:strRef>
          </c:tx>
          <c:spPr>
            <a:solidFill>
              <a:schemeClr val="accent1">
                <a:lumMod val="70000"/>
              </a:schemeClr>
            </a:solidFill>
            <a:ln>
              <a:noFill/>
            </a:ln>
            <a:effectLst/>
          </c:spPr>
          <c:invertIfNegative val="0"/>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2010'!$C$23:$T$23</c:f>
            </c:numRef>
          </c:val>
          <c:extLst>
            <c:ext xmlns:c16="http://schemas.microsoft.com/office/drawing/2014/chart" uri="{C3380CC4-5D6E-409C-BE32-E72D297353CC}">
              <c16:uniqueId val="{0000001C-5F9B-4978-AE49-864EC988A69A}"/>
            </c:ext>
          </c:extLst>
        </c:ser>
        <c:dLbls>
          <c:showLegendKey val="0"/>
          <c:showVal val="0"/>
          <c:showCatName val="0"/>
          <c:showSerName val="0"/>
          <c:showPercent val="0"/>
          <c:showBubbleSize val="0"/>
        </c:dLbls>
        <c:gapWidth val="150"/>
        <c:axId val="106615552"/>
        <c:axId val="106617088"/>
        <c:extLst>
          <c:ext xmlns:c15="http://schemas.microsoft.com/office/drawing/2012/chart" uri="{02D57815-91ED-43cb-92C2-25804820EDAC}">
            <c15:filteredBarSeries>
              <c15:ser>
                <c:idx val="14"/>
                <c:order val="14"/>
                <c:tx>
                  <c:strRef>
                    <c:extLst>
                      <c:ext uri="{02D57815-91ED-43cb-92C2-25804820EDAC}">
                        <c15:formulaRef>
                          <c15:sqref>'Dlh VS (maastricht) ESA 2010'!$A$16:$B$16</c15:sqref>
                        </c15:formulaRef>
                      </c:ext>
                    </c:extLst>
                    <c:strCache>
                      <c:ptCount val="2"/>
                      <c:pt idx="0">
                        <c:v>Čistý dlh verejnej správy</c:v>
                      </c:pt>
                      <c:pt idx="1">
                        <c:v>mil. eur</c:v>
                      </c:pt>
                    </c:strCache>
                  </c:strRef>
                </c:tx>
                <c:spPr>
                  <a:solidFill>
                    <a:schemeClr val="accent5">
                      <a:lumMod val="60000"/>
                      <a:lumOff val="40000"/>
                    </a:schemeClr>
                  </a:solidFill>
                  <a:ln>
                    <a:noFill/>
                  </a:ln>
                  <a:effectLst/>
                </c:spPr>
                <c:invertIfNegative val="0"/>
                <c:cat>
                  <c:strRef>
                    <c:extLst>
                      <c:ext uri="{02D57815-91ED-43cb-92C2-25804820EDAC}">
                        <c15:formulaRef>
                          <c15:sqref>'Dlh VS (maastricht) ESA 2010'!$C$1:$T$1</c15:sqref>
                        </c15:formulaRef>
                      </c:ext>
                    </c:extLst>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extLst>
                      <c:ext uri="{02D57815-91ED-43cb-92C2-25804820EDAC}">
                        <c15:formulaRef>
                          <c15:sqref>'Dlh VS (maastricht) ESA 2010'!$C$16:$T$16</c15:sqref>
                        </c15:formulaRef>
                      </c:ext>
                    </c:extLst>
                    <c:numCache>
                      <c:formatCode>#,##0</c:formatCode>
                      <c:ptCount val="18"/>
                      <c:pt idx="0">
                        <c:v>14603.473378477063</c:v>
                      </c:pt>
                      <c:pt idx="1">
                        <c:v>15340.006082652859</c:v>
                      </c:pt>
                      <c:pt idx="2">
                        <c:v>15835.860459138286</c:v>
                      </c:pt>
                      <c:pt idx="3">
                        <c:v>20832.129999999997</c:v>
                      </c:pt>
                      <c:pt idx="4">
                        <c:v>25300.609864999999</c:v>
                      </c:pt>
                      <c:pt idx="5">
                        <c:v>29210.670329</c:v>
                      </c:pt>
                      <c:pt idx="6">
                        <c:v>33145.381000000001</c:v>
                      </c:pt>
                      <c:pt idx="7">
                        <c:v>35614.023000000001</c:v>
                      </c:pt>
                      <c:pt idx="8">
                        <c:v>37838.805199999995</c:v>
                      </c:pt>
                      <c:pt idx="9">
                        <c:v>37906.165000000001</c:v>
                      </c:pt>
                      <c:pt idx="10">
                        <c:v>38057.843000000001</c:v>
                      </c:pt>
                      <c:pt idx="11">
                        <c:v>38440.69</c:v>
                      </c:pt>
                      <c:pt idx="12">
                        <c:v>38746.284999999996</c:v>
                      </c:pt>
                      <c:pt idx="13">
                        <c:v>40388.868183858911</c:v>
                      </c:pt>
                      <c:pt idx="14">
                        <c:v>39723.209096075145</c:v>
                      </c:pt>
                      <c:pt idx="15">
                        <c:v>40673.479477308014</c:v>
                      </c:pt>
                      <c:pt idx="16">
                        <c:v>41636.039901008568</c:v>
                      </c:pt>
                    </c:numCache>
                  </c:numRef>
                </c:val>
                <c:extLst>
                  <c:ext xmlns:c16="http://schemas.microsoft.com/office/drawing/2014/chart" uri="{C3380CC4-5D6E-409C-BE32-E72D297353CC}">
                    <c16:uniqueId val="{0000001F-5F9B-4978-AE49-864EC988A69A}"/>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'Dlh VS (maastricht) ESA 2010'!$A$17:$B$17</c15:sqref>
                        </c15:formulaRef>
                      </c:ext>
                    </c:extLst>
                    <c:strCache>
                      <c:ptCount val="2"/>
                      <c:pt idx="0">
                        <c:v>Čistý dlh verejnej správy</c:v>
                      </c:pt>
                      <c:pt idx="1">
                        <c:v>% HDP</c:v>
                      </c:pt>
                    </c:strCache>
                  </c:strRef>
                </c:tx>
                <c:spPr>
                  <a:solidFill>
                    <a:schemeClr val="accent1">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2010'!$C$1:$T$1</c15:sqref>
                        </c15:formulaRef>
                      </c:ext>
                    </c:extLst>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extLst xmlns:c15="http://schemas.microsoft.com/office/drawing/2012/chart">
                      <c:ext xmlns:c15="http://schemas.microsoft.com/office/drawing/2012/chart" uri="{02D57815-91ED-43cb-92C2-25804820EDAC}">
                        <c15:formulaRef>
                          <c15:sqref>'Dlh VS (maastricht) ESA 2010'!$C$17:$T$17</c15:sqref>
                        </c15:formulaRef>
                      </c:ext>
                    </c:extLst>
                    <c:numCache>
                      <c:formatCode>#\ ##0.0</c:formatCode>
                      <c:ptCount val="18"/>
                      <c:pt idx="0">
                        <c:v>25.951257676416922</c:v>
                      </c:pt>
                      <c:pt idx="1">
                        <c:v>24.328401704974407</c:v>
                      </c:pt>
                      <c:pt idx="2">
                        <c:v>23.120879727058917</c:v>
                      </c:pt>
                      <c:pt idx="3">
                        <c:v>32.538458775035885</c:v>
                      </c:pt>
                      <c:pt idx="4">
                        <c:v>37.439509813206499</c:v>
                      </c:pt>
                      <c:pt idx="5">
                        <c:v>41.358952824124415</c:v>
                      </c:pt>
                      <c:pt idx="6">
                        <c:v>45.589801041215352</c:v>
                      </c:pt>
                      <c:pt idx="7">
                        <c:v>48.016814098441557</c:v>
                      </c:pt>
                      <c:pt idx="8">
                        <c:v>49.823039933426735</c:v>
                      </c:pt>
                      <c:pt idx="9">
                        <c:v>48.045467651817972</c:v>
                      </c:pt>
                      <c:pt idx="10">
                        <c:v>46.895851029634215</c:v>
                      </c:pt>
                      <c:pt idx="11">
                        <c:v>45.507185534157529</c:v>
                      </c:pt>
                      <c:pt idx="12">
                        <c:v>42.955118583680395</c:v>
                      </c:pt>
                      <c:pt idx="13">
                        <c:v>42.031399329379951</c:v>
                      </c:pt>
                      <c:pt idx="14">
                        <c:v>41.25354986194408</c:v>
                      </c:pt>
                      <c:pt idx="15">
                        <c:v>39.77908050811007</c:v>
                      </c:pt>
                      <c:pt idx="16">
                        <c:v>38.543246416007129</c:v>
                      </c:pt>
                    </c:numCache>
                  </c:numRef>
                </c:val>
                <c:extLst xmlns:c15="http://schemas.microsoft.com/office/drawing/2012/chart">
                  <c:ext xmlns:c16="http://schemas.microsoft.com/office/drawing/2014/chart" uri="{C3380CC4-5D6E-409C-BE32-E72D297353CC}">
                    <c16:uniqueId val="{00000020-5F9B-4978-AE49-864EC988A69A}"/>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'Dlh VS (maastricht) ESA 2010'!$A$19:$B$19</c15:sqref>
                        </c15:formulaRef>
                      </c:ext>
                    </c:extLst>
                    <c:strCache>
                      <c:ptCount val="2"/>
                      <c:pt idx="0">
                        <c:v>Zmena hrubého dlhu verejnej správy</c:v>
                      </c:pt>
                      <c:pt idx="1">
                        <c:v>p.b.</c:v>
                      </c:pt>
                    </c:strCache>
                  </c:strRef>
                </c:tx>
                <c:spPr>
                  <a:solidFill>
                    <a:schemeClr val="accent5">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2010'!$C$1:$T$1</c15:sqref>
                        </c15:formulaRef>
                      </c:ext>
                    </c:extLst>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extLst xmlns:c15="http://schemas.microsoft.com/office/drawing/2012/chart">
                      <c:ext xmlns:c15="http://schemas.microsoft.com/office/drawing/2012/chart" uri="{02D57815-91ED-43cb-92C2-25804820EDAC}">
                        <c15:formulaRef>
                          <c15:sqref>'Dlh VS (maastricht) ESA 2010'!$C$19:$T$19</c15:sqref>
                        </c15:formulaRef>
                      </c:ext>
                    </c:extLst>
                    <c:numCache>
                      <c:formatCode>#\ ##0.0</c:formatCode>
                      <c:ptCount val="18"/>
                      <c:pt idx="0">
                        <c:v>-3.1440874759794397</c:v>
                      </c:pt>
                      <c:pt idx="1">
                        <c:v>-0.87414173711010079</c:v>
                      </c:pt>
                      <c:pt idx="2">
                        <c:v>-1.6394672956094496</c:v>
                      </c:pt>
                      <c:pt idx="3">
                        <c:v>7.8329536228578576</c:v>
                      </c:pt>
                      <c:pt idx="4">
                        <c:v>4.906269465568009</c:v>
                      </c:pt>
                      <c:pt idx="5">
                        <c:v>2.4749965767785298</c:v>
                      </c:pt>
                      <c:pt idx="6">
                        <c:v>8.4892338693052025</c:v>
                      </c:pt>
                      <c:pt idx="7">
                        <c:v>2.5742988838358016</c:v>
                      </c:pt>
                      <c:pt idx="8">
                        <c:v>-1.2158301992250458</c:v>
                      </c:pt>
                      <c:pt idx="9">
                        <c:v>0.98886080326840409</c:v>
                      </c:pt>
                      <c:pt idx="10">
                        <c:v>0.55983215903459094</c:v>
                      </c:pt>
                      <c:pt idx="11">
                        <c:v>-0.82394468485473737</c:v>
                      </c:pt>
                      <c:pt idx="12">
                        <c:v>-2.0094198445572999</c:v>
                      </c:pt>
                      <c:pt idx="13">
                        <c:v>-1.4183645599165544</c:v>
                      </c:pt>
                      <c:pt idx="14">
                        <c:v>-1.4358963287481856</c:v>
                      </c:pt>
                      <c:pt idx="15">
                        <c:v>-1.5761348456800519</c:v>
                      </c:pt>
                      <c:pt idx="16">
                        <c:v>-1.005394044406188</c:v>
                      </c:pt>
                    </c:numCache>
                  </c:numRef>
                </c:val>
                <c:extLst xmlns:c15="http://schemas.microsoft.com/office/drawing/2012/chart">
                  <c:ext xmlns:c16="http://schemas.microsoft.com/office/drawing/2014/chart" uri="{C3380CC4-5D6E-409C-BE32-E72D297353CC}">
                    <c16:uniqueId val="{00000021-5F9B-4978-AE49-864EC988A69A}"/>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'Dlh VS (maastricht) ESA 2010'!$A$21:$B$21</c15:sqref>
                        </c15:formulaRef>
                      </c:ext>
                    </c:extLst>
                    <c:strCache>
                      <c:ptCount val="2"/>
                      <c:pt idx="0">
                        <c:v>Primárne saldo</c:v>
                      </c:pt>
                      <c:pt idx="1">
                        <c:v>% HDP</c:v>
                      </c:pt>
                    </c:strCache>
                  </c:strRef>
                </c:tx>
                <c:spPr>
                  <a:solidFill>
                    <a:schemeClr val="accent3">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2010'!$C$1:$T$1</c15:sqref>
                        </c15:formulaRef>
                      </c:ext>
                    </c:extLst>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extLst xmlns:c15="http://schemas.microsoft.com/office/drawing/2012/chart">
                      <c:ext xmlns:c15="http://schemas.microsoft.com/office/drawing/2012/chart" uri="{02D57815-91ED-43cb-92C2-25804820EDAC}">
                        <c15:formulaRef>
                          <c15:sqref>'Dlh VS (maastricht) ESA 2010'!$C$21:$T$21</c15:sqref>
                        </c15:formulaRef>
                      </c:ext>
                    </c:extLst>
                    <c:numCache>
                      <c:formatCode>#\ ##0.0</c:formatCode>
                      <c:ptCount val="18"/>
                      <c:pt idx="0">
                        <c:v>2.1639267353441367</c:v>
                      </c:pt>
                      <c:pt idx="1">
                        <c:v>6.1293496756967745</c:v>
                      </c:pt>
                      <c:pt idx="2">
                        <c:v>3.3414948846376573</c:v>
                      </c:pt>
                      <c:pt idx="3">
                        <c:v>9.7209757875316036</c:v>
                      </c:pt>
                      <c:pt idx="4">
                        <c:v>6.1624535133275451</c:v>
                      </c:pt>
                      <c:pt idx="5">
                        <c:v>5.2055010294740871</c:v>
                      </c:pt>
                      <c:pt idx="6">
                        <c:v>7.2762684078521485</c:v>
                      </c:pt>
                      <c:pt idx="7">
                        <c:v>12.023555992949657</c:v>
                      </c:pt>
                      <c:pt idx="8">
                        <c:v>6.4012287747809715</c:v>
                      </c:pt>
                      <c:pt idx="9">
                        <c:v>8.088026223316648</c:v>
                      </c:pt>
                      <c:pt idx="10">
                        <c:v>2.8182512997721787E-2</c:v>
                      </c:pt>
                      <c:pt idx="11">
                        <c:v>-0.61071616068444967</c:v>
                      </c:pt>
                      <c:pt idx="12">
                        <c:v>-0.55404555838737912</c:v>
                      </c:pt>
                      <c:pt idx="13">
                        <c:v>-1.0625693100383538</c:v>
                      </c:pt>
                      <c:pt idx="14">
                        <c:v>-1.1649374953536096</c:v>
                      </c:pt>
                      <c:pt idx="15">
                        <c:v>-1.0556897100604072</c:v>
                      </c:pt>
                      <c:pt idx="16">
                        <c:v>-0.99960826967788152</c:v>
                      </c:pt>
                    </c:numCache>
                  </c:numRef>
                </c:val>
                <c:extLst xmlns:c15="http://schemas.microsoft.com/office/drawing/2012/chart">
                  <c:ext xmlns:c16="http://schemas.microsoft.com/office/drawing/2014/chart" uri="{C3380CC4-5D6E-409C-BE32-E72D297353CC}">
                    <c16:uniqueId val="{00000022-5F9B-4978-AE49-864EC988A69A}"/>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'Dlh VS (maastricht) ESA 2010'!$A$24:$B$24</c15:sqref>
                        </c15:formulaRef>
                      </c:ext>
                    </c:extLst>
                    <c:strCache>
                      <c:ptCount val="2"/>
                      <c:pt idx="0">
                        <c:v>Rast nominálneho HDP</c:v>
                      </c:pt>
                      <c:pt idx="1">
                        <c:v>% HDP</c:v>
                      </c:pt>
                    </c:strCache>
                  </c:strRef>
                </c:tx>
                <c:spPr>
                  <a:solidFill>
                    <a:schemeClr val="accent3">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2010'!$C$1:$T$1</c15:sqref>
                        </c15:formulaRef>
                      </c:ext>
                    </c:extLst>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extLst xmlns:c15="http://schemas.microsoft.com/office/drawing/2012/chart">
                      <c:ext xmlns:c15="http://schemas.microsoft.com/office/drawing/2012/chart" uri="{02D57815-91ED-43cb-92C2-25804820EDAC}">
                        <c15:formulaRef>
                          <c15:sqref>'Dlh VS (maastricht) ESA 2010'!$C$24:$T$24</c15:sqref>
                        </c15:formulaRef>
                      </c:ext>
                    </c:extLst>
                    <c:numCache>
                      <c:formatCode>#\ ##0.0</c:formatCode>
                      <c:ptCount val="18"/>
                      <c:pt idx="0">
                        <c:v>-3.5515674796046386</c:v>
                      </c:pt>
                      <c:pt idx="1">
                        <c:v>-3.3312458972017058</c:v>
                      </c:pt>
                      <c:pt idx="2">
                        <c:v>-2.3897782826501923</c:v>
                      </c:pt>
                      <c:pt idx="3">
                        <c:v>1.9864700880087185</c:v>
                      </c:pt>
                      <c:pt idx="4">
                        <c:v>-1.9088888790240328</c:v>
                      </c:pt>
                      <c:pt idx="5">
                        <c:v>-1.7791717889502576</c:v>
                      </c:pt>
                      <c:pt idx="6">
                        <c:v>-1.2473097633947292</c:v>
                      </c:pt>
                      <c:pt idx="7">
                        <c:v>-1.031324413397481</c:v>
                      </c:pt>
                      <c:pt idx="8">
                        <c:v>-1.2804228796944284</c:v>
                      </c:pt>
                      <c:pt idx="9">
                        <c:v>-1.9054042884473579</c:v>
                      </c:pt>
                      <c:pt idx="10">
                        <c:v>-1.4560158457517103</c:v>
                      </c:pt>
                      <c:pt idx="11">
                        <c:v>-2.2117288578262499</c:v>
                      </c:pt>
                      <c:pt idx="12">
                        <c:v>-3.0223842438882764</c:v>
                      </c:pt>
                      <c:pt idx="13">
                        <c:v>-3.2289587610041881</c:v>
                      </c:pt>
                      <c:pt idx="14">
                        <c:v>-3.0940119055303215</c:v>
                      </c:pt>
                      <c:pt idx="15">
                        <c:v>-2.7680468440921517</c:v>
                      </c:pt>
                      <c:pt idx="16">
                        <c:v>-2.4556455528636536</c:v>
                      </c:pt>
                    </c:numCache>
                  </c:numRef>
                </c:val>
                <c:extLst xmlns:c15="http://schemas.microsoft.com/office/drawing/2012/chart">
                  <c:ext xmlns:c16="http://schemas.microsoft.com/office/drawing/2014/chart" uri="{C3380CC4-5D6E-409C-BE32-E72D297353CC}">
                    <c16:uniqueId val="{00000023-5F9B-4978-AE49-864EC988A69A}"/>
                  </c:ext>
                </c:extLst>
              </c15:ser>
            </c15:filteredBarSeries>
          </c:ext>
        </c:extLst>
      </c:barChart>
      <c:lineChart>
        <c:grouping val="standard"/>
        <c:varyColors val="0"/>
        <c:ser>
          <c:idx val="7"/>
          <c:order val="7"/>
          <c:tx>
            <c:strRef>
              <c:f>'Dlh VS (maastricht) ESA 2010'!$A$9:$B$9</c:f>
              <c:strCache>
                <c:ptCount val="2"/>
                <c:pt idx="0">
                  <c:v>Hrubý dlh verejnej správy </c:v>
                </c:pt>
                <c:pt idx="1">
                  <c:v>% HDP</c:v>
                </c:pt>
              </c:strCache>
            </c:strRef>
          </c:tx>
          <c:spPr>
            <a:ln w="19050" cap="rnd" cmpd="sng" algn="ctr">
              <a:solidFill>
                <a:srgbClr val="FF0000"/>
              </a:solidFill>
              <a:prstDash val="solid"/>
              <a:round/>
            </a:ln>
            <a:effectLst/>
          </c:spPr>
          <c:marker>
            <c:symbol val="none"/>
          </c:marker>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2010'!$C$9:$T$9</c:f>
              <c:numCache>
                <c:formatCode>#\ ##0.0</c:formatCode>
                <c:ptCount val="18"/>
                <c:pt idx="0">
                  <c:v>30.975055399865298</c:v>
                </c:pt>
                <c:pt idx="1">
                  <c:v>30.100913662755197</c:v>
                </c:pt>
                <c:pt idx="2">
                  <c:v>28.461446367145747</c:v>
                </c:pt>
                <c:pt idx="3">
                  <c:v>36.294399990003605</c:v>
                </c:pt>
                <c:pt idx="4">
                  <c:v>41.200669455571614</c:v>
                </c:pt>
                <c:pt idx="5">
                  <c:v>43.675666032350144</c:v>
                </c:pt>
                <c:pt idx="6">
                  <c:v>52.164899901655346</c:v>
                </c:pt>
                <c:pt idx="7">
                  <c:v>54.739198785491148</c:v>
                </c:pt>
                <c:pt idx="8">
                  <c:v>53.523368586266102</c:v>
                </c:pt>
                <c:pt idx="9">
                  <c:v>52.34</c:v>
                </c:pt>
                <c:pt idx="10">
                  <c:v>51.82</c:v>
                </c:pt>
                <c:pt idx="11">
                  <c:v>51.3</c:v>
                </c:pt>
                <c:pt idx="12">
                  <c:v>49.4</c:v>
                </c:pt>
                <c:pt idx="13">
                  <c:v>47.3</c:v>
                </c:pt>
                <c:pt idx="14">
                  <c:v>47.9</c:v>
                </c:pt>
                <c:pt idx="15">
                  <c:v>46.8</c:v>
                </c:pt>
                <c:pt idx="16">
                  <c:v>45.9</c:v>
                </c:pt>
                <c:pt idx="17">
                  <c:v>44.8</c:v>
                </c:pt>
              </c:numCache>
            </c:numRef>
          </c:val>
          <c:smooth val="0"/>
          <c:extLst>
            <c:ext xmlns:c16="http://schemas.microsoft.com/office/drawing/2014/chart" uri="{C3380CC4-5D6E-409C-BE32-E72D297353CC}">
              <c16:uniqueId val="{0000001D-5F9B-4978-AE49-864EC988A69A}"/>
            </c:ext>
          </c:extLst>
        </c:ser>
        <c:ser>
          <c:idx val="23"/>
          <c:order val="23"/>
          <c:tx>
            <c:strRef>
              <c:f>'Dlh VS (maastricht) ESA 2010'!$A$25:$B$25</c:f>
              <c:strCache>
                <c:ptCount val="2"/>
                <c:pt idx="0">
                  <c:v>Stock-flow adjustment</c:v>
                </c:pt>
                <c:pt idx="1">
                  <c:v>% HDP</c:v>
                </c:pt>
              </c:strCache>
            </c:strRef>
          </c:tx>
          <c:marker>
            <c:symbol val="none"/>
          </c:marker>
          <c:cat>
            <c:strRef>
              <c:f>'Dlh VS (maastricht) ESA 2010'!$C$1:$T$1</c:f>
              <c:strCach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 RVS</c:v>
                </c:pt>
                <c:pt idx="14">
                  <c:v>2019 OS</c:v>
                </c:pt>
                <c:pt idx="15">
                  <c:v>2020 RVS</c:v>
                </c:pt>
                <c:pt idx="16">
                  <c:v>2021 RVS</c:v>
                </c:pt>
                <c:pt idx="17">
                  <c:v>2022 RVS</c:v>
                </c:pt>
              </c:strCache>
            </c:strRef>
          </c:cat>
          <c:val>
            <c:numRef>
              <c:f>'Dlh VS (maastricht) ESA 2010'!$C$25:$T$25</c:f>
            </c:numRef>
          </c:val>
          <c:smooth val="0"/>
          <c:extLst>
            <c:ext xmlns:c16="http://schemas.microsoft.com/office/drawing/2014/chart" uri="{C3380CC4-5D6E-409C-BE32-E72D297353CC}">
              <c16:uniqueId val="{0000001E-5F9B-4978-AE49-864EC988A69A}"/>
            </c:ext>
          </c:extLst>
        </c:ser>
        <c:dLbls>
          <c:showLegendKey val="0"/>
          <c:showVal val="0"/>
          <c:showCatName val="0"/>
          <c:showSerName val="0"/>
          <c:showPercent val="0"/>
          <c:showBubbleSize val="0"/>
        </c:dLbls>
        <c:marker val="1"/>
        <c:smooth val="0"/>
        <c:axId val="106637568"/>
        <c:axId val="106635648"/>
      </c:lineChart>
      <c:catAx>
        <c:axId val="10661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vert="horz"/>
          <a:lstStyle/>
          <a:p>
            <a:pPr>
              <a:defRPr sz="800">
                <a:solidFill>
                  <a:srgbClr val="002060"/>
                </a:solidFill>
              </a:defRPr>
            </a:pPr>
            <a:endParaRPr lang="sk-SK"/>
          </a:p>
        </c:txPr>
        <c:crossAx val="106617088"/>
        <c:crosses val="autoZero"/>
        <c:auto val="1"/>
        <c:lblAlgn val="ctr"/>
        <c:lblOffset val="100"/>
        <c:noMultiLvlLbl val="0"/>
      </c:catAx>
      <c:valAx>
        <c:axId val="106617088"/>
        <c:scaling>
          <c:orientation val="minMax"/>
          <c:min val="10000"/>
        </c:scaling>
        <c:delete val="0"/>
        <c:axPos val="l"/>
        <c:majorGridlines>
          <c:spPr>
            <a:ln w="3175" cap="flat" cmpd="sng" algn="ctr">
              <a:solidFill>
                <a:srgbClr val="00B0F0"/>
              </a:solidFill>
              <a:prstDash val="solid"/>
              <a:round/>
            </a:ln>
            <a:effectLst/>
          </c:spPr>
        </c:majorGridlines>
        <c:title>
          <c:tx>
            <c:rich>
              <a:bodyPr rot="0"/>
              <a:lstStyle/>
              <a:p>
                <a:pPr>
                  <a:defRPr sz="800">
                    <a:solidFill>
                      <a:srgbClr val="002060"/>
                    </a:solidFill>
                  </a:defRPr>
                </a:pPr>
                <a:r>
                  <a:rPr lang="en-US" sz="800">
                    <a:solidFill>
                      <a:srgbClr val="002060"/>
                    </a:solidFill>
                  </a:rPr>
                  <a:t>mil</a:t>
                </a:r>
                <a:r>
                  <a:rPr lang="sk-SK" sz="800">
                    <a:solidFill>
                      <a:srgbClr val="002060"/>
                    </a:solidFill>
                  </a:rPr>
                  <a:t>. eur</a:t>
                </a:r>
                <a:endParaRPr lang="en-US" sz="800">
                  <a:solidFill>
                    <a:srgbClr val="002060"/>
                  </a:solidFill>
                </a:endParaRPr>
              </a:p>
            </c:rich>
          </c:tx>
          <c:layout>
            <c:manualLayout>
              <c:xMode val="edge"/>
              <c:yMode val="edge"/>
              <c:x val="1.1224910083875758E-2"/>
              <c:y val="0.91532277045532362"/>
            </c:manualLayout>
          </c:layout>
          <c:overlay val="0"/>
          <c:spPr>
            <a:noFill/>
            <a:ln>
              <a:noFill/>
            </a:ln>
            <a:effectLst/>
          </c:spPr>
        </c:title>
        <c:numFmt formatCode="#,##0" sourceLinked="1"/>
        <c:majorTickMark val="none"/>
        <c:minorTickMark val="none"/>
        <c:tickLblPos val="nextTo"/>
        <c:spPr>
          <a:noFill/>
          <a:ln w="6350" cap="flat" cmpd="sng" algn="ctr">
            <a:noFill/>
            <a:prstDash val="solid"/>
            <a:round/>
          </a:ln>
          <a:effectLst/>
        </c:spPr>
        <c:txPr>
          <a:bodyPr rot="-60000000" vert="horz"/>
          <a:lstStyle/>
          <a:p>
            <a:pPr>
              <a:defRPr sz="800">
                <a:solidFill>
                  <a:srgbClr val="002060"/>
                </a:solidFill>
              </a:defRPr>
            </a:pPr>
            <a:endParaRPr lang="sk-SK"/>
          </a:p>
        </c:txPr>
        <c:crossAx val="106615552"/>
        <c:crosses val="autoZero"/>
        <c:crossBetween val="between"/>
      </c:valAx>
      <c:valAx>
        <c:axId val="106635648"/>
        <c:scaling>
          <c:orientation val="minMax"/>
          <c:min val="25"/>
        </c:scaling>
        <c:delete val="0"/>
        <c:axPos val="r"/>
        <c:title>
          <c:tx>
            <c:rich>
              <a:bodyPr rot="0"/>
              <a:lstStyle/>
              <a:p>
                <a:pPr>
                  <a:defRPr sz="800">
                    <a:solidFill>
                      <a:srgbClr val="002060"/>
                    </a:solidFill>
                  </a:defRPr>
                </a:pPr>
                <a:r>
                  <a:rPr lang="sk-SK" sz="800">
                    <a:solidFill>
                      <a:srgbClr val="002060"/>
                    </a:solidFill>
                  </a:rPr>
                  <a:t>% HDP</a:t>
                </a:r>
              </a:p>
            </c:rich>
          </c:tx>
          <c:layout>
            <c:manualLayout>
              <c:xMode val="edge"/>
              <c:yMode val="edge"/>
              <c:x val="0.93002242086777898"/>
              <c:y val="0.89709271225607645"/>
            </c:manualLayout>
          </c:layout>
          <c:overlay val="0"/>
          <c:spPr>
            <a:noFill/>
            <a:ln>
              <a:noFill/>
            </a:ln>
            <a:effectLst/>
          </c:spPr>
        </c:title>
        <c:numFmt formatCode="#\ ##0.0" sourceLinked="1"/>
        <c:majorTickMark val="out"/>
        <c:minorTickMark val="none"/>
        <c:tickLblPos val="nextTo"/>
        <c:spPr>
          <a:noFill/>
          <a:ln w="6350" cap="flat" cmpd="sng" algn="ctr">
            <a:solidFill>
              <a:schemeClr val="tx1">
                <a:tint val="75000"/>
              </a:schemeClr>
            </a:solidFill>
            <a:prstDash val="solid"/>
            <a:round/>
          </a:ln>
          <a:effectLst/>
        </c:spPr>
        <c:txPr>
          <a:bodyPr rot="-60000000" vert="horz"/>
          <a:lstStyle/>
          <a:p>
            <a:pPr>
              <a:defRPr sz="800">
                <a:solidFill>
                  <a:srgbClr val="002060"/>
                </a:solidFill>
              </a:defRPr>
            </a:pPr>
            <a:endParaRPr lang="sk-SK"/>
          </a:p>
        </c:txPr>
        <c:crossAx val="106637568"/>
        <c:crosses val="max"/>
        <c:crossBetween val="between"/>
      </c:valAx>
      <c:catAx>
        <c:axId val="106637568"/>
        <c:scaling>
          <c:orientation val="minMax"/>
        </c:scaling>
        <c:delete val="1"/>
        <c:axPos val="b"/>
        <c:numFmt formatCode="General" sourceLinked="1"/>
        <c:majorTickMark val="out"/>
        <c:minorTickMark val="none"/>
        <c:tickLblPos val="none"/>
        <c:crossAx val="106635648"/>
        <c:crosses val="autoZero"/>
        <c:auto val="1"/>
        <c:lblAlgn val="ctr"/>
        <c:lblOffset val="100"/>
        <c:noMultiLvlLbl val="0"/>
      </c:catAx>
      <c:spPr>
        <a:noFill/>
        <a:ln>
          <a:noFill/>
        </a:ln>
        <a:effectLst/>
      </c:spPr>
    </c:plotArea>
    <c:legend>
      <c:legendPos val="b"/>
      <c:layout>
        <c:manualLayout>
          <c:xMode val="edge"/>
          <c:yMode val="edge"/>
          <c:x val="7.2040781507695648E-2"/>
          <c:y val="8.4442934782608697E-2"/>
          <c:w val="0.60759753593429155"/>
          <c:h val="7.8164088480765517E-2"/>
        </c:manualLayout>
      </c:layout>
      <c:overlay val="0"/>
      <c:spPr>
        <a:noFill/>
        <a:ln>
          <a:noFill/>
        </a:ln>
        <a:effectLst/>
      </c:spPr>
      <c:txPr>
        <a:bodyPr rot="0" vert="horz"/>
        <a:lstStyle/>
        <a:p>
          <a:pPr>
            <a:defRPr sz="800">
              <a:solidFill>
                <a:srgbClr val="002060"/>
              </a:solidFill>
            </a:defRPr>
          </a:pPr>
          <a:endParaRPr lang="sk-SK"/>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Narrow" panose="020B0606020202030204" pitchFamily="34" charset="0"/>
        </a:defRPr>
      </a:pPr>
      <a:endParaRPr lang="sk-S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Hárok1!$A$33</c:f>
              <c:strCache>
                <c:ptCount val="1"/>
                <c:pt idx="0">
                  <c:v>Slovensko</c:v>
                </c:pt>
              </c:strCache>
            </c:strRef>
          </c:tx>
          <c:spPr>
            <a:effectLst/>
          </c:spP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Hárok1!$K$32:$W$32</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strCache>
            </c:strRef>
          </c:cat>
          <c:val>
            <c:numRef>
              <c:f>Hárok1!$K$33:$W$33</c:f>
              <c:numCache>
                <c:formatCode>#,##0.0</c:formatCode>
                <c:ptCount val="13"/>
                <c:pt idx="0">
                  <c:v>4.2</c:v>
                </c:pt>
                <c:pt idx="1">
                  <c:v>4.0999999999999996</c:v>
                </c:pt>
                <c:pt idx="2">
                  <c:v>4.0999999999999996</c:v>
                </c:pt>
                <c:pt idx="3">
                  <c:v>4</c:v>
                </c:pt>
                <c:pt idx="4">
                  <c:v>4.0999999999999996</c:v>
                </c:pt>
                <c:pt idx="5">
                  <c:v>4.2</c:v>
                </c:pt>
                <c:pt idx="6">
                  <c:v>3.8</c:v>
                </c:pt>
                <c:pt idx="7">
                  <c:v>3.8</c:v>
                </c:pt>
                <c:pt idx="8">
                  <c:v>4.0999999999999996</c:v>
                </c:pt>
                <c:pt idx="9">
                  <c:v>4.3</c:v>
                </c:pt>
                <c:pt idx="10">
                  <c:v>4.2</c:v>
                </c:pt>
                <c:pt idx="11">
                  <c:v>4.3</c:v>
                </c:pt>
                <c:pt idx="12">
                  <c:v>4.3</c:v>
                </c:pt>
              </c:numCache>
            </c:numRef>
          </c:val>
          <c:smooth val="0"/>
          <c:extLst>
            <c:ext xmlns:c16="http://schemas.microsoft.com/office/drawing/2014/chart" uri="{C3380CC4-5D6E-409C-BE32-E72D297353CC}">
              <c16:uniqueId val="{00000000-14AB-472E-A834-B566B987848E}"/>
            </c:ext>
          </c:extLst>
        </c:ser>
        <c:ser>
          <c:idx val="1"/>
          <c:order val="1"/>
          <c:tx>
            <c:strRef>
              <c:f>Hárok1!$A$11</c:f>
              <c:strCache>
                <c:ptCount val="1"/>
                <c:pt idx="0">
                  <c:v>priemer za krajiny V3</c:v>
                </c:pt>
              </c:strCache>
            </c:strRef>
          </c:tx>
          <c:spPr>
            <a:effectLst/>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Hárok1!$K$32:$W$32</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strCache>
            </c:strRef>
          </c:cat>
          <c:val>
            <c:numRef>
              <c:f>Hárok1!$K$11:$R$11</c:f>
              <c:numCache>
                <c:formatCode>#,##0.0</c:formatCode>
                <c:ptCount val="8"/>
                <c:pt idx="0">
                  <c:v>5.3666666666666671</c:v>
                </c:pt>
                <c:pt idx="1">
                  <c:v>5.2</c:v>
                </c:pt>
                <c:pt idx="2">
                  <c:v>5.0333333333333332</c:v>
                </c:pt>
                <c:pt idx="3">
                  <c:v>5</c:v>
                </c:pt>
                <c:pt idx="4">
                  <c:v>5.166666666666667</c:v>
                </c:pt>
                <c:pt idx="5">
                  <c:v>5.1000000000000005</c:v>
                </c:pt>
                <c:pt idx="6">
                  <c:v>4.8</c:v>
                </c:pt>
                <c:pt idx="7">
                  <c:v>4.8666666666666663</c:v>
                </c:pt>
              </c:numCache>
            </c:numRef>
          </c:val>
          <c:smooth val="0"/>
          <c:extLst>
            <c:ext xmlns:c16="http://schemas.microsoft.com/office/drawing/2014/chart" uri="{C3380CC4-5D6E-409C-BE32-E72D297353CC}">
              <c16:uniqueId val="{00000001-14AB-472E-A834-B566B987848E}"/>
            </c:ext>
          </c:extLst>
        </c:ser>
        <c:ser>
          <c:idx val="2"/>
          <c:order val="2"/>
          <c:tx>
            <c:strRef>
              <c:f>Hárok1!$A$12</c:f>
              <c:strCache>
                <c:ptCount val="1"/>
                <c:pt idx="0">
                  <c:v>priemer za krajiny EÚ</c:v>
                </c:pt>
              </c:strCache>
            </c:strRef>
          </c:tx>
          <c:spPr>
            <a:effectLst/>
          </c:spP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Hárok1!$K$32:$W$32</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strCache>
            </c:strRef>
          </c:cat>
          <c:val>
            <c:numRef>
              <c:f>Hárok1!$K$12:$R$12</c:f>
              <c:numCache>
                <c:formatCode>#,##0.0</c:formatCode>
                <c:ptCount val="8"/>
                <c:pt idx="0">
                  <c:v>5.2</c:v>
                </c:pt>
                <c:pt idx="1">
                  <c:v>5.0999999999999996</c:v>
                </c:pt>
                <c:pt idx="2">
                  <c:v>5</c:v>
                </c:pt>
                <c:pt idx="3">
                  <c:v>4.9000000000000004</c:v>
                </c:pt>
                <c:pt idx="4">
                  <c:v>4.9000000000000004</c:v>
                </c:pt>
                <c:pt idx="5">
                  <c:v>4.8</c:v>
                </c:pt>
                <c:pt idx="6">
                  <c:v>4.7</c:v>
                </c:pt>
                <c:pt idx="7">
                  <c:v>4.5999999999999996</c:v>
                </c:pt>
              </c:numCache>
            </c:numRef>
          </c:val>
          <c:smooth val="0"/>
          <c:extLst>
            <c:ext xmlns:c16="http://schemas.microsoft.com/office/drawing/2014/chart" uri="{C3380CC4-5D6E-409C-BE32-E72D297353CC}">
              <c16:uniqueId val="{00000002-14AB-472E-A834-B566B987848E}"/>
            </c:ext>
          </c:extLst>
        </c:ser>
        <c:dLbls>
          <c:showLegendKey val="0"/>
          <c:showVal val="0"/>
          <c:showCatName val="0"/>
          <c:showSerName val="0"/>
          <c:showPercent val="0"/>
          <c:showBubbleSize val="0"/>
        </c:dLbls>
        <c:marker val="1"/>
        <c:smooth val="0"/>
        <c:axId val="592828831"/>
        <c:axId val="1"/>
      </c:lineChart>
      <c:catAx>
        <c:axId val="592828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k-SK"/>
          </a:p>
        </c:txPr>
        <c:crossAx val="1"/>
        <c:crosses val="autoZero"/>
        <c:auto val="1"/>
        <c:lblAlgn val="ctr"/>
        <c:lblOffset val="100"/>
        <c:noMultiLvlLbl val="0"/>
      </c:catAx>
      <c:valAx>
        <c:axId val="1"/>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sk-SK"/>
                  <a:t>% HDP</a:t>
                </a:r>
              </a:p>
            </c:rich>
          </c:tx>
          <c:overlay val="0"/>
          <c:spPr>
            <a:noFill/>
            <a:ln>
              <a:noFill/>
            </a:ln>
            <a:effectLst/>
          </c:spPr>
        </c:title>
        <c:numFmt formatCode="#,##0.0" sourceLinked="1"/>
        <c:majorTickMark val="none"/>
        <c:minorTickMark val="none"/>
        <c:tickLblPos val="nextTo"/>
        <c:spPr>
          <a:noFill/>
          <a:ln>
            <a:noFill/>
          </a:ln>
          <a:effectLst/>
        </c:spPr>
        <c:txPr>
          <a:bodyPr rot="-60000000" vert="horz"/>
          <a:lstStyle/>
          <a:p>
            <a:pPr>
              <a:defRPr/>
            </a:pPr>
            <a:endParaRPr lang="sk-SK"/>
          </a:p>
        </c:txPr>
        <c:crossAx val="592828831"/>
        <c:crosses val="autoZero"/>
        <c:crossBetween val="between"/>
        <c:majorUnit val="0.5"/>
      </c:valAx>
      <c:spPr>
        <a:noFill/>
        <a:ln w="25400">
          <a:noFill/>
        </a:ln>
      </c:spPr>
    </c:plotArea>
    <c:legend>
      <c:legendPos val="b"/>
      <c:overlay val="0"/>
      <c:spPr>
        <a:noFill/>
        <a:ln>
          <a:noFill/>
        </a:ln>
        <a:effectLst/>
      </c:spPr>
      <c:txPr>
        <a:bodyPr rot="0" vert="horz"/>
        <a:lstStyle/>
        <a:p>
          <a:pPr>
            <a:defRPr/>
          </a:pPr>
          <a:endParaRPr lang="sk-SK"/>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Narrow" panose="020B0606020202030204" pitchFamily="34" charset="0"/>
        </a:defRPr>
      </a:pPr>
      <a:endParaRPr lang="sk-S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5E-4ACF-85C7-07B964DCF1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5E-4ACF-85C7-07B964DCF1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15E-4ACF-85C7-07B964DCF1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15E-4ACF-85C7-07B964DCF1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15E-4ACF-85C7-07B964DCF1FA}"/>
              </c:ext>
            </c:extLst>
          </c:dPt>
          <c:dLbls>
            <c:dLbl>
              <c:idx val="0"/>
              <c:layout>
                <c:manualLayout>
                  <c:x val="-5.7523341984696275E-2"/>
                  <c:y val="-0.175926047747314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7402265111372226"/>
                      <c:h val="0.28212938598685328"/>
                    </c:manualLayout>
                  </c15:layout>
                </c:ext>
                <c:ext xmlns:c16="http://schemas.microsoft.com/office/drawing/2014/chart" uri="{C3380CC4-5D6E-409C-BE32-E72D297353CC}">
                  <c16:uniqueId val="{00000001-315E-4ACF-85C7-07B964DCF1FA}"/>
                </c:ext>
              </c:extLst>
            </c:dLbl>
            <c:dLbl>
              <c:idx val="1"/>
              <c:layout>
                <c:manualLayout>
                  <c:x val="-4.5092433771679055E-2"/>
                  <c:y val="-5.3070065733524095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30556943675351045"/>
                      <c:h val="0.36677855706410267"/>
                    </c:manualLayout>
                  </c15:layout>
                </c:ext>
                <c:ext xmlns:c16="http://schemas.microsoft.com/office/drawing/2014/chart" uri="{C3380CC4-5D6E-409C-BE32-E72D297353CC}">
                  <c16:uniqueId val="{00000003-315E-4ACF-85C7-07B964DCF1FA}"/>
                </c:ext>
              </c:extLst>
            </c:dLbl>
            <c:dLbl>
              <c:idx val="2"/>
              <c:layout>
                <c:manualLayout>
                  <c:x val="0"/>
                  <c:y val="9.5711689884918197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7236212396527359"/>
                      <c:h val="0.24269727561056137"/>
                    </c:manualLayout>
                  </c15:layout>
                </c:ext>
                <c:ext xmlns:c16="http://schemas.microsoft.com/office/drawing/2014/chart" uri="{C3380CC4-5D6E-409C-BE32-E72D297353CC}">
                  <c16:uniqueId val="{00000005-315E-4ACF-85C7-07B964DCF1FA}"/>
                </c:ext>
              </c:extLst>
            </c:dLbl>
            <c:dLbl>
              <c:idx val="3"/>
              <c:layout>
                <c:manualLayout>
                  <c:x val="9.8856809565470979E-2"/>
                  <c:y val="5.0171074769499967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30076639219411466"/>
                      <c:h val="0.23634403545808363"/>
                    </c:manualLayout>
                  </c15:layout>
                </c:ext>
                <c:ext xmlns:c16="http://schemas.microsoft.com/office/drawing/2014/chart" uri="{C3380CC4-5D6E-409C-BE32-E72D297353CC}">
                  <c16:uniqueId val="{00000007-315E-4ACF-85C7-07B964DCF1FA}"/>
                </c:ext>
              </c:extLst>
            </c:dLbl>
            <c:dLbl>
              <c:idx val="4"/>
              <c:layout>
                <c:manualLayout>
                  <c:x val="3.0493615399275708E-2"/>
                  <c:y val="-7.2796702460088901E-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15E-4ACF-85C7-07B964DCF1FA}"/>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'MŠ 12 - 20'!$A$112:$A$116</c:f>
              <c:strCache>
                <c:ptCount val="5"/>
                <c:pt idx="0">
                  <c:v>Národný program výchovy, vzdelávania a mládeže</c:v>
                </c:pt>
                <c:pt idx="1">
                  <c:v>Vysokoškolské vzdelávanie a veda, sociálna podpora študentov vysokých škôl </c:v>
                </c:pt>
                <c:pt idx="2">
                  <c:v>Operačný program Výskum a inovácie </c:v>
                </c:pt>
                <c:pt idx="3">
                  <c:v>Národný program rozvoja športu v SR </c:v>
                </c:pt>
                <c:pt idx="4">
                  <c:v>ostatné</c:v>
                </c:pt>
              </c:strCache>
            </c:strRef>
          </c:cat>
          <c:val>
            <c:numRef>
              <c:f>'MŠ 12 - 20'!$AC$112:$AC$116</c:f>
              <c:numCache>
                <c:formatCode>0.00</c:formatCode>
                <c:ptCount val="5"/>
                <c:pt idx="0">
                  <c:v>41.356289985888992</c:v>
                </c:pt>
                <c:pt idx="1">
                  <c:v>38.657281740088095</c:v>
                </c:pt>
                <c:pt idx="2">
                  <c:v>7.941874543165528</c:v>
                </c:pt>
                <c:pt idx="3">
                  <c:v>4.7414460560062643</c:v>
                </c:pt>
                <c:pt idx="4">
                  <c:v>7.3031076748511197</c:v>
                </c:pt>
              </c:numCache>
            </c:numRef>
          </c:val>
          <c:extLst>
            <c:ext xmlns:c16="http://schemas.microsoft.com/office/drawing/2014/chart" uri="{C3380CC4-5D6E-409C-BE32-E72D297353CC}">
              <c16:uniqueId val="{0000000A-315E-4ACF-85C7-07B964DCF1FA}"/>
            </c:ext>
          </c:extLst>
        </c:ser>
        <c:dLbls>
          <c:dLblPos val="in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Narrow" panose="020B0606020202030204" pitchFamily="34" charset="0"/>
        </a:defRPr>
      </a:pPr>
      <a:endParaRPr lang="sk-SK"/>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325417081485497"/>
          <c:y val="6.1624649859943981E-2"/>
          <c:w val="0.48922074395872928"/>
          <c:h val="0.72676944793665499"/>
        </c:manualLayout>
      </c:layout>
      <c:areaChart>
        <c:grouping val="stacked"/>
        <c:varyColors val="0"/>
        <c:ser>
          <c:idx val="0"/>
          <c:order val="0"/>
          <c:tx>
            <c:strRef>
              <c:f>'MŠ 12 - 20'!$AE$112</c:f>
              <c:strCache>
                <c:ptCount val="1"/>
                <c:pt idx="0">
                  <c:v>Národný program výchovy, vzdelávania a mládeže</c:v>
                </c:pt>
              </c:strCache>
            </c:strRef>
          </c:tx>
          <c:spPr>
            <a:solidFill>
              <a:schemeClr val="accent1"/>
            </a:solidFill>
            <a:ln>
              <a:noFill/>
            </a:ln>
            <a:effectLst/>
          </c:spPr>
          <c:cat>
            <c:strRef>
              <c:f>'MŠ 12 - 20'!$AF$111:$AN$111</c:f>
              <c:strCache>
                <c:ptCount val="9"/>
                <c:pt idx="0">
                  <c:v>2012</c:v>
                </c:pt>
                <c:pt idx="1">
                  <c:v>2013</c:v>
                </c:pt>
                <c:pt idx="2">
                  <c:v>2014</c:v>
                </c:pt>
                <c:pt idx="3">
                  <c:v>2015</c:v>
                </c:pt>
                <c:pt idx="4">
                  <c:v>2016</c:v>
                </c:pt>
                <c:pt idx="5">
                  <c:v>2017</c:v>
                </c:pt>
                <c:pt idx="6">
                  <c:v>2018</c:v>
                </c:pt>
                <c:pt idx="7">
                  <c:v>2019 R</c:v>
                </c:pt>
                <c:pt idx="8">
                  <c:v>2020 R</c:v>
                </c:pt>
              </c:strCache>
            </c:strRef>
          </c:cat>
          <c:val>
            <c:numRef>
              <c:f>'MŠ 12 - 20'!$AF$112:$AN$112</c:f>
              <c:numCache>
                <c:formatCode>#,##0</c:formatCode>
                <c:ptCount val="9"/>
                <c:pt idx="0">
                  <c:v>1359.2540351</c:v>
                </c:pt>
                <c:pt idx="1">
                  <c:v>432.98506216000004</c:v>
                </c:pt>
                <c:pt idx="2">
                  <c:v>437.22059942999999</c:v>
                </c:pt>
                <c:pt idx="3">
                  <c:v>461.93481557999996</c:v>
                </c:pt>
                <c:pt idx="4">
                  <c:v>462.60310272000004</c:v>
                </c:pt>
                <c:pt idx="5">
                  <c:v>468.82128976999996</c:v>
                </c:pt>
                <c:pt idx="6">
                  <c:v>474.62729401000001</c:v>
                </c:pt>
                <c:pt idx="7">
                  <c:v>559.36132699999996</c:v>
                </c:pt>
                <c:pt idx="8">
                  <c:v>654.24156100000005</c:v>
                </c:pt>
              </c:numCache>
            </c:numRef>
          </c:val>
          <c:extLst>
            <c:ext xmlns:c16="http://schemas.microsoft.com/office/drawing/2014/chart" uri="{C3380CC4-5D6E-409C-BE32-E72D297353CC}">
              <c16:uniqueId val="{00000000-5873-4BE7-A99B-2791E1C3FD52}"/>
            </c:ext>
          </c:extLst>
        </c:ser>
        <c:ser>
          <c:idx val="1"/>
          <c:order val="1"/>
          <c:tx>
            <c:strRef>
              <c:f>'MŠ 12 - 20'!$AE$113</c:f>
              <c:strCache>
                <c:ptCount val="1"/>
                <c:pt idx="0">
                  <c:v>Vysokoškolské vzdelávanie a veda, sociálna podpora študentov vysokých škôl </c:v>
                </c:pt>
              </c:strCache>
            </c:strRef>
          </c:tx>
          <c:spPr>
            <a:solidFill>
              <a:schemeClr val="accent2"/>
            </a:solidFill>
            <a:ln>
              <a:noFill/>
            </a:ln>
            <a:effectLst/>
          </c:spPr>
          <c:cat>
            <c:strRef>
              <c:f>'MŠ 12 - 20'!$AF$111:$AN$111</c:f>
              <c:strCache>
                <c:ptCount val="9"/>
                <c:pt idx="0">
                  <c:v>2012</c:v>
                </c:pt>
                <c:pt idx="1">
                  <c:v>2013</c:v>
                </c:pt>
                <c:pt idx="2">
                  <c:v>2014</c:v>
                </c:pt>
                <c:pt idx="3">
                  <c:v>2015</c:v>
                </c:pt>
                <c:pt idx="4">
                  <c:v>2016</c:v>
                </c:pt>
                <c:pt idx="5">
                  <c:v>2017</c:v>
                </c:pt>
                <c:pt idx="6">
                  <c:v>2018</c:v>
                </c:pt>
                <c:pt idx="7">
                  <c:v>2019 R</c:v>
                </c:pt>
                <c:pt idx="8">
                  <c:v>2020 R</c:v>
                </c:pt>
              </c:strCache>
            </c:strRef>
          </c:cat>
          <c:val>
            <c:numRef>
              <c:f>'MŠ 12 - 20'!$AF$113:$AN$113</c:f>
              <c:numCache>
                <c:formatCode>#,##0</c:formatCode>
                <c:ptCount val="9"/>
                <c:pt idx="0">
                  <c:v>452.48226805000002</c:v>
                </c:pt>
                <c:pt idx="1">
                  <c:v>457.76670676999998</c:v>
                </c:pt>
                <c:pt idx="2">
                  <c:v>450.44457795</c:v>
                </c:pt>
                <c:pt idx="3">
                  <c:v>452.56832122000003</c:v>
                </c:pt>
                <c:pt idx="4">
                  <c:v>495.65066676999999</c:v>
                </c:pt>
                <c:pt idx="5">
                  <c:v>489.93635102999997</c:v>
                </c:pt>
                <c:pt idx="6">
                  <c:v>534.49451375000001</c:v>
                </c:pt>
                <c:pt idx="7">
                  <c:v>512.85714900000005</c:v>
                </c:pt>
                <c:pt idx="8">
                  <c:v>611.54422599999998</c:v>
                </c:pt>
              </c:numCache>
            </c:numRef>
          </c:val>
          <c:extLst>
            <c:ext xmlns:c16="http://schemas.microsoft.com/office/drawing/2014/chart" uri="{C3380CC4-5D6E-409C-BE32-E72D297353CC}">
              <c16:uniqueId val="{00000001-5873-4BE7-A99B-2791E1C3FD52}"/>
            </c:ext>
          </c:extLst>
        </c:ser>
        <c:ser>
          <c:idx val="2"/>
          <c:order val="2"/>
          <c:tx>
            <c:strRef>
              <c:f>'MŠ 12 - 20'!$AE$114</c:f>
              <c:strCache>
                <c:ptCount val="1"/>
                <c:pt idx="0">
                  <c:v>Operačný program Výskum a inovácie </c:v>
                </c:pt>
              </c:strCache>
            </c:strRef>
          </c:tx>
          <c:spPr>
            <a:solidFill>
              <a:schemeClr val="accent3"/>
            </a:solidFill>
            <a:ln>
              <a:noFill/>
            </a:ln>
            <a:effectLst/>
          </c:spPr>
          <c:cat>
            <c:strRef>
              <c:f>'MŠ 12 - 20'!$AF$111:$AN$111</c:f>
              <c:strCache>
                <c:ptCount val="9"/>
                <c:pt idx="0">
                  <c:v>2012</c:v>
                </c:pt>
                <c:pt idx="1">
                  <c:v>2013</c:v>
                </c:pt>
                <c:pt idx="2">
                  <c:v>2014</c:v>
                </c:pt>
                <c:pt idx="3">
                  <c:v>2015</c:v>
                </c:pt>
                <c:pt idx="4">
                  <c:v>2016</c:v>
                </c:pt>
                <c:pt idx="5">
                  <c:v>2017</c:v>
                </c:pt>
                <c:pt idx="6">
                  <c:v>2018</c:v>
                </c:pt>
                <c:pt idx="7">
                  <c:v>2019 R</c:v>
                </c:pt>
                <c:pt idx="8">
                  <c:v>2020 R</c:v>
                </c:pt>
              </c:strCache>
            </c:strRef>
          </c:cat>
          <c:val>
            <c:numRef>
              <c:f>'MŠ 12 - 20'!$AF$114:$AN$114</c:f>
              <c:numCache>
                <c:formatCode>#,##0</c:formatCode>
                <c:ptCount val="9"/>
                <c:pt idx="0">
                  <c:v>0</c:v>
                </c:pt>
                <c:pt idx="1">
                  <c:v>0</c:v>
                </c:pt>
                <c:pt idx="2">
                  <c:v>0</c:v>
                </c:pt>
                <c:pt idx="3">
                  <c:v>0</c:v>
                </c:pt>
                <c:pt idx="4">
                  <c:v>5.8970169100000005</c:v>
                </c:pt>
                <c:pt idx="5">
                  <c:v>51.163972260000001</c:v>
                </c:pt>
                <c:pt idx="6">
                  <c:v>26.88325356</c:v>
                </c:pt>
                <c:pt idx="7">
                  <c:v>4.2668559999999998</c:v>
                </c:pt>
                <c:pt idx="8">
                  <c:v>125.637585</c:v>
                </c:pt>
              </c:numCache>
            </c:numRef>
          </c:val>
          <c:extLst>
            <c:ext xmlns:c16="http://schemas.microsoft.com/office/drawing/2014/chart" uri="{C3380CC4-5D6E-409C-BE32-E72D297353CC}">
              <c16:uniqueId val="{00000002-5873-4BE7-A99B-2791E1C3FD52}"/>
            </c:ext>
          </c:extLst>
        </c:ser>
        <c:ser>
          <c:idx val="3"/>
          <c:order val="3"/>
          <c:tx>
            <c:strRef>
              <c:f>'MŠ 12 - 20'!$AE$115</c:f>
              <c:strCache>
                <c:ptCount val="1"/>
                <c:pt idx="0">
                  <c:v>Národný program rozvoja športu v SR </c:v>
                </c:pt>
              </c:strCache>
            </c:strRef>
          </c:tx>
          <c:spPr>
            <a:solidFill>
              <a:schemeClr val="accent4"/>
            </a:solidFill>
            <a:ln>
              <a:noFill/>
            </a:ln>
            <a:effectLst/>
          </c:spPr>
          <c:cat>
            <c:strRef>
              <c:f>'MŠ 12 - 20'!$AF$111:$AN$111</c:f>
              <c:strCache>
                <c:ptCount val="9"/>
                <c:pt idx="0">
                  <c:v>2012</c:v>
                </c:pt>
                <c:pt idx="1">
                  <c:v>2013</c:v>
                </c:pt>
                <c:pt idx="2">
                  <c:v>2014</c:v>
                </c:pt>
                <c:pt idx="3">
                  <c:v>2015</c:v>
                </c:pt>
                <c:pt idx="4">
                  <c:v>2016</c:v>
                </c:pt>
                <c:pt idx="5">
                  <c:v>2017</c:v>
                </c:pt>
                <c:pt idx="6">
                  <c:v>2018</c:v>
                </c:pt>
                <c:pt idx="7">
                  <c:v>2019 R</c:v>
                </c:pt>
                <c:pt idx="8">
                  <c:v>2020 R</c:v>
                </c:pt>
              </c:strCache>
            </c:strRef>
          </c:cat>
          <c:val>
            <c:numRef>
              <c:f>'MŠ 12 - 20'!$AF$115:$AN$115</c:f>
              <c:numCache>
                <c:formatCode>#,##0</c:formatCode>
                <c:ptCount val="9"/>
                <c:pt idx="0">
                  <c:v>30.321322460000001</c:v>
                </c:pt>
                <c:pt idx="1">
                  <c:v>34.382469439999994</c:v>
                </c:pt>
                <c:pt idx="2">
                  <c:v>34.11923092</c:v>
                </c:pt>
                <c:pt idx="3">
                  <c:v>38.903446219999999</c:v>
                </c:pt>
                <c:pt idx="4">
                  <c:v>48.406318899999995</c:v>
                </c:pt>
                <c:pt idx="5">
                  <c:v>104.50545668000001</c:v>
                </c:pt>
                <c:pt idx="6">
                  <c:v>68.228430930000002</c:v>
                </c:pt>
                <c:pt idx="7">
                  <c:v>92.861418999999998</c:v>
                </c:pt>
                <c:pt idx="8">
                  <c:v>75.007963000000004</c:v>
                </c:pt>
              </c:numCache>
            </c:numRef>
          </c:val>
          <c:extLst>
            <c:ext xmlns:c16="http://schemas.microsoft.com/office/drawing/2014/chart" uri="{C3380CC4-5D6E-409C-BE32-E72D297353CC}">
              <c16:uniqueId val="{00000003-5873-4BE7-A99B-2791E1C3FD52}"/>
            </c:ext>
          </c:extLst>
        </c:ser>
        <c:ser>
          <c:idx val="4"/>
          <c:order val="4"/>
          <c:tx>
            <c:strRef>
              <c:f>'MŠ 12 - 20'!$AE$116</c:f>
              <c:strCache>
                <c:ptCount val="1"/>
                <c:pt idx="0">
                  <c:v>ostatné</c:v>
                </c:pt>
              </c:strCache>
            </c:strRef>
          </c:tx>
          <c:spPr>
            <a:solidFill>
              <a:schemeClr val="accent5"/>
            </a:solidFill>
            <a:ln>
              <a:noFill/>
            </a:ln>
            <a:effectLst/>
          </c:spPr>
          <c:cat>
            <c:strRef>
              <c:f>'MŠ 12 - 20'!$AF$111:$AN$111</c:f>
              <c:strCache>
                <c:ptCount val="9"/>
                <c:pt idx="0">
                  <c:v>2012</c:v>
                </c:pt>
                <c:pt idx="1">
                  <c:v>2013</c:v>
                </c:pt>
                <c:pt idx="2">
                  <c:v>2014</c:v>
                </c:pt>
                <c:pt idx="3">
                  <c:v>2015</c:v>
                </c:pt>
                <c:pt idx="4">
                  <c:v>2016</c:v>
                </c:pt>
                <c:pt idx="5">
                  <c:v>2017</c:v>
                </c:pt>
                <c:pt idx="6">
                  <c:v>2018</c:v>
                </c:pt>
                <c:pt idx="7">
                  <c:v>2019 R</c:v>
                </c:pt>
                <c:pt idx="8">
                  <c:v>2020 R</c:v>
                </c:pt>
              </c:strCache>
            </c:strRef>
          </c:cat>
          <c:val>
            <c:numRef>
              <c:f>'MŠ 12 - 20'!$AF$116:$AN$116</c:f>
              <c:numCache>
                <c:formatCode>#,##0</c:formatCode>
                <c:ptCount val="9"/>
                <c:pt idx="0">
                  <c:v>263.9911193800001</c:v>
                </c:pt>
                <c:pt idx="1">
                  <c:v>352.71732451999998</c:v>
                </c:pt>
                <c:pt idx="2">
                  <c:v>436.39324378999999</c:v>
                </c:pt>
                <c:pt idx="3">
                  <c:v>700.84757489000015</c:v>
                </c:pt>
                <c:pt idx="4">
                  <c:v>136.35856676999998</c:v>
                </c:pt>
                <c:pt idx="5">
                  <c:v>118.44465648000002</c:v>
                </c:pt>
                <c:pt idx="6">
                  <c:v>161.66149363000011</c:v>
                </c:pt>
                <c:pt idx="7">
                  <c:v>191.75612799999999</c:v>
                </c:pt>
                <c:pt idx="8">
                  <c:v>115.532524</c:v>
                </c:pt>
              </c:numCache>
            </c:numRef>
          </c:val>
          <c:extLst>
            <c:ext xmlns:c16="http://schemas.microsoft.com/office/drawing/2014/chart" uri="{C3380CC4-5D6E-409C-BE32-E72D297353CC}">
              <c16:uniqueId val="{00000004-5873-4BE7-A99B-2791E1C3FD52}"/>
            </c:ext>
          </c:extLst>
        </c:ser>
        <c:dLbls>
          <c:showLegendKey val="0"/>
          <c:showVal val="0"/>
          <c:showCatName val="0"/>
          <c:showSerName val="0"/>
          <c:showPercent val="0"/>
          <c:showBubbleSize val="0"/>
        </c:dLbls>
        <c:axId val="198382976"/>
        <c:axId val="198381312"/>
      </c:areaChart>
      <c:catAx>
        <c:axId val="198382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198381312"/>
        <c:crosses val="autoZero"/>
        <c:auto val="1"/>
        <c:lblAlgn val="ctr"/>
        <c:lblOffset val="100"/>
        <c:noMultiLvlLbl val="0"/>
      </c:catAx>
      <c:valAx>
        <c:axId val="198381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198382976"/>
        <c:crosses val="autoZero"/>
        <c:crossBetween val="midCat"/>
      </c:valAx>
      <c:spPr>
        <a:noFill/>
        <a:ln>
          <a:noFill/>
        </a:ln>
        <a:effectLst/>
      </c:spPr>
    </c:plotArea>
    <c:legend>
      <c:legendPos val="l"/>
      <c:legendEntry>
        <c:idx val="3"/>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Entry>
      <c:layout>
        <c:manualLayout>
          <c:xMode val="edge"/>
          <c:yMode val="edge"/>
          <c:x val="1.8099547511312219E-2"/>
          <c:y val="2.8007234389818926E-2"/>
          <c:w val="0.32082999969831355"/>
          <c:h val="0.9495877721167207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sz="1000">
          <a:solidFill>
            <a:sysClr val="windowText" lastClr="000000"/>
          </a:solidFill>
          <a:latin typeface="Arial Narrow" panose="020B0606020202030204" pitchFamily="34" charset="0"/>
        </a:defRPr>
      </a:pPr>
      <a:endParaRPr lang="sk-SK"/>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'program výchova detí'!$C$62</c:f>
              <c:strCache>
                <c:ptCount val="1"/>
                <c:pt idx="0">
                  <c:v>MŠVVaŠ SR</c:v>
                </c:pt>
              </c:strCache>
            </c:strRef>
          </c:tx>
          <c:spPr>
            <a:solidFill>
              <a:schemeClr val="accent1"/>
            </a:solidFill>
            <a:ln>
              <a:noFill/>
            </a:ln>
            <a:effectLst/>
          </c:spPr>
          <c:invertIfNegative val="0"/>
          <c:cat>
            <c:strRef>
              <c:f>'program výchova detí'!$D$61:$T$61</c:f>
              <c:strCach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 R</c:v>
                </c:pt>
                <c:pt idx="16">
                  <c:v>2020 R</c:v>
                </c:pt>
              </c:strCache>
            </c:strRef>
          </c:cat>
          <c:val>
            <c:numRef>
              <c:f>'program výchova detí'!$D$62:$T$62</c:f>
              <c:numCache>
                <c:formatCode>#,##0</c:formatCode>
                <c:ptCount val="17"/>
                <c:pt idx="0">
                  <c:v>1004.64227891</c:v>
                </c:pt>
                <c:pt idx="1">
                  <c:v>1040.4056328500001</c:v>
                </c:pt>
                <c:pt idx="2">
                  <c:v>1114.4871686099998</c:v>
                </c:pt>
                <c:pt idx="3">
                  <c:v>1134.03342357</c:v>
                </c:pt>
                <c:pt idx="4">
                  <c:v>1214.4870911500002</c:v>
                </c:pt>
                <c:pt idx="5">
                  <c:v>1321.78857681</c:v>
                </c:pt>
                <c:pt idx="6">
                  <c:v>1325.37388816</c:v>
                </c:pt>
                <c:pt idx="7">
                  <c:v>1322.1781156900001</c:v>
                </c:pt>
                <c:pt idx="8">
                  <c:v>1359.2540351</c:v>
                </c:pt>
                <c:pt idx="9">
                  <c:v>432.98506216000004</c:v>
                </c:pt>
                <c:pt idx="10">
                  <c:v>437.22059942999999</c:v>
                </c:pt>
                <c:pt idx="11">
                  <c:v>461.93481557999996</c:v>
                </c:pt>
                <c:pt idx="12">
                  <c:v>462.60310272000004</c:v>
                </c:pt>
                <c:pt idx="13">
                  <c:v>468.82128976999996</c:v>
                </c:pt>
                <c:pt idx="14">
                  <c:v>474.62729401000001</c:v>
                </c:pt>
                <c:pt idx="15">
                  <c:v>559.36132699999996</c:v>
                </c:pt>
                <c:pt idx="16">
                  <c:v>654.24156100000005</c:v>
                </c:pt>
              </c:numCache>
            </c:numRef>
          </c:val>
          <c:extLst>
            <c:ext xmlns:c16="http://schemas.microsoft.com/office/drawing/2014/chart" uri="{C3380CC4-5D6E-409C-BE32-E72D297353CC}">
              <c16:uniqueId val="{00000000-3ACC-413C-B674-CD73E851E424}"/>
            </c:ext>
          </c:extLst>
        </c:ser>
        <c:ser>
          <c:idx val="1"/>
          <c:order val="1"/>
          <c:tx>
            <c:strRef>
              <c:f>'program výchova detí'!$C$63</c:f>
              <c:strCache>
                <c:ptCount val="1"/>
                <c:pt idx="0">
                  <c:v>MV SR</c:v>
                </c:pt>
              </c:strCache>
            </c:strRef>
          </c:tx>
          <c:spPr>
            <a:solidFill>
              <a:schemeClr val="accent2"/>
            </a:solidFill>
            <a:ln>
              <a:noFill/>
            </a:ln>
            <a:effectLst/>
          </c:spPr>
          <c:invertIfNegative val="0"/>
          <c:cat>
            <c:strRef>
              <c:f>'program výchova detí'!$D$61:$T$61</c:f>
              <c:strCach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 R</c:v>
                </c:pt>
                <c:pt idx="16">
                  <c:v>2020 R</c:v>
                </c:pt>
              </c:strCache>
            </c:strRef>
          </c:cat>
          <c:val>
            <c:numRef>
              <c:f>'program výchova detí'!$D$63:$T$63</c:f>
              <c:numCache>
                <c:formatCode>#,##0</c:formatCode>
                <c:ptCount val="17"/>
                <c:pt idx="0">
                  <c:v>0</c:v>
                </c:pt>
                <c:pt idx="1">
                  <c:v>0</c:v>
                </c:pt>
                <c:pt idx="2">
                  <c:v>0</c:v>
                </c:pt>
                <c:pt idx="3">
                  <c:v>0</c:v>
                </c:pt>
                <c:pt idx="4">
                  <c:v>0</c:v>
                </c:pt>
                <c:pt idx="5">
                  <c:v>0</c:v>
                </c:pt>
                <c:pt idx="6">
                  <c:v>0</c:v>
                </c:pt>
                <c:pt idx="7">
                  <c:v>0</c:v>
                </c:pt>
                <c:pt idx="8">
                  <c:v>0</c:v>
                </c:pt>
                <c:pt idx="9">
                  <c:v>963.79716580999991</c:v>
                </c:pt>
                <c:pt idx="10">
                  <c:v>1015.1477240700001</c:v>
                </c:pt>
                <c:pt idx="11">
                  <c:v>1070.30609742</c:v>
                </c:pt>
                <c:pt idx="12">
                  <c:v>1137.2823785200001</c:v>
                </c:pt>
                <c:pt idx="13">
                  <c:v>1205.5503707</c:v>
                </c:pt>
                <c:pt idx="14">
                  <c:v>1254.7557771900001</c:v>
                </c:pt>
                <c:pt idx="15">
                  <c:v>1179.6693150000001</c:v>
                </c:pt>
                <c:pt idx="16">
                  <c:v>1440.2598539999999</c:v>
                </c:pt>
              </c:numCache>
            </c:numRef>
          </c:val>
          <c:extLst>
            <c:ext xmlns:c16="http://schemas.microsoft.com/office/drawing/2014/chart" uri="{C3380CC4-5D6E-409C-BE32-E72D297353CC}">
              <c16:uniqueId val="{00000001-3ACC-413C-B674-CD73E851E424}"/>
            </c:ext>
          </c:extLst>
        </c:ser>
        <c:ser>
          <c:idx val="2"/>
          <c:order val="2"/>
          <c:tx>
            <c:strRef>
              <c:f>'program výchova detí'!$C$64</c:f>
              <c:strCache>
                <c:ptCount val="1"/>
                <c:pt idx="0">
                  <c:v>spolu</c:v>
                </c:pt>
              </c:strCache>
            </c:strRef>
          </c:tx>
          <c:spPr>
            <a:no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výchova detí'!$D$61:$T$61</c:f>
              <c:strCach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 R</c:v>
                </c:pt>
                <c:pt idx="16">
                  <c:v>2020 R</c:v>
                </c:pt>
              </c:strCache>
            </c:strRef>
          </c:cat>
          <c:val>
            <c:numRef>
              <c:f>'program výchova detí'!$D$64:$T$64</c:f>
              <c:numCache>
                <c:formatCode>#,##0</c:formatCode>
                <c:ptCount val="17"/>
                <c:pt idx="0">
                  <c:v>1004.64227891</c:v>
                </c:pt>
                <c:pt idx="1">
                  <c:v>1040.4056328500001</c:v>
                </c:pt>
                <c:pt idx="2">
                  <c:v>1114.4871686099998</c:v>
                </c:pt>
                <c:pt idx="3">
                  <c:v>1134.03342357</c:v>
                </c:pt>
                <c:pt idx="4">
                  <c:v>1214.4870911500002</c:v>
                </c:pt>
                <c:pt idx="5">
                  <c:v>1321.78857681</c:v>
                </c:pt>
                <c:pt idx="6">
                  <c:v>1325.37388816</c:v>
                </c:pt>
                <c:pt idx="7">
                  <c:v>1322.1781156900001</c:v>
                </c:pt>
                <c:pt idx="8">
                  <c:v>1359.2540351</c:v>
                </c:pt>
                <c:pt idx="9">
                  <c:v>1396.7822279699999</c:v>
                </c:pt>
                <c:pt idx="10">
                  <c:v>1452.3683235000001</c:v>
                </c:pt>
                <c:pt idx="11">
                  <c:v>1532.2409130000001</c:v>
                </c:pt>
                <c:pt idx="12">
                  <c:v>1599.88548124</c:v>
                </c:pt>
                <c:pt idx="13">
                  <c:v>1674.3716604700001</c:v>
                </c:pt>
                <c:pt idx="14">
                  <c:v>1729.3830712000001</c:v>
                </c:pt>
                <c:pt idx="15">
                  <c:v>1739.0306420000002</c:v>
                </c:pt>
                <c:pt idx="16">
                  <c:v>2094.5014149999997</c:v>
                </c:pt>
              </c:numCache>
            </c:numRef>
          </c:val>
          <c:extLst>
            <c:ext xmlns:c16="http://schemas.microsoft.com/office/drawing/2014/chart" uri="{C3380CC4-5D6E-409C-BE32-E72D297353CC}">
              <c16:uniqueId val="{00000002-3ACC-413C-B674-CD73E851E424}"/>
            </c:ext>
          </c:extLst>
        </c:ser>
        <c:dLbls>
          <c:showLegendKey val="0"/>
          <c:showVal val="0"/>
          <c:showCatName val="0"/>
          <c:showSerName val="0"/>
          <c:showPercent val="0"/>
          <c:showBubbleSize val="0"/>
        </c:dLbls>
        <c:gapWidth val="150"/>
        <c:overlap val="100"/>
        <c:axId val="121768496"/>
        <c:axId val="121779312"/>
      </c:barChart>
      <c:lineChart>
        <c:grouping val="standard"/>
        <c:varyColors val="0"/>
        <c:ser>
          <c:idx val="3"/>
          <c:order val="3"/>
          <c:tx>
            <c:strRef>
              <c:f>'program výchova detí'!$C$65</c:f>
              <c:strCache>
                <c:ptCount val="1"/>
                <c:pt idx="0">
                  <c:v>medziročný rast v %</c:v>
                </c:pt>
              </c:strCache>
            </c:strRef>
          </c:tx>
          <c:spPr>
            <a:ln w="28575" cap="rnd">
              <a:noFill/>
              <a:round/>
            </a:ln>
            <a:effectLst/>
          </c:spPr>
          <c:marker>
            <c:symbol val="triangle"/>
            <c:size val="8"/>
            <c:spPr>
              <a:solidFill>
                <a:schemeClr val="tx1">
                  <a:lumMod val="85000"/>
                  <a:lumOff val="15000"/>
                </a:schemeClr>
              </a:solidFill>
              <a:ln w="9525">
                <a:noFill/>
              </a:ln>
              <a:effectLst/>
            </c:spPr>
          </c:marker>
          <c:dPt>
            <c:idx val="0"/>
            <c:marker>
              <c:symbol val="triangle"/>
              <c:size val="8"/>
              <c:spPr>
                <a:noFill/>
                <a:ln w="9525">
                  <a:noFill/>
                </a:ln>
                <a:effectLst/>
              </c:spPr>
            </c:marker>
            <c:bubble3D val="0"/>
            <c:extLst>
              <c:ext xmlns:c16="http://schemas.microsoft.com/office/drawing/2014/chart" uri="{C3380CC4-5D6E-409C-BE32-E72D297353CC}">
                <c16:uniqueId val="{00000003-3ACC-413C-B674-CD73E851E424}"/>
              </c:ext>
            </c:extLst>
          </c:dPt>
          <c:dLbls>
            <c:dLbl>
              <c:idx val="0"/>
              <c:delete val="1"/>
              <c:extLst>
                <c:ext xmlns:c15="http://schemas.microsoft.com/office/drawing/2012/chart" uri="{CE6537A1-D6FC-4f65-9D91-7224C49458BB}"/>
                <c:ext xmlns:c16="http://schemas.microsoft.com/office/drawing/2014/chart" uri="{C3380CC4-5D6E-409C-BE32-E72D297353CC}">
                  <c16:uniqueId val="{00000003-3ACC-413C-B674-CD73E851E424}"/>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výchova detí'!$D$61:$T$61</c:f>
              <c:strCach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 R</c:v>
                </c:pt>
                <c:pt idx="16">
                  <c:v>2020 R</c:v>
                </c:pt>
              </c:strCache>
            </c:strRef>
          </c:cat>
          <c:val>
            <c:numRef>
              <c:f>'program výchova detí'!$D$65:$T$65</c:f>
              <c:numCache>
                <c:formatCode>_(* #,##0.00_);_(* \(#,##0.00\);_(* "-"??_);_(@_)</c:formatCode>
                <c:ptCount val="17"/>
                <c:pt idx="1">
                  <c:v>3.5598097642080169</c:v>
                </c:pt>
                <c:pt idx="2">
                  <c:v>7.1204473929141434</c:v>
                </c:pt>
                <c:pt idx="3">
                  <c:v>1.7538340063958264</c:v>
                </c:pt>
                <c:pt idx="4">
                  <c:v>7.0944705780123867</c:v>
                </c:pt>
                <c:pt idx="5">
                  <c:v>8.8351277211514709</c:v>
                </c:pt>
                <c:pt idx="6">
                  <c:v>0.27124696134481369</c:v>
                </c:pt>
                <c:pt idx="7">
                  <c:v>-0.24112233525563787</c:v>
                </c:pt>
                <c:pt idx="8">
                  <c:v>2.8041546725080377</c:v>
                </c:pt>
                <c:pt idx="9">
                  <c:v>2.7609403320431523</c:v>
                </c:pt>
                <c:pt idx="10">
                  <c:v>3.9795821006962351</c:v>
                </c:pt>
                <c:pt idx="11">
                  <c:v>5.4994720146139295</c:v>
                </c:pt>
                <c:pt idx="12">
                  <c:v>4.414747554779586</c:v>
                </c:pt>
                <c:pt idx="13">
                  <c:v>4.6557194313851227</c:v>
                </c:pt>
                <c:pt idx="14">
                  <c:v>3.2854958088909751</c:v>
                </c:pt>
                <c:pt idx="15">
                  <c:v>0.98064795029937835</c:v>
                </c:pt>
                <c:pt idx="16">
                  <c:v>20.440742354670917</c:v>
                </c:pt>
              </c:numCache>
            </c:numRef>
          </c:val>
          <c:smooth val="0"/>
          <c:extLst>
            <c:ext xmlns:c16="http://schemas.microsoft.com/office/drawing/2014/chart" uri="{C3380CC4-5D6E-409C-BE32-E72D297353CC}">
              <c16:uniqueId val="{00000004-3ACC-413C-B674-CD73E851E424}"/>
            </c:ext>
          </c:extLst>
        </c:ser>
        <c:dLbls>
          <c:showLegendKey val="0"/>
          <c:showVal val="0"/>
          <c:showCatName val="0"/>
          <c:showSerName val="0"/>
          <c:showPercent val="0"/>
          <c:showBubbleSize val="0"/>
        </c:dLbls>
        <c:marker val="1"/>
        <c:smooth val="0"/>
        <c:axId val="121771408"/>
        <c:axId val="121768912"/>
        <c:extLst>
          <c:ext xmlns:c15="http://schemas.microsoft.com/office/drawing/2012/chart" uri="{02D57815-91ED-43cb-92C2-25804820EDAC}">
            <c15:filteredLineSeries>
              <c15:ser>
                <c:idx val="4"/>
                <c:order val="4"/>
                <c:tx>
                  <c:strRef>
                    <c:extLst>
                      <c:ext uri="{02D57815-91ED-43cb-92C2-25804820EDAC}">
                        <c15:formulaRef>
                          <c15:sqref>'program výchova detí'!$C$66</c15:sqref>
                        </c15:formulaRef>
                      </c:ext>
                    </c:extLst>
                    <c:strCache>
                      <c:ptCount val="1"/>
                      <c:pt idx="0">
                        <c:v>priemerný rast 2004 - 2012</c:v>
                      </c:pt>
                    </c:strCache>
                  </c:strRef>
                </c:tx>
                <c:spPr>
                  <a:ln w="28575" cap="rnd">
                    <a:solidFill>
                      <a:schemeClr val="accent5"/>
                    </a:solidFill>
                    <a:round/>
                  </a:ln>
                  <a:effectLst/>
                </c:spPr>
                <c:marker>
                  <c:symbol val="none"/>
                </c:marker>
                <c:cat>
                  <c:strRef>
                    <c:extLst>
                      <c:ext uri="{02D57815-91ED-43cb-92C2-25804820EDAC}">
                        <c15:formulaRef>
                          <c15:sqref>'program výchova detí'!$D$61:$T$61</c15:sqref>
                        </c15:formulaRef>
                      </c:ext>
                    </c:extLst>
                    <c:strCach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 R</c:v>
                      </c:pt>
                      <c:pt idx="16">
                        <c:v>2020 R</c:v>
                      </c:pt>
                    </c:strCache>
                  </c:strRef>
                </c:cat>
                <c:val>
                  <c:numRef>
                    <c:extLst>
                      <c:ext uri="{02D57815-91ED-43cb-92C2-25804820EDAC}">
                        <c15:formulaRef>
                          <c15:sqref>'program výchova detí'!$D$66:$L$66</c15:sqref>
                        </c15:formulaRef>
                      </c:ext>
                    </c:extLst>
                    <c:numCache>
                      <c:formatCode>_(* #,##0.00_);_(* \(#,##0.00\);_(* "-"??_);_(@_)</c:formatCode>
                      <c:ptCount val="9"/>
                      <c:pt idx="1">
                        <c:v>3.8997460951598826</c:v>
                      </c:pt>
                      <c:pt idx="2">
                        <c:v>3.8997460951598826</c:v>
                      </c:pt>
                      <c:pt idx="3">
                        <c:v>3.8997460951598826</c:v>
                      </c:pt>
                      <c:pt idx="4">
                        <c:v>3.8997460951598826</c:v>
                      </c:pt>
                      <c:pt idx="5">
                        <c:v>3.8997460951598826</c:v>
                      </c:pt>
                      <c:pt idx="6">
                        <c:v>3.8997460951598826</c:v>
                      </c:pt>
                      <c:pt idx="7">
                        <c:v>3.8997460951598826</c:v>
                      </c:pt>
                      <c:pt idx="8">
                        <c:v>3.8997460951598826</c:v>
                      </c:pt>
                    </c:numCache>
                  </c:numRef>
                </c:val>
                <c:smooth val="0"/>
                <c:extLst>
                  <c:ext xmlns:c16="http://schemas.microsoft.com/office/drawing/2014/chart" uri="{C3380CC4-5D6E-409C-BE32-E72D297353CC}">
                    <c16:uniqueId val="{00000005-3ACC-413C-B674-CD73E851E424}"/>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'program výchova detí'!$C$67</c15:sqref>
                        </c15:formulaRef>
                      </c:ext>
                    </c:extLst>
                    <c:strCache>
                      <c:ptCount val="1"/>
                      <c:pt idx="0">
                        <c:v>priemerný rast 2013 - 2018</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'program výchova detí'!$D$61:$T$61</c15:sqref>
                        </c15:formulaRef>
                      </c:ext>
                    </c:extLst>
                    <c:strCach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 R</c:v>
                      </c:pt>
                      <c:pt idx="16">
                        <c:v>2020 R</c:v>
                      </c:pt>
                    </c:strCache>
                  </c:strRef>
                </c:cat>
                <c:val>
                  <c:numRef>
                    <c:extLst xmlns:c15="http://schemas.microsoft.com/office/drawing/2012/chart">
                      <c:ext xmlns:c15="http://schemas.microsoft.com/office/drawing/2012/chart" uri="{02D57815-91ED-43cb-92C2-25804820EDAC}">
                        <c15:formulaRef>
                          <c15:sqref>'program výchova detí'!$D$67:$T$67</c15:sqref>
                        </c15:formulaRef>
                      </c:ext>
                    </c:extLst>
                    <c:numCache>
                      <c:formatCode>General</c:formatCode>
                      <c:ptCount val="17"/>
                      <c:pt idx="9" formatCode="_(* #,##0.00_);_(* \(#,##0.00\);_(* &quot;-&quot;??_);_(@_)">
                        <c:v>4.0993262070681675</c:v>
                      </c:pt>
                      <c:pt idx="10" formatCode="_(* #,##0.00_);_(* \(#,##0.00\);_(* &quot;-&quot;??_);_(@_)">
                        <c:v>4.0993262070681675</c:v>
                      </c:pt>
                      <c:pt idx="11" formatCode="_(* #,##0.00_);_(* \(#,##0.00\);_(* &quot;-&quot;??_);_(@_)">
                        <c:v>4.0993262070681675</c:v>
                      </c:pt>
                      <c:pt idx="12" formatCode="_(* #,##0.00_);_(* \(#,##0.00\);_(* &quot;-&quot;??_);_(@_)">
                        <c:v>4.0993262070681675</c:v>
                      </c:pt>
                      <c:pt idx="13" formatCode="_(* #,##0.00_);_(* \(#,##0.00\);_(* &quot;-&quot;??_);_(@_)">
                        <c:v>4.0993262070681675</c:v>
                      </c:pt>
                      <c:pt idx="14" formatCode="_(* #,##0.00_);_(* \(#,##0.00\);_(* &quot;-&quot;??_);_(@_)">
                        <c:v>4.0993262070681675</c:v>
                      </c:pt>
                    </c:numCache>
                  </c:numRef>
                </c:val>
                <c:smooth val="0"/>
                <c:extLst xmlns:c15="http://schemas.microsoft.com/office/drawing/2012/chart">
                  <c:ext xmlns:c16="http://schemas.microsoft.com/office/drawing/2014/chart" uri="{C3380CC4-5D6E-409C-BE32-E72D297353CC}">
                    <c16:uniqueId val="{00000006-3ACC-413C-B674-CD73E851E424}"/>
                  </c:ext>
                </c:extLst>
              </c15:ser>
            </c15:filteredLineSeries>
          </c:ext>
        </c:extLst>
      </c:lineChart>
      <c:catAx>
        <c:axId val="121768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21779312"/>
        <c:crosses val="autoZero"/>
        <c:auto val="1"/>
        <c:lblAlgn val="ctr"/>
        <c:lblOffset val="100"/>
        <c:noMultiLvlLbl val="0"/>
      </c:catAx>
      <c:valAx>
        <c:axId val="121779312"/>
        <c:scaling>
          <c:orientation val="minMax"/>
          <c:max val="23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21768496"/>
        <c:crosses val="autoZero"/>
        <c:crossBetween val="between"/>
      </c:valAx>
      <c:valAx>
        <c:axId val="121768912"/>
        <c:scaling>
          <c:orientation val="minMax"/>
          <c:min val="-2"/>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21771408"/>
        <c:crosses val="max"/>
        <c:crossBetween val="between"/>
      </c:valAx>
      <c:catAx>
        <c:axId val="121771408"/>
        <c:scaling>
          <c:orientation val="minMax"/>
        </c:scaling>
        <c:delete val="1"/>
        <c:axPos val="b"/>
        <c:numFmt formatCode="General" sourceLinked="1"/>
        <c:majorTickMark val="out"/>
        <c:minorTickMark val="none"/>
        <c:tickLblPos val="nextTo"/>
        <c:crossAx val="121768912"/>
        <c:crosses val="autoZero"/>
        <c:auto val="1"/>
        <c:lblAlgn val="ctr"/>
        <c:lblOffset val="100"/>
        <c:noMultiLvlLbl val="0"/>
      </c:cat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sz="1000">
          <a:latin typeface="Arial Narrow" panose="020B0606020202030204" pitchFamily="34" charset="0"/>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E14C-2E02-4C26-9A37-5B6ADDB5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19724</Words>
  <Characters>112429</Characters>
  <Application>Microsoft Office Word</Application>
  <DocSecurity>0</DocSecurity>
  <Lines>936</Lines>
  <Paragraphs>263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131890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Gaspar Igor</dc:creator>
  <cp:lastModifiedBy>Gaspar Igor</cp:lastModifiedBy>
  <cp:revision>47</cp:revision>
  <cp:lastPrinted>2019-11-08T08:55:00Z</cp:lastPrinted>
  <dcterms:created xsi:type="dcterms:W3CDTF">2019-11-07T12:12:00Z</dcterms:created>
  <dcterms:modified xsi:type="dcterms:W3CDTF">2019-11-08T09:08:00Z</dcterms:modified>
</cp:coreProperties>
</file>