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7F" w:rsidRPr="002529F5" w:rsidRDefault="009779CA" w:rsidP="00E0238E">
      <w:pPr>
        <w:spacing w:line="360" w:lineRule="auto"/>
        <w:contextualSpacing/>
        <w:jc w:val="center"/>
        <w:rPr>
          <w:b/>
        </w:rPr>
      </w:pPr>
      <w:r w:rsidRPr="002529F5">
        <w:rPr>
          <w:b/>
        </w:rPr>
        <w:t>D ô v o d o v á   s p r á v a</w:t>
      </w:r>
    </w:p>
    <w:p w:rsidR="0067287F" w:rsidRPr="002529F5" w:rsidRDefault="0067287F" w:rsidP="00E0238E">
      <w:pPr>
        <w:spacing w:line="360" w:lineRule="auto"/>
        <w:contextualSpacing/>
        <w:jc w:val="both"/>
      </w:pPr>
    </w:p>
    <w:p w:rsidR="006860B6" w:rsidRPr="002529F5" w:rsidRDefault="006860B6" w:rsidP="00E0238E">
      <w:pPr>
        <w:spacing w:line="360" w:lineRule="auto"/>
        <w:contextualSpacing/>
        <w:jc w:val="both"/>
      </w:pPr>
    </w:p>
    <w:p w:rsidR="0067287F" w:rsidRPr="002529F5" w:rsidRDefault="009779CA" w:rsidP="00E0238E">
      <w:pPr>
        <w:spacing w:line="360" w:lineRule="auto"/>
        <w:contextualSpacing/>
        <w:jc w:val="both"/>
        <w:rPr>
          <w:b/>
        </w:rPr>
      </w:pPr>
      <w:r w:rsidRPr="002529F5">
        <w:rPr>
          <w:b/>
        </w:rPr>
        <w:t>A. Všeobecná časť</w:t>
      </w:r>
    </w:p>
    <w:p w:rsidR="002473D6" w:rsidRDefault="002473D6" w:rsidP="00E0238E">
      <w:pPr>
        <w:spacing w:line="360" w:lineRule="auto"/>
        <w:jc w:val="both"/>
      </w:pPr>
    </w:p>
    <w:p w:rsidR="00EF6573" w:rsidRDefault="00BF1F4C" w:rsidP="004D13EC">
      <w:pPr>
        <w:spacing w:line="360" w:lineRule="auto"/>
        <w:contextualSpacing/>
        <w:jc w:val="both"/>
      </w:pPr>
      <w:r>
        <w:t xml:space="preserve">Predkladaný návrh zákona </w:t>
      </w:r>
      <w:r w:rsidR="004D13EC">
        <w:t xml:space="preserve">reaguje </w:t>
      </w:r>
      <w:r>
        <w:t>na</w:t>
      </w:r>
      <w:r w:rsidR="0096484A">
        <w:t xml:space="preserve"> snahy</w:t>
      </w:r>
      <w:r>
        <w:t xml:space="preserve"> </w:t>
      </w:r>
      <w:r w:rsidR="00AA2EB7" w:rsidRPr="008A5354">
        <w:t>odborníkov v oblasti slovenského posunkového jazyka a</w:t>
      </w:r>
      <w:r w:rsidR="00AA2EB7">
        <w:t xml:space="preserve"> príslušných orgánov štátnej správy </w:t>
      </w:r>
      <w:r w:rsidRPr="00BF1F4C">
        <w:t xml:space="preserve">o zlepšenie postavenia slovenského posunkového jazyka, </w:t>
      </w:r>
      <w:r w:rsidR="0031121D">
        <w:t>pri</w:t>
      </w:r>
      <w:r w:rsidR="0096484A">
        <w:t>r</w:t>
      </w:r>
      <w:r w:rsidR="0031121D">
        <w:t xml:space="preserve">odzeným </w:t>
      </w:r>
      <w:r w:rsidR="00AA2EB7">
        <w:t xml:space="preserve">výsledkom </w:t>
      </w:r>
      <w:r w:rsidR="00830ABC">
        <w:t>ktorého</w:t>
      </w:r>
      <w:r w:rsidR="00AA2EB7">
        <w:t xml:space="preserve"> by mala byť jeho kodifikácia. </w:t>
      </w:r>
    </w:p>
    <w:p w:rsidR="004D13EC" w:rsidRDefault="004D13EC" w:rsidP="004D13EC">
      <w:pPr>
        <w:spacing w:line="360" w:lineRule="auto"/>
        <w:contextualSpacing/>
        <w:jc w:val="both"/>
      </w:pPr>
    </w:p>
    <w:p w:rsidR="00EF6573" w:rsidRDefault="0096484A" w:rsidP="004D13EC">
      <w:pPr>
        <w:spacing w:line="360" w:lineRule="auto"/>
        <w:contextualSpacing/>
        <w:jc w:val="both"/>
      </w:pPr>
      <w:r>
        <w:t>Tieto snaženia nie sú žiadnou novinkou, m</w:t>
      </w:r>
      <w:r w:rsidR="00746076">
        <w:t>yšlienka kodifikácie slovenského posunkového jazyka sa objavila už v Programovom vyhlásení vlády Slovenskej republiky na obdobie rokov 2010-2014, v ktorom bol v časti 3.4 Školstvo, veda, mládež a šport definovaný záväzok</w:t>
      </w:r>
      <w:r>
        <w:t xml:space="preserve"> podľa ktorého:</w:t>
      </w:r>
      <w:r w:rsidR="00746076">
        <w:t xml:space="preserve"> </w:t>
      </w:r>
      <w:r w:rsidR="00746076" w:rsidRPr="0096484A">
        <w:rPr>
          <w:i/>
        </w:rPr>
        <w:t>„Vláda SR iniciuje diskusiu o kodifikácii posunkového jazyka a rozšíri podporné služby pre zdravotne postihnutých.“</w:t>
      </w:r>
      <w:r>
        <w:t xml:space="preserve"> </w:t>
      </w:r>
    </w:p>
    <w:p w:rsidR="00F7084F" w:rsidRDefault="00F7084F" w:rsidP="00E0238E">
      <w:pPr>
        <w:spacing w:line="360" w:lineRule="auto"/>
        <w:contextualSpacing/>
        <w:jc w:val="both"/>
      </w:pPr>
    </w:p>
    <w:p w:rsidR="00830ABC" w:rsidRDefault="0096484A" w:rsidP="00E0238E">
      <w:pPr>
        <w:spacing w:line="360" w:lineRule="auto"/>
        <w:contextualSpacing/>
        <w:jc w:val="both"/>
      </w:pPr>
      <w:r>
        <w:t xml:space="preserve">V roku 2017 </w:t>
      </w:r>
      <w:r w:rsidR="009E2322">
        <w:t>bola na rokovanie Národnej rady Slovenskej republiky Minister</w:t>
      </w:r>
      <w:r w:rsidR="008422C1">
        <w:t xml:space="preserve">stvom školstva, vedy, výskumu a </w:t>
      </w:r>
      <w:r w:rsidR="009E2322">
        <w:t>športu SR predložená poslanecká novela k zákonu č. 149/1995 Z. z. o posunkovej reči nepočujúcich osôb, ktorá bola schválená a vyhlásená ako zákon č. 151/2017 Z. z.</w:t>
      </w:r>
      <w:r w:rsidR="000472DA">
        <w:t>,</w:t>
      </w:r>
      <w:r w:rsidR="009E2322">
        <w:t xml:space="preserve"> ktorým sa mení a dopĺňa zákon Národnej rady Slovenskej republiky č. 149/1995 Z. z. o posunkovej reči nepočujúcich osôb a ktorým sa mení a dopĺňa zákon č. 245/2008 Z. z. o výchove  a vzdelávaní (školský zákon)</w:t>
      </w:r>
      <w:r w:rsidR="00EF6573">
        <w:t xml:space="preserve"> a o zmene a doplnení niektorých zákonov v znení neskorších predpisov.</w:t>
      </w:r>
    </w:p>
    <w:p w:rsidR="00F7084F" w:rsidRDefault="00F7084F" w:rsidP="00EE4452">
      <w:pPr>
        <w:spacing w:line="360" w:lineRule="auto"/>
        <w:contextualSpacing/>
        <w:jc w:val="both"/>
      </w:pPr>
    </w:p>
    <w:p w:rsidR="00EE4452" w:rsidRDefault="00282232" w:rsidP="00EE4452">
      <w:pPr>
        <w:spacing w:line="360" w:lineRule="auto"/>
        <w:contextualSpacing/>
        <w:jc w:val="both"/>
      </w:pPr>
      <w:r>
        <w:t xml:space="preserve">V roku </w:t>
      </w:r>
      <w:r w:rsidR="004A15B2">
        <w:t>2018 bol S</w:t>
      </w:r>
      <w:r>
        <w:t>lovenský posunkový jazyk zapísa</w:t>
      </w:r>
      <w:r w:rsidR="004A15B2">
        <w:t>ný do R</w:t>
      </w:r>
      <w:r>
        <w:t>eprezentatívneho zoznamu nehmotného kultúrneho dedičstva Slovenska,</w:t>
      </w:r>
      <w:r w:rsidR="008422C1">
        <w:t xml:space="preserve"> v ktorom sa uvádza, že:</w:t>
      </w:r>
      <w:r>
        <w:t xml:space="preserve"> </w:t>
      </w:r>
      <w:r w:rsidR="008422C1">
        <w:t>„</w:t>
      </w:r>
      <w:r w:rsidR="008422C1" w:rsidRPr="008422C1">
        <w:rPr>
          <w:i/>
        </w:rPr>
        <w:t>Posunkový jazyk je nielen dorozumievacím prostriedkom, ale hlavne šíriteľom slovenských tradícií, obyčajov, hodnôt, viery prenášaných z generácie na generáciu, čím sa stáva najvýznamnejším komunikačným nástro</w:t>
      </w:r>
      <w:r w:rsidR="008422C1">
        <w:rPr>
          <w:i/>
        </w:rPr>
        <w:t>jom n</w:t>
      </w:r>
      <w:r w:rsidR="008422C1" w:rsidRPr="008422C1">
        <w:rPr>
          <w:i/>
        </w:rPr>
        <w:t>epočujúcich a nositeľom ich kul</w:t>
      </w:r>
      <w:r w:rsidR="008422C1">
        <w:rPr>
          <w:i/>
        </w:rPr>
        <w:t>túrneho dedičstva, s ktorým sa n</w:t>
      </w:r>
      <w:r w:rsidR="008422C1" w:rsidRPr="008422C1">
        <w:rPr>
          <w:i/>
        </w:rPr>
        <w:t>epočujúci identifikujú. Kultúrna hod</w:t>
      </w:r>
      <w:r w:rsidR="00103A3E">
        <w:rPr>
          <w:i/>
        </w:rPr>
        <w:t xml:space="preserve">nota </w:t>
      </w:r>
      <w:r w:rsidR="008422C1" w:rsidRPr="008422C1">
        <w:rPr>
          <w:i/>
        </w:rPr>
        <w:t>posunkového jazyka však</w:t>
      </w:r>
      <w:r w:rsidR="008422C1">
        <w:rPr>
          <w:i/>
        </w:rPr>
        <w:t xml:space="preserve"> ďaleko presahuje spoločenstvo n</w:t>
      </w:r>
      <w:r w:rsidR="008422C1" w:rsidRPr="008422C1">
        <w:rPr>
          <w:i/>
        </w:rPr>
        <w:t>epočujúcich.</w:t>
      </w:r>
      <w:r w:rsidR="008422C1">
        <w:rPr>
          <w:i/>
        </w:rPr>
        <w:t>“</w:t>
      </w:r>
      <w:r w:rsidR="00EE4452" w:rsidRPr="00EE4452">
        <w:t xml:space="preserve"> </w:t>
      </w:r>
    </w:p>
    <w:p w:rsidR="00F7084F" w:rsidRDefault="00F7084F" w:rsidP="00EE4452">
      <w:pPr>
        <w:spacing w:line="360" w:lineRule="auto"/>
        <w:contextualSpacing/>
        <w:jc w:val="both"/>
      </w:pPr>
    </w:p>
    <w:p w:rsidR="00C01B02" w:rsidRDefault="004A15B2" w:rsidP="00EE4452">
      <w:pPr>
        <w:spacing w:line="360" w:lineRule="auto"/>
        <w:contextualSpacing/>
        <w:jc w:val="both"/>
      </w:pPr>
      <w:r>
        <w:t xml:space="preserve">Stanoviská </w:t>
      </w:r>
      <w:r w:rsidR="00EE4591">
        <w:t xml:space="preserve">väčšiny </w:t>
      </w:r>
      <w:r>
        <w:t xml:space="preserve">odborníkov z danej </w:t>
      </w:r>
      <w:r w:rsidR="00EE4591">
        <w:t>oblasti</w:t>
      </w:r>
      <w:r>
        <w:t xml:space="preserve"> sú jednoznačné</w:t>
      </w:r>
      <w:r w:rsidR="005752B8">
        <w:t xml:space="preserve">: </w:t>
      </w:r>
      <w:r w:rsidR="00FE3170">
        <w:t>s</w:t>
      </w:r>
      <w:r w:rsidR="00EE4591">
        <w:t xml:space="preserve">lovenský posunkový jazyk </w:t>
      </w:r>
      <w:r w:rsidR="00E65AC4">
        <w:t>nie je len akousi „pomocnou komunikačnou metódou“, je to plnohodnotný jazyk s </w:t>
      </w:r>
      <w:r w:rsidR="00EE4591">
        <w:t>vlast</w:t>
      </w:r>
      <w:r w:rsidR="00E65AC4">
        <w:t xml:space="preserve">nou </w:t>
      </w:r>
      <w:r w:rsidR="00EE4591">
        <w:t>slov</w:t>
      </w:r>
      <w:r w:rsidR="00E65AC4">
        <w:t>nou</w:t>
      </w:r>
      <w:r w:rsidR="00EE4591">
        <w:t xml:space="preserve"> zásob</w:t>
      </w:r>
      <w:r w:rsidR="00E65AC4">
        <w:t>ou a </w:t>
      </w:r>
      <w:r w:rsidR="00EE4591">
        <w:t>gramatik</w:t>
      </w:r>
      <w:r w:rsidR="00E65AC4">
        <w:t>o</w:t>
      </w:r>
      <w:r w:rsidR="00EE4591">
        <w:t>u</w:t>
      </w:r>
      <w:r w:rsidR="00E65AC4">
        <w:t>.</w:t>
      </w:r>
      <w:r w:rsidR="00EE4591">
        <w:t xml:space="preserve"> Kodifikáciou sa jazyk rozvíja a</w:t>
      </w:r>
      <w:r w:rsidR="00E65AC4">
        <w:t> </w:t>
      </w:r>
      <w:r w:rsidR="00EE4591">
        <w:t>kultivuje</w:t>
      </w:r>
      <w:r w:rsidR="00E65AC4">
        <w:t>,</w:t>
      </w:r>
      <w:r w:rsidR="00EE4591">
        <w:t xml:space="preserve"> a potom dokáže </w:t>
      </w:r>
      <w:r w:rsidR="00EE4591">
        <w:lastRenderedPageBreak/>
        <w:t xml:space="preserve">lepšie plniť komunikačné potreby </w:t>
      </w:r>
      <w:r w:rsidR="00E65AC4">
        <w:t xml:space="preserve">daného </w:t>
      </w:r>
      <w:r w:rsidR="00EE4591">
        <w:t>spo</w:t>
      </w:r>
      <w:r w:rsidR="00E65AC4">
        <w:t xml:space="preserve">ločenstva. </w:t>
      </w:r>
      <w:r w:rsidR="00EE4591">
        <w:t>Jazyky, ktoré majú svoju kodifikovanú formu</w:t>
      </w:r>
      <w:r w:rsidR="00E65AC4">
        <w:t xml:space="preserve">, majú zvyčajne aj vyšší status a </w:t>
      </w:r>
      <w:r w:rsidR="00EE4591">
        <w:t>v</w:t>
      </w:r>
      <w:r w:rsidR="003E2F44">
        <w:t xml:space="preserve">iac možností.  Kodifikáciou slovenského posunkového jazyka by došlo </w:t>
      </w:r>
      <w:r w:rsidR="00E204F1">
        <w:t xml:space="preserve">nielen </w:t>
      </w:r>
      <w:r w:rsidR="003E2F44">
        <w:t>k</w:t>
      </w:r>
      <w:r w:rsidR="00E204F1">
        <w:t xml:space="preserve"> jeho plnohodnotnému uznaniu ako legitímneho jazyka </w:t>
      </w:r>
      <w:r w:rsidR="00E204F1" w:rsidRPr="00BF1F4C">
        <w:t xml:space="preserve">osôb so sluchovým </w:t>
      </w:r>
      <w:r w:rsidR="00340041">
        <w:t>znevýhodnením</w:t>
      </w:r>
      <w:r w:rsidR="00B07926">
        <w:t>, ale aj</w:t>
      </w:r>
      <w:r w:rsidR="00E204F1">
        <w:t xml:space="preserve"> </w:t>
      </w:r>
      <w:r w:rsidR="0045371D">
        <w:t>k jeho posilneniu ako nástroja zabezpečujúceho ich kultúrne</w:t>
      </w:r>
      <w:r w:rsidR="00340041">
        <w:t>, </w:t>
      </w:r>
      <w:r w:rsidR="0045371D">
        <w:t>vzdelávacie</w:t>
      </w:r>
      <w:r w:rsidR="00340041">
        <w:t xml:space="preserve"> a i.</w:t>
      </w:r>
      <w:r w:rsidR="0045371D">
        <w:t xml:space="preserve"> potreby a </w:t>
      </w:r>
      <w:r w:rsidR="00B07926">
        <w:t>zlepšenie</w:t>
      </w:r>
      <w:r w:rsidR="0045371D">
        <w:t xml:space="preserve"> </w:t>
      </w:r>
      <w:r w:rsidR="00B07926">
        <w:t>kvality ich života.</w:t>
      </w:r>
      <w:r w:rsidR="00E204F1">
        <w:t xml:space="preserve"> </w:t>
      </w:r>
      <w:r w:rsidR="00E204F1" w:rsidRPr="00071B48">
        <w:rPr>
          <w:rFonts w:ascii="Fira Sans" w:hAnsi="Fira Sans"/>
          <w:b/>
          <w:iCs/>
          <w:sz w:val="20"/>
          <w:szCs w:val="20"/>
          <w:highlight w:val="yellow"/>
        </w:rPr>
        <w:t xml:space="preserve"> </w:t>
      </w:r>
    </w:p>
    <w:p w:rsidR="00F7084F" w:rsidRDefault="00F7084F" w:rsidP="00707A14">
      <w:pPr>
        <w:spacing w:line="360" w:lineRule="auto"/>
        <w:jc w:val="both"/>
      </w:pPr>
    </w:p>
    <w:p w:rsidR="00E91128" w:rsidRDefault="00C461E4" w:rsidP="00707A14">
      <w:pPr>
        <w:spacing w:line="360" w:lineRule="auto"/>
        <w:jc w:val="both"/>
      </w:pPr>
      <w:r>
        <w:t xml:space="preserve">Pred rokmi otvorená diskusia o kodifikácii slovenského posunkového jazyka sa teda dostáva do finálneho štádia, kedy je potrebné uskutočniť už len posledný krok, a tým je </w:t>
      </w:r>
      <w:r w:rsidR="004A15B2">
        <w:t>formálny akt</w:t>
      </w:r>
      <w:r>
        <w:t xml:space="preserve"> kodifikácie</w:t>
      </w:r>
      <w:r w:rsidR="00FE6F71">
        <w:t>, ktorým dôjde k uznaniu slovenského posunkového jazyka za samostatný a plnohodnotný jazyk</w:t>
      </w:r>
      <w:r w:rsidR="00C81DCB">
        <w:t xml:space="preserve">. </w:t>
      </w:r>
      <w:r w:rsidR="004A15B2">
        <w:t xml:space="preserve"> </w:t>
      </w:r>
      <w:r w:rsidR="005752B8">
        <w:t>Samotný akt kodifikácie</w:t>
      </w:r>
      <w:r w:rsidR="00C81DCB" w:rsidRPr="003546FF">
        <w:t xml:space="preserve"> jazyka </w:t>
      </w:r>
      <w:r w:rsidR="007457BB">
        <w:t xml:space="preserve">je </w:t>
      </w:r>
      <w:r w:rsidR="00C81DCB" w:rsidRPr="003546FF">
        <w:t xml:space="preserve">vecou všeobecného súhlasu, </w:t>
      </w:r>
      <w:r w:rsidR="00C81DCB">
        <w:t>nie je závis</w:t>
      </w:r>
      <w:r w:rsidR="005752B8">
        <w:t>lý</w:t>
      </w:r>
      <w:r w:rsidR="007457BB">
        <w:t xml:space="preserve"> od štátu.</w:t>
      </w:r>
      <w:r w:rsidR="00C81DCB">
        <w:t xml:space="preserve"> </w:t>
      </w:r>
      <w:r w:rsidR="005752B8">
        <w:t xml:space="preserve">Zo strany štátu je však nevyhnutné  pozitívne vnímanie kodifikovaného jazyka </w:t>
      </w:r>
      <w:r w:rsidR="00E91128">
        <w:t>a</w:t>
      </w:r>
      <w:r w:rsidR="00C654F9">
        <w:t xml:space="preserve"> jeho </w:t>
      </w:r>
      <w:r w:rsidR="00E91128">
        <w:t xml:space="preserve">uznanie, aby mohol byť tento jazyk v budúcnosti všeobecne akceptovaný a následne používaný </w:t>
      </w:r>
      <w:r w:rsidR="00E91128" w:rsidRPr="003546FF">
        <w:t>v oficiálnych komunikačných sférach v zmysle všeobecne záväzných právnych predpisov</w:t>
      </w:r>
      <w:r w:rsidR="00E91128">
        <w:t>.</w:t>
      </w:r>
    </w:p>
    <w:p w:rsidR="00E91128" w:rsidRDefault="00E91128" w:rsidP="00707A14">
      <w:pPr>
        <w:spacing w:line="360" w:lineRule="auto"/>
        <w:jc w:val="both"/>
      </w:pPr>
    </w:p>
    <w:p w:rsidR="004A15B2" w:rsidRDefault="00E91128" w:rsidP="007F264B">
      <w:pPr>
        <w:spacing w:line="360" w:lineRule="auto"/>
        <w:contextualSpacing/>
        <w:jc w:val="both"/>
      </w:pPr>
      <w:r>
        <w:t>K</w:t>
      </w:r>
      <w:r w:rsidR="00852335">
        <w:t xml:space="preserve">eďže </w:t>
      </w:r>
      <w:r>
        <w:t xml:space="preserve">v prípade slovenského posunkového jazyka </w:t>
      </w:r>
      <w:r w:rsidR="00852335">
        <w:t>ide o</w:t>
      </w:r>
      <w:r w:rsidR="00602CF1">
        <w:t> problematiku v </w:t>
      </w:r>
      <w:r w:rsidR="00852335">
        <w:t>prierezov</w:t>
      </w:r>
      <w:r w:rsidR="00602CF1">
        <w:t>ej pôsobnosti viacerých ústredných orgánov štátnej správy,</w:t>
      </w:r>
      <w:r w:rsidR="00852335">
        <w:t xml:space="preserve"> </w:t>
      </w:r>
      <w:r>
        <w:t>v</w:t>
      </w:r>
      <w:r w:rsidR="00F93FA1">
        <w:t xml:space="preserve"> súčasne platnej legislatíve </w:t>
      </w:r>
      <w:r>
        <w:t xml:space="preserve">absentuje </w:t>
      </w:r>
      <w:r w:rsidR="00F93FA1">
        <w:t xml:space="preserve">úprava, ktorá by </w:t>
      </w:r>
      <w:r w:rsidR="00852335">
        <w:t>jednoznač</w:t>
      </w:r>
      <w:r w:rsidR="00F93FA1">
        <w:t xml:space="preserve">ne </w:t>
      </w:r>
      <w:r w:rsidR="00F31468">
        <w:t>označovala</w:t>
      </w:r>
      <w:r w:rsidR="00602CF1">
        <w:t xml:space="preserve"> subjekt štát</w:t>
      </w:r>
      <w:r w:rsidR="00F93FA1">
        <w:t>nej správy</w:t>
      </w:r>
      <w:r w:rsidR="00F31468">
        <w:t>,</w:t>
      </w:r>
      <w:r w:rsidR="00602CF1">
        <w:t xml:space="preserve"> ktorý</w:t>
      </w:r>
      <w:r w:rsidR="00C654F9">
        <w:t xml:space="preserve"> by bol </w:t>
      </w:r>
      <w:r w:rsidR="00602CF1">
        <w:t xml:space="preserve">oprávnený </w:t>
      </w:r>
      <w:r w:rsidR="00F31468">
        <w:t xml:space="preserve">kodifikovanú podobu slovenského posunkového jazyka </w:t>
      </w:r>
      <w:r w:rsidR="00C81DCB">
        <w:t>schváliť a </w:t>
      </w:r>
      <w:r w:rsidR="00F31468">
        <w:t>zverejniť</w:t>
      </w:r>
      <w:r w:rsidR="00C81DCB">
        <w:t>.</w:t>
      </w:r>
    </w:p>
    <w:p w:rsidR="00F7084F" w:rsidRDefault="00F7084F" w:rsidP="002B3B29">
      <w:pPr>
        <w:spacing w:line="360" w:lineRule="auto"/>
        <w:jc w:val="both"/>
      </w:pPr>
    </w:p>
    <w:p w:rsidR="002B3B29" w:rsidRPr="002B3B29" w:rsidRDefault="002B3B29" w:rsidP="002B3B29">
      <w:pPr>
        <w:spacing w:line="360" w:lineRule="auto"/>
        <w:jc w:val="both"/>
      </w:pPr>
      <w:r w:rsidRPr="002B3B29">
        <w:t xml:space="preserve">Podľa § 18 ods. 1 písm. b) zákona č.  575/2001 Z. z. o organizácii činnosti vlády a organizácii ústrednej štátnej správy v znení neskorších predpisov (ďalej len „kompetenčný zákon“) je Ministerstvo kultúry Slovenskej republiky ústredným orgánom štátnej správy pre ochranu pamiatkového fondu, kultúrne dedičstvo a knihovníctvo. Vzhľadom na skutočnosť, že slovenský posunkový jazyk je zaradený medzi nehmotné kultúrne dedičstvo, je daný právny rámec na </w:t>
      </w:r>
      <w:r>
        <w:t>schválenie</w:t>
      </w:r>
      <w:r w:rsidRPr="002B3B29">
        <w:t xml:space="preserve"> kodifikovanej podoby slovenského posunkového jazyka kompetenčným zákonom. Prvok slovenský posunkový jazyk je možné subsumovať pod nehmotné kultúrne dedičstvo v rámci kultúrneho dedičstva ako celku, ktorého ochrana je na základe kompetenčného zákona v pôsobnosti Ministerstva kultúry Slovenskej republiky. </w:t>
      </w:r>
    </w:p>
    <w:p w:rsidR="00F7084F" w:rsidRDefault="00F7084F" w:rsidP="00F7084F">
      <w:pPr>
        <w:spacing w:line="360" w:lineRule="auto"/>
        <w:contextualSpacing/>
        <w:jc w:val="both"/>
      </w:pPr>
    </w:p>
    <w:p w:rsidR="007F264B" w:rsidRPr="002B3B29" w:rsidRDefault="007F264B" w:rsidP="00F7084F">
      <w:pPr>
        <w:spacing w:line="360" w:lineRule="auto"/>
        <w:ind w:firstLine="708"/>
        <w:contextualSpacing/>
        <w:jc w:val="both"/>
      </w:pPr>
      <w:r>
        <w:t xml:space="preserve">V zmysle vyššie uvedených skutočností je v predkladanom návrhu zákona konkretizovaná pôsobnosť Ministerstva kultúry Slovenskej republiky, </w:t>
      </w:r>
      <w:r w:rsidRPr="008A5354">
        <w:t xml:space="preserve">na podnet </w:t>
      </w:r>
      <w:r>
        <w:t xml:space="preserve">príslušných </w:t>
      </w:r>
      <w:r w:rsidRPr="008A5354">
        <w:t>odborných pracovísk a odborníkov v</w:t>
      </w:r>
      <w:r>
        <w:t xml:space="preserve"> danej</w:t>
      </w:r>
      <w:r w:rsidRPr="008A5354">
        <w:t xml:space="preserve"> oblasti</w:t>
      </w:r>
      <w:r>
        <w:t>, schváliť a zverejniť kodifikovanú podobu slovenského posunkového jazyka.</w:t>
      </w:r>
    </w:p>
    <w:p w:rsidR="0067287F" w:rsidRPr="002529F5" w:rsidRDefault="009779CA" w:rsidP="00F7084F">
      <w:pPr>
        <w:spacing w:line="360" w:lineRule="auto"/>
        <w:ind w:firstLine="708"/>
        <w:contextualSpacing/>
        <w:jc w:val="both"/>
      </w:pPr>
      <w:r w:rsidRPr="002529F5">
        <w:lastRenderedPageBreak/>
        <w:t xml:space="preserve">Predkladaný návrh zákona </w:t>
      </w:r>
      <w:r w:rsidR="00CE2C36" w:rsidRPr="00FA601F">
        <w:t>ne</w:t>
      </w:r>
      <w:r w:rsidR="00CB35B8" w:rsidRPr="00FA601F">
        <w:t>bude mať</w:t>
      </w:r>
      <w:r w:rsidR="00CB35B8" w:rsidRPr="002529F5">
        <w:t xml:space="preserve"> negatívny vplyv  na štátny rozpočet,</w:t>
      </w:r>
      <w:r w:rsidR="00CE2C36">
        <w:t xml:space="preserve"> </w:t>
      </w:r>
      <w:r w:rsidR="00CB35B8" w:rsidRPr="002529F5">
        <w:t xml:space="preserve"> nemá žiadny vplyv </w:t>
      </w:r>
      <w:r w:rsidRPr="002529F5">
        <w:t xml:space="preserve">na podnikateľské prostredie a predpokladajú sa </w:t>
      </w:r>
      <w:r w:rsidR="00CE2C36">
        <w:t xml:space="preserve">jeho </w:t>
      </w:r>
      <w:r w:rsidRPr="002529F5">
        <w:t>pozitívne sociálne vplyvy.</w:t>
      </w:r>
    </w:p>
    <w:p w:rsidR="00F7084F" w:rsidRDefault="00F7084F" w:rsidP="00E0238E">
      <w:pPr>
        <w:spacing w:line="360" w:lineRule="auto"/>
        <w:contextualSpacing/>
        <w:jc w:val="both"/>
        <w:rPr>
          <w:b/>
        </w:rPr>
      </w:pPr>
    </w:p>
    <w:p w:rsidR="0067287F" w:rsidRPr="002529F5" w:rsidRDefault="009779CA" w:rsidP="00E0238E">
      <w:pPr>
        <w:spacing w:line="360" w:lineRule="auto"/>
        <w:contextualSpacing/>
        <w:jc w:val="both"/>
        <w:rPr>
          <w:b/>
        </w:rPr>
      </w:pPr>
      <w:r w:rsidRPr="002529F5">
        <w:rPr>
          <w:b/>
        </w:rPr>
        <w:t>B. Osobitná časť</w:t>
      </w:r>
    </w:p>
    <w:p w:rsidR="003A1ECF" w:rsidRPr="002529F5" w:rsidRDefault="003A1ECF" w:rsidP="00E0238E">
      <w:pPr>
        <w:spacing w:line="360" w:lineRule="auto"/>
        <w:contextualSpacing/>
        <w:jc w:val="both"/>
        <w:rPr>
          <w:b/>
        </w:rPr>
      </w:pPr>
    </w:p>
    <w:p w:rsidR="0067287F" w:rsidRPr="002529F5" w:rsidRDefault="009779CA" w:rsidP="00E0238E">
      <w:pPr>
        <w:spacing w:line="360" w:lineRule="auto"/>
        <w:contextualSpacing/>
        <w:jc w:val="both"/>
        <w:rPr>
          <w:b/>
        </w:rPr>
      </w:pPr>
      <w:r w:rsidRPr="002529F5">
        <w:rPr>
          <w:b/>
        </w:rPr>
        <w:t>K Čl. I</w:t>
      </w:r>
      <w:r w:rsidR="00E0238E">
        <w:rPr>
          <w:b/>
        </w:rPr>
        <w:t>:</w:t>
      </w:r>
    </w:p>
    <w:p w:rsidR="003A1ECF" w:rsidRPr="002529F5" w:rsidRDefault="003A1ECF" w:rsidP="00E0238E">
      <w:pPr>
        <w:spacing w:line="360" w:lineRule="auto"/>
        <w:contextualSpacing/>
        <w:jc w:val="both"/>
        <w:rPr>
          <w:b/>
        </w:rPr>
      </w:pPr>
    </w:p>
    <w:p w:rsidR="0067287F" w:rsidRPr="002529F5" w:rsidRDefault="009779CA" w:rsidP="00E0238E">
      <w:pPr>
        <w:spacing w:line="360" w:lineRule="auto"/>
        <w:contextualSpacing/>
        <w:jc w:val="both"/>
        <w:rPr>
          <w:b/>
        </w:rPr>
      </w:pPr>
      <w:r w:rsidRPr="002529F5">
        <w:rPr>
          <w:b/>
        </w:rPr>
        <w:t>K bodu 1</w:t>
      </w:r>
    </w:p>
    <w:p w:rsidR="0067287F" w:rsidRPr="002529F5" w:rsidRDefault="009779CA" w:rsidP="00E0238E">
      <w:pPr>
        <w:spacing w:line="360" w:lineRule="auto"/>
        <w:contextualSpacing/>
        <w:jc w:val="both"/>
      </w:pPr>
      <w:r w:rsidRPr="002529F5">
        <w:t xml:space="preserve">Ustanovenie </w:t>
      </w:r>
      <w:r w:rsidR="00E0238E">
        <w:t>zakotvuje</w:t>
      </w:r>
      <w:r w:rsidRPr="002529F5">
        <w:t xml:space="preserve"> </w:t>
      </w:r>
      <w:r w:rsidR="00E0238E">
        <w:t>kompetenciu Ministerstva</w:t>
      </w:r>
      <w:r w:rsidR="00E0238E" w:rsidRPr="008A5354">
        <w:t xml:space="preserve"> kultúry Slovenskej republiky </w:t>
      </w:r>
      <w:r w:rsidR="00B859D2" w:rsidRPr="008A5354">
        <w:t>schv</w:t>
      </w:r>
      <w:r w:rsidR="00B859D2">
        <w:t>áliť</w:t>
      </w:r>
      <w:r w:rsidR="00B859D2" w:rsidRPr="008A5354">
        <w:t xml:space="preserve"> </w:t>
      </w:r>
      <w:r w:rsidR="00B859D2">
        <w:t>k</w:t>
      </w:r>
      <w:r w:rsidR="00B859D2" w:rsidRPr="008A5354">
        <w:t>odifikovanú podobu slovenského posunkového jazyka a</w:t>
      </w:r>
      <w:r w:rsidR="00B859D2">
        <w:t> </w:t>
      </w:r>
      <w:r w:rsidR="00B859D2" w:rsidRPr="008A5354">
        <w:t>zverej</w:t>
      </w:r>
      <w:r w:rsidR="00B859D2">
        <w:t>niť ju</w:t>
      </w:r>
      <w:r w:rsidR="00E0238E" w:rsidRPr="008A5354">
        <w:t xml:space="preserve"> </w:t>
      </w:r>
      <w:r w:rsidR="00B859D2" w:rsidRPr="008A5354">
        <w:t>na svojom webovom sídle</w:t>
      </w:r>
      <w:r w:rsidR="00B859D2">
        <w:t>.</w:t>
      </w:r>
      <w:r w:rsidR="00B859D2" w:rsidRPr="008A5354">
        <w:t xml:space="preserve"> </w:t>
      </w:r>
    </w:p>
    <w:p w:rsidR="0067287F" w:rsidRPr="002529F5" w:rsidRDefault="0067287F" w:rsidP="00E0238E">
      <w:pPr>
        <w:spacing w:line="360" w:lineRule="auto"/>
        <w:contextualSpacing/>
        <w:jc w:val="both"/>
      </w:pPr>
    </w:p>
    <w:p w:rsidR="0067287F" w:rsidRPr="002529F5" w:rsidRDefault="009779CA" w:rsidP="00E0238E">
      <w:pPr>
        <w:spacing w:line="360" w:lineRule="auto"/>
        <w:contextualSpacing/>
        <w:jc w:val="both"/>
        <w:rPr>
          <w:b/>
        </w:rPr>
      </w:pPr>
      <w:r w:rsidRPr="002529F5">
        <w:rPr>
          <w:b/>
        </w:rPr>
        <w:t>K čl. II:</w:t>
      </w:r>
    </w:p>
    <w:p w:rsidR="0067287F" w:rsidRPr="002529F5" w:rsidRDefault="005F24E1" w:rsidP="00E0238E">
      <w:pPr>
        <w:spacing w:line="360" w:lineRule="auto"/>
        <w:contextualSpacing/>
        <w:jc w:val="both"/>
      </w:pPr>
      <w:r>
        <w:t>Ú</w:t>
      </w:r>
      <w:r w:rsidR="009779CA" w:rsidRPr="002529F5">
        <w:t>činnosť</w:t>
      </w:r>
      <w:r w:rsidR="005B771A" w:rsidRPr="002529F5">
        <w:t xml:space="preserve"> </w:t>
      </w:r>
      <w:r>
        <w:t xml:space="preserve">predkladaného zákona sa navrhuje </w:t>
      </w:r>
      <w:r w:rsidRPr="00FA601F">
        <w:t>ku dňu jeho vyhlásenia v Zbierke zákonov</w:t>
      </w:r>
      <w:r w:rsidR="009779CA" w:rsidRPr="002529F5">
        <w:t>.</w:t>
      </w:r>
    </w:p>
    <w:p w:rsidR="00DF7999" w:rsidRPr="002529F5" w:rsidRDefault="00DF7999" w:rsidP="00E0238E">
      <w:pPr>
        <w:spacing w:line="360" w:lineRule="auto"/>
        <w:contextualSpacing/>
        <w:jc w:val="both"/>
      </w:pP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center"/>
      </w:pPr>
      <w:r w:rsidRPr="002529F5">
        <w:br w:type="page"/>
      </w:r>
      <w:r w:rsidRPr="002529F5">
        <w:rPr>
          <w:b/>
          <w:bCs/>
          <w:caps/>
          <w:spacing w:val="30"/>
        </w:rPr>
        <w:lastRenderedPageBreak/>
        <w:t>Doložka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center"/>
      </w:pPr>
      <w:r w:rsidRPr="002529F5">
        <w:rPr>
          <w:b/>
          <w:bCs/>
        </w:rPr>
        <w:t>vybraných vplyvov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</w:pPr>
      <w:r w:rsidRPr="002529F5">
        <w:t> </w:t>
      </w:r>
    </w:p>
    <w:p w:rsidR="004709D4" w:rsidRPr="004709D4" w:rsidRDefault="009779CA" w:rsidP="00E0238E">
      <w:pPr>
        <w:pStyle w:val="Normlnywebov"/>
        <w:spacing w:before="0" w:beforeAutospacing="0" w:after="0" w:afterAutospacing="0" w:line="360" w:lineRule="auto"/>
        <w:contextualSpacing/>
        <w:jc w:val="both"/>
      </w:pPr>
      <w:r w:rsidRPr="002529F5">
        <w:rPr>
          <w:b/>
          <w:bCs/>
        </w:rPr>
        <w:t xml:space="preserve">A.1. Názov materiálu: </w:t>
      </w:r>
      <w:r w:rsidRPr="002529F5">
        <w:t xml:space="preserve">Návrh zákona, ktorým sa mení a dopĺňa zákon </w:t>
      </w:r>
      <w:r w:rsidR="004709D4">
        <w:t xml:space="preserve">Národnej rady Slovenskej republiky </w:t>
      </w:r>
      <w:r w:rsidRPr="002529F5">
        <w:t>č. 149/1995 Z. z. o posunkovej reči nepočujúcich osôb</w:t>
      </w:r>
      <w:r w:rsidR="00A40CDD">
        <w:t xml:space="preserve"> </w:t>
      </w:r>
      <w:r w:rsidR="00A40CDD" w:rsidRPr="002529F5">
        <w:rPr>
          <w:color w:val="000000"/>
        </w:rPr>
        <w:t>v znení zákona č. 151/2017 Z. z.</w:t>
      </w:r>
      <w:bookmarkStart w:id="0" w:name="_GoBack"/>
      <w:bookmarkEnd w:id="0"/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both"/>
      </w:pPr>
      <w:r w:rsidRPr="002529F5">
        <w:rPr>
          <w:b/>
          <w:bCs/>
        </w:rPr>
        <w:t>Termín začatia a ukončenia PPK:</w:t>
      </w:r>
      <w:r w:rsidRPr="002529F5">
        <w:t xml:space="preserve"> </w:t>
      </w:r>
      <w:r w:rsidRPr="002529F5">
        <w:rPr>
          <w:i/>
          <w:iCs/>
        </w:rPr>
        <w:t>bezpredmetné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both"/>
        <w:rPr>
          <w:b/>
          <w:bCs/>
        </w:rPr>
      </w:pPr>
      <w:r w:rsidRPr="002529F5">
        <w:rPr>
          <w:b/>
          <w:bCs/>
        </w:rPr>
        <w:t>A.2. Vplyvy:</w:t>
      </w: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1192"/>
        <w:gridCol w:w="1181"/>
        <w:gridCol w:w="1196"/>
      </w:tblGrid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Negatívne </w:t>
            </w:r>
          </w:p>
        </w:tc>
      </w:tr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C654F9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FA601F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DF7999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</w:p>
        </w:tc>
      </w:tr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DF7999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</w:t>
            </w:r>
          </w:p>
        </w:tc>
      </w:tr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DF7999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 </w:t>
            </w:r>
          </w:p>
        </w:tc>
      </w:tr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DF7999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6B1A70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</w:t>
            </w:r>
          </w:p>
        </w:tc>
      </w:tr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 xml:space="preserve">– sociálnu </w:t>
            </w:r>
            <w:proofErr w:type="spellStart"/>
            <w:r w:rsidRPr="002529F5">
              <w:t>exklúziu</w:t>
            </w:r>
            <w:proofErr w:type="spellEnd"/>
            <w:r w:rsidRPr="002529F5"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DF7999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</w:t>
            </w:r>
          </w:p>
        </w:tc>
      </w:tr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x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 xml:space="preserve">        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</w:t>
            </w:r>
          </w:p>
        </w:tc>
      </w:tr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</w:t>
            </w:r>
          </w:p>
        </w:tc>
      </w:tr>
      <w:tr w:rsidR="0095628F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</w:pPr>
            <w:r w:rsidRPr="002529F5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DF7999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FC3C9D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999" w:rsidRPr="002529F5" w:rsidRDefault="009779CA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 w:rsidRPr="002529F5">
              <w:t> </w:t>
            </w:r>
          </w:p>
        </w:tc>
      </w:tr>
      <w:tr w:rsidR="00F80C1C" w:rsidRPr="002529F5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1C" w:rsidRPr="002529F5" w:rsidRDefault="00F80C1C" w:rsidP="00E0238E">
            <w:pPr>
              <w:pStyle w:val="Normlnywebov"/>
              <w:spacing w:before="0" w:beforeAutospacing="0" w:after="200" w:afterAutospacing="0" w:line="360" w:lineRule="auto"/>
            </w:pPr>
            <w:r w:rsidRPr="002C7A3C">
              <w:t>6. 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1C" w:rsidRPr="002529F5" w:rsidRDefault="00F80C1C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  <w: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1C" w:rsidRPr="00FC3C9D" w:rsidRDefault="00F80C1C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C1C" w:rsidRPr="002529F5" w:rsidRDefault="00F80C1C" w:rsidP="00E0238E">
            <w:pPr>
              <w:pStyle w:val="Normlnywebov"/>
              <w:spacing w:before="0" w:beforeAutospacing="0" w:after="200" w:afterAutospacing="0" w:line="360" w:lineRule="auto"/>
              <w:jc w:val="center"/>
            </w:pPr>
          </w:p>
        </w:tc>
      </w:tr>
    </w:tbl>
    <w:p w:rsidR="00F80C1C" w:rsidRPr="004709D4" w:rsidRDefault="009779CA" w:rsidP="004709D4">
      <w:pPr>
        <w:pStyle w:val="Normlnywebov"/>
        <w:spacing w:before="0" w:beforeAutospacing="0" w:after="0" w:afterAutospacing="0" w:line="360" w:lineRule="auto"/>
      </w:pPr>
      <w:r w:rsidRPr="002529F5">
        <w:t> </w:t>
      </w:r>
      <w:r w:rsidRPr="002529F5">
        <w:rPr>
          <w:b/>
          <w:bCs/>
        </w:rPr>
        <w:t> 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both"/>
      </w:pPr>
      <w:r w:rsidRPr="002529F5">
        <w:rPr>
          <w:b/>
          <w:bCs/>
        </w:rPr>
        <w:t>A.3. Poznámky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both"/>
        <w:rPr>
          <w:iCs/>
        </w:rPr>
      </w:pPr>
      <w:r w:rsidRPr="002529F5">
        <w:rPr>
          <w:i/>
          <w:iCs/>
        </w:rPr>
        <w:t>bezpredmetné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both"/>
      </w:pPr>
      <w:r w:rsidRPr="002529F5">
        <w:rPr>
          <w:b/>
          <w:bCs/>
        </w:rPr>
        <w:t>A.4. Alternatívne riešenia</w:t>
      </w:r>
    </w:p>
    <w:p w:rsidR="00CC0074" w:rsidRDefault="00CC0074" w:rsidP="00E0238E">
      <w:pPr>
        <w:pStyle w:val="Normlnywebov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/>
          <w:iCs/>
        </w:rPr>
        <w:t>b</w:t>
      </w:r>
      <w:r w:rsidR="009779CA" w:rsidRPr="002529F5">
        <w:rPr>
          <w:i/>
          <w:iCs/>
        </w:rPr>
        <w:t>ezpredmetné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both"/>
      </w:pPr>
      <w:r w:rsidRPr="002529F5">
        <w:rPr>
          <w:b/>
          <w:bCs/>
        </w:rPr>
        <w:t>A.5. Stanovisko gestorov</w:t>
      </w:r>
    </w:p>
    <w:p w:rsidR="00DF7999" w:rsidRPr="00CC0074" w:rsidRDefault="009779CA" w:rsidP="00CC0074">
      <w:pPr>
        <w:pStyle w:val="Normlnywebov"/>
        <w:spacing w:before="0" w:beforeAutospacing="0" w:after="0" w:afterAutospacing="0" w:line="360" w:lineRule="auto"/>
        <w:contextualSpacing/>
        <w:jc w:val="both"/>
        <w:rPr>
          <w:i/>
        </w:rPr>
      </w:pPr>
      <w:r w:rsidRPr="002529F5">
        <w:rPr>
          <w:i/>
        </w:rPr>
        <w:t>bezpredmetné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center"/>
      </w:pPr>
      <w:r w:rsidRPr="002529F5">
        <w:br w:type="page"/>
      </w:r>
      <w:r w:rsidRPr="002529F5">
        <w:rPr>
          <w:b/>
          <w:bCs/>
          <w:caps/>
          <w:spacing w:val="30"/>
        </w:rPr>
        <w:lastRenderedPageBreak/>
        <w:t>DOLOŽKA ZLUČITEĽNOSTI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jc w:val="center"/>
      </w:pPr>
      <w:r w:rsidRPr="002529F5">
        <w:rPr>
          <w:b/>
          <w:bCs/>
        </w:rPr>
        <w:t>návrhu zákona</w:t>
      </w:r>
      <w:r w:rsidRPr="002529F5">
        <w:t xml:space="preserve"> </w:t>
      </w:r>
      <w:r w:rsidRPr="002529F5">
        <w:rPr>
          <w:b/>
          <w:bCs/>
        </w:rPr>
        <w:t>s právom Európskej únie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</w:pPr>
      <w:r w:rsidRPr="002529F5">
        <w:t> 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contextualSpacing/>
      </w:pPr>
      <w:r w:rsidRPr="002529F5">
        <w:t> </w:t>
      </w:r>
    </w:p>
    <w:p w:rsidR="00A40CDD" w:rsidRPr="00806B5A" w:rsidRDefault="009779CA" w:rsidP="00E0238E">
      <w:pPr>
        <w:spacing w:line="360" w:lineRule="auto"/>
        <w:jc w:val="both"/>
      </w:pPr>
      <w:r w:rsidRPr="002529F5">
        <w:rPr>
          <w:b/>
          <w:bCs/>
        </w:rPr>
        <w:t>1. Navrhovateľ zákona:</w:t>
      </w:r>
      <w:r w:rsidR="00FA601F">
        <w:rPr>
          <w:b/>
          <w:bCs/>
        </w:rPr>
        <w:t xml:space="preserve"> </w:t>
      </w:r>
      <w:r w:rsidR="00FA601F" w:rsidRPr="00FA601F">
        <w:t>skupina</w:t>
      </w:r>
      <w:r w:rsidR="00A40CDD" w:rsidRPr="00FA601F">
        <w:t xml:space="preserve"> </w:t>
      </w:r>
      <w:r w:rsidR="00A40CDD" w:rsidRPr="00806B5A">
        <w:t>poslanc</w:t>
      </w:r>
      <w:r w:rsidR="00FA601F">
        <w:t>ov</w:t>
      </w:r>
      <w:r w:rsidR="00A40CDD" w:rsidRPr="00806B5A">
        <w:t xml:space="preserve"> Národnej rady Slovenskej republiky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contextualSpacing/>
      </w:pPr>
      <w:r w:rsidRPr="002529F5">
        <w:t> </w:t>
      </w: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contextualSpacing/>
      </w:pPr>
      <w:r w:rsidRPr="002529F5">
        <w:rPr>
          <w:b/>
          <w:bCs/>
        </w:rPr>
        <w:t>2. Názov návrhu zákona:</w:t>
      </w:r>
      <w:r w:rsidRPr="002529F5">
        <w:t xml:space="preserve"> Návrh zákona, ktorým sa mení a dopĺňa zákon </w:t>
      </w:r>
      <w:r w:rsidR="004709D4">
        <w:t xml:space="preserve">Národnej rady Slovenskej republiky </w:t>
      </w:r>
      <w:r w:rsidRPr="002529F5">
        <w:t>č. 149/1995 Z. z. o posunkovej reči nepočujúcich osôb</w:t>
      </w:r>
      <w:r w:rsidR="00A40CDD">
        <w:t xml:space="preserve"> </w:t>
      </w:r>
      <w:r w:rsidR="00A40CDD" w:rsidRPr="00806B5A">
        <w:rPr>
          <w:color w:val="000000"/>
        </w:rPr>
        <w:t>v znení zákona č. 151/2017 Z.</w:t>
      </w:r>
      <w:r w:rsidR="00A40CDD">
        <w:rPr>
          <w:color w:val="000000"/>
        </w:rPr>
        <w:t xml:space="preserve"> </w:t>
      </w:r>
      <w:r w:rsidR="00A40CDD" w:rsidRPr="00806B5A">
        <w:rPr>
          <w:color w:val="000000"/>
        </w:rPr>
        <w:t>z.</w:t>
      </w: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contextualSpacing/>
      </w:pPr>
    </w:p>
    <w:p w:rsidR="00DF7999" w:rsidRPr="002529F5" w:rsidRDefault="009779CA" w:rsidP="00E0238E">
      <w:pPr>
        <w:pStyle w:val="Normlnywebov"/>
        <w:spacing w:before="0" w:beforeAutospacing="0" w:after="0" w:afterAutospacing="0" w:line="360" w:lineRule="auto"/>
        <w:contextualSpacing/>
        <w:rPr>
          <w:b/>
          <w:bCs/>
        </w:rPr>
      </w:pPr>
      <w:r w:rsidRPr="002529F5">
        <w:rPr>
          <w:b/>
          <w:bCs/>
        </w:rPr>
        <w:t>3. Predmet návrhu zákona:</w:t>
      </w:r>
    </w:p>
    <w:p w:rsidR="00DF7999" w:rsidRPr="002529F5" w:rsidRDefault="009779CA" w:rsidP="00E0238E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ind w:right="1349"/>
        <w:contextualSpacing/>
        <w:jc w:val="both"/>
        <w:rPr>
          <w:bCs/>
        </w:rPr>
      </w:pPr>
      <w:r w:rsidRPr="002529F5">
        <w:rPr>
          <w:bCs/>
        </w:rPr>
        <w:t xml:space="preserve">nie je upravený v primárnom práve Európskej únie, </w:t>
      </w:r>
    </w:p>
    <w:p w:rsidR="00DF7999" w:rsidRPr="002529F5" w:rsidRDefault="009779CA" w:rsidP="00E0238E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ind w:right="1349"/>
        <w:contextualSpacing/>
        <w:jc w:val="both"/>
        <w:rPr>
          <w:bCs/>
        </w:rPr>
      </w:pPr>
      <w:r w:rsidRPr="002529F5">
        <w:rPr>
          <w:bCs/>
        </w:rPr>
        <w:t>nie je upravený v sekundárnom práve Európskej únie,</w:t>
      </w:r>
    </w:p>
    <w:p w:rsidR="00DF7999" w:rsidRPr="002529F5" w:rsidRDefault="009779CA" w:rsidP="00E0238E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ind w:right="1349"/>
        <w:contextualSpacing/>
        <w:jc w:val="both"/>
        <w:rPr>
          <w:bCs/>
        </w:rPr>
      </w:pPr>
      <w:r w:rsidRPr="002529F5">
        <w:rPr>
          <w:bCs/>
        </w:rPr>
        <w:t>nie je upravený v judikatúre Súdneho dvora Európskej únie. </w:t>
      </w: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contextualSpacing/>
        <w:rPr>
          <w:b/>
          <w:bCs/>
        </w:rPr>
      </w:pPr>
    </w:p>
    <w:p w:rsidR="00DF7999" w:rsidRPr="002529F5" w:rsidRDefault="009779CA" w:rsidP="00E0238E">
      <w:pPr>
        <w:tabs>
          <w:tab w:val="left" w:pos="9072"/>
        </w:tabs>
        <w:spacing w:line="360" w:lineRule="auto"/>
        <w:ind w:left="116"/>
        <w:rPr>
          <w:bCs/>
        </w:rPr>
      </w:pPr>
      <w:r w:rsidRPr="002529F5">
        <w:rPr>
          <w:bCs/>
        </w:rPr>
        <w:t>V</w:t>
      </w:r>
      <w:r w:rsidRPr="002529F5">
        <w:rPr>
          <w:bCs/>
          <w:spacing w:val="-1"/>
        </w:rPr>
        <w:t>z</w:t>
      </w:r>
      <w:r w:rsidRPr="002529F5">
        <w:rPr>
          <w:bCs/>
          <w:spacing w:val="1"/>
        </w:rPr>
        <w:t>h</w:t>
      </w:r>
      <w:r w:rsidRPr="002529F5">
        <w:rPr>
          <w:bCs/>
        </w:rPr>
        <w:t>ľa</w:t>
      </w:r>
      <w:r w:rsidRPr="002529F5">
        <w:rPr>
          <w:bCs/>
          <w:spacing w:val="1"/>
        </w:rPr>
        <w:t>d</w:t>
      </w:r>
      <w:r w:rsidRPr="002529F5">
        <w:rPr>
          <w:bCs/>
        </w:rPr>
        <w:t>om</w:t>
      </w:r>
      <w:r w:rsidRPr="002529F5">
        <w:rPr>
          <w:bCs/>
          <w:spacing w:val="-3"/>
        </w:rPr>
        <w:t xml:space="preserve"> </w:t>
      </w:r>
      <w:r w:rsidRPr="002529F5">
        <w:rPr>
          <w:bCs/>
          <w:spacing w:val="1"/>
        </w:rPr>
        <w:t>n</w:t>
      </w:r>
      <w:r w:rsidRPr="002529F5">
        <w:rPr>
          <w:bCs/>
        </w:rPr>
        <w:t>a  to, že predmet návrhu zákona nie je upravený v práve Európskej únie, je bezpredmetné vyjadrovať sa k bodom 4. a 5.</w:t>
      </w: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jc w:val="center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rPr>
          <w:b/>
          <w:bCs/>
          <w:caps/>
          <w:spacing w:val="30"/>
        </w:rPr>
      </w:pPr>
    </w:p>
    <w:p w:rsidR="00DF7999" w:rsidRPr="002529F5" w:rsidRDefault="00DF7999" w:rsidP="00E0238E">
      <w:pPr>
        <w:pStyle w:val="Normlnywebov"/>
        <w:spacing w:before="0" w:beforeAutospacing="0" w:after="0" w:afterAutospacing="0" w:line="360" w:lineRule="auto"/>
        <w:rPr>
          <w:b/>
          <w:bCs/>
          <w:caps/>
          <w:spacing w:val="30"/>
        </w:rPr>
      </w:pPr>
    </w:p>
    <w:p w:rsidR="002C7D0E" w:rsidRPr="002529F5" w:rsidRDefault="002C7D0E" w:rsidP="00E0238E">
      <w:pPr>
        <w:spacing w:line="360" w:lineRule="auto"/>
        <w:contextualSpacing/>
        <w:jc w:val="both"/>
      </w:pPr>
    </w:p>
    <w:sectPr w:rsidR="002C7D0E" w:rsidRPr="002529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EB" w:rsidRDefault="00C547EB" w:rsidP="004D13EC">
      <w:r>
        <w:separator/>
      </w:r>
    </w:p>
  </w:endnote>
  <w:endnote w:type="continuationSeparator" w:id="0">
    <w:p w:rsidR="00C547EB" w:rsidRDefault="00C547EB" w:rsidP="004D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EC" w:rsidRDefault="004D13EC">
    <w:pPr>
      <w:pStyle w:val="Pta"/>
      <w:jc w:val="right"/>
    </w:pPr>
  </w:p>
  <w:p w:rsidR="004D13EC" w:rsidRDefault="004D13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EB" w:rsidRDefault="00C547EB" w:rsidP="004D13EC">
      <w:r>
        <w:separator/>
      </w:r>
    </w:p>
  </w:footnote>
  <w:footnote w:type="continuationSeparator" w:id="0">
    <w:p w:rsidR="00C547EB" w:rsidRDefault="00C547EB" w:rsidP="004D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60C7F"/>
    <w:multiLevelType w:val="hybridMultilevel"/>
    <w:tmpl w:val="3DAEB0CE"/>
    <w:lvl w:ilvl="0" w:tplc="DE700C8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DE700CA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7EAF20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168C5F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2AA5C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3068A0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0DAF2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FF43D8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13A4C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B2"/>
    <w:rsid w:val="000472DA"/>
    <w:rsid w:val="00063D9D"/>
    <w:rsid w:val="000703CD"/>
    <w:rsid w:val="000F31DC"/>
    <w:rsid w:val="00103A3E"/>
    <w:rsid w:val="001169FE"/>
    <w:rsid w:val="001601D0"/>
    <w:rsid w:val="00166E38"/>
    <w:rsid w:val="001738CD"/>
    <w:rsid w:val="0017475D"/>
    <w:rsid w:val="001950A7"/>
    <w:rsid w:val="001D37FE"/>
    <w:rsid w:val="001F2335"/>
    <w:rsid w:val="00215852"/>
    <w:rsid w:val="002473D6"/>
    <w:rsid w:val="002529F5"/>
    <w:rsid w:val="00253C8A"/>
    <w:rsid w:val="00263932"/>
    <w:rsid w:val="00282232"/>
    <w:rsid w:val="00284258"/>
    <w:rsid w:val="002B3B29"/>
    <w:rsid w:val="002C71D8"/>
    <w:rsid w:val="002C7D0E"/>
    <w:rsid w:val="002F39B2"/>
    <w:rsid w:val="0031121D"/>
    <w:rsid w:val="00313347"/>
    <w:rsid w:val="00322903"/>
    <w:rsid w:val="00340041"/>
    <w:rsid w:val="00341FB2"/>
    <w:rsid w:val="00352262"/>
    <w:rsid w:val="00362F28"/>
    <w:rsid w:val="00374164"/>
    <w:rsid w:val="003770C6"/>
    <w:rsid w:val="00377F47"/>
    <w:rsid w:val="00380D45"/>
    <w:rsid w:val="003A0729"/>
    <w:rsid w:val="003A1ECF"/>
    <w:rsid w:val="003D248D"/>
    <w:rsid w:val="003E2F44"/>
    <w:rsid w:val="003E6B27"/>
    <w:rsid w:val="0043209C"/>
    <w:rsid w:val="00451CBF"/>
    <w:rsid w:val="0045371D"/>
    <w:rsid w:val="004555D0"/>
    <w:rsid w:val="004709D4"/>
    <w:rsid w:val="0049160F"/>
    <w:rsid w:val="004A15B2"/>
    <w:rsid w:val="004D13EC"/>
    <w:rsid w:val="004F270F"/>
    <w:rsid w:val="00505397"/>
    <w:rsid w:val="00526A36"/>
    <w:rsid w:val="00530433"/>
    <w:rsid w:val="00545E9A"/>
    <w:rsid w:val="005567D4"/>
    <w:rsid w:val="005610A2"/>
    <w:rsid w:val="005620F3"/>
    <w:rsid w:val="005752B8"/>
    <w:rsid w:val="00595521"/>
    <w:rsid w:val="005B771A"/>
    <w:rsid w:val="005D718D"/>
    <w:rsid w:val="005F0DFB"/>
    <w:rsid w:val="005F24E1"/>
    <w:rsid w:val="006007EE"/>
    <w:rsid w:val="00602CF1"/>
    <w:rsid w:val="00612E5D"/>
    <w:rsid w:val="0062089E"/>
    <w:rsid w:val="0067287F"/>
    <w:rsid w:val="0068102A"/>
    <w:rsid w:val="006860B6"/>
    <w:rsid w:val="006A5F8C"/>
    <w:rsid w:val="006B1A70"/>
    <w:rsid w:val="006C2CCC"/>
    <w:rsid w:val="006C3A9A"/>
    <w:rsid w:val="006F4B95"/>
    <w:rsid w:val="006F72F4"/>
    <w:rsid w:val="00704A79"/>
    <w:rsid w:val="00707A14"/>
    <w:rsid w:val="00717084"/>
    <w:rsid w:val="00731B77"/>
    <w:rsid w:val="007457BB"/>
    <w:rsid w:val="00746076"/>
    <w:rsid w:val="00746C6E"/>
    <w:rsid w:val="00750F31"/>
    <w:rsid w:val="00766E75"/>
    <w:rsid w:val="00783085"/>
    <w:rsid w:val="007858EB"/>
    <w:rsid w:val="00786F14"/>
    <w:rsid w:val="0079274A"/>
    <w:rsid w:val="007B2FC5"/>
    <w:rsid w:val="007C4DA2"/>
    <w:rsid w:val="007F1FDA"/>
    <w:rsid w:val="007F264B"/>
    <w:rsid w:val="0081271B"/>
    <w:rsid w:val="00830ABC"/>
    <w:rsid w:val="008422C1"/>
    <w:rsid w:val="008432B5"/>
    <w:rsid w:val="00852335"/>
    <w:rsid w:val="0087703A"/>
    <w:rsid w:val="00890C60"/>
    <w:rsid w:val="008B0850"/>
    <w:rsid w:val="008C10A5"/>
    <w:rsid w:val="008C2F43"/>
    <w:rsid w:val="008F2E2D"/>
    <w:rsid w:val="00907EF5"/>
    <w:rsid w:val="00923289"/>
    <w:rsid w:val="0093044D"/>
    <w:rsid w:val="00937036"/>
    <w:rsid w:val="0095628F"/>
    <w:rsid w:val="0096484A"/>
    <w:rsid w:val="009655B5"/>
    <w:rsid w:val="009779CA"/>
    <w:rsid w:val="00982506"/>
    <w:rsid w:val="00996F03"/>
    <w:rsid w:val="009B632E"/>
    <w:rsid w:val="009C6152"/>
    <w:rsid w:val="009C7AA4"/>
    <w:rsid w:val="009E0C8B"/>
    <w:rsid w:val="009E2322"/>
    <w:rsid w:val="00A062AF"/>
    <w:rsid w:val="00A16BFB"/>
    <w:rsid w:val="00A40CDD"/>
    <w:rsid w:val="00A66871"/>
    <w:rsid w:val="00A920FC"/>
    <w:rsid w:val="00AA10BC"/>
    <w:rsid w:val="00AA2EB7"/>
    <w:rsid w:val="00AB41B7"/>
    <w:rsid w:val="00AD1530"/>
    <w:rsid w:val="00AF220C"/>
    <w:rsid w:val="00B03203"/>
    <w:rsid w:val="00B05AAF"/>
    <w:rsid w:val="00B07926"/>
    <w:rsid w:val="00B101BB"/>
    <w:rsid w:val="00B42BF4"/>
    <w:rsid w:val="00B45056"/>
    <w:rsid w:val="00B62F6C"/>
    <w:rsid w:val="00B859D2"/>
    <w:rsid w:val="00BF1F4C"/>
    <w:rsid w:val="00C01B02"/>
    <w:rsid w:val="00C14C3D"/>
    <w:rsid w:val="00C461E4"/>
    <w:rsid w:val="00C46EC0"/>
    <w:rsid w:val="00C547EB"/>
    <w:rsid w:val="00C654F9"/>
    <w:rsid w:val="00C8018C"/>
    <w:rsid w:val="00C81DCB"/>
    <w:rsid w:val="00C83B9F"/>
    <w:rsid w:val="00CB35B8"/>
    <w:rsid w:val="00CC0074"/>
    <w:rsid w:val="00CC3A39"/>
    <w:rsid w:val="00CE1666"/>
    <w:rsid w:val="00CE2C36"/>
    <w:rsid w:val="00D1567A"/>
    <w:rsid w:val="00D30B03"/>
    <w:rsid w:val="00D63BB1"/>
    <w:rsid w:val="00D93DDE"/>
    <w:rsid w:val="00D946B2"/>
    <w:rsid w:val="00D9575F"/>
    <w:rsid w:val="00DA7DCC"/>
    <w:rsid w:val="00DF2118"/>
    <w:rsid w:val="00DF7999"/>
    <w:rsid w:val="00E0238E"/>
    <w:rsid w:val="00E204F1"/>
    <w:rsid w:val="00E21D2B"/>
    <w:rsid w:val="00E24013"/>
    <w:rsid w:val="00E30AC7"/>
    <w:rsid w:val="00E519C4"/>
    <w:rsid w:val="00E57650"/>
    <w:rsid w:val="00E65AC4"/>
    <w:rsid w:val="00E812AA"/>
    <w:rsid w:val="00E91128"/>
    <w:rsid w:val="00E91EDB"/>
    <w:rsid w:val="00E9249D"/>
    <w:rsid w:val="00EB150B"/>
    <w:rsid w:val="00EE11AE"/>
    <w:rsid w:val="00EE4452"/>
    <w:rsid w:val="00EE4591"/>
    <w:rsid w:val="00EE6465"/>
    <w:rsid w:val="00EE714E"/>
    <w:rsid w:val="00EF6573"/>
    <w:rsid w:val="00F03D66"/>
    <w:rsid w:val="00F172CD"/>
    <w:rsid w:val="00F31468"/>
    <w:rsid w:val="00F7084F"/>
    <w:rsid w:val="00F80C1C"/>
    <w:rsid w:val="00F93FA1"/>
    <w:rsid w:val="00FA601F"/>
    <w:rsid w:val="00FB26B8"/>
    <w:rsid w:val="00FB5838"/>
    <w:rsid w:val="00FC3C9D"/>
    <w:rsid w:val="00FC6B49"/>
    <w:rsid w:val="00FE3170"/>
    <w:rsid w:val="00FE58D2"/>
    <w:rsid w:val="00FE6F71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B892C"/>
  <w15:docId w15:val="{2DDF07D2-A3BA-4794-A908-3434F702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9E0C8B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rsid w:val="00FE317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E317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E3170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FE31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E3170"/>
    <w:rPr>
      <w:b/>
      <w:bCs/>
      <w:lang w:val="sk-SK" w:eastAsia="sk-SK"/>
    </w:rPr>
  </w:style>
  <w:style w:type="paragraph" w:styleId="Textbubliny">
    <w:name w:val="Balloon Text"/>
    <w:basedOn w:val="Normlny"/>
    <w:link w:val="TextbublinyChar"/>
    <w:rsid w:val="00FE3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E3170"/>
    <w:rPr>
      <w:rFonts w:ascii="Tahoma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nhideWhenUsed/>
    <w:rsid w:val="004D13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D13EC"/>
    <w:rPr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D13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13EC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 s p r á v a</vt:lpstr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cp:lastModifiedBy>Mifková, Miroslava</cp:lastModifiedBy>
  <cp:revision>5</cp:revision>
  <cp:lastPrinted>2015-08-14T07:43:00Z</cp:lastPrinted>
  <dcterms:created xsi:type="dcterms:W3CDTF">2019-10-11T13:54:00Z</dcterms:created>
  <dcterms:modified xsi:type="dcterms:W3CDTF">2019-11-08T09:27:00Z</dcterms:modified>
</cp:coreProperties>
</file>