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01FF" w14:textId="77777777" w:rsidR="00230D75" w:rsidRPr="00764085" w:rsidRDefault="00230D75" w:rsidP="00230D75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14:paraId="366E4D7B" w14:textId="77777777" w:rsidR="00230D75" w:rsidRPr="00764085" w:rsidRDefault="00230D75" w:rsidP="00230D75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14:paraId="409F4A37" w14:textId="77777777" w:rsidR="00230D75" w:rsidRPr="00764085" w:rsidRDefault="00230D75" w:rsidP="00230D75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14:paraId="39EEF45A" w14:textId="77777777" w:rsidR="00230D75" w:rsidRDefault="00230D75" w:rsidP="00230D75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Pr="00FF5BF9">
        <w:rPr>
          <w:rFonts w:cs="Times New Roman"/>
        </w:rPr>
        <w:t>ktorým sa mení zákon č. 311/2001 Z. z. Zákonník práce v znení neskorších predpisov a ktorým sa mení zákon č. 440/2015 Z. z. o športe a o zmene a doplnení niektorých zákonov v znení neskorších predpisov</w:t>
      </w:r>
    </w:p>
    <w:p w14:paraId="1F20E867" w14:textId="77777777" w:rsidR="00230D75" w:rsidRDefault="00230D75" w:rsidP="00230D75">
      <w:pPr>
        <w:jc w:val="both"/>
        <w:rPr>
          <w:rFonts w:cs="Times New Roman"/>
          <w:b/>
          <w:color w:val="000000"/>
        </w:rPr>
      </w:pPr>
    </w:p>
    <w:p w14:paraId="4C808ABD" w14:textId="77777777" w:rsidR="00230D75" w:rsidRDefault="00230D75" w:rsidP="00230D7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14:paraId="7A574DE6" w14:textId="77777777" w:rsidR="00230D75" w:rsidRDefault="00230D75" w:rsidP="00230D7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230D75" w:rsidRPr="00764085" w14:paraId="5FB182D3" w14:textId="77777777" w:rsidTr="00350FD1">
        <w:tc>
          <w:tcPr>
            <w:tcW w:w="5526" w:type="dxa"/>
            <w:vAlign w:val="center"/>
          </w:tcPr>
          <w:p w14:paraId="02545736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14:paraId="78A26065" w14:textId="77777777" w:rsidR="00230D75" w:rsidRPr="00764085" w:rsidRDefault="00230D75" w:rsidP="00350FD1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14:paraId="0859023A" w14:textId="77777777" w:rsidR="00230D75" w:rsidRPr="00764085" w:rsidRDefault="00230D75" w:rsidP="00350FD1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14:paraId="59B7151B" w14:textId="77777777" w:rsidR="00230D75" w:rsidRPr="00764085" w:rsidRDefault="00230D75" w:rsidP="00350FD1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230D75" w:rsidRPr="00764085" w14:paraId="78ABD214" w14:textId="77777777" w:rsidTr="00350FD1">
        <w:tc>
          <w:tcPr>
            <w:tcW w:w="5526" w:type="dxa"/>
            <w:vAlign w:val="center"/>
          </w:tcPr>
          <w:p w14:paraId="37F4C693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14:paraId="4472BAC9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00749281" w14:textId="77777777" w:rsidR="00230D75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  <w:p w14:paraId="13251E68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120C3076" w14:textId="77777777" w:rsidR="00230D75" w:rsidRPr="00000576" w:rsidRDefault="00230D75" w:rsidP="00350FD1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230D75" w:rsidRPr="00764085" w14:paraId="4889487F" w14:textId="77777777" w:rsidTr="00350FD1">
        <w:tc>
          <w:tcPr>
            <w:tcW w:w="5526" w:type="dxa"/>
            <w:vAlign w:val="center"/>
          </w:tcPr>
          <w:p w14:paraId="72A73C17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14:paraId="14B93977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20DE4E7E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0B75FD76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230D75" w:rsidRPr="00764085" w14:paraId="266D6708" w14:textId="77777777" w:rsidTr="00350FD1">
        <w:tc>
          <w:tcPr>
            <w:tcW w:w="5526" w:type="dxa"/>
            <w:vAlign w:val="center"/>
          </w:tcPr>
          <w:p w14:paraId="55AF058E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14:paraId="3674F520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3FEC8C9D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70DB4184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230D75" w:rsidRPr="00764085" w14:paraId="421883B2" w14:textId="77777777" w:rsidTr="00350FD1">
        <w:tc>
          <w:tcPr>
            <w:tcW w:w="5526" w:type="dxa"/>
            <w:vAlign w:val="center"/>
          </w:tcPr>
          <w:p w14:paraId="4E165DF8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14:paraId="4B1FD88C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1FC34A74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220C0495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230D75" w:rsidRPr="00764085" w14:paraId="724A7165" w14:textId="77777777" w:rsidTr="00350FD1">
        <w:tc>
          <w:tcPr>
            <w:tcW w:w="5526" w:type="dxa"/>
            <w:vAlign w:val="center"/>
          </w:tcPr>
          <w:p w14:paraId="41812D03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14:paraId="13A8B4C5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4A2B9387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04C77119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230D75" w:rsidRPr="00764085" w14:paraId="73FFFB46" w14:textId="77777777" w:rsidTr="00350FD1">
        <w:tc>
          <w:tcPr>
            <w:tcW w:w="5526" w:type="dxa"/>
            <w:vAlign w:val="center"/>
          </w:tcPr>
          <w:p w14:paraId="2CED1B11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14:paraId="1F3419E5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14:paraId="2CD21AF1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14:paraId="13606499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230D75" w:rsidRPr="00764085" w14:paraId="14EED955" w14:textId="77777777" w:rsidTr="00350FD1">
        <w:tc>
          <w:tcPr>
            <w:tcW w:w="5526" w:type="dxa"/>
            <w:vAlign w:val="center"/>
          </w:tcPr>
          <w:p w14:paraId="3E57A763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14:paraId="43BD5DA7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52BE9D98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14:paraId="75B0A675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230D75" w:rsidRPr="00764085" w14:paraId="7B687B08" w14:textId="77777777" w:rsidTr="00350FD1">
        <w:tc>
          <w:tcPr>
            <w:tcW w:w="5526" w:type="dxa"/>
            <w:vAlign w:val="center"/>
          </w:tcPr>
          <w:p w14:paraId="2A144B0D" w14:textId="77777777" w:rsidR="00230D75" w:rsidRPr="00764085" w:rsidRDefault="00230D75" w:rsidP="00350FD1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14:paraId="678FFBE6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19BFA004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14:paraId="676A7DC9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230D75" w:rsidRPr="00764085" w14:paraId="1F7AF88A" w14:textId="77777777" w:rsidTr="00350FD1">
        <w:tc>
          <w:tcPr>
            <w:tcW w:w="5526" w:type="dxa"/>
            <w:vAlign w:val="center"/>
          </w:tcPr>
          <w:p w14:paraId="7244DB23" w14:textId="77777777" w:rsidR="00230D75" w:rsidRPr="00764085" w:rsidRDefault="00230D75" w:rsidP="00350FD1">
            <w:pPr>
              <w:pStyle w:val="Vchodzie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6. </w:t>
            </w:r>
            <w:r w:rsidRPr="00C65F20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Vplyvy na manželstvo, rodičovstvo a rodinu</w:t>
            </w:r>
          </w:p>
        </w:tc>
        <w:tc>
          <w:tcPr>
            <w:tcW w:w="1192" w:type="dxa"/>
            <w:vAlign w:val="center"/>
          </w:tcPr>
          <w:p w14:paraId="5697CA05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14:paraId="182E08D8" w14:textId="77777777" w:rsidR="00230D75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14:paraId="391616F1" w14:textId="77777777" w:rsidR="00230D75" w:rsidRPr="00000576" w:rsidRDefault="00230D75" w:rsidP="00350FD1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14:paraId="4B9D8991" w14:textId="77777777" w:rsidR="00230D75" w:rsidRPr="00764085" w:rsidRDefault="00230D75" w:rsidP="00230D75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75B36BCB" w14:textId="77777777" w:rsidR="00230D75" w:rsidRDefault="00230D75" w:rsidP="00230D75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14:paraId="7F3B4F11" w14:textId="77777777" w:rsidR="00230D75" w:rsidRDefault="00230D75" w:rsidP="00230D75">
      <w:pPr>
        <w:pStyle w:val="Vchodzie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Návrh zákona bude mať pozitívny vplyv na rozpočet verejnej správy, nakoľko sa rozširuje okruh osôb, ktoré budú môcť byť zamestnancami, pričom z ich zamestnaneckého vzťahu bude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benefitovať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aj rozpočet verejnej správy prostredníctvom uhradených daní z príjmu a odvodov. Predpokladáme, že nová právna úprava by viedla predovšetkým k uzatváraniu dohôd o brigádnickej práci študentov, kde sa síce do 200 eur môže uplatňovať odvodová výnimka, no zamestnávateľ aj pri odvodovej výnimke uhrádza garančné poistenie </w:t>
      </w:r>
      <w:r w:rsidRPr="00394B38">
        <w:rPr>
          <w:rFonts w:ascii="Times New Roman" w:hAnsi="Times New Roman" w:cs="Times New Roman"/>
          <w:color w:val="000000"/>
          <w:sz w:val="24"/>
          <w:szCs w:val="24"/>
          <w:lang w:val="sk-SK"/>
        </w:rPr>
        <w:t>vo výške 0,25 % z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celého príjmu a </w:t>
      </w:r>
      <w:r w:rsidRPr="00394B38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úrazové poistenie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vo výške 0,80 % z celého príjmu. Pozitívny vplyv na podnikateľské prostredie nastane z dôvodu rozšírenia okruhu disponibilných zamestnancov, ktorých príjmy sa oproti dnešku zvýšia. Taktiež sa zvýši rovnosť príležitostí v skupine mladistvých vo veku od 15 do 18 rokov, pretože dnes v rámci nej existuje skupina, ktorá nastupovať do práce môže, a skupina, ktorej to Zákonník práce znemožňuje. </w:t>
      </w:r>
    </w:p>
    <w:p w14:paraId="215536FD" w14:textId="77777777" w:rsidR="00230D75" w:rsidRDefault="00230D75" w:rsidP="00230D75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D2B4C78" w14:textId="77777777" w:rsidR="00230D75" w:rsidRDefault="00230D75" w:rsidP="00230D75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14:paraId="61217926" w14:textId="77777777" w:rsidR="00230D75" w:rsidRPr="00764085" w:rsidRDefault="00230D75" w:rsidP="00230D75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14:paraId="5C3193AD" w14:textId="77777777" w:rsidR="00230D75" w:rsidRPr="00764085" w:rsidRDefault="00230D75" w:rsidP="00230D75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14:paraId="74FB2AC3" w14:textId="77777777" w:rsidR="00230D75" w:rsidRPr="00764085" w:rsidRDefault="00230D75" w:rsidP="00230D75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14:paraId="62A46FA7" w14:textId="77777777" w:rsidR="00230D75" w:rsidRDefault="00230D75" w:rsidP="00230D75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>
        <w:rPr>
          <w:rFonts w:cs="Times New Roman"/>
          <w:color w:val="000000"/>
        </w:rPr>
        <w:br w:type="page"/>
      </w:r>
    </w:p>
    <w:p w14:paraId="595C3A66" w14:textId="77777777" w:rsidR="00230D75" w:rsidRPr="0017622F" w:rsidRDefault="00230D75" w:rsidP="00230D75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14:paraId="42394800" w14:textId="77777777" w:rsidR="00230D75" w:rsidRPr="0017622F" w:rsidRDefault="00230D75" w:rsidP="00230D75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14:paraId="2A8C05E3" w14:textId="77777777" w:rsidR="00230D75" w:rsidRPr="0017622F" w:rsidRDefault="00230D75" w:rsidP="00230D75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14:paraId="58CA9FCB" w14:textId="77777777" w:rsidR="00230D75" w:rsidRPr="0017622F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>
        <w:rPr>
          <w:rFonts w:eastAsia="Times New Roman" w:cs="Times New Roman"/>
          <w:lang w:eastAsia="en-US" w:bidi="ar-SA"/>
        </w:rPr>
        <w:tab/>
        <w:t xml:space="preserve">poslankyňa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>
        <w:rPr>
          <w:rFonts w:eastAsia="Times New Roman" w:cs="Times New Roman"/>
          <w:lang w:eastAsia="en-US" w:bidi="ar-SA"/>
        </w:rPr>
        <w:t xml:space="preserve"> Viera </w:t>
      </w:r>
      <w:proofErr w:type="spellStart"/>
      <w:r>
        <w:rPr>
          <w:rFonts w:eastAsia="Times New Roman" w:cs="Times New Roman"/>
          <w:lang w:eastAsia="en-US" w:bidi="ar-SA"/>
        </w:rPr>
        <w:t>Dubačová</w:t>
      </w:r>
      <w:proofErr w:type="spellEnd"/>
    </w:p>
    <w:p w14:paraId="70610FC7" w14:textId="77777777" w:rsidR="00230D75" w:rsidRPr="0017622F" w:rsidRDefault="00230D75" w:rsidP="00230D75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14:paraId="56A727BF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Pr="0017622F">
        <w:rPr>
          <w:rFonts w:eastAsia="Times New Roman" w:cs="Times New Roman"/>
          <w:b/>
          <w:lang w:eastAsia="en-US" w:bidi="ar-SA"/>
        </w:rPr>
        <w:t>Názov návrhu právneho predpisu:</w:t>
      </w:r>
      <w:r>
        <w:rPr>
          <w:rFonts w:eastAsia="Times New Roman" w:cs="Times New Roman"/>
          <w:lang w:eastAsia="en-US" w:bidi="ar-SA"/>
        </w:rPr>
        <w:t xml:space="preserve"> </w:t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FF5BF9">
        <w:rPr>
          <w:rFonts w:cs="Times New Roman"/>
        </w:rPr>
        <w:t>ktorým sa mení zákon č. 311/2001 Z. z. Zákonník práce v znení neskorších predpisov a ktorým sa mení zákon č. 440/2015 Z. z. o športe a o zmene a doplnení niektorých zákonov v znení neskorších predpisov</w:t>
      </w:r>
    </w:p>
    <w:p w14:paraId="65ACBE4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14:paraId="2F0D69BD" w14:textId="77777777" w:rsidR="00230D75" w:rsidRPr="008D47D8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14:paraId="309E425D" w14:textId="77777777" w:rsidR="00230D75" w:rsidRPr="00977F5D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264C74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 je upravená</w:t>
      </w:r>
      <w:r w:rsidRPr="00977F5D">
        <w:rPr>
          <w:rFonts w:eastAsia="Times New Roman" w:cs="Times New Roman"/>
          <w:lang w:eastAsia="en-US" w:bidi="ar-SA"/>
        </w:rPr>
        <w:t xml:space="preserve"> v</w:t>
      </w:r>
      <w:r>
        <w:rPr>
          <w:rFonts w:eastAsia="Times New Roman" w:cs="Times New Roman"/>
          <w:lang w:eastAsia="en-US" w:bidi="ar-SA"/>
        </w:rPr>
        <w:t xml:space="preserve"> primárnom práve Európskej únie</w:t>
      </w:r>
    </w:p>
    <w:p w14:paraId="2F3E7C76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0B398A25" w14:textId="77777777" w:rsidR="00230D75" w:rsidRPr="008D2D91" w:rsidRDefault="00230D75" w:rsidP="00230D75">
      <w:pPr>
        <w:pStyle w:val="Odsekzoznamu"/>
        <w:widowControl/>
        <w:numPr>
          <w:ilvl w:val="0"/>
          <w:numId w:val="1"/>
        </w:numPr>
        <w:suppressAutoHyphens w:val="0"/>
        <w:rPr>
          <w:rFonts w:eastAsia="Times New Roman" w:cs="Times New Roman"/>
          <w:i/>
          <w:color w:val="000000"/>
          <w:kern w:val="0"/>
          <w:sz w:val="27"/>
          <w:szCs w:val="27"/>
          <w:lang w:eastAsia="sk-SK" w:bidi="ar-SA"/>
        </w:rPr>
      </w:pP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čl.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153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ods.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1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písm.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b)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až d)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Zmluvy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o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fungovaní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Európskej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únie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v platnom</w:t>
      </w:r>
      <w:r w:rsidRPr="008D2D91">
        <w:rPr>
          <w:rFonts w:eastAsia="Times New Roman" w:cs="Times New Roman"/>
          <w:i/>
          <w:color w:val="000000"/>
          <w:spacing w:val="10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znení, podľa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ktorých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Únia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podporuje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a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dopĺňa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činnosti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členských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štátov</w:t>
      </w:r>
      <w:r w:rsidRPr="008D2D91">
        <w:rPr>
          <w:rFonts w:eastAsia="Times New Roman" w:cs="Times New Roman"/>
          <w:i/>
          <w:color w:val="000000"/>
          <w:spacing w:val="9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v oblasti pracovných</w:t>
      </w:r>
      <w:r w:rsidRPr="008D2D91">
        <w:rPr>
          <w:rFonts w:eastAsia="Times New Roman" w:cs="Times New Roman"/>
          <w:i/>
          <w:color w:val="000000"/>
          <w:spacing w:val="1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podmienok,</w:t>
      </w:r>
      <w:r w:rsidRPr="008D2D91">
        <w:rPr>
          <w:rFonts w:eastAsia="Times New Roman" w:cs="Times New Roman"/>
          <w:i/>
          <w:color w:val="000000"/>
          <w:spacing w:val="1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sociálneho</w:t>
      </w:r>
      <w:r w:rsidRPr="008D2D91">
        <w:rPr>
          <w:rFonts w:eastAsia="Times New Roman" w:cs="Times New Roman"/>
          <w:i/>
          <w:color w:val="000000"/>
          <w:spacing w:val="1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zabezpečenia</w:t>
      </w:r>
      <w:r w:rsidRPr="008D2D91">
        <w:rPr>
          <w:rFonts w:eastAsia="Times New Roman" w:cs="Times New Roman"/>
          <w:i/>
          <w:color w:val="000000"/>
          <w:spacing w:val="1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a</w:t>
      </w:r>
      <w:r w:rsidRPr="008D2D91">
        <w:rPr>
          <w:rFonts w:eastAsia="Times New Roman" w:cs="Times New Roman"/>
          <w:i/>
          <w:color w:val="000000"/>
          <w:spacing w:val="1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sociálnej</w:t>
      </w:r>
      <w:r w:rsidRPr="008D2D91">
        <w:rPr>
          <w:rFonts w:eastAsia="Times New Roman" w:cs="Times New Roman"/>
          <w:i/>
          <w:color w:val="000000"/>
          <w:spacing w:val="1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ochrany</w:t>
      </w:r>
      <w:r w:rsidRPr="008D2D91">
        <w:rPr>
          <w:rFonts w:eastAsia="Times New Roman" w:cs="Times New Roman"/>
          <w:i/>
          <w:color w:val="000000"/>
          <w:spacing w:val="1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pracovníkov a ochrany pracovníkov pri skončení pracovnej zmluvy,</w:t>
      </w:r>
    </w:p>
    <w:p w14:paraId="397567A9" w14:textId="77777777" w:rsidR="00230D75" w:rsidRPr="008D2D91" w:rsidRDefault="00230D75" w:rsidP="00230D75">
      <w:pPr>
        <w:pStyle w:val="Odsekzoznamu"/>
        <w:widowControl/>
        <w:suppressAutoHyphens w:val="0"/>
        <w:rPr>
          <w:rFonts w:eastAsia="Times New Roman" w:cs="Times New Roman"/>
          <w:i/>
          <w:color w:val="000000"/>
          <w:kern w:val="0"/>
          <w:sz w:val="27"/>
          <w:szCs w:val="27"/>
          <w:lang w:eastAsia="sk-SK" w:bidi="ar-SA"/>
        </w:rPr>
      </w:pPr>
    </w:p>
    <w:p w14:paraId="68169D67" w14:textId="77777777" w:rsidR="00230D75" w:rsidRPr="008D2D91" w:rsidRDefault="00230D75" w:rsidP="00230D75">
      <w:pPr>
        <w:pStyle w:val="Odsekzoznamu"/>
        <w:widowControl/>
        <w:numPr>
          <w:ilvl w:val="0"/>
          <w:numId w:val="1"/>
        </w:numPr>
        <w:suppressAutoHyphens w:val="0"/>
        <w:rPr>
          <w:rFonts w:eastAsia="Times New Roman" w:cs="Times New Roman"/>
          <w:i/>
          <w:color w:val="000000"/>
          <w:kern w:val="0"/>
          <w:sz w:val="27"/>
          <w:szCs w:val="27"/>
          <w:lang w:eastAsia="sk-SK" w:bidi="ar-SA"/>
        </w:rPr>
      </w:pP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čl.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4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ods.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2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písm.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b)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a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čl.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156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Zmluvy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o fungovaní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Európskej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únie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v platnom</w:t>
      </w:r>
      <w:r w:rsidRPr="008D2D91">
        <w:rPr>
          <w:rFonts w:eastAsia="Times New Roman" w:cs="Times New Roman"/>
          <w:i/>
          <w:color w:val="000000"/>
          <w:spacing w:val="2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znení, podľa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ktorých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Európska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únia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prostredníctvom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Komisie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podporuje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úzku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spoluprácu medzi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členskými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štátmi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a uľahčuje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koordináciu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ich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činnosti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vo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všetkých</w:t>
      </w:r>
      <w:r w:rsidRPr="008D2D91">
        <w:rPr>
          <w:rFonts w:eastAsia="Times New Roman" w:cs="Times New Roman"/>
          <w:i/>
          <w:color w:val="000000"/>
          <w:spacing w:val="3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oblastiach sociálnej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politiky,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ktoré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sa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týkajú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najmä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zamestnanosti,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pracovného</w:t>
      </w:r>
      <w:r w:rsidRPr="008D2D91">
        <w:rPr>
          <w:rFonts w:eastAsia="Times New Roman" w:cs="Times New Roman"/>
          <w:i/>
          <w:color w:val="000000"/>
          <w:spacing w:val="114"/>
          <w:kern w:val="0"/>
          <w:lang w:eastAsia="sk-SK" w:bidi="ar-SA"/>
        </w:rPr>
        <w:t xml:space="preserve"> </w:t>
      </w: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práva a pracovných podmienok,  sociálneho zabezpečenia,</w:t>
      </w:r>
    </w:p>
    <w:p w14:paraId="46A15E8C" w14:textId="77777777" w:rsidR="00230D75" w:rsidRPr="008D2D91" w:rsidRDefault="00230D75" w:rsidP="00230D75">
      <w:pPr>
        <w:pStyle w:val="Odsekzoznamu"/>
        <w:widowControl/>
        <w:suppressAutoHyphens w:val="0"/>
        <w:rPr>
          <w:rFonts w:eastAsia="Times New Roman" w:cs="Times New Roman"/>
          <w:i/>
          <w:color w:val="000000"/>
          <w:kern w:val="0"/>
          <w:sz w:val="27"/>
          <w:szCs w:val="27"/>
          <w:lang w:eastAsia="sk-SK" w:bidi="ar-SA"/>
        </w:rPr>
      </w:pPr>
    </w:p>
    <w:p w14:paraId="37B4EA71" w14:textId="77777777" w:rsidR="00230D75" w:rsidRPr="008D2D91" w:rsidRDefault="00230D75" w:rsidP="00230D75">
      <w:pPr>
        <w:pStyle w:val="Odsekzoznamu"/>
        <w:widowControl/>
        <w:numPr>
          <w:ilvl w:val="0"/>
          <w:numId w:val="1"/>
        </w:numPr>
        <w:suppressAutoHyphens w:val="0"/>
        <w:rPr>
          <w:rFonts w:eastAsia="Times New Roman" w:cs="Times New Roman"/>
          <w:i/>
          <w:color w:val="000000"/>
          <w:kern w:val="0"/>
          <w:sz w:val="27"/>
          <w:szCs w:val="27"/>
          <w:lang w:eastAsia="sk-SK" w:bidi="ar-SA"/>
        </w:rPr>
      </w:pP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čl. 15, 21, 27 až 32 Charty základných práv Európskej únie.</w:t>
      </w:r>
    </w:p>
    <w:p w14:paraId="3292B2C4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0E0C825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>
        <w:rPr>
          <w:rFonts w:eastAsia="Times New Roman" w:cs="Times New Roman"/>
          <w:lang w:eastAsia="en-US" w:bidi="ar-SA"/>
        </w:rPr>
        <w:t>ekundárnom práve Európskej únie</w:t>
      </w:r>
    </w:p>
    <w:p w14:paraId="0A6AFD19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457C70C3" w14:textId="77777777" w:rsidR="00230D75" w:rsidRDefault="00230D75" w:rsidP="00230D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6F5A29">
        <w:rPr>
          <w:rFonts w:eastAsia="Times New Roman" w:cs="Times New Roman"/>
          <w:color w:val="000000"/>
          <w:kern w:val="0"/>
          <w:lang w:eastAsia="sk-SK" w:bidi="ar-SA"/>
        </w:rPr>
        <w:t>sekundárnom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(prijatom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po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nadobudnutí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platnosti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Lisabonskej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zmluvy,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ktorou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sa</w:t>
      </w:r>
      <w:r w:rsidRPr="006F5A29">
        <w:rPr>
          <w:rFonts w:eastAsia="Times New Roman" w:cs="Times New Roman"/>
          <w:color w:val="000000"/>
          <w:spacing w:val="14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mení a dopĺňa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Zmluva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o Európskom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spoločenstve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a Zmluva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o Európskej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únii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–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po</w:t>
      </w:r>
      <w:r w:rsidRPr="006F5A29">
        <w:rPr>
          <w:rFonts w:eastAsia="Times New Roman" w:cs="Times New Roman"/>
          <w:color w:val="000000"/>
          <w:spacing w:val="70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30. novembri 2009)</w:t>
      </w:r>
    </w:p>
    <w:p w14:paraId="51FECA05" w14:textId="77777777" w:rsidR="00230D75" w:rsidRPr="006F5A29" w:rsidRDefault="00230D75" w:rsidP="00230D75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14:paraId="36991236" w14:textId="77777777" w:rsidR="00230D75" w:rsidRDefault="00230D75" w:rsidP="00230D75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  <w:r w:rsidRPr="006F5A29">
        <w:rPr>
          <w:rFonts w:eastAsia="Times New Roman" w:cs="Times New Roman"/>
          <w:color w:val="000000"/>
          <w:kern w:val="0"/>
          <w:lang w:eastAsia="sk-SK" w:bidi="ar-SA"/>
        </w:rPr>
        <w:t>1.legislatívne akty</w:t>
      </w:r>
      <w:r>
        <w:rPr>
          <w:rFonts w:eastAsia="Times New Roman" w:cs="Times New Roman"/>
          <w:color w:val="000000"/>
          <w:kern w:val="0"/>
          <w:lang w:eastAsia="sk-SK" w:bidi="ar-SA"/>
        </w:rPr>
        <w:t xml:space="preserve"> a 2.nelegislatívne akty: nie</w:t>
      </w:r>
    </w:p>
    <w:p w14:paraId="295C66C7" w14:textId="77777777" w:rsidR="00230D75" w:rsidRPr="006F5A29" w:rsidRDefault="00230D75" w:rsidP="00230D75">
      <w:pPr>
        <w:widowControl/>
        <w:suppressAutoHyphens w:val="0"/>
        <w:rPr>
          <w:rFonts w:eastAsia="Times New Roman" w:cs="Times New Roman"/>
          <w:color w:val="000000"/>
          <w:kern w:val="0"/>
          <w:sz w:val="27"/>
          <w:szCs w:val="27"/>
          <w:lang w:eastAsia="sk-SK" w:bidi="ar-SA"/>
        </w:rPr>
      </w:pPr>
    </w:p>
    <w:p w14:paraId="58DFACDE" w14:textId="77777777" w:rsidR="00230D75" w:rsidRDefault="00230D75" w:rsidP="00230D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6F5A29">
        <w:rPr>
          <w:rFonts w:eastAsia="Times New Roman" w:cs="Times New Roman"/>
          <w:color w:val="000000"/>
          <w:kern w:val="0"/>
          <w:lang w:eastAsia="sk-SK" w:bidi="ar-SA"/>
        </w:rPr>
        <w:t>sekundárnom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(prijatom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pred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nadobudnutím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platnosti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Lisabonskej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zmluvy,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ktorou</w:t>
      </w:r>
      <w:r w:rsidRPr="006F5A29">
        <w:rPr>
          <w:rFonts w:eastAsia="Times New Roman" w:cs="Times New Roman"/>
          <w:color w:val="000000"/>
          <w:spacing w:val="37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sa mení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a dopĺňa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Zmluva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o Európskom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spoločenstve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a Zmluva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o Európskej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únii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–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do</w:t>
      </w:r>
      <w:r w:rsidRPr="006F5A29">
        <w:rPr>
          <w:rFonts w:eastAsia="Times New Roman" w:cs="Times New Roman"/>
          <w:color w:val="000000"/>
          <w:spacing w:val="9"/>
          <w:kern w:val="0"/>
          <w:lang w:eastAsia="sk-SK" w:bidi="ar-SA"/>
        </w:rPr>
        <w:t xml:space="preserve"> </w:t>
      </w:r>
      <w:r w:rsidRPr="006F5A29">
        <w:rPr>
          <w:rFonts w:eastAsia="Times New Roman" w:cs="Times New Roman"/>
          <w:color w:val="000000"/>
          <w:kern w:val="0"/>
          <w:lang w:eastAsia="sk-SK" w:bidi="ar-SA"/>
        </w:rPr>
        <w:t>30. novembra 2009):</w:t>
      </w:r>
    </w:p>
    <w:p w14:paraId="17F7B2EB" w14:textId="77777777" w:rsidR="00230D75" w:rsidRDefault="00230D75" w:rsidP="00230D75">
      <w:pPr>
        <w:widowControl/>
        <w:suppressAutoHyphens w:val="0"/>
        <w:rPr>
          <w:rFonts w:eastAsia="Times New Roman" w:cs="Times New Roman"/>
          <w:color w:val="000000"/>
          <w:kern w:val="0"/>
          <w:lang w:eastAsia="sk-SK" w:bidi="ar-SA"/>
        </w:rPr>
      </w:pPr>
    </w:p>
    <w:p w14:paraId="149794ED" w14:textId="77777777" w:rsidR="00230D75" w:rsidRPr="008D2D91" w:rsidRDefault="00230D75" w:rsidP="00230D75">
      <w:pPr>
        <w:widowControl/>
        <w:suppressAutoHyphens w:val="0"/>
        <w:jc w:val="both"/>
        <w:rPr>
          <w:rFonts w:eastAsia="Times New Roman" w:cs="Times New Roman"/>
          <w:i/>
          <w:lang w:eastAsia="en-US" w:bidi="ar-SA"/>
        </w:rPr>
      </w:pPr>
      <w:r w:rsidRPr="008D2D91">
        <w:rPr>
          <w:rFonts w:eastAsia="Times New Roman" w:cs="Times New Roman"/>
          <w:i/>
          <w:color w:val="000000"/>
          <w:kern w:val="0"/>
          <w:lang w:eastAsia="sk-SK" w:bidi="ar-SA"/>
        </w:rPr>
        <w:t>smernica Rady 94/33/ES z 22. júna 1994 o ochrane mladých ľudí pri práci (Mimoriadne vydanie Ú. v. EÚ</w:t>
      </w:r>
      <w:r>
        <w:rPr>
          <w:rFonts w:eastAsia="Times New Roman" w:cs="Times New Roman"/>
          <w:i/>
          <w:color w:val="000000"/>
          <w:kern w:val="0"/>
          <w:lang w:eastAsia="sk-SK" w:bidi="ar-SA"/>
        </w:rPr>
        <w:t>, kap. 05/zv.2) v platnom znení</w:t>
      </w:r>
    </w:p>
    <w:p w14:paraId="1638FA61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22EA0A25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>
        <w:rPr>
          <w:rFonts w:eastAsia="Times New Roman" w:cs="Times New Roman"/>
          <w:lang w:eastAsia="en-US" w:bidi="ar-SA"/>
        </w:rPr>
        <w:t>ópskej únie:</w:t>
      </w:r>
    </w:p>
    <w:p w14:paraId="0793FC0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14:paraId="5338FA3A" w14:textId="77777777" w:rsidR="00230D75" w:rsidRPr="008D2D91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i/>
          <w:lang w:eastAsia="en-US" w:bidi="ar-SA"/>
        </w:rPr>
      </w:pPr>
      <w:r w:rsidRPr="008D2D91">
        <w:rPr>
          <w:rFonts w:eastAsia="Times New Roman" w:cs="Times New Roman"/>
          <w:i/>
          <w:lang w:eastAsia="en-US" w:bidi="ar-SA"/>
        </w:rPr>
        <w:t>Rozsudok V. komory zo 16. decembra 1999 (Komisia Európskych spoločenstiev proti Luxemburskému veľkovojvodstvu), vec C-47/99</w:t>
      </w:r>
    </w:p>
    <w:p w14:paraId="4BE460CE" w14:textId="77777777" w:rsidR="00230D75" w:rsidRPr="008D2D91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i/>
          <w:lang w:eastAsia="en-US" w:bidi="ar-SA"/>
        </w:rPr>
      </w:pPr>
    </w:p>
    <w:p w14:paraId="1362A198" w14:textId="77777777" w:rsidR="00230D75" w:rsidRPr="008D2D91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i/>
          <w:lang w:eastAsia="en-US" w:bidi="ar-SA"/>
        </w:rPr>
      </w:pPr>
      <w:r w:rsidRPr="008D2D91">
        <w:rPr>
          <w:rFonts w:eastAsia="Times New Roman" w:cs="Times New Roman"/>
          <w:i/>
          <w:lang w:eastAsia="en-US" w:bidi="ar-SA"/>
        </w:rPr>
        <w:t xml:space="preserve">Rozsudok IV. komory z 18. mája 2000 (Komisia Európskych spoločenstiev proti Francúzskej </w:t>
      </w:r>
      <w:r w:rsidRPr="008D2D91">
        <w:rPr>
          <w:rFonts w:eastAsia="Times New Roman" w:cs="Times New Roman"/>
          <w:i/>
          <w:lang w:eastAsia="en-US" w:bidi="ar-SA"/>
        </w:rPr>
        <w:lastRenderedPageBreak/>
        <w:t>republike), vec C-45/99</w:t>
      </w:r>
    </w:p>
    <w:p w14:paraId="49DE0721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65C45EB1" w14:textId="77777777" w:rsidR="00230D75" w:rsidRPr="00EA4934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b/>
          <w:lang w:eastAsia="en-US" w:bidi="ar-SA"/>
        </w:rPr>
      </w:pPr>
      <w:r w:rsidRPr="00EA4934">
        <w:rPr>
          <w:rFonts w:eastAsia="Times New Roman" w:cs="Times New Roman"/>
          <w:b/>
          <w:lang w:eastAsia="en-US" w:bidi="ar-SA"/>
        </w:rPr>
        <w:t>4.</w:t>
      </w:r>
      <w:r>
        <w:rPr>
          <w:rFonts w:eastAsia="Times New Roman" w:cs="Times New Roman"/>
          <w:b/>
          <w:lang w:eastAsia="en-US" w:bidi="ar-SA"/>
        </w:rPr>
        <w:t xml:space="preserve"> </w:t>
      </w:r>
      <w:r w:rsidRPr="00EA4934">
        <w:rPr>
          <w:rFonts w:eastAsia="Times New Roman" w:cs="Times New Roman"/>
          <w:b/>
          <w:lang w:eastAsia="en-US" w:bidi="ar-SA"/>
        </w:rPr>
        <w:t>Záväzky Slovenskej republiky vo vzťahu k Európskej únii:</w:t>
      </w:r>
    </w:p>
    <w:p w14:paraId="3971A71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5824ABD8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</w:t>
      </w:r>
      <w:r w:rsidRPr="00EA4934">
        <w:rPr>
          <w:rFonts w:eastAsia="Times New Roman" w:cs="Times New Roman"/>
          <w:lang w:eastAsia="en-US" w:bidi="ar-SA"/>
        </w:rPr>
        <w:t>)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lehota na prebratie smernice alebo lehota na implementáciu nariadenia alebo rozhodnutia:</w:t>
      </w:r>
    </w:p>
    <w:p w14:paraId="11E17309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1106D386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smernica Rady 94/33/ES z 22. júna 1994 o ochrane mladých ľudí pri práci (Mimoriadne vydanie Ú. v. EÚ, kap. 05/zv.2</w:t>
      </w:r>
      <w:r>
        <w:rPr>
          <w:rFonts w:eastAsia="Times New Roman" w:cs="Times New Roman"/>
          <w:lang w:eastAsia="en-US" w:bidi="ar-SA"/>
        </w:rPr>
        <w:t>) v platnom znení – 1. máj 2004</w:t>
      </w:r>
    </w:p>
    <w:p w14:paraId="4DED7872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2A32932B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predpisov:</w:t>
      </w:r>
      <w:r>
        <w:rPr>
          <w:rFonts w:eastAsia="Times New Roman" w:cs="Times New Roman"/>
          <w:lang w:eastAsia="en-US" w:bidi="ar-SA"/>
        </w:rPr>
        <w:t xml:space="preserve"> bezpredmetné</w:t>
      </w:r>
    </w:p>
    <w:p w14:paraId="7144A5B8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71968086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c)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informácia o konaní začatom proti Slovenskej republike o porušení podľa čl. 258 až 260 Zmluvy o fungovaní Európskej únie:</w:t>
      </w:r>
    </w:p>
    <w:p w14:paraId="35CD781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2685A583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Proti Slovenskej republike nezačalo žiadne konanie o porušení podľa čl. 258 až 260 Zmluvy o fungovaní Európskej únie.</w:t>
      </w:r>
    </w:p>
    <w:p w14:paraId="702B562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4995D00B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d) </w:t>
      </w:r>
      <w:r w:rsidRPr="00EA4934">
        <w:rPr>
          <w:rFonts w:eastAsia="Times New Roman" w:cs="Times New Roman"/>
          <w:lang w:eastAsia="en-US" w:bidi="ar-SA"/>
        </w:rPr>
        <w:t>informácia o právnych predpisoch, v ktorých sú preberané smernice už prebraté spolu s uvedením rozsahu tohto prebratia:</w:t>
      </w:r>
    </w:p>
    <w:p w14:paraId="135B0BCB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26E01D66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smernica Rady 94/33/ES z 22. júna 1994 o ochrane mladých ľudí pri práci (Mimoriadne vydanie Ú. v. EÚ, kap. 05/zv.2) v platnom znení</w:t>
      </w:r>
    </w:p>
    <w:p w14:paraId="7ED4A3C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3E9CCFD5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v zákone č. 311/2001 Z. z. Zákonník práce v znení neskorších predpisov</w:t>
      </w:r>
    </w:p>
    <w:p w14:paraId="20DDE8A3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7C3268E9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v zákone č. 300/2005 Z. z. Trestný zákon v znení neskorších predpisov</w:t>
      </w:r>
    </w:p>
    <w:p w14:paraId="34EFBF96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6C95AA97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v zákone č. 124/2006 Z. z. o bezpečnosti a ochrane zdravia pri práci a o zmene a doplnení niektorých zákonov v znení neskorších predpisov</w:t>
      </w:r>
    </w:p>
    <w:p w14:paraId="44BE5F89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5663EE33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v zákone č. 125/2006 Z. z. o inšpekcii práce a o zmene a doplnení zákona č. 82/2005 Z. z. o nelegálnej práci a nelegálnom zamestnávaní a o zmene a doplnení niektorých zákonov v znení neskorších predpisov</w:t>
      </w:r>
    </w:p>
    <w:p w14:paraId="52B5F5CA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29A3295D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v zákone č. 575/2001 Z. z. o organizácii činnosti vlády a organizácii ústrednej štátnej správy  v znení neskorších predpisov</w:t>
      </w:r>
    </w:p>
    <w:p w14:paraId="7376AC99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2AC8654A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  <w:r w:rsidRPr="00EA4934">
        <w:rPr>
          <w:rFonts w:eastAsia="Times New Roman" w:cs="Times New Roman"/>
          <w:lang w:eastAsia="en-US" w:bidi="ar-SA"/>
        </w:rPr>
        <w:t>–</w:t>
      </w:r>
      <w:r>
        <w:rPr>
          <w:rFonts w:eastAsia="Times New Roman" w:cs="Times New Roman"/>
          <w:lang w:eastAsia="en-US" w:bidi="ar-SA"/>
        </w:rPr>
        <w:t xml:space="preserve"> </w:t>
      </w:r>
      <w:r w:rsidRPr="00EA4934">
        <w:rPr>
          <w:rFonts w:eastAsia="Times New Roman" w:cs="Times New Roman"/>
          <w:lang w:eastAsia="en-US" w:bidi="ar-SA"/>
        </w:rPr>
        <w:t>v nariadení vlády S</w:t>
      </w:r>
      <w:r>
        <w:rPr>
          <w:rFonts w:eastAsia="Times New Roman" w:cs="Times New Roman"/>
          <w:lang w:eastAsia="en-US" w:bidi="ar-SA"/>
        </w:rPr>
        <w:t xml:space="preserve">lovenskej republiky </w:t>
      </w:r>
      <w:r w:rsidRPr="00EA4934">
        <w:rPr>
          <w:rFonts w:eastAsia="Times New Roman" w:cs="Times New Roman"/>
          <w:lang w:eastAsia="en-US" w:bidi="ar-SA"/>
        </w:rPr>
        <w:t>č. 286/2004 Z. z. ktorým sa ustanovuje zoznam prác a pracovísk, ktoré sú zakázané mladistvým zamestnancom, a ktorým sa ustanovujú niektoré povinnosti zamestnávateľom pri zamestnávaní mladistvých zamestnancov</w:t>
      </w:r>
      <w:r>
        <w:rPr>
          <w:rFonts w:eastAsia="Times New Roman" w:cs="Times New Roman"/>
          <w:lang w:eastAsia="en-US" w:bidi="ar-SA"/>
        </w:rPr>
        <w:t>.</w:t>
      </w:r>
    </w:p>
    <w:p w14:paraId="64E29D86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64C20F1F" w14:textId="77777777" w:rsidR="00230D75" w:rsidRPr="00EA4934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b/>
          <w:lang w:eastAsia="en-US" w:bidi="ar-SA"/>
        </w:rPr>
      </w:pPr>
      <w:r w:rsidRPr="00EA4934">
        <w:rPr>
          <w:rFonts w:eastAsia="Times New Roman" w:cs="Times New Roman"/>
          <w:b/>
          <w:lang w:eastAsia="en-US" w:bidi="ar-SA"/>
        </w:rPr>
        <w:t>5. Stupeň zlučiteľnosti návrhu zákona s právom Európskej únie</w:t>
      </w:r>
      <w:r w:rsidRPr="00EA4934">
        <w:rPr>
          <w:rFonts w:eastAsia="Times New Roman" w:cs="Times New Roman"/>
          <w:lang w:eastAsia="en-US" w:bidi="ar-SA"/>
        </w:rPr>
        <w:t>: úplný</w:t>
      </w:r>
    </w:p>
    <w:p w14:paraId="03CAF241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14:paraId="1BBC60DC" w14:textId="77777777" w:rsidR="00230D75" w:rsidRDefault="00230D75" w:rsidP="00230D75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  <w:r w:rsidRPr="00EA4934">
        <w:rPr>
          <w:rFonts w:eastAsia="Times New Roman" w:cs="Times New Roman"/>
          <w:b/>
          <w:lang w:eastAsia="en-US" w:bidi="ar-SA"/>
        </w:rPr>
        <w:t>6.</w:t>
      </w:r>
      <w:r>
        <w:rPr>
          <w:rFonts w:eastAsia="Times New Roman" w:cs="Times New Roman"/>
          <w:b/>
          <w:lang w:eastAsia="en-US" w:bidi="ar-SA"/>
        </w:rPr>
        <w:t xml:space="preserve"> </w:t>
      </w:r>
      <w:r w:rsidRPr="00EA4934">
        <w:rPr>
          <w:rFonts w:eastAsia="Times New Roman" w:cs="Times New Roman"/>
          <w:b/>
          <w:lang w:eastAsia="en-US" w:bidi="ar-SA"/>
        </w:rPr>
        <w:t>Gestor a spolupracujúce rezorty</w:t>
      </w:r>
      <w:r w:rsidRPr="00EA4934">
        <w:rPr>
          <w:rFonts w:eastAsia="Times New Roman" w:cs="Times New Roman"/>
          <w:lang w:eastAsia="en-US" w:bidi="ar-SA"/>
        </w:rPr>
        <w:t xml:space="preserve">: </w:t>
      </w:r>
      <w:r>
        <w:rPr>
          <w:rFonts w:eastAsia="Times New Roman" w:cs="Times New Roman"/>
          <w:lang w:eastAsia="en-US" w:bidi="ar-SA"/>
        </w:rPr>
        <w:t>bezpredmetné</w:t>
      </w:r>
    </w:p>
    <w:p w14:paraId="0B302A57" w14:textId="77777777" w:rsidR="00042CAE" w:rsidRDefault="00042CAE">
      <w:bookmarkStart w:id="0" w:name="_GoBack"/>
      <w:bookmarkEnd w:id="0"/>
    </w:p>
    <w:sectPr w:rsidR="00042CAE" w:rsidSect="000C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4"/>
    <w:rsid w:val="00042CAE"/>
    <w:rsid w:val="00230D75"/>
    <w:rsid w:val="003C4381"/>
    <w:rsid w:val="007F787B"/>
    <w:rsid w:val="00D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404EE-2E5F-4014-B6BC-27D3269B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0D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230D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customStyle="1" w:styleId="Vchodzie">
    <w:name w:val="Vchodzie"/>
    <w:rsid w:val="00230D75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230D7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2</cp:revision>
  <dcterms:created xsi:type="dcterms:W3CDTF">2019-11-06T10:48:00Z</dcterms:created>
  <dcterms:modified xsi:type="dcterms:W3CDTF">2019-11-06T10:49:00Z</dcterms:modified>
</cp:coreProperties>
</file>