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bottom w:val="single" w:sz="12" w:space="1" w:color="000000"/>
        </w:pBdr>
        <w:spacing w:lineRule="auto" w:line="276" w:before="120" w:after="0"/>
        <w:ind w:firstLine="708"/>
        <w:jc w:val="center"/>
        <w:rPr>
          <w:rFonts w:ascii="Book Antiqua" w:hAnsi="Book Antiqua"/>
          <w:b/>
          <w:b/>
          <w:bCs/>
          <w:spacing w:val="20"/>
          <w:sz w:val="22"/>
          <w:szCs w:val="22"/>
        </w:rPr>
      </w:pPr>
      <w:r>
        <w:rPr>
          <w:rFonts w:ascii="Book Antiqua" w:hAnsi="Book Antiqua"/>
          <w:b/>
          <w:bCs/>
          <w:spacing w:val="20"/>
          <w:sz w:val="22"/>
          <w:szCs w:val="22"/>
        </w:rPr>
        <w:t>NÁRODNÁ  RADA  SLOVENSKEJ  REPUBLIKY</w:t>
      </w:r>
    </w:p>
    <w:p>
      <w:pPr>
        <w:pStyle w:val="Normal"/>
        <w:spacing w:lineRule="auto" w:line="276" w:before="120" w:after="0"/>
        <w:jc w:val="center"/>
        <w:rPr>
          <w:rFonts w:ascii="Book Antiqua" w:hAnsi="Book Antiqua"/>
          <w:spacing w:val="20"/>
          <w:sz w:val="22"/>
          <w:szCs w:val="22"/>
        </w:rPr>
      </w:pPr>
      <w:r>
        <w:rPr>
          <w:rFonts w:ascii="Book Antiqua" w:hAnsi="Book Antiqua"/>
          <w:spacing w:val="20"/>
          <w:sz w:val="22"/>
          <w:szCs w:val="22"/>
        </w:rPr>
      </w:r>
    </w:p>
    <w:p>
      <w:pPr>
        <w:pStyle w:val="Normal"/>
        <w:spacing w:lineRule="auto" w:line="276" w:before="120" w:after="0"/>
        <w:jc w:val="center"/>
        <w:rPr>
          <w:rFonts w:ascii="Book Antiqua" w:hAnsi="Book Antiqua"/>
          <w:spacing w:val="20"/>
          <w:sz w:val="22"/>
          <w:szCs w:val="22"/>
        </w:rPr>
      </w:pPr>
      <w:r>
        <w:rPr>
          <w:rFonts w:ascii="Book Antiqua" w:hAnsi="Book Antiqua"/>
          <w:spacing w:val="20"/>
          <w:sz w:val="22"/>
          <w:szCs w:val="22"/>
        </w:rPr>
        <w:t>VII. volebné obdobie</w:t>
      </w:r>
    </w:p>
    <w:p>
      <w:pPr>
        <w:pStyle w:val="Normal"/>
        <w:spacing w:lineRule="auto" w:line="276" w:before="120" w:after="0"/>
        <w:rPr>
          <w:rFonts w:ascii="Book Antiqua" w:hAnsi="Book Antiqua"/>
          <w:b/>
          <w:b/>
          <w:bCs/>
          <w:spacing w:val="30"/>
          <w:sz w:val="22"/>
          <w:szCs w:val="22"/>
        </w:rPr>
      </w:pPr>
      <w:r>
        <w:rPr>
          <w:rFonts w:ascii="Book Antiqua" w:hAnsi="Book Antiqua"/>
          <w:b/>
          <w:bCs/>
          <w:spacing w:val="30"/>
          <w:sz w:val="22"/>
          <w:szCs w:val="22"/>
        </w:rPr>
      </w:r>
    </w:p>
    <w:p>
      <w:pPr>
        <w:pStyle w:val="Normal"/>
        <w:spacing w:lineRule="auto" w:line="276" w:before="120" w:after="0"/>
        <w:rPr>
          <w:rFonts w:ascii="Book Antiqua" w:hAnsi="Book Antiqua"/>
          <w:b/>
          <w:b/>
          <w:bCs/>
          <w:spacing w:val="30"/>
          <w:sz w:val="22"/>
          <w:szCs w:val="22"/>
        </w:rPr>
      </w:pPr>
      <w:r>
        <w:rPr>
          <w:rFonts w:ascii="Book Antiqua" w:hAnsi="Book Antiqua"/>
          <w:b/>
          <w:bCs/>
          <w:spacing w:val="30"/>
          <w:sz w:val="22"/>
          <w:szCs w:val="22"/>
        </w:rPr>
      </w:r>
    </w:p>
    <w:p>
      <w:pPr>
        <w:pStyle w:val="Normal"/>
        <w:spacing w:lineRule="auto" w:line="276" w:before="120" w:after="0"/>
        <w:jc w:val="center"/>
        <w:rPr>
          <w:rFonts w:ascii="Book Antiqua" w:hAnsi="Book Antiqua"/>
          <w:bCs/>
          <w:spacing w:val="30"/>
          <w:sz w:val="22"/>
          <w:szCs w:val="22"/>
        </w:rPr>
      </w:pPr>
      <w:r>
        <w:rPr>
          <w:rFonts w:ascii="Book Antiqua" w:hAnsi="Book Antiqua"/>
          <w:bCs/>
          <w:spacing w:val="30"/>
          <w:sz w:val="22"/>
          <w:szCs w:val="22"/>
        </w:rPr>
        <w:t xml:space="preserve">Návrh </w:t>
      </w:r>
    </w:p>
    <w:p>
      <w:pPr>
        <w:pStyle w:val="Normal"/>
        <w:spacing w:lineRule="auto" w:line="276" w:before="120" w:after="0"/>
        <w:jc w:val="center"/>
        <w:rPr>
          <w:rFonts w:ascii="Book Antiqua" w:hAnsi="Book Antiqua"/>
          <w:b/>
          <w:b/>
          <w:bCs/>
          <w:spacing w:val="30"/>
          <w:sz w:val="22"/>
          <w:szCs w:val="22"/>
        </w:rPr>
      </w:pPr>
      <w:r>
        <w:rPr>
          <w:rFonts w:ascii="Book Antiqua" w:hAnsi="Book Antiqua"/>
          <w:b/>
          <w:bCs/>
          <w:spacing w:val="30"/>
          <w:sz w:val="22"/>
          <w:szCs w:val="22"/>
        </w:rPr>
      </w:r>
    </w:p>
    <w:p>
      <w:pPr>
        <w:pStyle w:val="Normal"/>
        <w:spacing w:lineRule="auto" w:line="276" w:before="120" w:after="0"/>
        <w:jc w:val="center"/>
        <w:rPr>
          <w:rFonts w:ascii="Book Antiqua" w:hAnsi="Book Antiqua"/>
          <w:b/>
          <w:b/>
          <w:bCs/>
          <w:caps/>
          <w:spacing w:val="30"/>
          <w:sz w:val="22"/>
          <w:szCs w:val="22"/>
        </w:rPr>
      </w:pPr>
      <w:r>
        <w:rPr>
          <w:rFonts w:ascii="Book Antiqua" w:hAnsi="Book Antiqua"/>
          <w:b/>
          <w:bCs/>
          <w:caps/>
          <w:spacing w:val="30"/>
          <w:sz w:val="22"/>
          <w:szCs w:val="22"/>
        </w:rPr>
        <w:t>zákon</w:t>
      </w:r>
    </w:p>
    <w:p>
      <w:pPr>
        <w:pStyle w:val="Normal"/>
        <w:spacing w:lineRule="auto" w:line="276" w:before="120" w:after="0"/>
        <w:jc w:val="center"/>
        <w:rPr>
          <w:rFonts w:ascii="Book Antiqua" w:hAnsi="Book Antiqua"/>
          <w:sz w:val="22"/>
          <w:szCs w:val="22"/>
        </w:rPr>
      </w:pPr>
      <w:r>
        <w:rPr>
          <w:rFonts w:ascii="Book Antiqua" w:hAnsi="Book Antiqua"/>
          <w:sz w:val="22"/>
          <w:szCs w:val="22"/>
        </w:rPr>
      </w:r>
    </w:p>
    <w:p>
      <w:pPr>
        <w:pStyle w:val="Normal"/>
        <w:spacing w:lineRule="auto" w:line="276" w:before="120" w:after="0"/>
        <w:jc w:val="center"/>
        <w:rPr>
          <w:rFonts w:ascii="Book Antiqua" w:hAnsi="Book Antiqua"/>
          <w:sz w:val="22"/>
          <w:szCs w:val="22"/>
        </w:rPr>
      </w:pPr>
      <w:r>
        <w:rPr>
          <w:rFonts w:ascii="Book Antiqua" w:hAnsi="Book Antiqua"/>
          <w:sz w:val="22"/>
          <w:szCs w:val="22"/>
        </w:rPr>
        <w:t>z ... 2020,</w:t>
      </w:r>
    </w:p>
    <w:p>
      <w:pPr>
        <w:pStyle w:val="Normal"/>
        <w:spacing w:lineRule="auto" w:line="276" w:before="120" w:after="0"/>
        <w:rPr>
          <w:rFonts w:ascii="Book Antiqua" w:hAnsi="Book Antiqua"/>
          <w:sz w:val="22"/>
          <w:szCs w:val="22"/>
        </w:rPr>
      </w:pPr>
      <w:r>
        <w:rPr>
          <w:rFonts w:ascii="Book Antiqua" w:hAnsi="Book Antiqua"/>
          <w:sz w:val="22"/>
          <w:szCs w:val="22"/>
        </w:rPr>
      </w:r>
    </w:p>
    <w:p>
      <w:pPr>
        <w:pStyle w:val="Normal"/>
        <w:spacing w:lineRule="auto" w:line="276" w:before="120" w:after="0"/>
        <w:jc w:val="center"/>
        <w:rPr>
          <w:rFonts w:ascii="Book Antiqua" w:hAnsi="Book Antiqua"/>
          <w:b/>
          <w:b/>
          <w:sz w:val="22"/>
          <w:szCs w:val="22"/>
        </w:rPr>
      </w:pPr>
      <w:r>
        <w:rPr>
          <w:rFonts w:ascii="Book Antiqua" w:hAnsi="Book Antiqua"/>
          <w:b/>
          <w:bCs/>
          <w:sz w:val="22"/>
          <w:szCs w:val="22"/>
        </w:rPr>
        <w:t>ktorým sa mení a dopĺňa zákon č. 219/2006 Z. z. o protikomunistickom odboji v znení zákona č. 58/2009 Z. z. a ktorým sa menia a dopĺňajú niektoré zákony</w:t>
      </w:r>
    </w:p>
    <w:p>
      <w:pPr>
        <w:pStyle w:val="Normal"/>
        <w:spacing w:lineRule="auto" w:line="276" w:before="120" w:after="0"/>
        <w:jc w:val="both"/>
        <w:rPr>
          <w:rFonts w:ascii="Book Antiqua" w:hAnsi="Book Antiqua"/>
          <w:sz w:val="22"/>
          <w:szCs w:val="22"/>
        </w:rPr>
      </w:pPr>
      <w:r>
        <w:rPr>
          <w:rFonts w:ascii="Book Antiqua" w:hAnsi="Book Antiqua"/>
          <w:sz w:val="22"/>
          <w:szCs w:val="22"/>
        </w:rPr>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Národná rada Slovenskej republiky sa uzniesla na tomto zákone:</w:t>
      </w:r>
    </w:p>
    <w:p>
      <w:pPr>
        <w:pStyle w:val="Normal"/>
        <w:spacing w:lineRule="auto" w:line="276" w:before="120" w:after="0"/>
        <w:rPr>
          <w:rFonts w:ascii="Book Antiqua" w:hAnsi="Book Antiqua"/>
          <w:sz w:val="22"/>
          <w:szCs w:val="22"/>
        </w:rPr>
      </w:pPr>
      <w:r>
        <w:rPr>
          <w:rFonts w:ascii="Book Antiqua" w:hAnsi="Book Antiqua"/>
          <w:sz w:val="22"/>
          <w:szCs w:val="22"/>
        </w:rPr>
      </w:r>
    </w:p>
    <w:p>
      <w:pPr>
        <w:pStyle w:val="Normal"/>
        <w:spacing w:lineRule="auto" w:line="276" w:before="120" w:after="0"/>
        <w:jc w:val="center"/>
        <w:rPr>
          <w:rFonts w:ascii="Book Antiqua" w:hAnsi="Book Antiqua"/>
          <w:b/>
          <w:b/>
          <w:sz w:val="22"/>
          <w:szCs w:val="22"/>
        </w:rPr>
      </w:pPr>
      <w:r>
        <w:rPr>
          <w:rFonts w:ascii="Book Antiqua" w:hAnsi="Book Antiqua"/>
          <w:b/>
          <w:sz w:val="22"/>
          <w:szCs w:val="22"/>
        </w:rPr>
        <w:t>Čl. I</w:t>
      </w:r>
    </w:p>
    <w:p>
      <w:pPr>
        <w:pStyle w:val="Normal"/>
        <w:spacing w:lineRule="auto" w:line="276" w:before="120" w:after="0"/>
        <w:ind w:firstLine="708"/>
        <w:jc w:val="both"/>
        <w:rPr>
          <w:rFonts w:ascii="Book Antiqua" w:hAnsi="Book Antiqua"/>
          <w:bCs/>
          <w:sz w:val="22"/>
          <w:szCs w:val="22"/>
        </w:rPr>
      </w:pPr>
      <w:r>
        <w:rPr>
          <w:rFonts w:ascii="Book Antiqua" w:hAnsi="Book Antiqua"/>
          <w:bCs/>
          <w:sz w:val="22"/>
          <w:szCs w:val="22"/>
        </w:rPr>
        <w:t>Zákon č. 219/2006 Z. z. o protikomunistickom odboji v znení zákona č. 58/2009 Z. z. sa mení a dopĺňa takto:</w:t>
      </w:r>
    </w:p>
    <w:p>
      <w:pPr>
        <w:pStyle w:val="ListParagraph"/>
        <w:numPr>
          <w:ilvl w:val="0"/>
          <w:numId w:val="1"/>
        </w:numPr>
        <w:spacing w:lineRule="auto" w:line="276" w:before="120" w:after="0"/>
        <w:ind w:left="709" w:hanging="425"/>
        <w:jc w:val="both"/>
        <w:rPr>
          <w:rFonts w:ascii="Book Antiqua" w:hAnsi="Book Antiqua"/>
          <w:bCs/>
          <w:sz w:val="22"/>
          <w:szCs w:val="22"/>
        </w:rPr>
      </w:pPr>
      <w:r>
        <w:rPr>
          <w:rFonts w:ascii="Book Antiqua" w:hAnsi="Book Antiqua"/>
          <w:bCs/>
          <w:sz w:val="22"/>
          <w:szCs w:val="22"/>
        </w:rPr>
        <w:t>V § 1 sa slovo „a“ nahrádza čiarkou a na konci sa pripájajú tieto slová: „a rozsah a spôsob poskytnutia jednorazového finančného príspevku (ďalej len „príspevok“)“.</w:t>
      </w:r>
    </w:p>
    <w:p>
      <w:pPr>
        <w:pStyle w:val="ListParagraph"/>
        <w:numPr>
          <w:ilvl w:val="0"/>
          <w:numId w:val="1"/>
        </w:numPr>
        <w:spacing w:lineRule="auto" w:line="276" w:before="120" w:after="0"/>
        <w:ind w:left="709" w:hanging="425"/>
        <w:jc w:val="both"/>
        <w:rPr>
          <w:rFonts w:ascii="Book Antiqua" w:hAnsi="Book Antiqua"/>
          <w:bCs/>
          <w:sz w:val="22"/>
          <w:szCs w:val="22"/>
        </w:rPr>
      </w:pPr>
      <w:r>
        <w:rPr>
          <w:rFonts w:ascii="Book Antiqua" w:hAnsi="Book Antiqua"/>
          <w:bCs/>
          <w:sz w:val="22"/>
          <w:szCs w:val="22"/>
        </w:rPr>
        <w:t>Za § 11b sa vkladajú § 11ba až 11bd, ktoré vrátane nadpisov znejú:</w:t>
      </w:r>
    </w:p>
    <w:p>
      <w:pPr>
        <w:pStyle w:val="Normal"/>
        <w:spacing w:lineRule="auto" w:line="276" w:before="120" w:after="0"/>
        <w:ind w:left="709" w:hanging="0"/>
        <w:jc w:val="center"/>
        <w:rPr>
          <w:rFonts w:ascii="Book Antiqua" w:hAnsi="Book Antiqua"/>
          <w:bCs/>
          <w:sz w:val="22"/>
          <w:szCs w:val="22"/>
        </w:rPr>
      </w:pPr>
      <w:r>
        <w:rPr>
          <w:rFonts w:ascii="Book Antiqua" w:hAnsi="Book Antiqua"/>
          <w:sz w:val="22"/>
          <w:szCs w:val="22"/>
        </w:rPr>
        <w:t>„</w:t>
      </w:r>
      <w:r>
        <w:rPr>
          <w:rFonts w:ascii="Book Antiqua" w:hAnsi="Book Antiqua"/>
          <w:b/>
          <w:sz w:val="22"/>
          <w:szCs w:val="22"/>
        </w:rPr>
        <w:t>§ 11ba</w:t>
      </w:r>
    </w:p>
    <w:p>
      <w:pPr>
        <w:pStyle w:val="Normal"/>
        <w:spacing w:lineRule="auto" w:line="276" w:before="120" w:after="0"/>
        <w:ind w:left="709" w:hanging="0"/>
        <w:jc w:val="center"/>
        <w:rPr>
          <w:rFonts w:ascii="Book Antiqua" w:hAnsi="Book Antiqua"/>
          <w:bCs/>
          <w:sz w:val="22"/>
          <w:szCs w:val="22"/>
        </w:rPr>
      </w:pPr>
      <w:r>
        <w:rPr>
          <w:rFonts w:ascii="Book Antiqua" w:hAnsi="Book Antiqua"/>
          <w:b/>
          <w:sz w:val="22"/>
          <w:szCs w:val="22"/>
        </w:rPr>
        <w:t>Spôsob uplatnenia nároku na príspevok</w:t>
      </w:r>
    </w:p>
    <w:p>
      <w:pPr>
        <w:pStyle w:val="ListParagraph"/>
        <w:numPr>
          <w:ilvl w:val="0"/>
          <w:numId w:val="17"/>
        </w:numPr>
        <w:spacing w:lineRule="auto" w:line="276" w:before="120" w:after="0"/>
        <w:jc w:val="both"/>
        <w:rPr>
          <w:rFonts w:ascii="Book Antiqua" w:hAnsi="Book Antiqua"/>
          <w:sz w:val="22"/>
          <w:szCs w:val="22"/>
        </w:rPr>
      </w:pPr>
      <w:r>
        <w:rPr>
          <w:rFonts w:ascii="Book Antiqua" w:hAnsi="Book Antiqua"/>
          <w:sz w:val="22"/>
          <w:szCs w:val="22"/>
        </w:rPr>
        <w:t>Nárok na príspevok si uplatňuje veterán protikomunistického odboja, manželka alebo manžel veterána protikomunistického odboja alebo vdova alebo  vdovec po veteránovi protikomunistického odboja, ktorému bolo priznané postavenie veterána protikomunistického odboja alebo veterána protikomunistického odboja in memoriam (ďalej len „oprávnená osoba“), aj keď uzavreli nové manželstvo, a to formou písomnej žiadosti o priznanie príspevku na Ministerstve spravodlivosti Slovenskej republiky (ďalej len „ministerstvo“) najneskôr</w:t>
      </w:r>
    </w:p>
    <w:p>
      <w:pPr>
        <w:pStyle w:val="ListParagraph"/>
        <w:numPr>
          <w:ilvl w:val="0"/>
          <w:numId w:val="18"/>
        </w:numPr>
        <w:spacing w:lineRule="auto" w:line="276" w:before="120" w:after="0"/>
        <w:jc w:val="both"/>
        <w:rPr>
          <w:rFonts w:ascii="Book Antiqua" w:hAnsi="Book Antiqua"/>
          <w:sz w:val="22"/>
          <w:szCs w:val="22"/>
        </w:rPr>
      </w:pPr>
      <w:r>
        <w:rPr>
          <w:rFonts w:ascii="Book Antiqua" w:hAnsi="Book Antiqua"/>
          <w:sz w:val="22"/>
          <w:szCs w:val="22"/>
        </w:rPr>
        <w:t>do 12 mesiacov odo dňa priznania postavenia veterána protikomunistického odboja alebo veterána protikomunistického odboja in memoriam, ak je postavenie priznané po nadobudnutí účinnosti tohto zákona, alebo</w:t>
        <w:tab/>
      </w:r>
    </w:p>
    <w:p>
      <w:pPr>
        <w:pStyle w:val="ListParagraph"/>
        <w:numPr>
          <w:ilvl w:val="0"/>
          <w:numId w:val="18"/>
        </w:numPr>
        <w:spacing w:lineRule="auto" w:line="276" w:before="120" w:after="0"/>
        <w:jc w:val="both"/>
        <w:rPr>
          <w:rFonts w:ascii="Book Antiqua" w:hAnsi="Book Antiqua"/>
          <w:sz w:val="22"/>
          <w:szCs w:val="22"/>
        </w:rPr>
      </w:pPr>
      <w:r>
        <w:rPr>
          <w:rFonts w:ascii="Book Antiqua" w:hAnsi="Book Antiqua"/>
          <w:sz w:val="22"/>
          <w:szCs w:val="22"/>
        </w:rPr>
        <w:t>do 1. marca 2021 v ostatných prípadoch,</w:t>
      </w:r>
    </w:p>
    <w:p>
      <w:pPr>
        <w:pStyle w:val="Normal"/>
        <w:spacing w:lineRule="auto" w:line="276" w:before="120" w:after="0"/>
        <w:ind w:left="1429" w:hanging="0"/>
        <w:jc w:val="both"/>
        <w:rPr>
          <w:rFonts w:ascii="Book Antiqua" w:hAnsi="Book Antiqua"/>
          <w:sz w:val="22"/>
          <w:szCs w:val="22"/>
        </w:rPr>
      </w:pPr>
      <w:r>
        <w:rPr>
          <w:rFonts w:ascii="Book Antiqua" w:hAnsi="Book Antiqua"/>
          <w:sz w:val="22"/>
          <w:szCs w:val="22"/>
        </w:rPr>
        <w:t>inak nárok na príspevok zaniká.</w:t>
      </w:r>
    </w:p>
    <w:p>
      <w:pPr>
        <w:pStyle w:val="Normal"/>
        <w:spacing w:lineRule="auto" w:line="276" w:before="120" w:after="0"/>
        <w:ind w:left="1414" w:hanging="705"/>
        <w:jc w:val="both"/>
        <w:rPr>
          <w:rFonts w:ascii="Book Antiqua" w:hAnsi="Book Antiqua"/>
          <w:sz w:val="22"/>
          <w:szCs w:val="22"/>
        </w:rPr>
      </w:pPr>
      <w:r>
        <w:rPr>
          <w:rFonts w:ascii="Book Antiqua" w:hAnsi="Book Antiqua"/>
          <w:sz w:val="22"/>
          <w:szCs w:val="22"/>
        </w:rPr>
        <w:t xml:space="preserve"> </w:t>
      </w:r>
      <w:r>
        <w:rPr>
          <w:rFonts w:ascii="Book Antiqua" w:hAnsi="Book Antiqua"/>
          <w:sz w:val="22"/>
          <w:szCs w:val="22"/>
        </w:rPr>
        <w:t xml:space="preserve">(2) </w:t>
        <w:tab/>
        <w:t>Oprávnená osoba predloží spolu so žiadosťou doklady osvedčujúce nárok na príspevok, ktorými sú kópia preukazu veterána protikomunistického odboja alebo kópia preukazu veterána protikomunistického odboja in memoriam. Manželka alebo manžel veterána protikomunistického odboja alebo vdova alebo vdovec veterána protikomunistického odboja in memoriam predloží aj sobášny list</w:t>
      </w:r>
      <w:r>
        <w:rPr>
          <w:rFonts w:ascii="Book Antiqua" w:hAnsi="Book Antiqua"/>
          <w:sz w:val="22"/>
          <w:szCs w:val="22"/>
          <w:vertAlign w:val="superscript"/>
        </w:rPr>
        <w:t>7aa)</w:t>
      </w:r>
      <w:r>
        <w:rPr>
          <w:rFonts w:ascii="Book Antiqua" w:hAnsi="Book Antiqua"/>
          <w:sz w:val="22"/>
          <w:szCs w:val="22"/>
        </w:rPr>
        <w:t xml:space="preserve"> preukazujúci, že došlo k uzavretiu manželstva s veteránom protikomunistického odboja pred 17. novembrom 1989. Ak doklady podľa prvej a druhej vety nie sú súčasťou žiadosti o priznanie príspevku, ministerstvo vyzve oprávnenú osobu na ich predloženie v lehote ním určenej. Ak oprávnená osoba v určenom termíne nepredloží požadované doklady, ministerstvo rozhodne o vybavení žiadosti aj bez nich.</w:t>
      </w:r>
    </w:p>
    <w:p>
      <w:pPr>
        <w:pStyle w:val="Normal"/>
        <w:spacing w:lineRule="auto" w:line="276" w:before="120" w:after="0"/>
        <w:ind w:left="709" w:hanging="0"/>
        <w:jc w:val="center"/>
        <w:rPr>
          <w:rFonts w:ascii="Book Antiqua" w:hAnsi="Book Antiqua"/>
          <w:bCs/>
          <w:sz w:val="22"/>
          <w:szCs w:val="22"/>
        </w:rPr>
      </w:pPr>
      <w:r>
        <w:rPr>
          <w:rFonts w:ascii="Book Antiqua" w:hAnsi="Book Antiqua"/>
          <w:b/>
          <w:sz w:val="22"/>
          <w:szCs w:val="22"/>
        </w:rPr>
        <w:t>§ 11bb</w:t>
      </w:r>
    </w:p>
    <w:p>
      <w:pPr>
        <w:pStyle w:val="Normal"/>
        <w:spacing w:lineRule="auto" w:line="276" w:before="120" w:after="0"/>
        <w:ind w:left="709" w:hanging="0"/>
        <w:jc w:val="center"/>
        <w:rPr>
          <w:rFonts w:ascii="Book Antiqua" w:hAnsi="Book Antiqua"/>
          <w:bCs/>
          <w:sz w:val="22"/>
          <w:szCs w:val="22"/>
        </w:rPr>
      </w:pPr>
      <w:r>
        <w:rPr>
          <w:rFonts w:ascii="Book Antiqua" w:hAnsi="Book Antiqua"/>
          <w:b/>
          <w:sz w:val="22"/>
          <w:szCs w:val="22"/>
        </w:rPr>
        <w:t>Výška príspevku</w:t>
      </w:r>
    </w:p>
    <w:p>
      <w:pPr>
        <w:pStyle w:val="Normal"/>
        <w:spacing w:lineRule="auto" w:line="276" w:before="120" w:after="0"/>
        <w:ind w:left="709" w:hanging="0"/>
        <w:jc w:val="both"/>
        <w:rPr>
          <w:rFonts w:ascii="Book Antiqua" w:hAnsi="Book Antiqua"/>
          <w:sz w:val="22"/>
          <w:szCs w:val="22"/>
        </w:rPr>
      </w:pPr>
      <w:r>
        <w:rPr>
          <w:rFonts w:ascii="Book Antiqua" w:hAnsi="Book Antiqua"/>
          <w:sz w:val="22"/>
          <w:szCs w:val="22"/>
        </w:rPr>
        <w:t>Oprávnenej osobe, ktorá spĺňa požiadavky podľa § 11ba, patrí príspevok v sume 1000 eur.</w:t>
      </w:r>
    </w:p>
    <w:p>
      <w:pPr>
        <w:pStyle w:val="Normal"/>
        <w:spacing w:lineRule="auto" w:line="276" w:before="120" w:after="0"/>
        <w:ind w:left="709" w:hanging="0"/>
        <w:jc w:val="center"/>
        <w:rPr>
          <w:rFonts w:ascii="Book Antiqua" w:hAnsi="Book Antiqua"/>
          <w:bCs/>
          <w:sz w:val="22"/>
          <w:szCs w:val="22"/>
        </w:rPr>
      </w:pPr>
      <w:r>
        <w:rPr>
          <w:rFonts w:ascii="Book Antiqua" w:hAnsi="Book Antiqua"/>
          <w:b/>
          <w:sz w:val="22"/>
          <w:szCs w:val="22"/>
        </w:rPr>
        <w:t>§ 11bc</w:t>
      </w:r>
    </w:p>
    <w:p>
      <w:pPr>
        <w:pStyle w:val="Normal"/>
        <w:spacing w:lineRule="auto" w:line="276" w:before="120" w:after="0"/>
        <w:ind w:left="709" w:hanging="0"/>
        <w:jc w:val="center"/>
        <w:rPr>
          <w:rFonts w:ascii="Book Antiqua" w:hAnsi="Book Antiqua"/>
          <w:bCs/>
          <w:sz w:val="22"/>
          <w:szCs w:val="22"/>
        </w:rPr>
      </w:pPr>
      <w:r>
        <w:rPr>
          <w:rFonts w:ascii="Book Antiqua" w:hAnsi="Book Antiqua"/>
          <w:b/>
          <w:sz w:val="22"/>
          <w:szCs w:val="22"/>
        </w:rPr>
        <w:t>Konanie o priznanie príspevku</w:t>
      </w:r>
    </w:p>
    <w:p>
      <w:pPr>
        <w:pStyle w:val="Normal"/>
        <w:spacing w:lineRule="auto" w:line="276" w:before="120" w:after="0"/>
        <w:ind w:left="709" w:hanging="0"/>
        <w:rPr>
          <w:rFonts w:ascii="Book Antiqua" w:hAnsi="Book Antiqua"/>
          <w:bCs/>
          <w:sz w:val="22"/>
          <w:szCs w:val="22"/>
        </w:rPr>
      </w:pPr>
      <w:r>
        <w:rPr>
          <w:rFonts w:ascii="Book Antiqua" w:hAnsi="Book Antiqua"/>
          <w:sz w:val="22"/>
          <w:szCs w:val="22"/>
        </w:rPr>
        <w:t xml:space="preserve">(1) </w:t>
        <w:tab/>
        <w:t>O poskytnutí príspevku rozhoduje a príspevok vypláca ministerstvo.</w:t>
      </w:r>
    </w:p>
    <w:p>
      <w:pPr>
        <w:pStyle w:val="Normal"/>
        <w:spacing w:lineRule="auto" w:line="276" w:before="120" w:after="0"/>
        <w:ind w:left="1414" w:hanging="705"/>
        <w:jc w:val="both"/>
        <w:rPr>
          <w:rFonts w:ascii="Book Antiqua" w:hAnsi="Book Antiqua"/>
          <w:bCs/>
          <w:sz w:val="22"/>
          <w:szCs w:val="22"/>
        </w:rPr>
      </w:pPr>
      <w:r>
        <w:rPr>
          <w:rFonts w:ascii="Book Antiqua" w:hAnsi="Book Antiqua"/>
          <w:sz w:val="22"/>
          <w:szCs w:val="22"/>
        </w:rPr>
        <w:t xml:space="preserve">(2) </w:t>
        <w:tab/>
        <w:t>Konanie podľa tohto zákona začína na návrh oprávnenej osoby, a to podaním písomnej žiadosti podľa § 11ba ods. 1.</w:t>
      </w:r>
    </w:p>
    <w:p>
      <w:pPr>
        <w:pStyle w:val="Normal"/>
        <w:spacing w:lineRule="auto" w:line="276" w:before="120" w:after="0"/>
        <w:ind w:left="1414" w:hanging="705"/>
        <w:jc w:val="both"/>
        <w:rPr>
          <w:rFonts w:ascii="Book Antiqua" w:hAnsi="Book Antiqua"/>
          <w:sz w:val="22"/>
          <w:szCs w:val="22"/>
        </w:rPr>
      </w:pPr>
      <w:r>
        <w:rPr>
          <w:rFonts w:ascii="Book Antiqua" w:hAnsi="Book Antiqua"/>
          <w:sz w:val="22"/>
          <w:szCs w:val="22"/>
        </w:rPr>
        <w:t xml:space="preserve">(3) </w:t>
        <w:tab/>
        <w:t>Včas uplatnený nárok, ak o ňom nebolo rozhodnuté alebo ak príspevok nebol vyplatený, prechádza v prípade úmrtia oprávnenej osoby na jej dedičov v priamom rade.</w:t>
      </w:r>
    </w:p>
    <w:p>
      <w:pPr>
        <w:pStyle w:val="Normal"/>
        <w:spacing w:lineRule="auto" w:line="276" w:before="120" w:after="0"/>
        <w:ind w:left="1414" w:hanging="705"/>
        <w:jc w:val="both"/>
        <w:rPr>
          <w:rFonts w:ascii="Book Antiqua" w:hAnsi="Book Antiqua"/>
          <w:bCs/>
          <w:sz w:val="22"/>
          <w:szCs w:val="22"/>
        </w:rPr>
      </w:pPr>
      <w:r>
        <w:rPr>
          <w:rFonts w:ascii="Book Antiqua" w:hAnsi="Book Antiqua"/>
          <w:sz w:val="22"/>
          <w:szCs w:val="22"/>
        </w:rPr>
        <w:t xml:space="preserve">(4) </w:t>
        <w:tab/>
        <w:t>Ministerstvo posúdi predloženú žiadosť o príspevok a rozhodne o nej do 30 dní odo dňa jej doručenia. Písomné rozhodnutie doručí žiadateľovi do vlastných rúk.</w:t>
      </w:r>
    </w:p>
    <w:p>
      <w:pPr>
        <w:pStyle w:val="Normal"/>
        <w:spacing w:lineRule="auto" w:line="276" w:before="120" w:after="0"/>
        <w:ind w:left="1414" w:hanging="705"/>
        <w:jc w:val="both"/>
        <w:rPr>
          <w:rFonts w:ascii="Book Antiqua" w:hAnsi="Book Antiqua"/>
          <w:sz w:val="22"/>
          <w:szCs w:val="22"/>
        </w:rPr>
      </w:pPr>
      <w:r>
        <w:rPr>
          <w:rFonts w:ascii="Book Antiqua" w:hAnsi="Book Antiqua"/>
          <w:sz w:val="22"/>
          <w:szCs w:val="22"/>
        </w:rPr>
        <w:t>(5)</w:t>
        <w:tab/>
        <w:t>Proti rozhodnutiu podľa odseku 4, doručenému oprávnenej osobe, ktorým sa nepriznal príspevok, má oprávnená osoba právo podať rozklad, o ktorom rozhodne minister. Tým nie je dotknuté právo oprávnenej osoby domáhať sa ochrany na súde</w:t>
      </w:r>
      <w:r>
        <w:rPr>
          <w:rFonts w:ascii="Book Antiqua" w:hAnsi="Book Antiqua"/>
          <w:sz w:val="22"/>
          <w:szCs w:val="22"/>
          <w:vertAlign w:val="superscript"/>
        </w:rPr>
        <w:t>7ab)</w:t>
      </w:r>
      <w:r>
        <w:rPr>
          <w:rFonts w:ascii="Book Antiqua" w:hAnsi="Book Antiqua"/>
          <w:sz w:val="22"/>
          <w:szCs w:val="22"/>
        </w:rPr>
        <w:t>.</w:t>
      </w:r>
    </w:p>
    <w:p>
      <w:pPr>
        <w:pStyle w:val="Normal"/>
        <w:spacing w:lineRule="auto" w:line="276" w:before="120" w:after="0"/>
        <w:ind w:left="1414" w:hanging="705"/>
        <w:jc w:val="both"/>
        <w:rPr>
          <w:rFonts w:ascii="Book Antiqua" w:hAnsi="Book Antiqua"/>
          <w:bCs/>
          <w:sz w:val="22"/>
          <w:szCs w:val="22"/>
        </w:rPr>
      </w:pPr>
      <w:r>
        <w:rPr>
          <w:rFonts w:ascii="Book Antiqua" w:hAnsi="Book Antiqua"/>
          <w:sz w:val="22"/>
          <w:szCs w:val="22"/>
        </w:rPr>
        <w:t xml:space="preserve">(6) </w:t>
        <w:tab/>
        <w:t>Ministerstvo vyplatí príspevok oprávnenej osobe do 30 dní odo dňa právoplatnosti rozhodnutia o priznaní príspevku.</w:t>
      </w:r>
    </w:p>
    <w:p>
      <w:pPr>
        <w:pStyle w:val="Normal"/>
        <w:spacing w:lineRule="auto" w:line="276" w:before="120" w:after="0"/>
        <w:ind w:left="709" w:hanging="0"/>
        <w:jc w:val="center"/>
        <w:rPr>
          <w:rFonts w:ascii="Book Antiqua" w:hAnsi="Book Antiqua"/>
          <w:b/>
          <w:b/>
          <w:sz w:val="22"/>
          <w:szCs w:val="22"/>
        </w:rPr>
      </w:pPr>
      <w:r>
        <w:rPr>
          <w:rFonts w:ascii="Book Antiqua" w:hAnsi="Book Antiqua"/>
          <w:b/>
          <w:sz w:val="22"/>
          <w:szCs w:val="22"/>
        </w:rPr>
      </w:r>
    </w:p>
    <w:p>
      <w:pPr>
        <w:pStyle w:val="Normal"/>
        <w:spacing w:lineRule="auto" w:line="276" w:before="120" w:after="0"/>
        <w:ind w:left="709" w:hanging="0"/>
        <w:jc w:val="center"/>
        <w:rPr>
          <w:rFonts w:ascii="Book Antiqua" w:hAnsi="Book Antiqua"/>
          <w:b/>
          <w:b/>
          <w:sz w:val="22"/>
          <w:szCs w:val="22"/>
        </w:rPr>
      </w:pPr>
      <w:r>
        <w:rPr>
          <w:rFonts w:ascii="Book Antiqua" w:hAnsi="Book Antiqua"/>
          <w:b/>
          <w:sz w:val="22"/>
          <w:szCs w:val="22"/>
        </w:rPr>
        <w:t>§ 11bd</w:t>
      </w:r>
    </w:p>
    <w:p>
      <w:pPr>
        <w:pStyle w:val="Normal"/>
        <w:spacing w:lineRule="auto" w:line="276" w:before="120" w:after="0"/>
        <w:ind w:left="709" w:hanging="0"/>
        <w:jc w:val="center"/>
        <w:rPr>
          <w:rFonts w:ascii="Book Antiqua" w:hAnsi="Book Antiqua"/>
          <w:b/>
          <w:b/>
          <w:sz w:val="22"/>
          <w:szCs w:val="22"/>
        </w:rPr>
      </w:pPr>
      <w:r>
        <w:rPr>
          <w:rFonts w:ascii="Book Antiqua" w:hAnsi="Book Antiqua"/>
          <w:b/>
          <w:sz w:val="22"/>
          <w:szCs w:val="22"/>
        </w:rPr>
        <w:t>Spoločné ustanovenie</w:t>
      </w:r>
    </w:p>
    <w:p>
      <w:pPr>
        <w:pStyle w:val="Normal"/>
        <w:spacing w:lineRule="auto" w:line="276" w:before="120" w:after="0"/>
        <w:ind w:left="709" w:hanging="0"/>
        <w:jc w:val="both"/>
        <w:rPr>
          <w:rFonts w:ascii="Book Antiqua" w:hAnsi="Book Antiqua"/>
          <w:b/>
          <w:b/>
          <w:sz w:val="22"/>
          <w:szCs w:val="22"/>
        </w:rPr>
      </w:pPr>
      <w:r>
        <w:rPr>
          <w:rFonts w:ascii="Book Antiqua" w:hAnsi="Book Antiqua"/>
          <w:sz w:val="22"/>
          <w:szCs w:val="22"/>
        </w:rPr>
        <w:t>Na konanie o priznaní príspevku podľa tohto zákona sa vzťahuje všeobecný predpis o správnom konaní</w:t>
      </w:r>
      <w:r>
        <w:rPr>
          <w:rFonts w:ascii="Book Antiqua" w:hAnsi="Book Antiqua"/>
          <w:sz w:val="22"/>
          <w:szCs w:val="22"/>
          <w:vertAlign w:val="superscript"/>
        </w:rPr>
        <w:t>7ac)</w:t>
      </w:r>
      <w:r>
        <w:rPr>
          <w:rFonts w:ascii="Book Antiqua" w:hAnsi="Book Antiqua"/>
          <w:sz w:val="22"/>
          <w:szCs w:val="22"/>
        </w:rPr>
        <w:t>, ak tento zákon neustanovuje inak. Konanie o priznanie príspevku podľa tohto zákona je oslobodené od poplatkov.“.</w:t>
      </w:r>
    </w:p>
    <w:p>
      <w:pPr>
        <w:pStyle w:val="Normal"/>
        <w:spacing w:lineRule="auto" w:line="276" w:before="120" w:after="0"/>
        <w:ind w:left="709" w:hanging="0"/>
        <w:jc w:val="both"/>
        <w:rPr>
          <w:rFonts w:ascii="Book Antiqua" w:hAnsi="Book Antiqua"/>
          <w:sz w:val="22"/>
          <w:szCs w:val="22"/>
        </w:rPr>
      </w:pPr>
      <w:r>
        <w:rPr>
          <w:rFonts w:ascii="Book Antiqua" w:hAnsi="Book Antiqua"/>
          <w:sz w:val="22"/>
          <w:szCs w:val="22"/>
        </w:rPr>
        <w:t>Poznámky pod čiarou k odkazom 7aa až 7ac znejú:</w:t>
      </w:r>
    </w:p>
    <w:p>
      <w:pPr>
        <w:pStyle w:val="Normal"/>
        <w:spacing w:lineRule="auto" w:line="276" w:before="120" w:after="0"/>
        <w:ind w:left="709" w:hanging="0"/>
        <w:jc w:val="both"/>
        <w:rPr>
          <w:rFonts w:ascii="Book Antiqua" w:hAnsi="Book Antiqua"/>
          <w:sz w:val="22"/>
          <w:szCs w:val="22"/>
        </w:rPr>
      </w:pPr>
      <w:r>
        <w:rPr>
          <w:rFonts w:ascii="Book Antiqua" w:hAnsi="Book Antiqua"/>
          <w:sz w:val="22"/>
          <w:szCs w:val="22"/>
          <w:vertAlign w:val="superscript"/>
        </w:rPr>
        <w:t>„</w:t>
      </w:r>
      <w:r>
        <w:rPr>
          <w:rFonts w:ascii="Book Antiqua" w:hAnsi="Book Antiqua"/>
          <w:sz w:val="22"/>
          <w:szCs w:val="22"/>
          <w:vertAlign w:val="superscript"/>
        </w:rPr>
        <w:t xml:space="preserve">7aa) </w:t>
      </w:r>
      <w:r>
        <w:rPr>
          <w:rFonts w:ascii="Book Antiqua" w:hAnsi="Book Antiqua"/>
          <w:sz w:val="22"/>
          <w:szCs w:val="22"/>
        </w:rPr>
        <w:t>§ 19 ods. 2 zákona Národnej rady Slovenskej rady č. 154/1994 Z. z. o matrikách v znení neskorších predpisov.</w:t>
      </w:r>
    </w:p>
    <w:p>
      <w:pPr>
        <w:pStyle w:val="Poznmkapodiarou"/>
        <w:spacing w:lineRule="auto" w:line="276" w:before="120" w:after="0"/>
        <w:ind w:left="709" w:hanging="0"/>
        <w:jc w:val="both"/>
        <w:rPr>
          <w:rFonts w:ascii="Book Antiqua" w:hAnsi="Book Antiqua"/>
          <w:sz w:val="22"/>
          <w:szCs w:val="22"/>
        </w:rPr>
      </w:pPr>
      <w:r>
        <w:rPr>
          <w:rFonts w:ascii="Book Antiqua" w:hAnsi="Book Antiqua"/>
          <w:sz w:val="22"/>
          <w:szCs w:val="22"/>
          <w:vertAlign w:val="superscript"/>
        </w:rPr>
        <w:t>7ab)</w:t>
      </w:r>
      <w:r>
        <w:rPr>
          <w:rFonts w:ascii="Book Antiqua" w:hAnsi="Book Antiqua"/>
          <w:sz w:val="22"/>
          <w:szCs w:val="22"/>
        </w:rPr>
        <w:t xml:space="preserve"> Zákon č. 162/2015 Z. z. Správny súdny poriadok v znení neskorších predpisov. </w:t>
      </w:r>
    </w:p>
    <w:p>
      <w:pPr>
        <w:pStyle w:val="Poznmkapodiarou"/>
        <w:spacing w:lineRule="auto" w:line="276" w:before="120" w:after="0"/>
        <w:ind w:left="709" w:hanging="0"/>
        <w:jc w:val="both"/>
        <w:rPr>
          <w:rFonts w:ascii="Book Antiqua" w:hAnsi="Book Antiqua"/>
          <w:sz w:val="22"/>
          <w:szCs w:val="22"/>
        </w:rPr>
      </w:pPr>
      <w:r>
        <w:rPr>
          <w:rFonts w:ascii="Book Antiqua" w:hAnsi="Book Antiqua"/>
          <w:sz w:val="22"/>
          <w:szCs w:val="22"/>
          <w:vertAlign w:val="superscript"/>
        </w:rPr>
        <w:t>7ac)</w:t>
      </w:r>
      <w:r>
        <w:rPr>
          <w:rFonts w:ascii="Book Antiqua" w:hAnsi="Book Antiqua"/>
          <w:sz w:val="22"/>
          <w:szCs w:val="22"/>
        </w:rPr>
        <w:t xml:space="preserve"> Zákon č. 71/1967 Zb. o správnom konaní (správny poriadok) v znení neskorších predpisov.“.</w:t>
      </w:r>
    </w:p>
    <w:p>
      <w:pPr>
        <w:pStyle w:val="Normal"/>
        <w:spacing w:lineRule="auto" w:line="276" w:before="120" w:after="0"/>
        <w:jc w:val="both"/>
        <w:rPr>
          <w:rFonts w:ascii="Book Antiqua" w:hAnsi="Book Antiqua"/>
          <w:bCs/>
          <w:sz w:val="22"/>
          <w:szCs w:val="22"/>
        </w:rPr>
      </w:pPr>
      <w:r>
        <w:rPr>
          <w:rFonts w:ascii="Book Antiqua" w:hAnsi="Book Antiqua"/>
          <w:bCs/>
          <w:sz w:val="22"/>
          <w:szCs w:val="22"/>
        </w:rPr>
      </w:r>
    </w:p>
    <w:p>
      <w:pPr>
        <w:pStyle w:val="Normal"/>
        <w:spacing w:lineRule="auto" w:line="276" w:before="120" w:after="0"/>
        <w:jc w:val="center"/>
        <w:rPr>
          <w:rFonts w:ascii="Book Antiqua" w:hAnsi="Book Antiqua"/>
          <w:b/>
          <w:b/>
          <w:sz w:val="22"/>
          <w:szCs w:val="22"/>
        </w:rPr>
      </w:pPr>
      <w:r>
        <w:rPr>
          <w:rFonts w:ascii="Book Antiqua" w:hAnsi="Book Antiqua"/>
          <w:b/>
          <w:sz w:val="22"/>
          <w:szCs w:val="22"/>
        </w:rPr>
        <w:t>Čl. II</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 xml:space="preserve">Zákon č. 595/2003 Z. z. o dani z príjmov v znení zákona č. 43/2004Z. z., zákona          č. 191/2004 Z. z., zákona č. 177/2004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514/2008 Z. z., zákona č. 465/2008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548/2011 Z. z., zákona č. 69/2012 Z. z., zákona č. 188/2012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w:t>
      </w:r>
      <w:r>
        <w:rPr>
          <w:rFonts w:cs="Segoe UI" w:ascii="Book Antiqua" w:hAnsi="Book Antiqua"/>
          <w:sz w:val="22"/>
          <w:szCs w:val="22"/>
          <w:shd w:fill="FFFFFF" w:val="clear"/>
        </w:rPr>
        <w:t>zákona č. 264/2017 Z. z., zákona                 č. 279/2017 Z. z., zákona č. 335/2017 Z. z., zákona č. 344/2017 Z. z., zákona č. 57/2018 Z. z., zákona č. 63/2018 Z. z., zákona č. 112/2018 Z. z., zákona č. 209/2018 Z. z.,</w:t>
      </w:r>
      <w:r>
        <w:rPr>
          <w:rFonts w:ascii="Book Antiqua" w:hAnsi="Book Antiqua"/>
          <w:sz w:val="22"/>
          <w:szCs w:val="22"/>
        </w:rPr>
        <w:t> zákona                   č. 213/2018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315/2009 Z. z., zákona č. 316/2009 Z. z., zákona č. 317/2018 Z. z. a zákona č. 319/2019 Z. z., sa mení a dopĺňa takto:</w:t>
      </w:r>
    </w:p>
    <w:p>
      <w:pPr>
        <w:pStyle w:val="ListParagraph"/>
        <w:numPr>
          <w:ilvl w:val="0"/>
          <w:numId w:val="2"/>
        </w:numPr>
        <w:spacing w:lineRule="auto" w:line="276" w:before="120" w:after="0"/>
        <w:ind w:left="709" w:hanging="425"/>
        <w:jc w:val="both"/>
        <w:rPr>
          <w:rFonts w:ascii="Book Antiqua" w:hAnsi="Book Antiqua"/>
          <w:sz w:val="22"/>
          <w:szCs w:val="22"/>
        </w:rPr>
      </w:pPr>
      <w:r>
        <w:rPr>
          <w:rFonts w:ascii="Book Antiqua" w:hAnsi="Book Antiqua"/>
          <w:sz w:val="22"/>
          <w:szCs w:val="22"/>
        </w:rPr>
        <w:t>§ 2 sa dopĺňa písmenom aj), ktoré znie:</w:t>
      </w:r>
    </w:p>
    <w:p>
      <w:pPr>
        <w:pStyle w:val="Normal"/>
        <w:spacing w:lineRule="auto" w:line="276" w:before="120" w:after="0"/>
        <w:ind w:left="709" w:hanging="0"/>
        <w:jc w:val="both"/>
        <w:rPr>
          <w:rFonts w:ascii="Book Antiqua" w:hAnsi="Book Antiqua"/>
          <w:sz w:val="22"/>
          <w:szCs w:val="22"/>
        </w:rPr>
      </w:pPr>
      <w:r>
        <w:rPr>
          <w:rFonts w:ascii="Book Antiqua" w:hAnsi="Book Antiqua"/>
          <w:sz w:val="22"/>
          <w:szCs w:val="22"/>
        </w:rPr>
        <w:t>„</w:t>
      </w:r>
      <w:r>
        <w:rPr>
          <w:rFonts w:ascii="Book Antiqua" w:hAnsi="Book Antiqua"/>
          <w:sz w:val="22"/>
          <w:szCs w:val="22"/>
        </w:rPr>
        <w:t>aj) daňovníkom, ktorý bol príslušníkom bezpečnostných zložiek podľa osobitného predpisu</w:t>
      </w:r>
      <w:r>
        <w:rPr>
          <w:rFonts w:ascii="Book Antiqua" w:hAnsi="Book Antiqua"/>
          <w:sz w:val="22"/>
          <w:szCs w:val="22"/>
          <w:vertAlign w:val="superscript"/>
        </w:rPr>
        <w:t>2b)</w:t>
      </w:r>
      <w:r>
        <w:rPr>
          <w:rFonts w:ascii="Book Antiqua" w:hAnsi="Book Antiqua"/>
          <w:sz w:val="22"/>
          <w:szCs w:val="22"/>
        </w:rPr>
        <w:t xml:space="preserve"> alebo osobou zodpovednou za činnosť niektorej z týchto zložiek na úrovni Federálneho ministerstva vnútra Československej socialistickej republiky, Ministerstva vnútra Slovenskej socialistickej republiky alebo Ministerstva vnútra Českej socialistickej republiky,“.</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Poznámka pod čiarou k odkazu 2e znie:</w:t>
      </w:r>
    </w:p>
    <w:p>
      <w:pPr>
        <w:pStyle w:val="Normal"/>
        <w:spacing w:lineRule="auto" w:line="276" w:before="120" w:after="0"/>
        <w:ind w:left="708" w:hanging="0"/>
        <w:jc w:val="both"/>
        <w:rPr>
          <w:rFonts w:ascii="Book Antiqua" w:hAnsi="Book Antiqua"/>
          <w:sz w:val="22"/>
          <w:szCs w:val="22"/>
        </w:rPr>
      </w:pPr>
      <w:r>
        <w:rPr>
          <w:rFonts w:ascii="Book Antiqua" w:hAnsi="Book Antiqua"/>
          <w:sz w:val="22"/>
          <w:szCs w:val="22"/>
        </w:rPr>
        <w:t>„</w:t>
      </w:r>
      <w:r>
        <w:rPr>
          <w:rFonts w:ascii="Book Antiqua" w:hAnsi="Book Antiqua"/>
          <w:sz w:val="22"/>
          <w:szCs w:val="22"/>
          <w:vertAlign w:val="superscript"/>
        </w:rPr>
        <w:t>2e)</w:t>
      </w:r>
      <w:r>
        <w:rPr>
          <w:rFonts w:ascii="Book Antiqua" w:hAnsi="Book Antiqua"/>
          <w:sz w:val="22"/>
          <w:szCs w:val="22"/>
        </w:rPr>
        <w:t xml:space="preserve"> § 2 písm. g) a h) a príloha k zákonu č. 553/2002 Z. z o sprístupnení dokumentov o činnosti bezpečnostných zložiek štátu 1939-1989 a o založení Ústavu pamäti národa a o doplnení niektorých zákonov (zákon o pamäti národa) v znení zákona č. .../2020 Z. z. a príloha č. 1 k zákonu č. 215/2004 Z. z. o ochrane utajovaných skutočností a o zmene a doplnení niektorých zákonov.“.</w:t>
      </w:r>
    </w:p>
    <w:p>
      <w:pPr>
        <w:pStyle w:val="ListParagraph"/>
        <w:numPr>
          <w:ilvl w:val="0"/>
          <w:numId w:val="2"/>
        </w:numPr>
        <w:spacing w:lineRule="auto" w:line="276" w:before="120" w:after="0"/>
        <w:ind w:left="709" w:hanging="425"/>
        <w:rPr>
          <w:rFonts w:ascii="Book Antiqua" w:hAnsi="Book Antiqua"/>
          <w:sz w:val="22"/>
          <w:szCs w:val="22"/>
        </w:rPr>
      </w:pPr>
      <w:r>
        <w:rPr>
          <w:rFonts w:ascii="Book Antiqua" w:hAnsi="Book Antiqua"/>
          <w:sz w:val="22"/>
          <w:szCs w:val="22"/>
        </w:rPr>
        <w:t>V § 8 sa odsek 1 dopĺňa písmenom u), ktoré znie:</w:t>
      </w:r>
    </w:p>
    <w:p>
      <w:pPr>
        <w:pStyle w:val="Normal"/>
        <w:spacing w:lineRule="auto" w:line="276" w:before="120" w:after="0"/>
        <w:ind w:left="709" w:hanging="0"/>
        <w:jc w:val="both"/>
        <w:rPr>
          <w:rFonts w:ascii="Book Antiqua" w:hAnsi="Book Antiqua"/>
          <w:sz w:val="22"/>
          <w:szCs w:val="22"/>
        </w:rPr>
      </w:pPr>
      <w:r>
        <w:rPr>
          <w:rFonts w:ascii="Book Antiqua" w:hAnsi="Book Antiqua"/>
          <w:sz w:val="22"/>
          <w:szCs w:val="22"/>
        </w:rPr>
        <w:t>„</w:t>
      </w:r>
      <w:r>
        <w:rPr>
          <w:rFonts w:ascii="Book Antiqua" w:hAnsi="Book Antiqua"/>
          <w:sz w:val="22"/>
          <w:szCs w:val="22"/>
        </w:rPr>
        <w:t>u) výsluhové dôchodky poskytované podľa osobitného predpisu</w:t>
      </w:r>
      <w:r>
        <w:rPr>
          <w:rFonts w:ascii="Book Antiqua" w:hAnsi="Book Antiqua"/>
          <w:sz w:val="22"/>
          <w:szCs w:val="22"/>
          <w:vertAlign w:val="superscript"/>
        </w:rPr>
        <w:t xml:space="preserve">37afc) </w:t>
      </w:r>
      <w:r>
        <w:rPr>
          <w:rFonts w:ascii="Book Antiqua" w:hAnsi="Book Antiqua"/>
          <w:sz w:val="22"/>
          <w:szCs w:val="22"/>
        </w:rPr>
        <w:t>daňovníkovi podľa § 2 písm. aj).“.</w:t>
      </w:r>
    </w:p>
    <w:p>
      <w:pPr>
        <w:pStyle w:val="Normal"/>
        <w:spacing w:lineRule="auto" w:line="276" w:before="120" w:after="0"/>
        <w:ind w:left="709" w:hanging="0"/>
        <w:jc w:val="both"/>
        <w:rPr>
          <w:rFonts w:ascii="Book Antiqua" w:hAnsi="Book Antiqua"/>
          <w:sz w:val="22"/>
          <w:szCs w:val="22"/>
        </w:rPr>
      </w:pPr>
      <w:r>
        <w:rPr>
          <w:rFonts w:ascii="Book Antiqua" w:hAnsi="Book Antiqua"/>
          <w:sz w:val="22"/>
          <w:szCs w:val="22"/>
        </w:rPr>
        <w:t>Poznámka pod čiarou k odkazu 37afc znie:</w:t>
      </w:r>
    </w:p>
    <w:p>
      <w:pPr>
        <w:pStyle w:val="Normal"/>
        <w:spacing w:lineRule="auto" w:line="276" w:before="120" w:after="0"/>
        <w:ind w:left="709" w:hanging="0"/>
        <w:jc w:val="both"/>
        <w:rPr>
          <w:rFonts w:ascii="Book Antiqua" w:hAnsi="Book Antiqua"/>
          <w:sz w:val="22"/>
          <w:szCs w:val="22"/>
        </w:rPr>
      </w:pPr>
      <w:r>
        <w:rPr>
          <w:rFonts w:ascii="Book Antiqua" w:hAnsi="Book Antiqua"/>
          <w:sz w:val="22"/>
          <w:szCs w:val="22"/>
        </w:rPr>
        <w:t>„</w:t>
      </w:r>
      <w:r>
        <w:rPr>
          <w:rFonts w:ascii="Book Antiqua" w:hAnsi="Book Antiqua"/>
          <w:sz w:val="22"/>
          <w:szCs w:val="22"/>
          <w:vertAlign w:val="superscript"/>
        </w:rPr>
        <w:t>37afc)</w:t>
      </w:r>
      <w:r>
        <w:rPr>
          <w:rFonts w:ascii="Book Antiqua" w:hAnsi="Book Antiqua"/>
          <w:sz w:val="22"/>
          <w:szCs w:val="22"/>
        </w:rPr>
        <w:t xml:space="preserve"> § 38 až 43 zákona č. 328/2002 Z. z. v znení neskorších predpisov.“.</w:t>
      </w:r>
    </w:p>
    <w:p>
      <w:pPr>
        <w:pStyle w:val="ListParagraph"/>
        <w:numPr>
          <w:ilvl w:val="0"/>
          <w:numId w:val="2"/>
        </w:numPr>
        <w:spacing w:lineRule="auto" w:line="276" w:before="120" w:after="0"/>
        <w:ind w:left="720" w:hanging="436"/>
        <w:jc w:val="both"/>
        <w:rPr>
          <w:rFonts w:ascii="Book Antiqua" w:hAnsi="Book Antiqua"/>
          <w:sz w:val="22"/>
          <w:szCs w:val="22"/>
        </w:rPr>
      </w:pPr>
      <w:r>
        <w:rPr>
          <w:rFonts w:ascii="Book Antiqua" w:hAnsi="Book Antiqua"/>
          <w:sz w:val="22"/>
          <w:szCs w:val="22"/>
        </w:rPr>
        <w:t>V § 8 ods. 3 písm. b) sa vypúšťa čiarka a na konci sa pripájajú tieto slová: „vrátane výsluhového dôchodku daňovníka podľa odseku 1 písm. u),“.</w:t>
      </w:r>
    </w:p>
    <w:p>
      <w:pPr>
        <w:pStyle w:val="ListParagraph"/>
        <w:numPr>
          <w:ilvl w:val="0"/>
          <w:numId w:val="2"/>
        </w:numPr>
        <w:spacing w:lineRule="auto" w:line="276" w:before="120" w:after="0"/>
        <w:ind w:left="720" w:hanging="436"/>
        <w:jc w:val="both"/>
        <w:rPr>
          <w:rFonts w:ascii="Book Antiqua" w:hAnsi="Book Antiqua"/>
          <w:sz w:val="22"/>
          <w:szCs w:val="22"/>
        </w:rPr>
      </w:pPr>
      <w:r>
        <w:rPr>
          <w:rFonts w:ascii="Book Antiqua" w:hAnsi="Book Antiqua"/>
          <w:sz w:val="22"/>
          <w:szCs w:val="22"/>
        </w:rPr>
        <w:t>V § 8 ods. 10 prvej vete sa slová „</w:t>
      </w:r>
      <w:r>
        <w:rPr>
          <w:rFonts w:cs="Arial" w:ascii="Book Antiqua" w:hAnsi="Book Antiqua"/>
          <w:sz w:val="22"/>
          <w:szCs w:val="22"/>
          <w:shd w:fill="FFFFFF" w:val="clear"/>
        </w:rPr>
        <w:t>odseku 1 písm. m) a o)</w:t>
      </w:r>
      <w:r>
        <w:rPr>
          <w:rFonts w:ascii="Book Antiqua" w:hAnsi="Book Antiqua"/>
          <w:sz w:val="22"/>
          <w:szCs w:val="22"/>
        </w:rPr>
        <w:t>“ nahrádzajú slovami  „</w:t>
      </w:r>
      <w:r>
        <w:rPr>
          <w:rFonts w:cs="Arial" w:ascii="Book Antiqua" w:hAnsi="Book Antiqua"/>
          <w:sz w:val="22"/>
          <w:szCs w:val="22"/>
          <w:shd w:fill="FFFFFF" w:val="clear"/>
        </w:rPr>
        <w:t>odseku 1 písm. m), o)</w:t>
      </w:r>
      <w:r>
        <w:rPr>
          <w:rFonts w:ascii="Book Antiqua" w:hAnsi="Book Antiqua"/>
          <w:sz w:val="22"/>
          <w:szCs w:val="22"/>
        </w:rPr>
        <w:t xml:space="preserve"> a u)“.</w:t>
      </w:r>
    </w:p>
    <w:p>
      <w:pPr>
        <w:pStyle w:val="ListParagraph"/>
        <w:numPr>
          <w:ilvl w:val="0"/>
          <w:numId w:val="2"/>
        </w:numPr>
        <w:spacing w:lineRule="auto" w:line="276" w:before="120" w:after="0"/>
        <w:ind w:left="720" w:hanging="436"/>
        <w:jc w:val="both"/>
        <w:rPr>
          <w:rFonts w:ascii="Book Antiqua" w:hAnsi="Book Antiqua"/>
          <w:sz w:val="22"/>
          <w:szCs w:val="22"/>
        </w:rPr>
      </w:pPr>
      <w:r>
        <w:rPr>
          <w:rFonts w:ascii="Book Antiqua" w:hAnsi="Book Antiqua"/>
          <w:sz w:val="22"/>
          <w:szCs w:val="22"/>
        </w:rPr>
        <w:t xml:space="preserve">V § 9 ods. 2 písm. f) sa za slovo „príspevku“ vkladajú čiarka a slová „výsluhového dôchodku podľa § 8 ods. 1 písm. u)“. </w:t>
      </w:r>
    </w:p>
    <w:p>
      <w:pPr>
        <w:pStyle w:val="ListParagraph"/>
        <w:numPr>
          <w:ilvl w:val="0"/>
          <w:numId w:val="2"/>
        </w:numPr>
        <w:spacing w:lineRule="auto" w:line="276" w:before="120" w:after="0"/>
        <w:ind w:left="720" w:hanging="436"/>
        <w:rPr>
          <w:rFonts w:ascii="Book Antiqua" w:hAnsi="Book Antiqua"/>
          <w:sz w:val="22"/>
          <w:szCs w:val="22"/>
        </w:rPr>
      </w:pPr>
      <w:r>
        <w:rPr>
          <w:rFonts w:ascii="Book Antiqua" w:hAnsi="Book Antiqua"/>
          <w:sz w:val="22"/>
          <w:szCs w:val="22"/>
        </w:rPr>
        <w:t>V § 43 sa odsek 1 dopĺňa písmenom d), ktoré znie:</w:t>
      </w:r>
    </w:p>
    <w:p>
      <w:pPr>
        <w:pStyle w:val="ListParagraph"/>
        <w:spacing w:lineRule="auto" w:line="276" w:before="120" w:after="0"/>
        <w:ind w:left="720" w:hanging="0"/>
        <w:rPr>
          <w:rFonts w:ascii="Book Antiqua" w:hAnsi="Book Antiqua"/>
          <w:sz w:val="22"/>
          <w:szCs w:val="22"/>
        </w:rPr>
      </w:pPr>
      <w:r>
        <w:rPr>
          <w:rFonts w:ascii="Book Antiqua" w:hAnsi="Book Antiqua"/>
          <w:sz w:val="22"/>
          <w:szCs w:val="22"/>
        </w:rPr>
        <w:t>„</w:t>
      </w:r>
      <w:r>
        <w:rPr>
          <w:rFonts w:ascii="Book Antiqua" w:hAnsi="Book Antiqua"/>
          <w:sz w:val="22"/>
          <w:szCs w:val="22"/>
        </w:rPr>
        <w:t xml:space="preserve">d) 50 % z príjmov podľa odseku 3 písm. u).“. </w:t>
      </w:r>
    </w:p>
    <w:p>
      <w:pPr>
        <w:pStyle w:val="ListParagraph"/>
        <w:numPr>
          <w:ilvl w:val="0"/>
          <w:numId w:val="2"/>
        </w:numPr>
        <w:spacing w:lineRule="auto" w:line="276" w:before="120" w:after="0"/>
        <w:ind w:left="720" w:hanging="436"/>
        <w:rPr>
          <w:rFonts w:ascii="Book Antiqua" w:hAnsi="Book Antiqua"/>
          <w:sz w:val="22"/>
          <w:szCs w:val="22"/>
        </w:rPr>
      </w:pPr>
      <w:r>
        <w:rPr>
          <w:rFonts w:ascii="Book Antiqua" w:hAnsi="Book Antiqua"/>
          <w:sz w:val="22"/>
          <w:szCs w:val="22"/>
        </w:rPr>
        <w:t>V § 43 sa odsek 3 dopĺňa písmenom u), ktoré znie:</w:t>
      </w:r>
    </w:p>
    <w:p>
      <w:pPr>
        <w:pStyle w:val="Normal"/>
        <w:spacing w:lineRule="auto" w:line="276" w:before="120" w:after="0"/>
        <w:ind w:firstLine="708"/>
        <w:rPr>
          <w:rFonts w:ascii="Book Antiqua" w:hAnsi="Book Antiqua"/>
          <w:sz w:val="22"/>
          <w:szCs w:val="22"/>
        </w:rPr>
      </w:pPr>
      <w:r>
        <w:rPr>
          <w:rFonts w:ascii="Book Antiqua" w:hAnsi="Book Antiqua"/>
          <w:sz w:val="22"/>
          <w:szCs w:val="22"/>
        </w:rPr>
        <w:t>„</w:t>
      </w:r>
      <w:r>
        <w:rPr>
          <w:rFonts w:ascii="Book Antiqua" w:hAnsi="Book Antiqua"/>
          <w:sz w:val="22"/>
          <w:szCs w:val="22"/>
        </w:rPr>
        <w:t>u) výsluhový dôchodok podľa § 8 ods. 1 písm. u).“.</w:t>
      </w:r>
    </w:p>
    <w:p>
      <w:pPr>
        <w:pStyle w:val="Normal"/>
        <w:spacing w:lineRule="auto" w:line="276" w:before="120" w:after="0"/>
        <w:jc w:val="center"/>
        <w:rPr>
          <w:rFonts w:ascii="Book Antiqua" w:hAnsi="Book Antiqua"/>
          <w:b/>
          <w:b/>
          <w:sz w:val="22"/>
          <w:szCs w:val="22"/>
        </w:rPr>
      </w:pPr>
      <w:r>
        <w:rPr>
          <w:rFonts w:ascii="Book Antiqua" w:hAnsi="Book Antiqua"/>
          <w:b/>
          <w:sz w:val="22"/>
          <w:szCs w:val="22"/>
        </w:rPr>
      </w:r>
    </w:p>
    <w:p>
      <w:pPr>
        <w:pStyle w:val="Normal"/>
        <w:spacing w:lineRule="auto" w:line="276" w:before="120" w:after="0"/>
        <w:jc w:val="center"/>
        <w:rPr>
          <w:rFonts w:ascii="Book Antiqua" w:hAnsi="Book Antiqua"/>
          <w:b/>
          <w:b/>
          <w:sz w:val="22"/>
          <w:szCs w:val="22"/>
        </w:rPr>
      </w:pPr>
      <w:r>
        <w:rPr>
          <w:rFonts w:ascii="Book Antiqua" w:hAnsi="Book Antiqua"/>
          <w:b/>
          <w:sz w:val="22"/>
          <w:szCs w:val="22"/>
        </w:rPr>
        <w:t>Čl. III</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 xml:space="preserve">Zákon č. 328/2002 Z. z. </w:t>
      </w:r>
      <w:r>
        <w:rPr>
          <w:rFonts w:cs="Segoe UI" w:ascii="Book Antiqua" w:hAnsi="Book Antiqua"/>
          <w:bCs/>
          <w:sz w:val="22"/>
          <w:szCs w:val="22"/>
          <w:shd w:fill="FFFFFF" w:val="clear"/>
        </w:rPr>
        <w:t>o sociálnom zabezpečení policajtov a vojakov a o zmene a doplnení niektorých zákonov</w:t>
      </w:r>
      <w:r>
        <w:rPr>
          <w:rFonts w:cs="Segoe UI" w:ascii="Book Antiqua" w:hAnsi="Book Antiqua"/>
          <w:sz w:val="22"/>
          <w:szCs w:val="22"/>
          <w:shd w:fill="FFFFFF" w:val="clear"/>
        </w:rPr>
        <w:t xml:space="preserve"> v znení zákona č. 447/2002 Z. z., zákona č. 534/2002 Z. z., zákona č. 463/2003 Z. z., zákona č. 365/2004 Z. z., zákona č. 732/2004 Z. z., zákona                č. 592/2006 Z. z., zákona č. 274/2007 Z. z., zákona č. 519/2007 Z. z., zákona č. 643/2007 Z. z., zákona č. 61/2008 Z. z., zákona č. 445/2008 Z. z., zákona č. 449/2008 Z. z., zákona č. 58/2009 Z. z., zákona č. 59/2009 Z. z., zákona č. 70/2009 Z. z., zákona č. 82/2009 Z. z., zákona            č. 285/2009 Z. z., zákona č. 543/2010 Z. z., zákona č. 220/2011 Z. z., zákona č. 185/2012 Z. z., zákona č. 80/2013 Z. z., zákona č. 140/2015 Z. z., zákona č. 281/2015 Z. z., zákona                  č. 125/2016 Z. z., zákona č. 190/2018 Z. z., zákona č. 35/2019 a zákona č. 153/2019 Z. z. sa mení a dopĺňa takto:</w:t>
      </w:r>
    </w:p>
    <w:p>
      <w:pPr>
        <w:pStyle w:val="ListParagraph"/>
        <w:numPr>
          <w:ilvl w:val="0"/>
          <w:numId w:val="16"/>
        </w:numPr>
        <w:spacing w:lineRule="auto" w:line="276" w:before="120" w:after="0"/>
        <w:ind w:left="709" w:hanging="425"/>
        <w:jc w:val="both"/>
        <w:rPr>
          <w:rFonts w:ascii="Book Antiqua" w:hAnsi="Book Antiqua"/>
          <w:sz w:val="22"/>
          <w:szCs w:val="22"/>
        </w:rPr>
      </w:pPr>
      <w:r>
        <w:rPr>
          <w:rFonts w:ascii="Book Antiqua" w:hAnsi="Book Antiqua"/>
          <w:sz w:val="22"/>
          <w:szCs w:val="22"/>
        </w:rPr>
        <w:t>V § 100 ods. 2 sa vkladá nová druhá veta, ktorá znie: „Opakujúce sa dávky výsluhového zabezpečenia, ktorých sa týka potvrdenie vydané podľa osobitného predpisu</w:t>
      </w:r>
      <w:r>
        <w:rPr>
          <w:rFonts w:ascii="Book Antiqua" w:hAnsi="Book Antiqua"/>
          <w:sz w:val="22"/>
          <w:szCs w:val="22"/>
          <w:vertAlign w:val="superscript"/>
        </w:rPr>
        <w:t>43a)</w:t>
      </w:r>
      <w:r>
        <w:rPr>
          <w:rFonts w:ascii="Book Antiqua" w:hAnsi="Book Antiqua"/>
          <w:sz w:val="22"/>
          <w:szCs w:val="22"/>
        </w:rPr>
        <w:t>, sa vyplácajú zdanené podľa osobitného predpisu</w:t>
      </w:r>
      <w:r>
        <w:rPr>
          <w:rFonts w:ascii="Book Antiqua" w:hAnsi="Book Antiqua"/>
          <w:sz w:val="22"/>
          <w:szCs w:val="22"/>
          <w:vertAlign w:val="superscript"/>
        </w:rPr>
        <w:t>43b)</w:t>
      </w:r>
      <w:r>
        <w:rPr>
          <w:rFonts w:ascii="Book Antiqua" w:hAnsi="Book Antiqua"/>
          <w:sz w:val="22"/>
          <w:szCs w:val="22"/>
        </w:rPr>
        <w:t xml:space="preserve"> </w:t>
      </w:r>
      <w:r>
        <w:rPr>
          <w:rFonts w:cs="Arial" w:ascii="Book Antiqua" w:hAnsi="Book Antiqua"/>
          <w:sz w:val="22"/>
          <w:szCs w:val="22"/>
          <w:shd w:fill="FFFFFF" w:val="clear"/>
        </w:rPr>
        <w:t>v najbližšom výplatnom termíne nasledujúcom po dni doručenia takéhoto potvrdenia orgánu vyplácajúcemu tieto dávky</w:t>
      </w:r>
      <w:r>
        <w:rPr>
          <w:rFonts w:ascii="Book Antiqua" w:hAnsi="Book Antiqua"/>
          <w:sz w:val="22"/>
          <w:szCs w:val="22"/>
        </w:rPr>
        <w:t>.“.</w:t>
      </w:r>
    </w:p>
    <w:p>
      <w:pPr>
        <w:pStyle w:val="ListParagraph"/>
        <w:spacing w:lineRule="auto" w:line="276" w:before="120" w:after="0"/>
        <w:ind w:left="709" w:hanging="0"/>
        <w:jc w:val="both"/>
        <w:rPr>
          <w:rFonts w:ascii="Book Antiqua" w:hAnsi="Book Antiqua" w:cs="Arial"/>
          <w:sz w:val="22"/>
          <w:szCs w:val="22"/>
          <w:highlight w:val="white"/>
        </w:rPr>
      </w:pPr>
      <w:r>
        <w:rPr>
          <w:rFonts w:cs="Arial" w:ascii="Book Antiqua" w:hAnsi="Book Antiqua"/>
          <w:sz w:val="22"/>
          <w:szCs w:val="22"/>
          <w:shd w:fill="FFFFFF" w:val="clear"/>
        </w:rPr>
        <w:t>Poznámky pod čiarou k odkazom 43a a 43b znejú:</w:t>
      </w:r>
    </w:p>
    <w:p>
      <w:pPr>
        <w:pStyle w:val="ListParagraph"/>
        <w:spacing w:lineRule="auto" w:line="276" w:before="120" w:after="0"/>
        <w:ind w:left="709" w:hanging="0"/>
        <w:jc w:val="both"/>
        <w:rPr>
          <w:rFonts w:ascii="Book Antiqua" w:hAnsi="Book Antiqua"/>
          <w:sz w:val="22"/>
          <w:szCs w:val="22"/>
        </w:rPr>
      </w:pPr>
      <w:r>
        <w:rPr>
          <w:rFonts w:cs="Arial" w:ascii="Book Antiqua" w:hAnsi="Book Antiqua"/>
          <w:sz w:val="22"/>
          <w:szCs w:val="22"/>
          <w:shd w:fill="FFFFFF" w:val="clear"/>
        </w:rPr>
        <w:t>„</w:t>
      </w:r>
      <w:r>
        <w:rPr>
          <w:rFonts w:cs="Arial" w:ascii="Book Antiqua" w:hAnsi="Book Antiqua"/>
          <w:sz w:val="22"/>
          <w:szCs w:val="22"/>
          <w:shd w:fill="FFFFFF" w:val="clear"/>
          <w:vertAlign w:val="superscript"/>
        </w:rPr>
        <w:t>43a)</w:t>
      </w:r>
      <w:r>
        <w:rPr>
          <w:rFonts w:cs="Arial" w:ascii="Book Antiqua" w:hAnsi="Book Antiqua"/>
          <w:sz w:val="22"/>
          <w:szCs w:val="22"/>
          <w:shd w:fill="FFFFFF" w:val="clear"/>
        </w:rPr>
        <w:t xml:space="preserve"> § 8 ods. 1 písm. l) zákona</w:t>
      </w:r>
      <w:r>
        <w:rPr>
          <w:rFonts w:ascii="Book Antiqua" w:hAnsi="Book Antiqua"/>
          <w:sz w:val="22"/>
          <w:szCs w:val="22"/>
        </w:rPr>
        <w:t xml:space="preserve"> č. 553/2002 Z. z o sprístupnení dokumentov o činnosti bezpečnostných zložiek štátu 1939-1989 a o založení Ústavu pamäti národa a o doplnení niektorých zákonov (zákon o pamäti národa) v znení zákona č. .../2020 Z. z.</w:t>
      </w:r>
    </w:p>
    <w:p>
      <w:pPr>
        <w:pStyle w:val="ListParagraph"/>
        <w:spacing w:lineRule="auto" w:line="276" w:before="120" w:after="0"/>
        <w:ind w:left="709" w:hanging="0"/>
        <w:jc w:val="both"/>
        <w:rPr>
          <w:rFonts w:ascii="Book Antiqua" w:hAnsi="Book Antiqua" w:cs="Arial"/>
          <w:sz w:val="22"/>
          <w:szCs w:val="22"/>
          <w:highlight w:val="white"/>
        </w:rPr>
      </w:pPr>
      <w:r>
        <w:rPr>
          <w:rFonts w:ascii="Book Antiqua" w:hAnsi="Book Antiqua"/>
          <w:sz w:val="22"/>
          <w:szCs w:val="22"/>
          <w:vertAlign w:val="superscript"/>
        </w:rPr>
        <w:t xml:space="preserve">43b) </w:t>
      </w:r>
      <w:r>
        <w:rPr>
          <w:rFonts w:ascii="Book Antiqua" w:hAnsi="Book Antiqua"/>
          <w:sz w:val="22"/>
          <w:szCs w:val="22"/>
        </w:rPr>
        <w:t>§ 8 ods. 1 písm. u), § 43 ods. 1 písm. d) a ods. 3</w:t>
      </w:r>
      <w:r>
        <w:rPr>
          <w:rFonts w:ascii="Book Antiqua" w:hAnsi="Book Antiqua"/>
          <w:color w:val="FF0000"/>
          <w:sz w:val="22"/>
          <w:szCs w:val="22"/>
        </w:rPr>
        <w:t xml:space="preserve"> </w:t>
      </w:r>
      <w:r>
        <w:rPr>
          <w:rFonts w:ascii="Book Antiqua" w:hAnsi="Book Antiqua"/>
          <w:sz w:val="22"/>
          <w:szCs w:val="22"/>
        </w:rPr>
        <w:t>písm. u) zákona č. 595/2003 Z. z. o dani z príjmov v znení zákona č. .../2020 Z. z.“.</w:t>
      </w:r>
    </w:p>
    <w:p>
      <w:pPr>
        <w:pStyle w:val="ListParagraph"/>
        <w:numPr>
          <w:ilvl w:val="0"/>
          <w:numId w:val="16"/>
        </w:numPr>
        <w:spacing w:lineRule="auto" w:line="276" w:before="120" w:after="0"/>
        <w:ind w:left="709" w:hanging="425"/>
        <w:jc w:val="both"/>
        <w:rPr>
          <w:rFonts w:ascii="Book Antiqua" w:hAnsi="Book Antiqua"/>
          <w:sz w:val="22"/>
          <w:szCs w:val="22"/>
        </w:rPr>
      </w:pPr>
      <w:r>
        <w:rPr>
          <w:rFonts w:ascii="Book Antiqua" w:hAnsi="Book Antiqua"/>
          <w:sz w:val="22"/>
          <w:szCs w:val="22"/>
        </w:rPr>
        <w:t>§ 114 sa dopĺňa odsekom 9, ktorý znie:</w:t>
      </w:r>
    </w:p>
    <w:p>
      <w:pPr>
        <w:pStyle w:val="Normal"/>
        <w:spacing w:lineRule="auto" w:line="276" w:before="120" w:after="0"/>
        <w:ind w:left="1418" w:hanging="709"/>
        <w:jc w:val="both"/>
        <w:rPr>
          <w:rFonts w:ascii="Book Antiqua" w:hAnsi="Book Antiqua"/>
          <w:sz w:val="22"/>
          <w:szCs w:val="22"/>
        </w:rPr>
      </w:pPr>
      <w:r>
        <w:rPr>
          <w:rFonts w:ascii="Book Antiqua" w:hAnsi="Book Antiqua"/>
          <w:sz w:val="22"/>
          <w:szCs w:val="22"/>
        </w:rPr>
        <w:t>„</w:t>
      </w:r>
      <w:r>
        <w:rPr>
          <w:rFonts w:ascii="Book Antiqua" w:hAnsi="Book Antiqua"/>
          <w:sz w:val="22"/>
          <w:szCs w:val="22"/>
        </w:rPr>
        <w:t xml:space="preserve">(9) </w:t>
        <w:tab/>
      </w:r>
      <w:r>
        <w:rPr>
          <w:rFonts w:cs="Arial" w:ascii="Book Antiqua" w:hAnsi="Book Antiqua"/>
          <w:sz w:val="22"/>
          <w:szCs w:val="22"/>
          <w:shd w:fill="FFFFFF" w:val="clear"/>
        </w:rPr>
        <w:t xml:space="preserve">Služobný úrad, služobný orgán, útvar sociálneho zabezpečenia ministerstva a Vojenský úrad sociálneho zabezpečenia </w:t>
      </w:r>
      <w:r>
        <w:rPr>
          <w:rFonts w:ascii="Book Antiqua" w:hAnsi="Book Antiqua"/>
          <w:sz w:val="22"/>
          <w:szCs w:val="22"/>
        </w:rPr>
        <w:t>spracovávajú a zasielajú Ústavu pamäti národa údaje o poberateľoch dávok zo systému sociálneho zabezpečenia v rozsahu a spôsobom podľa osobitného predpisu</w:t>
      </w:r>
      <w:r>
        <w:rPr>
          <w:rFonts w:ascii="Book Antiqua" w:hAnsi="Book Antiqua"/>
          <w:sz w:val="22"/>
          <w:szCs w:val="22"/>
          <w:vertAlign w:val="superscript"/>
        </w:rPr>
        <w:t>49a)</w:t>
      </w:r>
      <w:r>
        <w:rPr>
          <w:rFonts w:ascii="Book Antiqua" w:hAnsi="Book Antiqua"/>
          <w:sz w:val="22"/>
          <w:szCs w:val="22"/>
        </w:rPr>
        <w:t xml:space="preserve"> každoročne do 31. decembra príslušného kalendárneho roka; ustanovenie odseku 8 sa nepoužije.“.</w:t>
      </w:r>
    </w:p>
    <w:p>
      <w:pPr>
        <w:pStyle w:val="Normal"/>
        <w:spacing w:lineRule="auto" w:line="276" w:before="120" w:after="0"/>
        <w:ind w:left="709" w:hanging="0"/>
        <w:jc w:val="both"/>
        <w:rPr>
          <w:rFonts w:ascii="Book Antiqua" w:hAnsi="Book Antiqua" w:cs="Arial"/>
          <w:sz w:val="22"/>
          <w:szCs w:val="22"/>
          <w:highlight w:val="white"/>
        </w:rPr>
      </w:pPr>
      <w:r>
        <w:rPr>
          <w:rFonts w:cs="Arial" w:ascii="Book Antiqua" w:hAnsi="Book Antiqua"/>
          <w:sz w:val="22"/>
          <w:szCs w:val="22"/>
          <w:shd w:fill="FFFFFF" w:val="clear"/>
        </w:rPr>
        <w:t>Poznámka pod čiarou k odkazu 49a znie:</w:t>
      </w:r>
    </w:p>
    <w:p>
      <w:pPr>
        <w:pStyle w:val="Normal"/>
        <w:spacing w:lineRule="auto" w:line="276" w:before="120" w:after="0"/>
        <w:ind w:left="709" w:hanging="0"/>
        <w:jc w:val="both"/>
        <w:rPr>
          <w:rFonts w:ascii="Book Antiqua" w:hAnsi="Book Antiqua" w:cs="Arial"/>
          <w:sz w:val="22"/>
          <w:szCs w:val="22"/>
          <w:highlight w:val="white"/>
        </w:rPr>
      </w:pPr>
      <w:r>
        <w:rPr>
          <w:rFonts w:cs="Arial" w:ascii="Book Antiqua" w:hAnsi="Book Antiqua"/>
          <w:sz w:val="22"/>
          <w:szCs w:val="22"/>
          <w:shd w:fill="FFFFFF" w:val="clear"/>
        </w:rPr>
        <w:t>„</w:t>
      </w:r>
      <w:r>
        <w:rPr>
          <w:rFonts w:cs="Arial" w:ascii="Book Antiqua" w:hAnsi="Book Antiqua"/>
          <w:sz w:val="22"/>
          <w:szCs w:val="22"/>
          <w:shd w:fill="FFFFFF" w:val="clear"/>
          <w:vertAlign w:val="superscript"/>
        </w:rPr>
        <w:t>49a)</w:t>
      </w:r>
      <w:r>
        <w:rPr>
          <w:rFonts w:cs="Arial" w:ascii="Book Antiqua" w:hAnsi="Book Antiqua"/>
          <w:sz w:val="22"/>
          <w:szCs w:val="22"/>
          <w:shd w:fill="FFFFFF" w:val="clear"/>
        </w:rPr>
        <w:t xml:space="preserve"> § 19a ods. 1 zákona</w:t>
      </w:r>
      <w:r>
        <w:rPr>
          <w:rFonts w:ascii="Book Antiqua" w:hAnsi="Book Antiqua"/>
          <w:sz w:val="22"/>
          <w:szCs w:val="22"/>
        </w:rPr>
        <w:t xml:space="preserve"> č. 553/2002 Z. z. v znení zákona č. .../2020 Z. z.“.</w:t>
      </w:r>
    </w:p>
    <w:p>
      <w:pPr>
        <w:pStyle w:val="ListParagraph"/>
        <w:numPr>
          <w:ilvl w:val="0"/>
          <w:numId w:val="16"/>
        </w:numPr>
        <w:spacing w:lineRule="auto" w:line="276" w:before="120" w:after="0"/>
        <w:ind w:left="709" w:hanging="283"/>
        <w:jc w:val="both"/>
        <w:rPr>
          <w:rFonts w:ascii="Book Antiqua" w:hAnsi="Book Antiqua" w:cs="Arial"/>
          <w:sz w:val="22"/>
          <w:szCs w:val="22"/>
          <w:highlight w:val="white"/>
        </w:rPr>
      </w:pPr>
      <w:r>
        <w:rPr>
          <w:rFonts w:cs="Arial" w:ascii="Book Antiqua" w:hAnsi="Book Antiqua"/>
          <w:sz w:val="22"/>
          <w:szCs w:val="22"/>
          <w:shd w:fill="FFFFFF" w:val="clear"/>
        </w:rPr>
        <w:t>Za § 143aj sa vkladá § 143ak, ktorý vrátane nadpisu znie:</w:t>
      </w:r>
    </w:p>
    <w:p>
      <w:pPr>
        <w:pStyle w:val="Normal"/>
        <w:spacing w:lineRule="auto" w:line="276" w:before="120" w:after="0"/>
        <w:ind w:firstLine="708"/>
        <w:jc w:val="center"/>
        <w:rPr>
          <w:rFonts w:ascii="Book Antiqua" w:hAnsi="Book Antiqua" w:cs="Arial"/>
          <w:b/>
          <w:b/>
          <w:sz w:val="22"/>
          <w:szCs w:val="22"/>
          <w:highlight w:val="white"/>
        </w:rPr>
      </w:pPr>
      <w:r>
        <w:rPr>
          <w:rFonts w:cs="Arial" w:ascii="Book Antiqua" w:hAnsi="Book Antiqua"/>
          <w:sz w:val="22"/>
          <w:szCs w:val="22"/>
          <w:shd w:fill="FFFFFF" w:val="clear"/>
        </w:rPr>
        <w:t>„</w:t>
      </w:r>
      <w:r>
        <w:rPr>
          <w:rFonts w:cs="Arial" w:ascii="Book Antiqua" w:hAnsi="Book Antiqua"/>
          <w:b/>
          <w:sz w:val="22"/>
          <w:szCs w:val="22"/>
          <w:shd w:fill="FFFFFF" w:val="clear"/>
        </w:rPr>
        <w:t>§ 143ak</w:t>
      </w:r>
    </w:p>
    <w:p>
      <w:pPr>
        <w:pStyle w:val="Normal"/>
        <w:spacing w:lineRule="auto" w:line="276" w:before="120" w:after="0"/>
        <w:ind w:firstLine="708"/>
        <w:jc w:val="center"/>
        <w:rPr>
          <w:rFonts w:ascii="Book Antiqua" w:hAnsi="Book Antiqua" w:cs="Arial"/>
          <w:b/>
          <w:b/>
          <w:sz w:val="22"/>
          <w:szCs w:val="22"/>
          <w:highlight w:val="white"/>
        </w:rPr>
      </w:pPr>
      <w:r>
        <w:rPr>
          <w:rFonts w:cs="Arial" w:ascii="Book Antiqua" w:hAnsi="Book Antiqua"/>
          <w:b/>
          <w:sz w:val="22"/>
          <w:szCs w:val="22"/>
          <w:shd w:fill="FFFFFF" w:val="clear"/>
        </w:rPr>
        <w:t>Prechodné ustanovenie k úprave účinnej od 1. marca 2020</w:t>
      </w:r>
    </w:p>
    <w:p>
      <w:pPr>
        <w:pStyle w:val="Normal"/>
        <w:spacing w:lineRule="auto" w:line="276" w:before="120" w:after="0"/>
        <w:ind w:left="708" w:hanging="0"/>
        <w:jc w:val="both"/>
        <w:rPr>
          <w:rFonts w:ascii="Book Antiqua" w:hAnsi="Book Antiqua" w:cs="Arial"/>
          <w:b/>
          <w:b/>
          <w:sz w:val="22"/>
          <w:szCs w:val="22"/>
          <w:highlight w:val="white"/>
        </w:rPr>
      </w:pPr>
      <w:r>
        <w:rPr>
          <w:rFonts w:ascii="Book Antiqua" w:hAnsi="Book Antiqua"/>
          <w:sz w:val="22"/>
          <w:szCs w:val="22"/>
        </w:rPr>
        <w:t>Príslušné orgány na vyplácanie dávok zo systému výsluhového zabezpečenia podľa  § 114 ods. 9</w:t>
      </w:r>
      <w:r>
        <w:rPr>
          <w:rFonts w:ascii="Book Antiqua" w:hAnsi="Book Antiqua"/>
          <w:sz w:val="22"/>
          <w:szCs w:val="22"/>
          <w:vertAlign w:val="superscript"/>
        </w:rPr>
        <w:t xml:space="preserve"> </w:t>
      </w:r>
      <w:r>
        <w:rPr>
          <w:rFonts w:ascii="Book Antiqua" w:hAnsi="Book Antiqua"/>
          <w:sz w:val="22"/>
          <w:szCs w:val="22"/>
        </w:rPr>
        <w:t xml:space="preserve"> spracujú a zašlú údaje o poberateľoch dávok zo systému sociálneho zabezpečenia podľa osobitného predpisu</w:t>
      </w:r>
      <w:r>
        <w:rPr>
          <w:rFonts w:cs="Arial" w:ascii="Book Antiqua" w:hAnsi="Book Antiqua"/>
          <w:sz w:val="22"/>
          <w:szCs w:val="22"/>
          <w:shd w:fill="FFFFFF" w:val="clear"/>
          <w:vertAlign w:val="superscript"/>
        </w:rPr>
        <w:t xml:space="preserve">49a) </w:t>
      </w:r>
      <w:r>
        <w:rPr>
          <w:rFonts w:ascii="Book Antiqua" w:hAnsi="Book Antiqua"/>
          <w:sz w:val="22"/>
          <w:szCs w:val="22"/>
        </w:rPr>
        <w:t>Ústavu pamäti národa po prvýkrát do 31. mája 2020</w:t>
      </w:r>
      <w:bookmarkStart w:id="0" w:name="_GoBack"/>
      <w:bookmarkEnd w:id="0"/>
      <w:r>
        <w:rPr>
          <w:rFonts w:ascii="Book Antiqua" w:hAnsi="Book Antiqua"/>
          <w:sz w:val="22"/>
          <w:szCs w:val="22"/>
        </w:rPr>
        <w:t>.“.</w:t>
      </w:r>
    </w:p>
    <w:p>
      <w:pPr>
        <w:pStyle w:val="ListParagraph"/>
        <w:spacing w:lineRule="auto" w:line="276" w:before="120" w:after="0"/>
        <w:ind w:left="1145" w:hanging="0"/>
        <w:jc w:val="center"/>
        <w:rPr>
          <w:rFonts w:ascii="Book Antiqua" w:hAnsi="Book Antiqua" w:cs="Arial"/>
          <w:b/>
          <w:b/>
          <w:sz w:val="22"/>
          <w:szCs w:val="22"/>
          <w:highlight w:val="white"/>
        </w:rPr>
      </w:pPr>
      <w:r>
        <w:rPr>
          <w:rFonts w:cs="Arial" w:ascii="Book Antiqua" w:hAnsi="Book Antiqua"/>
          <w:b/>
          <w:sz w:val="22"/>
          <w:szCs w:val="22"/>
          <w:shd w:fill="FFFFFF" w:val="clear"/>
        </w:rPr>
      </w:r>
    </w:p>
    <w:p>
      <w:pPr>
        <w:pStyle w:val="Normal"/>
        <w:spacing w:lineRule="auto" w:line="276" w:before="120" w:after="0"/>
        <w:jc w:val="center"/>
        <w:rPr>
          <w:rFonts w:ascii="Book Antiqua" w:hAnsi="Book Antiqua"/>
          <w:b/>
          <w:b/>
          <w:sz w:val="22"/>
          <w:szCs w:val="22"/>
        </w:rPr>
      </w:pPr>
      <w:r>
        <w:rPr>
          <w:rFonts w:ascii="Book Antiqua" w:hAnsi="Book Antiqua"/>
          <w:b/>
          <w:sz w:val="22"/>
          <w:szCs w:val="22"/>
        </w:rPr>
        <w:t>Čl. IV</w:t>
      </w:r>
    </w:p>
    <w:p>
      <w:pPr>
        <w:pStyle w:val="Normal"/>
        <w:spacing w:lineRule="auto" w:line="276" w:before="120" w:after="0"/>
        <w:ind w:firstLine="709"/>
        <w:jc w:val="both"/>
        <w:rPr>
          <w:rFonts w:ascii="Book Antiqua" w:hAnsi="Book Antiqua"/>
          <w:sz w:val="22"/>
          <w:szCs w:val="22"/>
        </w:rPr>
      </w:pPr>
      <w:r>
        <w:rPr>
          <w:rFonts w:ascii="Book Antiqua" w:hAnsi="Book Antiqua"/>
          <w:sz w:val="22"/>
          <w:szCs w:val="22"/>
        </w:rPr>
        <w:t>Zákon č. 553/2002 Z. z. o sprístupnení dokumentov o činnosti bezpečnostných zložiek štátu 1939 – 1989 a o založení Ústavu pamäti národa a o doplnení niektorých zákonov (zákon o pamäti národa) v znení zákona č. 110/2003 Z. z., zákona č. 610/2004 Z. z., zákona č. 309/2005 Z. z., zákona č. 219/2006 Z. z., zákona č. 58/2009 Z. z., zákona              č. 376/2013 Z. z., zákona č. 260/2017 Z. z. a zákona č. 221/2019 Z. z. sa mení a dopĺňa takto:</w:t>
      </w:r>
    </w:p>
    <w:p>
      <w:pPr>
        <w:pStyle w:val="ListParagraph"/>
        <w:numPr>
          <w:ilvl w:val="0"/>
          <w:numId w:val="3"/>
        </w:numPr>
        <w:spacing w:lineRule="auto" w:line="276" w:before="120" w:after="0"/>
        <w:jc w:val="both"/>
        <w:rPr>
          <w:rFonts w:ascii="Book Antiqua" w:hAnsi="Book Antiqua"/>
          <w:sz w:val="22"/>
          <w:szCs w:val="22"/>
        </w:rPr>
      </w:pPr>
      <w:r>
        <w:rPr>
          <w:rFonts w:ascii="Book Antiqua" w:hAnsi="Book Antiqua"/>
          <w:sz w:val="22"/>
          <w:szCs w:val="22"/>
        </w:rPr>
        <w:t xml:space="preserve">V § 8 </w:t>
      </w:r>
      <w:r>
        <w:rPr>
          <w:rFonts w:ascii="Book Antiqua" w:hAnsi="Book Antiqua"/>
          <w:bCs/>
          <w:sz w:val="22"/>
          <w:szCs w:val="22"/>
        </w:rPr>
        <w:t>sa odsek 1</w:t>
      </w:r>
      <w:r>
        <w:rPr>
          <w:rFonts w:ascii="Book Antiqua" w:hAnsi="Book Antiqua"/>
          <w:b/>
          <w:bCs/>
          <w:sz w:val="22"/>
          <w:szCs w:val="22"/>
        </w:rPr>
        <w:t xml:space="preserve"> </w:t>
      </w:r>
      <w:r>
        <w:rPr>
          <w:rFonts w:ascii="Book Antiqua" w:hAnsi="Book Antiqua"/>
          <w:sz w:val="22"/>
          <w:szCs w:val="22"/>
        </w:rPr>
        <w:t>dopĺňa písmenom l), ktoré znie:</w:t>
      </w:r>
    </w:p>
    <w:p>
      <w:pPr>
        <w:pStyle w:val="Normal"/>
        <w:spacing w:lineRule="auto" w:line="276" w:before="120" w:after="0"/>
        <w:ind w:left="851" w:hanging="0"/>
        <w:jc w:val="both"/>
        <w:rPr>
          <w:rFonts w:ascii="Book Antiqua" w:hAnsi="Book Antiqua"/>
          <w:sz w:val="22"/>
          <w:szCs w:val="22"/>
        </w:rPr>
      </w:pPr>
      <w:r>
        <w:rPr>
          <w:rFonts w:ascii="Book Antiqua" w:hAnsi="Book Antiqua"/>
          <w:sz w:val="22"/>
          <w:szCs w:val="22"/>
        </w:rPr>
        <w:t>„</w:t>
      </w:r>
      <w:r>
        <w:rPr>
          <w:rFonts w:ascii="Book Antiqua" w:hAnsi="Book Antiqua"/>
          <w:sz w:val="22"/>
          <w:szCs w:val="22"/>
        </w:rPr>
        <w:t>l) vydávať a zasielať orgánom príslušným na vyplácanie dávok zo systému výsluhového zabezpečenia</w:t>
      </w:r>
      <w:r>
        <w:rPr>
          <w:rFonts w:ascii="Book Antiqua" w:hAnsi="Book Antiqua"/>
          <w:sz w:val="22"/>
          <w:szCs w:val="22"/>
          <w:vertAlign w:val="superscript"/>
        </w:rPr>
        <w:t>2aaa)</w:t>
      </w:r>
      <w:r>
        <w:rPr>
          <w:rFonts w:ascii="Book Antiqua" w:hAnsi="Book Antiqua"/>
          <w:sz w:val="22"/>
          <w:szCs w:val="22"/>
        </w:rPr>
        <w:t xml:space="preserve"> potvrdenie o tom, že ústav disponuje informáciami alebo dokumentmi podľa § 6, v ktorých bola fyzická osoba evidovaná ako príslušník bezpečnostnej zložky uvedenej v § 2 písm. g) a h), prílohe alebo osobitnom predpise</w:t>
      </w:r>
      <w:r>
        <w:rPr>
          <w:rFonts w:ascii="Book Antiqua" w:hAnsi="Book Antiqua"/>
          <w:sz w:val="22"/>
          <w:szCs w:val="22"/>
          <w:vertAlign w:val="superscript"/>
        </w:rPr>
        <w:t xml:space="preserve">2aab) </w:t>
      </w:r>
      <w:r>
        <w:rPr>
          <w:rFonts w:ascii="Book Antiqua" w:hAnsi="Book Antiqua"/>
          <w:sz w:val="22"/>
          <w:szCs w:val="22"/>
        </w:rPr>
        <w:t>alebo</w:t>
      </w:r>
      <w:r>
        <w:rPr>
          <w:rFonts w:ascii="Book Antiqua" w:hAnsi="Book Antiqua"/>
          <w:sz w:val="22"/>
          <w:szCs w:val="22"/>
          <w:vertAlign w:val="superscript"/>
        </w:rPr>
        <w:t xml:space="preserve"> </w:t>
      </w:r>
      <w:r>
        <w:rPr>
          <w:rFonts w:ascii="Book Antiqua" w:hAnsi="Book Antiqua"/>
          <w:sz w:val="22"/>
          <w:szCs w:val="22"/>
        </w:rPr>
        <w:t>osoba zodpovedná za činnosť niektorej z týchto zložiek na úrovni Federálneho ministerstva vnútra Československej socialistickej republiky, Ministerstva vnútra Slovenskej socialistickej republiky alebo Ministerstva vnútra českej socialistickej republiky.“.</w:t>
      </w:r>
    </w:p>
    <w:p>
      <w:pPr>
        <w:pStyle w:val="Normal"/>
        <w:spacing w:lineRule="auto" w:line="276" w:before="120" w:after="0"/>
        <w:ind w:left="1418" w:hanging="567"/>
        <w:jc w:val="both"/>
        <w:rPr>
          <w:rFonts w:ascii="Book Antiqua" w:hAnsi="Book Antiqua"/>
          <w:sz w:val="22"/>
          <w:szCs w:val="22"/>
        </w:rPr>
      </w:pPr>
      <w:r>
        <w:rPr>
          <w:rFonts w:ascii="Book Antiqua" w:hAnsi="Book Antiqua"/>
          <w:sz w:val="22"/>
          <w:szCs w:val="22"/>
        </w:rPr>
        <w:t>Poznámky pod čiarou k odkazom 2aaa a 2aab znejú:</w:t>
      </w:r>
    </w:p>
    <w:p>
      <w:pPr>
        <w:pStyle w:val="Normal"/>
        <w:spacing w:lineRule="auto" w:line="276" w:before="120" w:after="0"/>
        <w:ind w:left="851" w:hanging="0"/>
        <w:jc w:val="both"/>
        <w:rPr>
          <w:rFonts w:ascii="Book Antiqua" w:hAnsi="Book Antiqua"/>
          <w:sz w:val="22"/>
          <w:szCs w:val="22"/>
        </w:rPr>
      </w:pPr>
      <w:r>
        <w:rPr>
          <w:rFonts w:ascii="Book Antiqua" w:hAnsi="Book Antiqua"/>
          <w:sz w:val="22"/>
          <w:szCs w:val="22"/>
        </w:rPr>
        <w:t>„</w:t>
      </w:r>
      <w:r>
        <w:rPr>
          <w:rFonts w:ascii="Book Antiqua" w:hAnsi="Book Antiqua"/>
          <w:sz w:val="22"/>
          <w:szCs w:val="22"/>
          <w:vertAlign w:val="superscript"/>
        </w:rPr>
        <w:t>2aaa)</w:t>
      </w:r>
      <w:r>
        <w:rPr>
          <w:rFonts w:ascii="Book Antiqua" w:hAnsi="Book Antiqua"/>
          <w:sz w:val="22"/>
          <w:szCs w:val="22"/>
        </w:rPr>
        <w:t xml:space="preserve"> § 2 ods. 1 a § 100 zákona č. 328/2002 Z. z. o sociálnom zabezpečení policajtov a vojakov a o zmene a doplnení niektorých zákonov v znení neskorších predpisov.</w:t>
      </w:r>
    </w:p>
    <w:p>
      <w:pPr>
        <w:pStyle w:val="Normal"/>
        <w:spacing w:lineRule="auto" w:line="276" w:before="120" w:after="0"/>
        <w:ind w:left="851" w:hanging="0"/>
        <w:jc w:val="both"/>
        <w:rPr>
          <w:rFonts w:ascii="Book Antiqua" w:hAnsi="Book Antiqua"/>
          <w:sz w:val="22"/>
          <w:szCs w:val="22"/>
        </w:rPr>
      </w:pPr>
      <w:r>
        <w:rPr>
          <w:rFonts w:ascii="Book Antiqua" w:hAnsi="Book Antiqua"/>
          <w:sz w:val="22"/>
          <w:szCs w:val="22"/>
          <w:vertAlign w:val="superscript"/>
        </w:rPr>
        <w:t xml:space="preserve">2aab)  </w:t>
      </w:r>
      <w:r>
        <w:rPr>
          <w:rFonts w:ascii="Book Antiqua" w:hAnsi="Book Antiqua"/>
          <w:sz w:val="22"/>
          <w:szCs w:val="22"/>
        </w:rPr>
        <w:t>Príloha č. 1 k zákonu č. 215/2004 Z. z. o ochrane utajovaných skutočností a o zmene a doplnení niektorých zákonov.“.</w:t>
      </w:r>
    </w:p>
    <w:p>
      <w:pPr>
        <w:pStyle w:val="ListParagraph"/>
        <w:numPr>
          <w:ilvl w:val="0"/>
          <w:numId w:val="3"/>
        </w:numPr>
        <w:spacing w:lineRule="auto" w:line="276" w:before="120" w:after="0"/>
        <w:jc w:val="both"/>
        <w:rPr>
          <w:rFonts w:ascii="Book Antiqua" w:hAnsi="Book Antiqua"/>
          <w:sz w:val="22"/>
          <w:szCs w:val="22"/>
        </w:rPr>
      </w:pPr>
      <w:r>
        <w:rPr>
          <w:rFonts w:ascii="Book Antiqua" w:hAnsi="Book Antiqua"/>
          <w:sz w:val="22"/>
          <w:szCs w:val="22"/>
        </w:rPr>
        <w:t>Za § 19 sa vkladá § 19a, ktorý vrátane nadpisu znie:</w:t>
      </w:r>
    </w:p>
    <w:p>
      <w:pPr>
        <w:pStyle w:val="Normal"/>
        <w:spacing w:lineRule="auto" w:line="276" w:before="120" w:after="0"/>
        <w:ind w:left="851" w:hanging="0"/>
        <w:jc w:val="center"/>
        <w:rPr>
          <w:rFonts w:ascii="Book Antiqua" w:hAnsi="Book Antiqua"/>
          <w:b/>
          <w:b/>
          <w:sz w:val="22"/>
          <w:szCs w:val="22"/>
        </w:rPr>
      </w:pPr>
      <w:r>
        <w:rPr>
          <w:rFonts w:ascii="Book Antiqua" w:hAnsi="Book Antiqua"/>
          <w:sz w:val="22"/>
          <w:szCs w:val="22"/>
        </w:rPr>
        <w:t>„</w:t>
      </w:r>
      <w:r>
        <w:rPr>
          <w:rFonts w:ascii="Book Antiqua" w:hAnsi="Book Antiqua"/>
          <w:b/>
          <w:sz w:val="22"/>
          <w:szCs w:val="22"/>
        </w:rPr>
        <w:t>§ 19a</w:t>
      </w:r>
    </w:p>
    <w:p>
      <w:pPr>
        <w:pStyle w:val="Normal"/>
        <w:spacing w:lineRule="auto" w:line="276" w:before="120" w:after="0"/>
        <w:ind w:left="851" w:hanging="0"/>
        <w:jc w:val="center"/>
        <w:rPr>
          <w:rFonts w:ascii="Book Antiqua" w:hAnsi="Book Antiqua"/>
          <w:b/>
          <w:b/>
          <w:sz w:val="22"/>
          <w:szCs w:val="22"/>
        </w:rPr>
      </w:pPr>
      <w:r>
        <w:rPr>
          <w:rFonts w:ascii="Book Antiqua" w:hAnsi="Book Antiqua"/>
          <w:b/>
          <w:sz w:val="22"/>
          <w:szCs w:val="22"/>
        </w:rPr>
        <w:t>Zasielanie zoznamov príslušníkov bezpečnostných zložiek na účely výsluhového zabezpečenia</w:t>
      </w:r>
    </w:p>
    <w:p>
      <w:pPr>
        <w:pStyle w:val="ListParagraph"/>
        <w:numPr>
          <w:ilvl w:val="0"/>
          <w:numId w:val="15"/>
        </w:numPr>
        <w:spacing w:lineRule="auto" w:line="276" w:before="120" w:after="0"/>
        <w:ind w:left="1421" w:hanging="712"/>
        <w:jc w:val="both"/>
        <w:rPr>
          <w:rFonts w:ascii="Book Antiqua" w:hAnsi="Book Antiqua"/>
          <w:sz w:val="22"/>
          <w:szCs w:val="22"/>
        </w:rPr>
      </w:pPr>
      <w:r>
        <w:rPr>
          <w:rFonts w:ascii="Book Antiqua" w:hAnsi="Book Antiqua"/>
          <w:sz w:val="22"/>
          <w:szCs w:val="22"/>
        </w:rPr>
        <w:t>Príslušné orgány na vyplácanie dávok zo systému výsluhového zabezpečenia</w:t>
      </w:r>
      <w:r>
        <w:rPr>
          <w:rFonts w:ascii="Book Antiqua" w:hAnsi="Book Antiqua"/>
          <w:sz w:val="22"/>
          <w:szCs w:val="22"/>
          <w:vertAlign w:val="superscript"/>
        </w:rPr>
        <w:t>8)</w:t>
      </w:r>
      <w:r>
        <w:rPr>
          <w:rFonts w:ascii="Book Antiqua" w:hAnsi="Book Antiqua"/>
          <w:sz w:val="22"/>
          <w:szCs w:val="22"/>
        </w:rPr>
        <w:t xml:space="preserve"> vypracovávajú a zasielajú ústavu údaje o poberateľoch dávok zo systému sociálneho zabezpečenia podľa osobitného predpisu</w:t>
      </w:r>
      <w:r>
        <w:rPr>
          <w:rFonts w:ascii="Book Antiqua" w:hAnsi="Book Antiqua"/>
          <w:sz w:val="22"/>
          <w:szCs w:val="22"/>
          <w:vertAlign w:val="superscript"/>
        </w:rPr>
        <w:t>8a)</w:t>
      </w:r>
      <w:r>
        <w:rPr>
          <w:rFonts w:ascii="Book Antiqua" w:hAnsi="Book Antiqua"/>
          <w:sz w:val="22"/>
          <w:szCs w:val="22"/>
        </w:rPr>
        <w:t xml:space="preserve"> v rozsahu meno a priezvisko, dátum narodenia, rodné číslo a doba trvania služobného zaradenia.</w:t>
      </w:r>
    </w:p>
    <w:p>
      <w:pPr>
        <w:pStyle w:val="ListParagraph"/>
        <w:numPr>
          <w:ilvl w:val="0"/>
          <w:numId w:val="15"/>
        </w:numPr>
        <w:spacing w:lineRule="auto" w:line="276" w:before="120" w:after="0"/>
        <w:ind w:left="1418" w:hanging="709"/>
        <w:jc w:val="both"/>
        <w:rPr>
          <w:rFonts w:ascii="Book Antiqua" w:hAnsi="Book Antiqua"/>
          <w:sz w:val="22"/>
          <w:szCs w:val="22"/>
        </w:rPr>
      </w:pPr>
      <w:r>
        <w:rPr>
          <w:rFonts w:ascii="Book Antiqua" w:hAnsi="Book Antiqua"/>
          <w:sz w:val="22"/>
          <w:szCs w:val="22"/>
        </w:rPr>
        <w:t>Ústav na základe údajov podľa odseku 1 a dokumentov, ktoré má vo vlastníctve, držbe alebo správe podľa tohto zákona, v rozsahu a na účely podľa § 8 ods. 1 písm. l) vytvára zoznam fyzických osôb, ktoré boli príslušníkmi bezpečnostných zložiek podľa § 2 písm. g) a h), prílohy alebo podľa osobitného predpisu</w:t>
      </w:r>
      <w:r>
        <w:rPr>
          <w:rFonts w:ascii="Book Antiqua" w:hAnsi="Book Antiqua"/>
          <w:sz w:val="22"/>
          <w:szCs w:val="22"/>
          <w:vertAlign w:val="superscript"/>
        </w:rPr>
        <w:t>2aab)</w:t>
      </w:r>
      <w:r>
        <w:rPr>
          <w:rFonts w:ascii="Book Antiqua" w:hAnsi="Book Antiqua"/>
          <w:sz w:val="22"/>
          <w:szCs w:val="22"/>
        </w:rPr>
        <w:t>, alebo osobami zodpovednými za činnosť niektorej z týchto zložiek na úrovni Federálneho ministerstva vnútra Československej socialistickej republiky, Ministerstva vnútra Slovenskej socialistickej republiky alebo Ministerstva vnútra českej socialistickej republiky, o ktorých má  informácie alebo dokumenty podľa § 6 alebo personálny (kádrový) spis príslušníka bezpečnostnej zložky alebo osobnú evidenčnú kartu p</w:t>
      </w:r>
      <w:r>
        <w:rPr>
          <w:rFonts w:ascii="Book Antiqua" w:hAnsi="Book Antiqua"/>
          <w:bCs/>
          <w:sz w:val="22"/>
          <w:szCs w:val="22"/>
        </w:rPr>
        <w:t xml:space="preserve">ríslušníka bezpečnostnej zložky. </w:t>
      </w:r>
      <w:r>
        <w:rPr>
          <w:rFonts w:ascii="Book Antiqua" w:hAnsi="Book Antiqua"/>
          <w:sz w:val="22"/>
          <w:szCs w:val="22"/>
        </w:rPr>
        <w:t>Ústav priebežne zasiela potvrdenie podľa § 8 ods. 1 písm. l) príslušným orgánom na vyplácanie dávok zo systému výsluhového zabezpečenia podľa osobitného predpisu</w:t>
      </w:r>
      <w:r>
        <w:rPr>
          <w:rFonts w:ascii="Book Antiqua" w:hAnsi="Book Antiqua"/>
          <w:sz w:val="22"/>
          <w:szCs w:val="22"/>
          <w:vertAlign w:val="superscript"/>
        </w:rPr>
        <w:t xml:space="preserve">2aaa) </w:t>
      </w:r>
      <w:r>
        <w:rPr>
          <w:rFonts w:ascii="Book Antiqua" w:hAnsi="Book Antiqua"/>
          <w:sz w:val="22"/>
          <w:szCs w:val="22"/>
        </w:rPr>
        <w:t>v rozsahu meno a priezvisko, dátum narodenia, rodné číslo a doba trvania služobného zaradenia.“.</w:t>
      </w:r>
    </w:p>
    <w:p>
      <w:pPr>
        <w:pStyle w:val="Normal"/>
        <w:spacing w:lineRule="auto" w:line="276" w:before="120" w:after="0"/>
        <w:ind w:left="1418" w:hanging="567"/>
        <w:jc w:val="both"/>
        <w:rPr>
          <w:rFonts w:ascii="Book Antiqua" w:hAnsi="Book Antiqua"/>
          <w:sz w:val="22"/>
          <w:szCs w:val="22"/>
        </w:rPr>
      </w:pPr>
      <w:r>
        <w:rPr>
          <w:rFonts w:ascii="Book Antiqua" w:hAnsi="Book Antiqua"/>
          <w:sz w:val="22"/>
          <w:szCs w:val="22"/>
        </w:rPr>
        <w:t>Poznámky pod čiarou k odkazom 8 a 8a znejú:</w:t>
      </w:r>
    </w:p>
    <w:p>
      <w:pPr>
        <w:pStyle w:val="Normal"/>
        <w:spacing w:lineRule="auto" w:line="276" w:before="120" w:after="0"/>
        <w:ind w:left="851" w:hanging="0"/>
        <w:jc w:val="both"/>
        <w:rPr>
          <w:rFonts w:ascii="Book Antiqua" w:hAnsi="Book Antiqua"/>
          <w:sz w:val="22"/>
          <w:szCs w:val="22"/>
        </w:rPr>
      </w:pPr>
      <w:r>
        <w:rPr>
          <w:rFonts w:ascii="Book Antiqua" w:hAnsi="Book Antiqua"/>
          <w:sz w:val="22"/>
          <w:szCs w:val="22"/>
        </w:rPr>
        <w:t>„</w:t>
      </w:r>
      <w:r>
        <w:rPr>
          <w:rFonts w:ascii="Book Antiqua" w:hAnsi="Book Antiqua"/>
          <w:sz w:val="22"/>
          <w:szCs w:val="22"/>
          <w:vertAlign w:val="superscript"/>
        </w:rPr>
        <w:t>8)</w:t>
      </w:r>
      <w:r>
        <w:rPr>
          <w:rFonts w:ascii="Book Antiqua" w:hAnsi="Book Antiqua"/>
          <w:sz w:val="22"/>
          <w:szCs w:val="22"/>
        </w:rPr>
        <w:t xml:space="preserve"> Napr. § 2 ods. 1 a § 80 ods. 2 zákona č. 328/2002 Z. z. v znení neskorších predpisov.</w:t>
      </w:r>
    </w:p>
    <w:p>
      <w:pPr>
        <w:pStyle w:val="Normal"/>
        <w:spacing w:lineRule="auto" w:line="276" w:before="120" w:after="0"/>
        <w:ind w:left="851" w:hanging="0"/>
        <w:jc w:val="both"/>
        <w:rPr>
          <w:rFonts w:ascii="Book Antiqua" w:hAnsi="Book Antiqua"/>
          <w:sz w:val="22"/>
          <w:szCs w:val="22"/>
        </w:rPr>
      </w:pPr>
      <w:r>
        <w:rPr>
          <w:rFonts w:ascii="Book Antiqua" w:hAnsi="Book Antiqua"/>
          <w:sz w:val="22"/>
          <w:szCs w:val="22"/>
          <w:vertAlign w:val="superscript"/>
        </w:rPr>
        <w:t>8a)</w:t>
      </w:r>
      <w:r>
        <w:rPr>
          <w:rFonts w:ascii="Book Antiqua" w:hAnsi="Book Antiqua"/>
          <w:sz w:val="22"/>
          <w:szCs w:val="22"/>
        </w:rPr>
        <w:t xml:space="preserve"> § 114 ods. 9 zákona č. 328/2002 Z. z. v znení zákona č. .../2020.“.</w:t>
      </w:r>
    </w:p>
    <w:p>
      <w:pPr>
        <w:pStyle w:val="ListParagraph"/>
        <w:numPr>
          <w:ilvl w:val="0"/>
          <w:numId w:val="3"/>
        </w:numPr>
        <w:spacing w:lineRule="auto" w:line="276" w:before="120" w:after="0"/>
        <w:jc w:val="both"/>
        <w:rPr>
          <w:rFonts w:ascii="Book Antiqua" w:hAnsi="Book Antiqua"/>
          <w:sz w:val="22"/>
          <w:szCs w:val="22"/>
        </w:rPr>
      </w:pPr>
      <w:r>
        <w:rPr>
          <w:rFonts w:ascii="Book Antiqua" w:hAnsi="Book Antiqua"/>
          <w:sz w:val="22"/>
          <w:szCs w:val="22"/>
        </w:rPr>
        <w:t>V § 27 ods. 1 sa za slovo „služba“ vkladá slovo „bezodkladne“ a za slovom „správe“ sa vypúšťajú čiarka a slová „do ôsmich mesiacov od účinnosti tohto zákona.“.</w:t>
      </w:r>
    </w:p>
    <w:p>
      <w:pPr>
        <w:pStyle w:val="ListParagraph"/>
        <w:numPr>
          <w:ilvl w:val="0"/>
          <w:numId w:val="3"/>
        </w:numPr>
        <w:spacing w:lineRule="auto" w:line="276" w:before="120" w:after="0"/>
        <w:jc w:val="both"/>
        <w:rPr>
          <w:rFonts w:ascii="Book Antiqua" w:hAnsi="Book Antiqua"/>
          <w:sz w:val="22"/>
          <w:szCs w:val="22"/>
        </w:rPr>
      </w:pPr>
      <w:r>
        <w:rPr>
          <w:rFonts w:ascii="Book Antiqua" w:hAnsi="Book Antiqua"/>
          <w:sz w:val="22"/>
          <w:szCs w:val="22"/>
        </w:rPr>
        <w:t>V § 28 ods. 1 sa slová „podľa § 1 písm. a)“ nahrádzajú slovami „podľa § 1 písm. b)“.</w:t>
      </w:r>
    </w:p>
    <w:p>
      <w:pPr>
        <w:pStyle w:val="ListParagraph"/>
        <w:numPr>
          <w:ilvl w:val="0"/>
          <w:numId w:val="3"/>
        </w:numPr>
        <w:spacing w:lineRule="auto" w:line="276" w:before="120" w:after="0"/>
        <w:jc w:val="both"/>
        <w:rPr>
          <w:rFonts w:ascii="Book Antiqua" w:hAnsi="Book Antiqua"/>
          <w:sz w:val="22"/>
          <w:szCs w:val="22"/>
        </w:rPr>
      </w:pPr>
      <w:r>
        <w:rPr>
          <w:rFonts w:ascii="Book Antiqua" w:hAnsi="Book Antiqua"/>
          <w:sz w:val="22"/>
          <w:szCs w:val="22"/>
        </w:rPr>
        <w:t>Za § 29 sa vkladá nový § 29a, ktorý vrátane nadpisu znie:</w:t>
      </w:r>
    </w:p>
    <w:p>
      <w:pPr>
        <w:pStyle w:val="ListParagraph"/>
        <w:spacing w:lineRule="auto" w:line="276" w:before="120" w:after="0"/>
        <w:ind w:left="720" w:hanging="0"/>
        <w:jc w:val="center"/>
        <w:rPr>
          <w:rFonts w:ascii="Book Antiqua" w:hAnsi="Book Antiqua"/>
          <w:b/>
          <w:b/>
          <w:sz w:val="22"/>
          <w:szCs w:val="22"/>
        </w:rPr>
      </w:pPr>
      <w:r>
        <w:rPr>
          <w:rFonts w:ascii="Book Antiqua" w:hAnsi="Book Antiqua"/>
          <w:sz w:val="22"/>
          <w:szCs w:val="22"/>
        </w:rPr>
        <w:t>„</w:t>
      </w:r>
      <w:r>
        <w:rPr>
          <w:rFonts w:ascii="Book Antiqua" w:hAnsi="Book Antiqua"/>
          <w:b/>
          <w:sz w:val="22"/>
          <w:szCs w:val="22"/>
        </w:rPr>
        <w:t>§ 29a</w:t>
      </w:r>
    </w:p>
    <w:p>
      <w:pPr>
        <w:pStyle w:val="ListParagraph"/>
        <w:spacing w:lineRule="auto" w:line="276" w:before="120" w:after="0"/>
        <w:ind w:left="720" w:hanging="0"/>
        <w:jc w:val="center"/>
        <w:rPr>
          <w:rFonts w:ascii="Book Antiqua" w:hAnsi="Book Antiqua"/>
          <w:b/>
          <w:b/>
          <w:sz w:val="22"/>
          <w:szCs w:val="22"/>
        </w:rPr>
      </w:pPr>
      <w:r>
        <w:rPr>
          <w:rFonts w:ascii="Book Antiqua" w:hAnsi="Book Antiqua"/>
          <w:b/>
          <w:sz w:val="22"/>
          <w:szCs w:val="22"/>
        </w:rPr>
        <w:t>Prechodné ustanovenia k úpravám účinným od 1. marca 2020</w:t>
      </w:r>
    </w:p>
    <w:p>
      <w:pPr>
        <w:pStyle w:val="ListParagraph"/>
        <w:spacing w:lineRule="auto" w:line="276" w:before="120" w:after="0"/>
        <w:ind w:left="1418" w:hanging="698"/>
        <w:jc w:val="both"/>
        <w:rPr>
          <w:rFonts w:ascii="Book Antiqua" w:hAnsi="Book Antiqua"/>
          <w:sz w:val="22"/>
          <w:szCs w:val="22"/>
        </w:rPr>
      </w:pPr>
      <w:r>
        <w:rPr>
          <w:rFonts w:ascii="Book Antiqua" w:hAnsi="Book Antiqua"/>
          <w:sz w:val="22"/>
          <w:szCs w:val="22"/>
        </w:rPr>
        <w:t xml:space="preserve">(1) </w:t>
        <w:tab/>
        <w:t>Ministerstvo vnútra Slovenskej republiky, Ministerstvo obrany Slovenskej republiky, Ministerstvo spravodlivosti Slovenskej republiky a Slovenská informačná služba zabezpečia splnenie povinností podľa § 27 ods. 1 vo vzťahu k osobám, ktorým sa vyplácajú dávky zo systému výsluhového zabezpečenia podľa osobitného predpisu</w:t>
      </w:r>
      <w:r>
        <w:rPr>
          <w:rFonts w:ascii="Book Antiqua" w:hAnsi="Book Antiqua"/>
          <w:sz w:val="22"/>
          <w:szCs w:val="22"/>
          <w:vertAlign w:val="superscript"/>
        </w:rPr>
        <w:t>8b)</w:t>
      </w:r>
      <w:r>
        <w:rPr>
          <w:rFonts w:ascii="Book Antiqua" w:hAnsi="Book Antiqua"/>
          <w:sz w:val="22"/>
          <w:szCs w:val="22"/>
        </w:rPr>
        <w:t xml:space="preserve"> do 31. marca 2020.</w:t>
      </w:r>
    </w:p>
    <w:p>
      <w:pPr>
        <w:pStyle w:val="ListParagraph"/>
        <w:spacing w:lineRule="auto" w:line="276" w:before="120" w:after="0"/>
        <w:ind w:left="1418" w:hanging="698"/>
        <w:jc w:val="both"/>
        <w:rPr>
          <w:rFonts w:ascii="Book Antiqua" w:hAnsi="Book Antiqua"/>
          <w:sz w:val="22"/>
          <w:szCs w:val="22"/>
        </w:rPr>
      </w:pPr>
      <w:r>
        <w:rPr>
          <w:rFonts w:ascii="Book Antiqua" w:hAnsi="Book Antiqua"/>
          <w:sz w:val="22"/>
          <w:szCs w:val="22"/>
        </w:rPr>
        <w:t xml:space="preserve">(2) </w:t>
        <w:tab/>
        <w:t>Vláda Slovenskej republiky zabezpečí splnenie povinností podľa § 28 ods. 1 vo vzťahu k vláde Českej republiky do 31. marca 2021.“.</w:t>
      </w:r>
    </w:p>
    <w:p>
      <w:pPr>
        <w:pStyle w:val="ListParagraph"/>
        <w:numPr>
          <w:ilvl w:val="0"/>
          <w:numId w:val="3"/>
        </w:numPr>
        <w:spacing w:lineRule="auto" w:line="276" w:before="120" w:after="0"/>
        <w:jc w:val="both"/>
        <w:rPr>
          <w:rFonts w:ascii="Book Antiqua" w:hAnsi="Book Antiqua"/>
          <w:sz w:val="22"/>
          <w:szCs w:val="22"/>
        </w:rPr>
      </w:pPr>
      <w:r>
        <w:rPr>
          <w:rFonts w:ascii="Book Antiqua" w:hAnsi="Book Antiqua"/>
          <w:sz w:val="22"/>
          <w:szCs w:val="22"/>
        </w:rPr>
        <w:t>Do zákona sa vkladá príloha, ktorá vrátane nadpisu znie:</w:t>
      </w:r>
    </w:p>
    <w:p>
      <w:pPr>
        <w:pStyle w:val="ListParagraph"/>
        <w:spacing w:lineRule="auto" w:line="276" w:before="120" w:after="0"/>
        <w:ind w:left="720" w:hanging="0"/>
        <w:jc w:val="right"/>
        <w:rPr>
          <w:rFonts w:ascii="Book Antiqua" w:hAnsi="Book Antiqua"/>
          <w:b/>
          <w:b/>
          <w:sz w:val="22"/>
          <w:szCs w:val="22"/>
        </w:rPr>
      </w:pPr>
      <w:r>
        <w:rPr>
          <w:rFonts w:ascii="Book Antiqua" w:hAnsi="Book Antiqua"/>
          <w:sz w:val="22"/>
          <w:szCs w:val="22"/>
        </w:rPr>
        <w:t>„</w:t>
      </w:r>
      <w:r>
        <w:rPr>
          <w:rFonts w:ascii="Book Antiqua" w:hAnsi="Book Antiqua"/>
          <w:b/>
          <w:sz w:val="22"/>
          <w:szCs w:val="22"/>
        </w:rPr>
        <w:t>Príloha</w:t>
      </w:r>
    </w:p>
    <w:p>
      <w:pPr>
        <w:pStyle w:val="ListParagraph"/>
        <w:spacing w:lineRule="auto" w:line="276" w:before="120" w:after="0"/>
        <w:ind w:left="720" w:hanging="0"/>
        <w:jc w:val="right"/>
        <w:rPr>
          <w:rFonts w:ascii="Book Antiqua" w:hAnsi="Book Antiqua"/>
          <w:b/>
          <w:b/>
          <w:sz w:val="22"/>
          <w:szCs w:val="22"/>
        </w:rPr>
      </w:pPr>
      <w:r>
        <w:rPr>
          <w:rFonts w:ascii="Book Antiqua" w:hAnsi="Book Antiqua"/>
          <w:b/>
          <w:sz w:val="22"/>
          <w:szCs w:val="22"/>
        </w:rPr>
        <w:t>k zákonu č. 553/2002 Z. z.</w:t>
      </w:r>
    </w:p>
    <w:p>
      <w:pPr>
        <w:pStyle w:val="Normal"/>
        <w:spacing w:lineRule="auto" w:line="276" w:before="120" w:after="0"/>
        <w:jc w:val="center"/>
        <w:rPr>
          <w:rFonts w:ascii="Book Antiqua" w:hAnsi="Book Antiqua"/>
          <w:b/>
          <w:b/>
          <w:caps/>
          <w:sz w:val="22"/>
          <w:szCs w:val="22"/>
        </w:rPr>
      </w:pPr>
      <w:r>
        <w:rPr>
          <w:rFonts w:ascii="Book Antiqua" w:hAnsi="Book Antiqua"/>
          <w:b/>
          <w:caps/>
          <w:sz w:val="22"/>
          <w:szCs w:val="22"/>
        </w:rPr>
      </w:r>
    </w:p>
    <w:p>
      <w:pPr>
        <w:pStyle w:val="Normal"/>
        <w:spacing w:lineRule="auto" w:line="276" w:before="120" w:after="0"/>
        <w:jc w:val="center"/>
        <w:rPr>
          <w:rFonts w:ascii="Book Antiqua" w:hAnsi="Book Antiqua"/>
          <w:b/>
          <w:b/>
          <w:caps/>
          <w:sz w:val="22"/>
          <w:szCs w:val="22"/>
        </w:rPr>
      </w:pPr>
      <w:r>
        <w:rPr>
          <w:rFonts w:ascii="Book Antiqua" w:hAnsi="Book Antiqua"/>
          <w:b/>
          <w:caps/>
          <w:sz w:val="22"/>
          <w:szCs w:val="22"/>
        </w:rPr>
        <w:t>ZLOžky štátnej BEZpEČNOSTI</w:t>
      </w:r>
    </w:p>
    <w:p>
      <w:pPr>
        <w:pStyle w:val="Normal"/>
        <w:spacing w:lineRule="auto" w:line="276" w:before="120" w:after="0"/>
        <w:jc w:val="center"/>
        <w:rPr>
          <w:rFonts w:ascii="Book Antiqua" w:hAnsi="Book Antiqua"/>
          <w:b/>
          <w:b/>
          <w:caps/>
          <w:sz w:val="22"/>
          <w:szCs w:val="22"/>
        </w:rPr>
      </w:pPr>
      <w:r>
        <w:rPr>
          <w:rFonts w:ascii="Book Antiqua" w:hAnsi="Book Antiqua"/>
          <w:b/>
          <w:caps/>
          <w:sz w:val="22"/>
          <w:szCs w:val="22"/>
        </w:rPr>
        <w:t>V rámci zboru národnej bezpečnosti a Federálneho ministerstva vnútra a ich predchodcov</w:t>
      </w:r>
    </w:p>
    <w:p>
      <w:pPr>
        <w:pStyle w:val="Normal"/>
        <w:spacing w:lineRule="auto" w:line="276" w:before="120" w:after="0"/>
        <w:jc w:val="center"/>
        <w:rPr>
          <w:rFonts w:ascii="Book Antiqua" w:hAnsi="Book Antiqua"/>
          <w:b/>
          <w:b/>
          <w:caps/>
          <w:sz w:val="22"/>
          <w:szCs w:val="22"/>
        </w:rPr>
      </w:pPr>
      <w:r>
        <w:rPr>
          <w:rFonts w:ascii="Book Antiqua" w:hAnsi="Book Antiqua"/>
          <w:b/>
          <w:caps/>
          <w:sz w:val="22"/>
          <w:szCs w:val="22"/>
        </w:rPr>
      </w:r>
    </w:p>
    <w:p>
      <w:pPr>
        <w:pStyle w:val="ListParagraph"/>
        <w:numPr>
          <w:ilvl w:val="0"/>
          <w:numId w:val="5"/>
        </w:numPr>
        <w:spacing w:lineRule="auto" w:line="276" w:before="120" w:after="0"/>
        <w:ind w:left="709" w:hanging="349"/>
        <w:jc w:val="both"/>
        <w:rPr>
          <w:rFonts w:ascii="Book Antiqua" w:hAnsi="Book Antiqua"/>
          <w:caps/>
          <w:sz w:val="22"/>
          <w:szCs w:val="22"/>
        </w:rPr>
      </w:pPr>
      <w:r>
        <w:rPr>
          <w:rFonts w:ascii="Book Antiqua" w:hAnsi="Book Antiqua"/>
          <w:caps/>
          <w:sz w:val="22"/>
          <w:szCs w:val="22"/>
        </w:rPr>
        <w:t>Vyššie organizačné celky Štátnej bezpečnosti pri Ministerstve vnútra, Ministerstve národnej bezpečnosti, Povereníctve vnútra a Federálnom ministerstve vnútra</w:t>
      </w:r>
    </w:p>
    <w:p>
      <w:pPr>
        <w:pStyle w:val="ListParagraph"/>
        <w:widowControl/>
        <w:numPr>
          <w:ilvl w:val="0"/>
          <w:numId w:val="4"/>
        </w:numPr>
        <w:suppressAutoHyphens w:val="false"/>
        <w:spacing w:lineRule="auto" w:line="276" w:before="120" w:after="0"/>
        <w:jc w:val="both"/>
        <w:rPr>
          <w:rFonts w:ascii="Book Antiqua" w:hAnsi="Book Antiqua"/>
          <w:sz w:val="22"/>
          <w:szCs w:val="22"/>
        </w:rPr>
      </w:pPr>
      <w:r>
        <w:rPr>
          <w:rFonts w:ascii="Book Antiqua" w:hAnsi="Book Antiqua"/>
          <w:sz w:val="22"/>
          <w:szCs w:val="22"/>
        </w:rPr>
        <w:t>skupina III/A III. odboru – Bezpečnosť (1947 – 1948)</w:t>
      </w:r>
    </w:p>
    <w:p>
      <w:pPr>
        <w:pStyle w:val="ListParagraph"/>
        <w:widowControl/>
        <w:numPr>
          <w:ilvl w:val="0"/>
          <w:numId w:val="4"/>
        </w:numPr>
        <w:suppressAutoHyphens w:val="false"/>
        <w:spacing w:lineRule="auto" w:line="276" w:before="120" w:after="0"/>
        <w:jc w:val="both"/>
        <w:rPr>
          <w:rFonts w:ascii="Book Antiqua" w:hAnsi="Book Antiqua"/>
          <w:sz w:val="22"/>
          <w:szCs w:val="22"/>
        </w:rPr>
      </w:pPr>
      <w:r>
        <w:rPr>
          <w:rFonts w:ascii="Book Antiqua" w:hAnsi="Book Antiqua"/>
          <w:sz w:val="22"/>
          <w:szCs w:val="22"/>
        </w:rPr>
        <w:t>VII. odbor Povereníctva vnútra (1947 – 1948)</w:t>
      </w:r>
    </w:p>
    <w:p>
      <w:pPr>
        <w:pStyle w:val="ListParagraph"/>
        <w:widowControl/>
        <w:numPr>
          <w:ilvl w:val="0"/>
          <w:numId w:val="4"/>
        </w:numPr>
        <w:suppressAutoHyphens w:val="false"/>
        <w:spacing w:lineRule="auto" w:line="276" w:before="120" w:after="0"/>
        <w:jc w:val="both"/>
        <w:rPr>
          <w:rFonts w:ascii="Book Antiqua" w:hAnsi="Book Antiqua"/>
          <w:sz w:val="22"/>
          <w:szCs w:val="22"/>
        </w:rPr>
      </w:pPr>
      <w:r>
        <w:rPr>
          <w:rFonts w:ascii="Book Antiqua" w:hAnsi="Book Antiqua"/>
          <w:sz w:val="22"/>
          <w:szCs w:val="22"/>
        </w:rPr>
        <w:t>III. odbor Povereníctva vnútra (1948)</w:t>
      </w:r>
    </w:p>
    <w:p>
      <w:pPr>
        <w:pStyle w:val="ListParagraph"/>
        <w:widowControl/>
        <w:numPr>
          <w:ilvl w:val="0"/>
          <w:numId w:val="4"/>
        </w:numPr>
        <w:suppressAutoHyphens w:val="false"/>
        <w:spacing w:lineRule="auto" w:line="276" w:before="120" w:after="0"/>
        <w:jc w:val="both"/>
        <w:rPr>
          <w:rFonts w:ascii="Book Antiqua" w:hAnsi="Book Antiqua"/>
          <w:sz w:val="22"/>
          <w:szCs w:val="22"/>
        </w:rPr>
      </w:pPr>
      <w:r>
        <w:rPr>
          <w:rFonts w:ascii="Book Antiqua" w:hAnsi="Book Antiqua"/>
          <w:sz w:val="22"/>
          <w:szCs w:val="22"/>
        </w:rPr>
        <w:t>ústredňa Štátnej bezpečnosti pri Ministerstve vnútra ČSR (1948 – 1948)</w:t>
      </w:r>
    </w:p>
    <w:p>
      <w:pPr>
        <w:pStyle w:val="ListParagraph"/>
        <w:widowControl/>
        <w:numPr>
          <w:ilvl w:val="0"/>
          <w:numId w:val="4"/>
        </w:numPr>
        <w:suppressAutoHyphens w:val="false"/>
        <w:spacing w:lineRule="auto" w:line="276" w:before="120" w:after="0"/>
        <w:jc w:val="both"/>
        <w:rPr>
          <w:rFonts w:ascii="Book Antiqua" w:hAnsi="Book Antiqua"/>
          <w:sz w:val="22"/>
          <w:szCs w:val="22"/>
        </w:rPr>
      </w:pPr>
      <w:r>
        <w:rPr>
          <w:rFonts w:ascii="Book Antiqua" w:hAnsi="Book Antiqua"/>
          <w:sz w:val="22"/>
          <w:szCs w:val="22"/>
        </w:rPr>
        <w:t>odbor BA skupiny I – Bezpečnosť Ministerstva vnútra ČSR (1948 – 1950)</w:t>
      </w:r>
    </w:p>
    <w:p>
      <w:pPr>
        <w:pStyle w:val="ListParagraph"/>
        <w:widowControl/>
        <w:numPr>
          <w:ilvl w:val="0"/>
          <w:numId w:val="4"/>
        </w:numPr>
        <w:suppressAutoHyphens w:val="false"/>
        <w:spacing w:lineRule="auto" w:line="276" w:before="120" w:after="0"/>
        <w:jc w:val="both"/>
        <w:rPr>
          <w:rFonts w:ascii="Book Antiqua" w:hAnsi="Book Antiqua"/>
          <w:sz w:val="22"/>
          <w:szCs w:val="22"/>
        </w:rPr>
      </w:pPr>
      <w:r>
        <w:rPr>
          <w:rFonts w:ascii="Book Antiqua" w:hAnsi="Book Antiqua"/>
          <w:sz w:val="22"/>
          <w:szCs w:val="22"/>
        </w:rPr>
        <w:t>odbor BA Povereníctva vnútra (1949 – 1950)</w:t>
      </w:r>
    </w:p>
    <w:p>
      <w:pPr>
        <w:pStyle w:val="ListParagraph"/>
        <w:widowControl/>
        <w:numPr>
          <w:ilvl w:val="0"/>
          <w:numId w:val="4"/>
        </w:numPr>
        <w:suppressAutoHyphens w:val="false"/>
        <w:spacing w:lineRule="auto" w:line="276" w:before="120" w:after="0"/>
        <w:jc w:val="both"/>
        <w:rPr>
          <w:rFonts w:ascii="Book Antiqua" w:hAnsi="Book Antiqua"/>
          <w:sz w:val="22"/>
          <w:szCs w:val="22"/>
        </w:rPr>
      </w:pPr>
      <w:r>
        <w:rPr>
          <w:rFonts w:ascii="Book Antiqua" w:hAnsi="Book Antiqua"/>
          <w:sz w:val="22"/>
          <w:szCs w:val="22"/>
        </w:rPr>
        <w:t>veliteľstvo Štátnej bezpečnosti (1950 – 1952)</w:t>
      </w:r>
    </w:p>
    <w:p>
      <w:pPr>
        <w:pStyle w:val="ListParagraph"/>
        <w:widowControl/>
        <w:numPr>
          <w:ilvl w:val="0"/>
          <w:numId w:val="4"/>
        </w:numPr>
        <w:suppressAutoHyphens w:val="false"/>
        <w:spacing w:lineRule="auto" w:line="276" w:before="120" w:after="0"/>
        <w:jc w:val="both"/>
        <w:rPr>
          <w:rFonts w:ascii="Book Antiqua" w:hAnsi="Book Antiqua"/>
          <w:sz w:val="22"/>
          <w:szCs w:val="22"/>
        </w:rPr>
      </w:pPr>
      <w:r>
        <w:rPr>
          <w:rFonts w:ascii="Book Antiqua" w:hAnsi="Book Antiqua"/>
          <w:sz w:val="22"/>
          <w:szCs w:val="22"/>
        </w:rPr>
        <w:t xml:space="preserve">hlavná správa Štátnej bezpečnosti (1952 – 1953) </w:t>
      </w:r>
    </w:p>
    <w:p>
      <w:pPr>
        <w:pStyle w:val="ListParagraph"/>
        <w:widowControl/>
        <w:numPr>
          <w:ilvl w:val="0"/>
          <w:numId w:val="4"/>
        </w:numPr>
        <w:suppressAutoHyphens w:val="false"/>
        <w:spacing w:lineRule="auto" w:line="276" w:before="120" w:after="0"/>
        <w:jc w:val="both"/>
        <w:rPr>
          <w:rFonts w:ascii="Book Antiqua" w:hAnsi="Book Antiqua"/>
          <w:sz w:val="22"/>
          <w:szCs w:val="22"/>
        </w:rPr>
      </w:pPr>
      <w:r>
        <w:rPr>
          <w:rFonts w:ascii="Book Antiqua" w:hAnsi="Book Antiqua"/>
          <w:sz w:val="22"/>
          <w:szCs w:val="22"/>
        </w:rPr>
        <w:t>hlavná správa Štátnej bezpečnosti (1966 – 1969)</w:t>
      </w:r>
    </w:p>
    <w:p>
      <w:pPr>
        <w:pStyle w:val="ListParagraph"/>
        <w:widowControl/>
        <w:numPr>
          <w:ilvl w:val="0"/>
          <w:numId w:val="4"/>
        </w:numPr>
        <w:suppressAutoHyphens w:val="false"/>
        <w:spacing w:lineRule="auto" w:line="276" w:before="120" w:after="0"/>
        <w:jc w:val="both"/>
        <w:rPr>
          <w:rFonts w:ascii="Book Antiqua" w:hAnsi="Book Antiqua"/>
          <w:sz w:val="22"/>
          <w:szCs w:val="22"/>
        </w:rPr>
      </w:pPr>
      <w:r>
        <w:rPr>
          <w:rFonts w:ascii="Book Antiqua" w:hAnsi="Book Antiqua"/>
          <w:sz w:val="22"/>
          <w:szCs w:val="22"/>
        </w:rPr>
        <w:t>federálna správa spravodajskej služby (1969 – 1971)</w:t>
      </w:r>
    </w:p>
    <w:p>
      <w:pPr>
        <w:pStyle w:val="ListParagraph"/>
        <w:widowControl/>
        <w:suppressAutoHyphens w:val="false"/>
        <w:spacing w:lineRule="auto" w:line="276" w:before="120" w:after="0"/>
        <w:ind w:left="720" w:hanging="0"/>
        <w:jc w:val="both"/>
        <w:rPr>
          <w:rFonts w:ascii="Book Antiqua" w:hAnsi="Book Antiqua"/>
          <w:sz w:val="22"/>
          <w:szCs w:val="22"/>
        </w:rPr>
      </w:pPr>
      <w:r>
        <w:rPr>
          <w:rFonts w:ascii="Book Antiqua" w:hAnsi="Book Antiqua"/>
          <w:sz w:val="22"/>
          <w:szCs w:val="22"/>
        </w:rPr>
      </w:r>
    </w:p>
    <w:p>
      <w:pPr>
        <w:pStyle w:val="ListParagraph"/>
        <w:numPr>
          <w:ilvl w:val="0"/>
          <w:numId w:val="5"/>
        </w:numPr>
        <w:spacing w:lineRule="auto" w:line="276" w:before="120" w:after="0"/>
        <w:ind w:left="851" w:hanging="425"/>
        <w:jc w:val="both"/>
        <w:rPr>
          <w:rFonts w:ascii="Book Antiqua" w:hAnsi="Book Antiqua"/>
          <w:caps/>
          <w:sz w:val="22"/>
          <w:szCs w:val="22"/>
        </w:rPr>
      </w:pPr>
      <w:r>
        <w:rPr>
          <w:rFonts w:ascii="Book Antiqua" w:hAnsi="Book Antiqua"/>
          <w:caps/>
          <w:sz w:val="22"/>
          <w:szCs w:val="22"/>
        </w:rPr>
        <w:t>Centrálne útvary Štátnej bezpečnosti pri Ministerstve vnútra, Ministerstve národnej bezpečnosti a Federálnom ministerstve vnútra</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1., 2., 3., 3A., 4., 5., samostatný sektor MNB (1950 – 1951)</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odbor Z Ministerstva národnej obrany (1951 – 1952)</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odbor C Ministerstva národnej obrany (1951 – 1952)</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odbor O Ministerstva národnej obrany (1951 – 1952)</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odbor T Ministerstva národnej obrany (1951 – 1952)</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odbor E Ministerstva národnej obrany (1951 – 1952)</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veliteľstvo vojenskej spravodajskej služby (1951</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správa zahraničnopolitickej rozviedky (1952 – 1953)</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hlavní správa vojenské kontrarozviedky (1952 – 1953)</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správa ochrany prezidenta (1952 – 1952)</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správa ochrany vládnych predstaviteľov (1952 – 1952)</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hlavná správa ochrany (1953 – 1953)</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I. správa Ministerstva vnútra (1953 – 1964)</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rozviedna správa Ministerstva vnútra - I. správa Ministerstva vnútra (1964 – 1966)</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správa rozviedky - I. správa (1966 – 1969)</w:t>
      </w:r>
    </w:p>
    <w:p>
      <w:pPr>
        <w:pStyle w:val="ListParagraph"/>
        <w:numPr>
          <w:ilvl w:val="0"/>
          <w:numId w:val="6"/>
        </w:numPr>
        <w:spacing w:lineRule="auto" w:line="276" w:before="120" w:after="0"/>
        <w:jc w:val="both"/>
        <w:rPr/>
      </w:pPr>
      <w:r>
        <w:fldChar w:fldCharType="begin"/>
      </w:r>
      <w:r>
        <w:rPr>
          <w:rStyle w:val="ListLabel407"/>
          <w:sz w:val="22"/>
          <w:szCs w:val="22"/>
          <w:rFonts w:ascii="Book Antiqua" w:hAnsi="Book Antiqua"/>
        </w:rPr>
        <w:instrText> HYPERLINK "http://www.ustrcr.cz/cs/rmv-or-stb-71-89" \l "i"</w:instrText>
      </w:r>
      <w:r>
        <w:rPr>
          <w:rStyle w:val="ListLabel407"/>
          <w:sz w:val="22"/>
          <w:szCs w:val="22"/>
          <w:rFonts w:ascii="Book Antiqua" w:hAnsi="Book Antiqua"/>
        </w:rPr>
        <w:fldChar w:fldCharType="separate"/>
      </w:r>
      <w:r>
        <w:rPr>
          <w:rStyle w:val="ListLabel407"/>
          <w:rFonts w:ascii="Book Antiqua" w:hAnsi="Book Antiqua"/>
          <w:sz w:val="22"/>
          <w:szCs w:val="22"/>
        </w:rPr>
        <w:t>hlavná správa rozviedky</w:t>
      </w:r>
      <w:r>
        <w:rPr>
          <w:rStyle w:val="ListLabel407"/>
          <w:sz w:val="22"/>
          <w:szCs w:val="22"/>
          <w:rFonts w:ascii="Book Antiqua" w:hAnsi="Book Antiqua"/>
        </w:rPr>
        <w:fldChar w:fldCharType="end"/>
      </w:r>
      <w:r>
        <w:rPr>
          <w:rFonts w:ascii="Book Antiqua" w:hAnsi="Book Antiqua"/>
          <w:sz w:val="22"/>
          <w:szCs w:val="22"/>
        </w:rPr>
        <w:t xml:space="preserve"> - I. správa (1966 – 1988)</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hlavná správa rozviedky Zboru národnej bezpečnosti - I. správa Zboru národnej bezpečnosti (1988 – 1990)</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 xml:space="preserve">II. správa Ministerstva vnútra (1953 – 1963) </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kontrarozviedna správa Ministerstva vnútra - II. správa Ministerstva vnútra (1964 – 1966)</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II. správa Hlavnej správy Štátnej bezpečnosti (1966 – 1966)</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správa kontrarozviedky - II. správa (1967 – 1969)</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hlavná správa kontrarozviedky - II. správa (1969 – 1974)</w:t>
      </w:r>
    </w:p>
    <w:p>
      <w:pPr>
        <w:pStyle w:val="ListParagraph"/>
        <w:numPr>
          <w:ilvl w:val="0"/>
          <w:numId w:val="6"/>
        </w:numPr>
        <w:spacing w:lineRule="auto" w:line="276" w:before="120" w:after="0"/>
        <w:jc w:val="both"/>
        <w:rPr/>
      </w:pPr>
      <w:r>
        <w:fldChar w:fldCharType="begin"/>
      </w:r>
      <w:r>
        <w:rPr>
          <w:rStyle w:val="ListLabel407"/>
          <w:sz w:val="22"/>
          <w:szCs w:val="22"/>
          <w:rFonts w:ascii="Book Antiqua" w:hAnsi="Book Antiqua"/>
        </w:rPr>
        <w:instrText> HYPERLINK "http://www.ustrcr.cz/cs/rmv-or-stb-71-89" \l "ii"</w:instrText>
      </w:r>
      <w:r>
        <w:rPr>
          <w:rStyle w:val="ListLabel407"/>
          <w:sz w:val="22"/>
          <w:szCs w:val="22"/>
          <w:rFonts w:ascii="Book Antiqua" w:hAnsi="Book Antiqua"/>
        </w:rPr>
        <w:fldChar w:fldCharType="separate"/>
      </w:r>
      <w:r>
        <w:rPr>
          <w:rStyle w:val="ListLabel407"/>
          <w:rFonts w:ascii="Book Antiqua" w:hAnsi="Book Antiqua"/>
          <w:sz w:val="22"/>
          <w:szCs w:val="22"/>
        </w:rPr>
        <w:t>správa kontrarozviedky na boj proti vonkajšiemu nepriateľovi</w:t>
      </w:r>
      <w:r>
        <w:rPr>
          <w:rStyle w:val="ListLabel407"/>
          <w:sz w:val="22"/>
          <w:szCs w:val="22"/>
          <w:rFonts w:ascii="Book Antiqua" w:hAnsi="Book Antiqua"/>
        </w:rPr>
        <w:fldChar w:fldCharType="end"/>
      </w:r>
      <w:r>
        <w:rPr>
          <w:rFonts w:ascii="Book Antiqua" w:hAnsi="Book Antiqua"/>
          <w:sz w:val="22"/>
          <w:szCs w:val="22"/>
        </w:rPr>
        <w:t xml:space="preserve"> - II. správa (1974 – 1988)</w:t>
      </w:r>
    </w:p>
    <w:p>
      <w:pPr>
        <w:pStyle w:val="ListParagraph"/>
        <w:numPr>
          <w:ilvl w:val="0"/>
          <w:numId w:val="6"/>
        </w:numPr>
        <w:spacing w:lineRule="auto" w:line="276" w:before="120" w:after="0"/>
        <w:jc w:val="both"/>
        <w:rPr/>
      </w:pPr>
      <w:hyperlink r:id="rId2">
        <w:r>
          <w:rPr>
            <w:rStyle w:val="ListLabel407"/>
            <w:rFonts w:ascii="Book Antiqua" w:hAnsi="Book Antiqua"/>
            <w:sz w:val="22"/>
            <w:szCs w:val="22"/>
          </w:rPr>
          <w:t xml:space="preserve">hlavná správa kontrarozviedky Zboru národnej bezpečnosti </w:t>
        </w:r>
      </w:hyperlink>
      <w:r>
        <w:rPr>
          <w:rFonts w:ascii="Book Antiqua" w:hAnsi="Book Antiqua"/>
          <w:sz w:val="22"/>
          <w:szCs w:val="22"/>
        </w:rPr>
        <w:t>– II. správa Zboru národnej bezpečnosti (1988 – 1990)</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III. správa Ministerstva vnútra (1953 – 1963)</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hlavná správa vojenské kontrarozviedky - III. správa (1964 – 1966)</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III. správa Hlavnej správy Štátnej bezpečnosti (1966 – 1966)</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správa vojenské kontrarozviedky - III. správa (1967 – 1969)</w:t>
      </w:r>
    </w:p>
    <w:p>
      <w:pPr>
        <w:pStyle w:val="ListParagraph"/>
        <w:numPr>
          <w:ilvl w:val="0"/>
          <w:numId w:val="6"/>
        </w:numPr>
        <w:spacing w:lineRule="auto" w:line="276" w:before="120" w:after="0"/>
        <w:jc w:val="both"/>
        <w:rPr/>
      </w:pPr>
      <w:r>
        <w:fldChar w:fldCharType="begin"/>
      </w:r>
      <w:r>
        <w:rPr>
          <w:rStyle w:val="ListLabel407"/>
          <w:sz w:val="22"/>
          <w:szCs w:val="22"/>
          <w:rFonts w:ascii="Book Antiqua" w:hAnsi="Book Antiqua"/>
        </w:rPr>
        <w:instrText> HYPERLINK "http://www.ustrcr.cz/cs/rmv-or-stb-71-89" \l "iii"</w:instrText>
      </w:r>
      <w:r>
        <w:rPr>
          <w:rStyle w:val="ListLabel407"/>
          <w:sz w:val="22"/>
          <w:szCs w:val="22"/>
          <w:rFonts w:ascii="Book Antiqua" w:hAnsi="Book Antiqua"/>
        </w:rPr>
        <w:fldChar w:fldCharType="separate"/>
      </w:r>
      <w:r>
        <w:rPr>
          <w:rStyle w:val="ListLabel407"/>
          <w:rFonts w:ascii="Book Antiqua" w:hAnsi="Book Antiqua"/>
          <w:sz w:val="22"/>
          <w:szCs w:val="22"/>
        </w:rPr>
        <w:t>hlavní správa vojenské kontrarozviedky</w:t>
      </w:r>
      <w:r>
        <w:rPr>
          <w:rStyle w:val="ListLabel407"/>
          <w:sz w:val="22"/>
          <w:szCs w:val="22"/>
          <w:rFonts w:ascii="Book Antiqua" w:hAnsi="Book Antiqua"/>
        </w:rPr>
        <w:fldChar w:fldCharType="end"/>
      </w:r>
      <w:r>
        <w:rPr>
          <w:rFonts w:ascii="Book Antiqua" w:hAnsi="Book Antiqua"/>
          <w:sz w:val="22"/>
          <w:szCs w:val="22"/>
        </w:rPr>
        <w:t xml:space="preserve"> - III. správa (1969 – 1990)</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 xml:space="preserve">IV. správa (1953 – 1963) </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správa sledovania a ochrany zastupiteľských úradov kapitalistických štátov – IV. správa Ministerstva vnútra (1964 – 1966)</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IV. správa Hlavnej správy Štátnej bezpečnosti (1966 – 1966)</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správa sledovania - IV. správa (1967 – 1969)</w:t>
      </w:r>
    </w:p>
    <w:p>
      <w:pPr>
        <w:pStyle w:val="ListParagraph"/>
        <w:widowControl/>
        <w:numPr>
          <w:ilvl w:val="0"/>
          <w:numId w:val="6"/>
        </w:numPr>
        <w:suppressAutoHyphens w:val="false"/>
        <w:spacing w:lineRule="auto" w:line="276" w:before="120" w:after="0"/>
        <w:jc w:val="both"/>
        <w:rPr>
          <w:rFonts w:ascii="Book Antiqua" w:hAnsi="Book Antiqua"/>
          <w:sz w:val="22"/>
          <w:szCs w:val="22"/>
        </w:rPr>
      </w:pPr>
      <w:r>
        <w:rPr>
          <w:rFonts w:ascii="Book Antiqua" w:hAnsi="Book Antiqua"/>
          <w:sz w:val="22"/>
          <w:szCs w:val="22"/>
        </w:rPr>
        <w:t>správa sledovania - IV. správa (1969 – 1988)</w:t>
      </w:r>
    </w:p>
    <w:p>
      <w:pPr>
        <w:pStyle w:val="ListParagraph"/>
        <w:numPr>
          <w:ilvl w:val="0"/>
          <w:numId w:val="6"/>
        </w:numPr>
        <w:spacing w:lineRule="auto" w:line="276" w:before="120" w:after="0"/>
        <w:jc w:val="both"/>
        <w:rPr/>
      </w:pPr>
      <w:hyperlink r:id="rId3">
        <w:r>
          <w:rPr>
            <w:rStyle w:val="ListLabel407"/>
            <w:rFonts w:ascii="Book Antiqua" w:hAnsi="Book Antiqua"/>
            <w:sz w:val="22"/>
            <w:szCs w:val="22"/>
          </w:rPr>
          <w:t>správa sledovania Zboru</w:t>
        </w:r>
      </w:hyperlink>
      <w:r>
        <w:rPr>
          <w:rFonts w:ascii="Book Antiqua" w:hAnsi="Book Antiqua"/>
          <w:sz w:val="22"/>
          <w:szCs w:val="22"/>
        </w:rPr>
        <w:t xml:space="preserve"> národnej bezpečnosti - IV. správa Zboru národnej bezpečnosti (1988 – 1990)</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V. správa (1953 – 1962)</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správa ochrany straníckych a vládnych činiteľov - V. správa Ministerstva vnútra (1964 – 1969)</w:t>
      </w:r>
    </w:p>
    <w:p>
      <w:pPr>
        <w:pStyle w:val="ListParagraph"/>
        <w:numPr>
          <w:ilvl w:val="0"/>
          <w:numId w:val="6"/>
        </w:numPr>
        <w:spacing w:lineRule="auto" w:line="276" w:before="120" w:after="0"/>
        <w:jc w:val="both"/>
        <w:rPr/>
      </w:pPr>
      <w:r>
        <w:fldChar w:fldCharType="begin"/>
      </w:r>
      <w:r>
        <w:rPr>
          <w:rStyle w:val="ListLabel407"/>
          <w:sz w:val="22"/>
          <w:szCs w:val="22"/>
          <w:rFonts w:ascii="Book Antiqua" w:hAnsi="Book Antiqua"/>
        </w:rPr>
        <w:instrText> HYPERLINK "http://www.ustrcr.cz/cs/rmv-or-stb-71-89" \l "v"</w:instrText>
      </w:r>
      <w:r>
        <w:rPr>
          <w:rStyle w:val="ListLabel407"/>
          <w:sz w:val="22"/>
          <w:szCs w:val="22"/>
          <w:rFonts w:ascii="Book Antiqua" w:hAnsi="Book Antiqua"/>
        </w:rPr>
        <w:fldChar w:fldCharType="separate"/>
      </w:r>
      <w:r>
        <w:rPr>
          <w:rStyle w:val="ListLabel407"/>
          <w:rFonts w:ascii="Book Antiqua" w:hAnsi="Book Antiqua"/>
          <w:sz w:val="22"/>
          <w:szCs w:val="22"/>
        </w:rPr>
        <w:t xml:space="preserve">správa ochrany straníckych a vládnych činiteľov </w:t>
      </w:r>
      <w:r>
        <w:rPr>
          <w:rStyle w:val="ListLabel407"/>
          <w:sz w:val="22"/>
          <w:szCs w:val="22"/>
          <w:rFonts w:ascii="Book Antiqua" w:hAnsi="Book Antiqua"/>
        </w:rPr>
        <w:fldChar w:fldCharType="end"/>
      </w:r>
      <w:r>
        <w:rPr>
          <w:rFonts w:ascii="Book Antiqua" w:hAnsi="Book Antiqua"/>
          <w:sz w:val="22"/>
          <w:szCs w:val="22"/>
        </w:rPr>
        <w:t xml:space="preserve"> - V. správa (1969 – 1988)</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správa ochrany straníckych a vládnych činiteľov Zboru národnej bezpečnosti - V. správa Zboru národnej bezpečnosti (1988 – 1990)</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VI. správa Ministerstva vnútra (1953 – 1964)</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správa operatívnej techniky Ministerstva vnútra - VI. správa Ministerstva vnútra (1964 – 1966)</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správa operatívnej techniky - VI. správa (1966 – 1969)</w:t>
      </w:r>
    </w:p>
    <w:p>
      <w:pPr>
        <w:pStyle w:val="ListParagraph"/>
        <w:numPr>
          <w:ilvl w:val="0"/>
          <w:numId w:val="6"/>
        </w:numPr>
        <w:spacing w:lineRule="auto" w:line="276" w:before="120" w:after="0"/>
        <w:jc w:val="both"/>
        <w:rPr/>
      </w:pPr>
      <w:r>
        <w:fldChar w:fldCharType="begin"/>
      </w:r>
      <w:r>
        <w:rPr>
          <w:rStyle w:val="ListLabel407"/>
          <w:sz w:val="22"/>
          <w:szCs w:val="22"/>
          <w:rFonts w:ascii="Book Antiqua" w:hAnsi="Book Antiqua"/>
        </w:rPr>
        <w:instrText> HYPERLINK "http://www.ustrcr.cz/cs/rmv-or-stb-71-89" \l "vi"</w:instrText>
      </w:r>
      <w:r>
        <w:rPr>
          <w:rStyle w:val="ListLabel407"/>
          <w:sz w:val="22"/>
          <w:szCs w:val="22"/>
          <w:rFonts w:ascii="Book Antiqua" w:hAnsi="Book Antiqua"/>
        </w:rPr>
        <w:fldChar w:fldCharType="separate"/>
      </w:r>
      <w:r>
        <w:rPr>
          <w:rStyle w:val="ListLabel407"/>
          <w:rFonts w:ascii="Book Antiqua" w:hAnsi="Book Antiqua"/>
          <w:sz w:val="22"/>
          <w:szCs w:val="22"/>
        </w:rPr>
        <w:t>správa spravodajskej techniky</w:t>
      </w:r>
      <w:r>
        <w:rPr>
          <w:rStyle w:val="ListLabel407"/>
          <w:sz w:val="22"/>
          <w:szCs w:val="22"/>
          <w:rFonts w:ascii="Book Antiqua" w:hAnsi="Book Antiqua"/>
        </w:rPr>
        <w:fldChar w:fldCharType="end"/>
      </w:r>
      <w:r>
        <w:rPr>
          <w:rFonts w:ascii="Book Antiqua" w:hAnsi="Book Antiqua"/>
          <w:sz w:val="22"/>
          <w:szCs w:val="22"/>
        </w:rPr>
        <w:t xml:space="preserve"> - VI. správa (1969 – 1979) </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správa výkonné spravodajskej techniky - VI. správa Zboru národnej bezpečnosti (1979 – 1988)</w:t>
      </w:r>
    </w:p>
    <w:p>
      <w:pPr>
        <w:pStyle w:val="ListParagraph"/>
        <w:numPr>
          <w:ilvl w:val="0"/>
          <w:numId w:val="6"/>
        </w:numPr>
        <w:spacing w:lineRule="auto" w:line="276" w:before="120" w:after="0"/>
        <w:jc w:val="both"/>
        <w:rPr/>
      </w:pPr>
      <w:hyperlink r:id="rId4">
        <w:r>
          <w:rPr>
            <w:rStyle w:val="ListLabel407"/>
            <w:rFonts w:ascii="Book Antiqua" w:hAnsi="Book Antiqua"/>
            <w:sz w:val="22"/>
            <w:szCs w:val="22"/>
          </w:rPr>
          <w:t xml:space="preserve">správa spravodajskej techniky Zboru národnej bezpečnosti </w:t>
        </w:r>
      </w:hyperlink>
      <w:r>
        <w:rPr>
          <w:rFonts w:ascii="Book Antiqua" w:hAnsi="Book Antiqua"/>
          <w:sz w:val="22"/>
          <w:szCs w:val="22"/>
        </w:rPr>
        <w:t>- VI. správa Zboru národnej bezpečnosti (1988 – 1990)</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VII. správa Ministerstva vnútra (1953 – 1964)</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VIII. správa Ministerstva vnútra (1953 – 1964)</w:t>
      </w:r>
    </w:p>
    <w:p>
      <w:pPr>
        <w:pStyle w:val="ListParagraph"/>
        <w:numPr>
          <w:ilvl w:val="0"/>
          <w:numId w:val="6"/>
        </w:numPr>
        <w:spacing w:lineRule="auto" w:line="276" w:before="120" w:after="0"/>
        <w:jc w:val="both"/>
        <w:rPr>
          <w:rFonts w:ascii="Book Antiqua" w:hAnsi="Book Antiqua"/>
          <w:sz w:val="22"/>
          <w:szCs w:val="22"/>
        </w:rPr>
      </w:pPr>
      <w:r>
        <w:rPr>
          <w:rFonts w:ascii="Book Antiqua" w:hAnsi="Book Antiqua"/>
          <w:sz w:val="22"/>
          <w:szCs w:val="22"/>
        </w:rPr>
        <w:t>IX. správa Ministerstva vnútra (1953 – 1964)</w:t>
      </w:r>
    </w:p>
    <w:p>
      <w:pPr>
        <w:pStyle w:val="ListParagraph"/>
        <w:numPr>
          <w:ilvl w:val="0"/>
          <w:numId w:val="6"/>
        </w:numPr>
        <w:spacing w:lineRule="auto" w:line="276" w:before="120" w:after="0"/>
        <w:jc w:val="both"/>
        <w:rPr/>
      </w:pPr>
      <w:r>
        <w:fldChar w:fldCharType="begin"/>
      </w:r>
      <w:r>
        <w:rPr>
          <w:rStyle w:val="ListLabel407"/>
          <w:sz w:val="22"/>
          <w:szCs w:val="22"/>
          <w:rFonts w:ascii="Book Antiqua" w:hAnsi="Book Antiqua"/>
        </w:rPr>
        <w:instrText> HYPERLINK "http://www.ustrcr.cz/cs/rmv-or-stb-71-89" \l "x"</w:instrText>
      </w:r>
      <w:r>
        <w:rPr>
          <w:rStyle w:val="ListLabel407"/>
          <w:sz w:val="22"/>
          <w:szCs w:val="22"/>
          <w:rFonts w:ascii="Book Antiqua" w:hAnsi="Book Antiqua"/>
        </w:rPr>
        <w:fldChar w:fldCharType="separate"/>
      </w:r>
      <w:r>
        <w:rPr>
          <w:rStyle w:val="ListLabel407"/>
          <w:rFonts w:ascii="Book Antiqua" w:hAnsi="Book Antiqua"/>
          <w:sz w:val="22"/>
          <w:szCs w:val="22"/>
        </w:rPr>
        <w:t>správa kontrarozviedky na boj proti vnútornému nepriateľovi</w:t>
      </w:r>
      <w:r>
        <w:rPr>
          <w:rStyle w:val="ListLabel407"/>
          <w:sz w:val="22"/>
          <w:szCs w:val="22"/>
          <w:rFonts w:ascii="Book Antiqua" w:hAnsi="Book Antiqua"/>
        </w:rPr>
        <w:fldChar w:fldCharType="end"/>
      </w:r>
      <w:r>
        <w:rPr>
          <w:rFonts w:ascii="Book Antiqua" w:hAnsi="Book Antiqua"/>
          <w:sz w:val="22"/>
          <w:szCs w:val="22"/>
        </w:rPr>
        <w:t xml:space="preserve"> – X. správa (1974 – 1988)</w:t>
      </w:r>
    </w:p>
    <w:p>
      <w:pPr>
        <w:pStyle w:val="ListParagraph"/>
        <w:numPr>
          <w:ilvl w:val="0"/>
          <w:numId w:val="6"/>
        </w:numPr>
        <w:spacing w:lineRule="auto" w:line="276" w:before="120" w:after="0"/>
        <w:jc w:val="both"/>
        <w:rPr/>
      </w:pPr>
      <w:r>
        <w:fldChar w:fldCharType="begin"/>
      </w:r>
      <w:r>
        <w:rPr>
          <w:rStyle w:val="ListLabel407"/>
          <w:sz w:val="22"/>
          <w:szCs w:val="22"/>
          <w:rFonts w:ascii="Book Antiqua" w:hAnsi="Book Antiqua"/>
        </w:rPr>
        <w:instrText> HYPERLINK "http://www.ustrcr.cz/cs/rmv-or-stb-71-89" \l "xi"</w:instrText>
      </w:r>
      <w:r>
        <w:rPr>
          <w:rStyle w:val="ListLabel407"/>
          <w:sz w:val="22"/>
          <w:szCs w:val="22"/>
          <w:rFonts w:ascii="Book Antiqua" w:hAnsi="Book Antiqua"/>
        </w:rPr>
        <w:fldChar w:fldCharType="separate"/>
      </w:r>
      <w:r>
        <w:rPr>
          <w:rStyle w:val="ListLabel407"/>
          <w:rFonts w:ascii="Book Antiqua" w:hAnsi="Book Antiqua"/>
          <w:sz w:val="22"/>
          <w:szCs w:val="22"/>
        </w:rPr>
        <w:t>správa kontrarozviedky na ochranu ekonomiky</w:t>
      </w:r>
      <w:r>
        <w:rPr>
          <w:rStyle w:val="ListLabel407"/>
          <w:sz w:val="22"/>
          <w:szCs w:val="22"/>
          <w:rFonts w:ascii="Book Antiqua" w:hAnsi="Book Antiqua"/>
        </w:rPr>
        <w:fldChar w:fldCharType="end"/>
      </w:r>
      <w:r>
        <w:rPr>
          <w:rFonts w:ascii="Book Antiqua" w:hAnsi="Book Antiqua"/>
          <w:sz w:val="22"/>
          <w:szCs w:val="22"/>
        </w:rPr>
        <w:t xml:space="preserve"> - XI. správa (1974 – 1988)</w:t>
      </w:r>
    </w:p>
    <w:p>
      <w:pPr>
        <w:pStyle w:val="ListParagraph"/>
        <w:numPr>
          <w:ilvl w:val="0"/>
          <w:numId w:val="6"/>
        </w:numPr>
        <w:spacing w:lineRule="auto" w:line="276" w:before="120" w:after="0"/>
        <w:jc w:val="both"/>
        <w:rPr/>
      </w:pPr>
      <w:r>
        <w:fldChar w:fldCharType="begin"/>
      </w:r>
      <w:r>
        <w:rPr>
          <w:rStyle w:val="ListLabel407"/>
          <w:sz w:val="22"/>
          <w:szCs w:val="22"/>
          <w:rFonts w:ascii="Book Antiqua" w:hAnsi="Book Antiqua"/>
        </w:rPr>
        <w:instrText> HYPERLINK "http://www.ustrcr.cz/cs/rmv-or-stb-71-89" \l "xii"</w:instrText>
      </w:r>
      <w:r>
        <w:rPr>
          <w:rStyle w:val="ListLabel407"/>
          <w:sz w:val="22"/>
          <w:szCs w:val="22"/>
          <w:rFonts w:ascii="Book Antiqua" w:hAnsi="Book Antiqua"/>
        </w:rPr>
        <w:fldChar w:fldCharType="separate"/>
      </w:r>
      <w:r>
        <w:rPr>
          <w:rStyle w:val="ListLabel407"/>
          <w:rFonts w:ascii="Book Antiqua" w:hAnsi="Book Antiqua"/>
          <w:sz w:val="22"/>
          <w:szCs w:val="22"/>
        </w:rPr>
        <w:t>správa kontrarozviedky v Bratislave</w:t>
      </w:r>
      <w:r>
        <w:rPr>
          <w:rStyle w:val="ListLabel407"/>
          <w:sz w:val="22"/>
          <w:szCs w:val="22"/>
          <w:rFonts w:ascii="Book Antiqua" w:hAnsi="Book Antiqua"/>
        </w:rPr>
        <w:fldChar w:fldCharType="end"/>
      </w:r>
      <w:r>
        <w:rPr>
          <w:rFonts w:ascii="Book Antiqua" w:hAnsi="Book Antiqua"/>
          <w:sz w:val="22"/>
          <w:szCs w:val="22"/>
        </w:rPr>
        <w:t xml:space="preserve"> – XII. správa (1974 – 1988)</w:t>
      </w:r>
    </w:p>
    <w:p>
      <w:pPr>
        <w:pStyle w:val="ListParagraph"/>
        <w:widowControl/>
        <w:numPr>
          <w:ilvl w:val="0"/>
          <w:numId w:val="6"/>
        </w:numPr>
        <w:suppressAutoHyphens w:val="false"/>
        <w:spacing w:lineRule="auto" w:line="276" w:before="120" w:after="0"/>
        <w:jc w:val="both"/>
        <w:rPr/>
      </w:pPr>
      <w:hyperlink r:id="rId5">
        <w:r>
          <w:rPr>
            <w:rStyle w:val="ListLabel407"/>
            <w:rFonts w:ascii="Book Antiqua" w:hAnsi="Book Antiqua"/>
            <w:sz w:val="22"/>
            <w:szCs w:val="22"/>
          </w:rPr>
          <w:t>správa kontrarozviedky Zboru národnej bezpečnosti v Bratislav</w:t>
        </w:r>
      </w:hyperlink>
      <w:r>
        <w:fldChar w:fldCharType="begin"/>
      </w:r>
      <w:r>
        <w:rPr>
          <w:sz w:val="22"/>
          <w:szCs w:val="22"/>
          <w:rFonts w:ascii="Book Antiqua" w:hAnsi="Book Antiqua"/>
        </w:rPr>
        <w:instrText> HYPERLINK "http://www.ustrcr.cz/cs/rmv-or-stb-71-89" \l "xiii"</w:instrText>
      </w:r>
      <w:r>
        <w:rPr>
          <w:sz w:val="22"/>
          <w:szCs w:val="22"/>
          <w:rFonts w:ascii="Book Antiqua" w:hAnsi="Book Antiqua"/>
        </w:rPr>
        <w:fldChar w:fldCharType="separate"/>
      </w:r>
      <w:r>
        <w:rPr>
          <w:rFonts w:ascii="Book Antiqua" w:hAnsi="Book Antiqua"/>
          <w:sz w:val="22"/>
          <w:szCs w:val="22"/>
        </w:rPr>
        <w:t>e – XII. správa  Zboru národnej bezpečnosti (1988 – 1990)</w:t>
      </w:r>
      <w:r>
        <w:rPr>
          <w:sz w:val="22"/>
          <w:szCs w:val="22"/>
          <w:rFonts w:ascii="Book Antiqua" w:hAnsi="Book Antiqua"/>
        </w:rPr>
        <w:fldChar w:fldCharType="end"/>
      </w:r>
    </w:p>
    <w:p>
      <w:pPr>
        <w:pStyle w:val="ListParagraph"/>
        <w:widowControl/>
        <w:numPr>
          <w:ilvl w:val="0"/>
          <w:numId w:val="6"/>
        </w:numPr>
        <w:suppressAutoHyphens w:val="false"/>
        <w:spacing w:lineRule="auto" w:line="276" w:before="120" w:after="0"/>
        <w:jc w:val="both"/>
        <w:rPr>
          <w:rFonts w:ascii="Book Antiqua" w:hAnsi="Book Antiqua"/>
          <w:sz w:val="22"/>
          <w:szCs w:val="22"/>
        </w:rPr>
      </w:pPr>
      <w:r>
        <w:fldChar w:fldCharType="begin"/>
      </w:r>
      <w:r>
        <w:rPr>
          <w:rStyle w:val="ListLabel407"/>
          <w:sz w:val="22"/>
          <w:szCs w:val="22"/>
          <w:rFonts w:ascii="Book Antiqua" w:hAnsi="Book Antiqua"/>
        </w:rPr>
        <w:instrText> HYPERLINK "http://www.ustrcr.cz/cs/rmv-or-stb-71-89" \l "xiii"</w:instrText>
      </w:r>
      <w:r>
        <w:rPr>
          <w:rStyle w:val="ListLabel407"/>
          <w:sz w:val="22"/>
          <w:szCs w:val="22"/>
          <w:rFonts w:ascii="Book Antiqua" w:hAnsi="Book Antiqua"/>
        </w:rPr>
        <w:fldChar w:fldCharType="separate"/>
      </w:r>
      <w:r>
        <w:rPr>
          <w:rStyle w:val="ListLabel407"/>
          <w:rFonts w:ascii="Book Antiqua" w:hAnsi="Book Antiqua"/>
          <w:sz w:val="22"/>
          <w:szCs w:val="22"/>
        </w:rPr>
        <w:t>odborové výpočtové a informačné stredisko Štátnej bezpečnosti</w:t>
      </w:r>
      <w:r>
        <w:rPr>
          <w:rStyle w:val="ListLabel407"/>
          <w:sz w:val="22"/>
          <w:szCs w:val="22"/>
          <w:rFonts w:ascii="Book Antiqua" w:hAnsi="Book Antiqua"/>
        </w:rPr>
        <w:fldChar w:fldCharType="end"/>
      </w:r>
      <w:r>
        <w:rPr>
          <w:rFonts w:ascii="Book Antiqua" w:hAnsi="Book Antiqua"/>
          <w:sz w:val="22"/>
          <w:szCs w:val="22"/>
        </w:rPr>
        <w:t xml:space="preserve">  - XIII. správa Zboru národnej bezpečnosti (1980 – 1982)</w:t>
      </w:r>
    </w:p>
    <w:p>
      <w:pPr>
        <w:pStyle w:val="ListParagraph"/>
        <w:widowControl/>
        <w:numPr>
          <w:ilvl w:val="0"/>
          <w:numId w:val="6"/>
        </w:numPr>
        <w:suppressAutoHyphens w:val="false"/>
        <w:spacing w:lineRule="auto" w:line="276" w:before="120" w:after="0"/>
        <w:jc w:val="both"/>
        <w:rPr/>
      </w:pPr>
      <w:hyperlink r:id="rId6">
        <w:r>
          <w:rPr>
            <w:rStyle w:val="ListLabel407"/>
            <w:rFonts w:ascii="Book Antiqua" w:hAnsi="Book Antiqua"/>
            <w:sz w:val="22"/>
            <w:szCs w:val="22"/>
          </w:rPr>
          <w:t>zvláštna správa Zboru</w:t>
        </w:r>
      </w:hyperlink>
      <w:r>
        <w:rPr>
          <w:rFonts w:ascii="Book Antiqua" w:hAnsi="Book Antiqua"/>
          <w:sz w:val="22"/>
          <w:szCs w:val="22"/>
        </w:rPr>
        <w:t xml:space="preserve"> národnej bezpečnosti – XIII. správa (1988 – 1990)</w:t>
      </w:r>
    </w:p>
    <w:p>
      <w:pPr>
        <w:pStyle w:val="ListParagraph"/>
        <w:widowControl/>
        <w:numPr>
          <w:ilvl w:val="0"/>
          <w:numId w:val="6"/>
        </w:numPr>
        <w:suppressAutoHyphens w:val="false"/>
        <w:spacing w:lineRule="auto" w:line="276" w:before="120" w:after="0"/>
        <w:jc w:val="both"/>
        <w:rPr/>
      </w:pPr>
      <w:r>
        <w:fldChar w:fldCharType="begin"/>
      </w:r>
      <w:r>
        <w:rPr>
          <w:rStyle w:val="ListLabel407"/>
          <w:sz w:val="22"/>
          <w:szCs w:val="22"/>
          <w:rFonts w:ascii="Book Antiqua" w:hAnsi="Book Antiqua"/>
        </w:rPr>
        <w:instrText> HYPERLINK "http://www.ustrcr.cz/cs/rmv-or-stb-71-89" \l "xiv"</w:instrText>
      </w:r>
      <w:r>
        <w:rPr>
          <w:rStyle w:val="ListLabel407"/>
          <w:sz w:val="22"/>
          <w:szCs w:val="22"/>
          <w:rFonts w:ascii="Book Antiqua" w:hAnsi="Book Antiqua"/>
        </w:rPr>
        <w:fldChar w:fldCharType="separate"/>
      </w:r>
      <w:r>
        <w:rPr>
          <w:rStyle w:val="ListLabel407"/>
          <w:rFonts w:ascii="Book Antiqua" w:hAnsi="Book Antiqua"/>
          <w:sz w:val="22"/>
          <w:szCs w:val="22"/>
        </w:rPr>
        <w:t>správa kontrarozviedky na boj proti mimoriadnym a zvláštnym formám trestnej činnosti</w:t>
      </w:r>
      <w:r>
        <w:rPr>
          <w:rStyle w:val="ListLabel407"/>
          <w:sz w:val="22"/>
          <w:szCs w:val="22"/>
          <w:rFonts w:ascii="Book Antiqua" w:hAnsi="Book Antiqua"/>
        </w:rPr>
        <w:fldChar w:fldCharType="end"/>
      </w:r>
      <w:r>
        <w:rPr>
          <w:rFonts w:ascii="Book Antiqua" w:hAnsi="Book Antiqua"/>
          <w:sz w:val="22"/>
          <w:szCs w:val="22"/>
        </w:rPr>
        <w:t xml:space="preserve"> – XIV. správa (1981 – 1985)</w:t>
      </w:r>
    </w:p>
    <w:p>
      <w:pPr>
        <w:pStyle w:val="ListParagraph"/>
        <w:widowControl/>
        <w:numPr>
          <w:ilvl w:val="0"/>
          <w:numId w:val="6"/>
        </w:numPr>
        <w:suppressAutoHyphens w:val="false"/>
        <w:spacing w:lineRule="auto" w:line="276" w:before="120" w:after="0"/>
        <w:jc w:val="both"/>
        <w:rPr>
          <w:rFonts w:ascii="Book Antiqua" w:hAnsi="Book Antiqua"/>
          <w:sz w:val="22"/>
          <w:szCs w:val="22"/>
        </w:rPr>
      </w:pPr>
      <w:r>
        <w:rPr>
          <w:rFonts w:ascii="Book Antiqua" w:hAnsi="Book Antiqua"/>
          <w:sz w:val="22"/>
          <w:szCs w:val="22"/>
        </w:rPr>
        <w:t>správa štátno-bezpečnostného vyšetrovania (1953 – 1953)</w:t>
      </w:r>
    </w:p>
    <w:p>
      <w:pPr>
        <w:pStyle w:val="ListParagraph"/>
        <w:widowControl/>
        <w:numPr>
          <w:ilvl w:val="0"/>
          <w:numId w:val="6"/>
        </w:numPr>
        <w:suppressAutoHyphens w:val="false"/>
        <w:spacing w:lineRule="auto" w:line="276" w:before="120" w:after="0"/>
        <w:jc w:val="both"/>
        <w:rPr>
          <w:rFonts w:ascii="Book Antiqua" w:hAnsi="Book Antiqua"/>
          <w:sz w:val="22"/>
          <w:szCs w:val="22"/>
        </w:rPr>
      </w:pPr>
      <w:r>
        <w:rPr>
          <w:rFonts w:ascii="Book Antiqua" w:hAnsi="Book Antiqua"/>
          <w:sz w:val="22"/>
          <w:szCs w:val="22"/>
        </w:rPr>
        <w:t>správa vyšetrovania Ministerstva vnútra (1953 – 1964)</w:t>
      </w:r>
    </w:p>
    <w:p>
      <w:pPr>
        <w:pStyle w:val="ListParagraph"/>
        <w:widowControl/>
        <w:numPr>
          <w:ilvl w:val="0"/>
          <w:numId w:val="6"/>
        </w:numPr>
        <w:suppressAutoHyphens w:val="false"/>
        <w:spacing w:lineRule="auto" w:line="276" w:before="120" w:after="0"/>
        <w:jc w:val="both"/>
        <w:rPr>
          <w:rFonts w:ascii="Book Antiqua" w:hAnsi="Book Antiqua"/>
          <w:sz w:val="22"/>
          <w:szCs w:val="22"/>
        </w:rPr>
      </w:pPr>
      <w:r>
        <w:rPr>
          <w:rFonts w:ascii="Book Antiqua" w:hAnsi="Book Antiqua"/>
          <w:sz w:val="22"/>
          <w:szCs w:val="22"/>
        </w:rPr>
        <w:t>správa vyšetrovania Štátnej bezpečnosti (1964 – 1969)</w:t>
      </w:r>
    </w:p>
    <w:p>
      <w:pPr>
        <w:pStyle w:val="ListParagraph"/>
        <w:widowControl/>
        <w:numPr>
          <w:ilvl w:val="0"/>
          <w:numId w:val="6"/>
        </w:numPr>
        <w:suppressAutoHyphens w:val="false"/>
        <w:spacing w:lineRule="auto" w:line="276" w:before="120" w:after="0"/>
        <w:jc w:val="both"/>
        <w:rPr/>
      </w:pPr>
      <w:hyperlink r:id="rId7">
        <w:r>
          <w:rPr>
            <w:rStyle w:val="ListLabel407"/>
            <w:rFonts w:ascii="Book Antiqua" w:hAnsi="Book Antiqua"/>
            <w:sz w:val="22"/>
            <w:szCs w:val="22"/>
          </w:rPr>
          <w:t>hlavní správa vyšetrovania Štátnej bezpečnosti Československej</w:t>
        </w:r>
      </w:hyperlink>
      <w:r>
        <w:rPr>
          <w:rFonts w:ascii="Book Antiqua" w:hAnsi="Book Antiqua"/>
          <w:sz w:val="22"/>
          <w:szCs w:val="22"/>
        </w:rPr>
        <w:t xml:space="preserve"> socialistickej republiky (1971 – 1974)</w:t>
      </w:r>
    </w:p>
    <w:p>
      <w:pPr>
        <w:pStyle w:val="ListParagraph"/>
        <w:widowControl/>
        <w:numPr>
          <w:ilvl w:val="0"/>
          <w:numId w:val="6"/>
        </w:numPr>
        <w:suppressAutoHyphens w:val="false"/>
        <w:spacing w:lineRule="auto" w:line="276" w:before="120" w:after="0"/>
        <w:jc w:val="both"/>
        <w:rPr>
          <w:rFonts w:ascii="Book Antiqua" w:hAnsi="Book Antiqua"/>
          <w:sz w:val="22"/>
          <w:szCs w:val="22"/>
        </w:rPr>
      </w:pPr>
      <w:r>
        <w:rPr>
          <w:rFonts w:ascii="Book Antiqua" w:hAnsi="Book Antiqua"/>
          <w:sz w:val="22"/>
          <w:szCs w:val="22"/>
        </w:rPr>
        <w:t>správa vyšetrovania Štátnej bezpečnosti pre Českú socialistickú republiku (1971 – 1973)</w:t>
      </w:r>
    </w:p>
    <w:p>
      <w:pPr>
        <w:pStyle w:val="ListParagraph"/>
        <w:widowControl/>
        <w:numPr>
          <w:ilvl w:val="0"/>
          <w:numId w:val="6"/>
        </w:numPr>
        <w:suppressAutoHyphens w:val="false"/>
        <w:spacing w:lineRule="auto" w:line="276" w:before="120" w:after="0"/>
        <w:jc w:val="both"/>
        <w:rPr>
          <w:rFonts w:ascii="Book Antiqua" w:hAnsi="Book Antiqua"/>
          <w:sz w:val="22"/>
          <w:szCs w:val="22"/>
        </w:rPr>
      </w:pPr>
      <w:r>
        <w:rPr>
          <w:rFonts w:ascii="Book Antiqua" w:hAnsi="Book Antiqua"/>
          <w:sz w:val="22"/>
          <w:szCs w:val="22"/>
        </w:rPr>
        <w:t>správa vyšetrovania Štátnej bezpečnosti pre Slovenskú socialistickú republiku (1971 – 1973)</w:t>
      </w:r>
    </w:p>
    <w:p>
      <w:pPr>
        <w:pStyle w:val="ListParagraph"/>
        <w:widowControl/>
        <w:numPr>
          <w:ilvl w:val="0"/>
          <w:numId w:val="6"/>
        </w:numPr>
        <w:suppressAutoHyphens w:val="false"/>
        <w:spacing w:lineRule="auto" w:line="276" w:before="120" w:after="0"/>
        <w:jc w:val="both"/>
        <w:rPr/>
      </w:pPr>
      <w:r>
        <w:fldChar w:fldCharType="begin"/>
      </w:r>
      <w:r>
        <w:rPr>
          <w:rStyle w:val="ListLabel407"/>
          <w:sz w:val="22"/>
          <w:szCs w:val="22"/>
          <w:rFonts w:ascii="Book Antiqua" w:hAnsi="Book Antiqua"/>
        </w:rPr>
        <w:instrText> HYPERLINK "http://www.ustrcr.cz/cs/rmv-or-stb-71-89" \l "svs"</w:instrText>
      </w:r>
      <w:r>
        <w:rPr>
          <w:rStyle w:val="ListLabel407"/>
          <w:sz w:val="22"/>
          <w:szCs w:val="22"/>
          <w:rFonts w:ascii="Book Antiqua" w:hAnsi="Book Antiqua"/>
        </w:rPr>
        <w:fldChar w:fldCharType="separate"/>
      </w:r>
      <w:r>
        <w:rPr>
          <w:rStyle w:val="ListLabel407"/>
          <w:rFonts w:ascii="Book Antiqua" w:hAnsi="Book Antiqua"/>
          <w:sz w:val="22"/>
          <w:szCs w:val="22"/>
        </w:rPr>
        <w:t>správa vyšetrovania Štátnej bezpečnosti</w:t>
      </w:r>
      <w:r>
        <w:rPr>
          <w:rStyle w:val="ListLabel407"/>
          <w:sz w:val="22"/>
          <w:szCs w:val="22"/>
          <w:rFonts w:ascii="Book Antiqua" w:hAnsi="Book Antiqua"/>
        </w:rPr>
        <w:fldChar w:fldCharType="end"/>
      </w:r>
      <w:r>
        <w:rPr>
          <w:rFonts w:ascii="Book Antiqua" w:hAnsi="Book Antiqua"/>
          <w:sz w:val="22"/>
          <w:szCs w:val="22"/>
        </w:rPr>
        <w:t xml:space="preserve"> (1974 – 1990)</w:t>
      </w:r>
    </w:p>
    <w:p>
      <w:pPr>
        <w:pStyle w:val="ListParagraph"/>
        <w:widowControl/>
        <w:numPr>
          <w:ilvl w:val="0"/>
          <w:numId w:val="6"/>
        </w:numPr>
        <w:suppressAutoHyphens w:val="false"/>
        <w:spacing w:lineRule="auto" w:line="276" w:before="120" w:after="0"/>
        <w:jc w:val="both"/>
        <w:rPr>
          <w:rFonts w:ascii="Book Antiqua" w:hAnsi="Book Antiqua"/>
          <w:sz w:val="22"/>
          <w:szCs w:val="22"/>
        </w:rPr>
      </w:pPr>
      <w:r>
        <w:rPr>
          <w:rFonts w:ascii="Book Antiqua" w:hAnsi="Book Antiqua"/>
          <w:sz w:val="22"/>
          <w:szCs w:val="22"/>
        </w:rPr>
        <w:t>odbor vyšetrovania Štátnej bezpečnosti (1990 – 1990)</w:t>
      </w:r>
    </w:p>
    <w:p>
      <w:pPr>
        <w:pStyle w:val="ListParagraph"/>
        <w:widowControl/>
        <w:numPr>
          <w:ilvl w:val="0"/>
          <w:numId w:val="6"/>
        </w:numPr>
        <w:suppressAutoHyphens w:val="false"/>
        <w:spacing w:lineRule="auto" w:line="276" w:before="120" w:after="0"/>
        <w:jc w:val="both"/>
        <w:rPr/>
      </w:pPr>
      <w:hyperlink r:id="rId8">
        <w:r>
          <w:rPr>
            <w:rStyle w:val="ListLabel407"/>
            <w:rFonts w:ascii="Book Antiqua" w:hAnsi="Book Antiqua"/>
            <w:sz w:val="22"/>
            <w:szCs w:val="22"/>
          </w:rPr>
          <w:t>odbor vyšetrovania Štátnej bezpečnosti vo vojenskej</w:t>
        </w:r>
      </w:hyperlink>
      <w:r>
        <w:rPr>
          <w:rFonts w:ascii="Book Antiqua" w:hAnsi="Book Antiqua"/>
          <w:sz w:val="22"/>
          <w:szCs w:val="22"/>
        </w:rPr>
        <w:t xml:space="preserve"> kontrarozviedke (1971 – 1979)</w:t>
      </w:r>
    </w:p>
    <w:p>
      <w:pPr>
        <w:pStyle w:val="ListParagraph"/>
        <w:widowControl/>
        <w:numPr>
          <w:ilvl w:val="0"/>
          <w:numId w:val="6"/>
        </w:numPr>
        <w:suppressAutoHyphens w:val="false"/>
        <w:spacing w:lineRule="auto" w:line="276" w:before="120" w:after="0"/>
        <w:jc w:val="both"/>
        <w:rPr/>
      </w:pPr>
      <w:hyperlink r:id="rId9">
        <w:r>
          <w:rPr>
            <w:rStyle w:val="ListLabel407"/>
            <w:rFonts w:ascii="Book Antiqua" w:hAnsi="Book Antiqua"/>
            <w:sz w:val="22"/>
            <w:szCs w:val="22"/>
          </w:rPr>
          <w:t>správa pasov a víz</w:t>
        </w:r>
      </w:hyperlink>
      <w:r>
        <w:rPr>
          <w:rFonts w:ascii="Book Antiqua" w:hAnsi="Book Antiqua"/>
          <w:sz w:val="22"/>
          <w:szCs w:val="22"/>
        </w:rPr>
        <w:t xml:space="preserve"> (1979 – 1988)</w:t>
      </w:r>
    </w:p>
    <w:p>
      <w:pPr>
        <w:pStyle w:val="ListParagraph"/>
        <w:widowControl/>
        <w:numPr>
          <w:ilvl w:val="0"/>
          <w:numId w:val="6"/>
        </w:numPr>
        <w:suppressAutoHyphens w:val="false"/>
        <w:spacing w:lineRule="auto" w:line="276" w:before="120" w:after="0"/>
        <w:jc w:val="both"/>
        <w:rPr/>
      </w:pPr>
      <w:hyperlink r:id="rId10">
        <w:r>
          <w:rPr>
            <w:rStyle w:val="ListLabel407"/>
            <w:rFonts w:ascii="Book Antiqua" w:hAnsi="Book Antiqua"/>
            <w:sz w:val="22"/>
            <w:szCs w:val="22"/>
          </w:rPr>
          <w:t>správa pasov a víz SNB</w:t>
        </w:r>
      </w:hyperlink>
      <w:r>
        <w:rPr>
          <w:rFonts w:ascii="Book Antiqua" w:hAnsi="Book Antiqua"/>
          <w:sz w:val="22"/>
          <w:szCs w:val="22"/>
        </w:rPr>
        <w:t xml:space="preserve"> (1988 – 1990)</w:t>
      </w:r>
    </w:p>
    <w:p>
      <w:pPr>
        <w:pStyle w:val="ListParagraph"/>
        <w:widowControl/>
        <w:numPr>
          <w:ilvl w:val="0"/>
          <w:numId w:val="6"/>
        </w:numPr>
        <w:suppressAutoHyphens w:val="false"/>
        <w:spacing w:lineRule="auto" w:line="276" w:before="120" w:after="0"/>
        <w:jc w:val="both"/>
        <w:rPr/>
      </w:pPr>
      <w:hyperlink r:id="rId11">
        <w:r>
          <w:rPr>
            <w:rStyle w:val="ListLabel407"/>
            <w:rFonts w:ascii="Book Antiqua" w:hAnsi="Book Antiqua"/>
            <w:sz w:val="22"/>
            <w:szCs w:val="22"/>
          </w:rPr>
          <w:t>správa vývoja automatizácie</w:t>
        </w:r>
      </w:hyperlink>
      <w:r>
        <w:rPr>
          <w:rFonts w:ascii="Book Antiqua" w:hAnsi="Book Antiqua"/>
          <w:sz w:val="22"/>
          <w:szCs w:val="22"/>
        </w:rPr>
        <w:t xml:space="preserve"> (1989 – 1991)</w:t>
      </w:r>
    </w:p>
    <w:p>
      <w:pPr>
        <w:pStyle w:val="ListParagraph"/>
        <w:widowControl/>
        <w:numPr>
          <w:ilvl w:val="0"/>
          <w:numId w:val="6"/>
        </w:numPr>
        <w:suppressAutoHyphens w:val="false"/>
        <w:spacing w:lineRule="auto" w:line="276" w:before="120" w:after="0"/>
        <w:jc w:val="both"/>
        <w:rPr>
          <w:rFonts w:ascii="Book Antiqua" w:hAnsi="Book Antiqua"/>
          <w:sz w:val="22"/>
          <w:szCs w:val="22"/>
        </w:rPr>
      </w:pPr>
      <w:r>
        <w:rPr>
          <w:rFonts w:ascii="Book Antiqua" w:hAnsi="Book Antiqua"/>
          <w:sz w:val="22"/>
          <w:szCs w:val="22"/>
        </w:rPr>
        <w:t>odbor operatívnej evidencie (1952 – 1953)</w:t>
      </w:r>
    </w:p>
    <w:p>
      <w:pPr>
        <w:pStyle w:val="ListParagraph"/>
        <w:widowControl/>
        <w:numPr>
          <w:ilvl w:val="0"/>
          <w:numId w:val="6"/>
        </w:numPr>
        <w:suppressAutoHyphens w:val="false"/>
        <w:spacing w:lineRule="auto" w:line="276" w:before="120" w:after="0"/>
        <w:jc w:val="both"/>
        <w:rPr>
          <w:rFonts w:ascii="Book Antiqua" w:hAnsi="Book Antiqua"/>
          <w:sz w:val="22"/>
          <w:szCs w:val="22"/>
        </w:rPr>
      </w:pPr>
      <w:r>
        <w:rPr>
          <w:rFonts w:ascii="Book Antiqua" w:hAnsi="Book Antiqua"/>
          <w:sz w:val="22"/>
          <w:szCs w:val="22"/>
        </w:rPr>
        <w:t>I. zvláštny odbor Ministerstva vnútra (1953 – 1964)</w:t>
      </w:r>
    </w:p>
    <w:p>
      <w:pPr>
        <w:pStyle w:val="ListParagraph"/>
        <w:widowControl/>
        <w:numPr>
          <w:ilvl w:val="0"/>
          <w:numId w:val="6"/>
        </w:numPr>
        <w:suppressAutoHyphens w:val="false"/>
        <w:spacing w:lineRule="auto" w:line="276" w:before="120" w:after="0"/>
        <w:jc w:val="both"/>
        <w:rPr>
          <w:rFonts w:ascii="Book Antiqua" w:hAnsi="Book Antiqua"/>
          <w:sz w:val="22"/>
          <w:szCs w:val="22"/>
        </w:rPr>
      </w:pPr>
      <w:r>
        <w:rPr>
          <w:rFonts w:ascii="Book Antiqua" w:hAnsi="Book Antiqua"/>
          <w:sz w:val="22"/>
          <w:szCs w:val="22"/>
        </w:rPr>
        <w:t>odbor operatívnej evidencie - 1. zvláštny odbor (1964 – 1966)</w:t>
      </w:r>
    </w:p>
    <w:p>
      <w:pPr>
        <w:pStyle w:val="ListParagraph"/>
        <w:widowControl/>
        <w:numPr>
          <w:ilvl w:val="0"/>
          <w:numId w:val="6"/>
        </w:numPr>
        <w:suppressAutoHyphens w:val="false"/>
        <w:spacing w:lineRule="auto" w:line="276" w:before="120" w:after="0"/>
        <w:jc w:val="both"/>
        <w:rPr>
          <w:rFonts w:ascii="Book Antiqua" w:hAnsi="Book Antiqua"/>
          <w:sz w:val="22"/>
          <w:szCs w:val="22"/>
        </w:rPr>
      </w:pPr>
      <w:r>
        <w:rPr>
          <w:rFonts w:ascii="Book Antiqua" w:hAnsi="Book Antiqua"/>
          <w:sz w:val="22"/>
          <w:szCs w:val="22"/>
        </w:rPr>
        <w:t>štatisticko-evidenčný odbor (1966 – 1969)</w:t>
      </w:r>
    </w:p>
    <w:p>
      <w:pPr>
        <w:pStyle w:val="ListParagraph"/>
        <w:widowControl/>
        <w:numPr>
          <w:ilvl w:val="0"/>
          <w:numId w:val="6"/>
        </w:numPr>
        <w:suppressAutoHyphens w:val="false"/>
        <w:spacing w:lineRule="auto" w:line="276" w:before="120" w:after="0"/>
        <w:jc w:val="both"/>
        <w:rPr/>
      </w:pPr>
      <w:r>
        <w:fldChar w:fldCharType="begin"/>
      </w:r>
      <w:r>
        <w:rPr>
          <w:rStyle w:val="ListLabel407"/>
          <w:sz w:val="22"/>
          <w:szCs w:val="22"/>
          <w:rFonts w:ascii="Book Antiqua" w:hAnsi="Book Antiqua"/>
        </w:rPr>
        <w:instrText> HYPERLINK "http://www.ustrcr.cz/cs/rmv-or-stb-71-89" \l "seo"</w:instrText>
      </w:r>
      <w:r>
        <w:rPr>
          <w:rStyle w:val="ListLabel407"/>
          <w:sz w:val="22"/>
          <w:szCs w:val="22"/>
          <w:rFonts w:ascii="Book Antiqua" w:hAnsi="Book Antiqua"/>
        </w:rPr>
        <w:fldChar w:fldCharType="separate"/>
      </w:r>
      <w:r>
        <w:rPr>
          <w:rStyle w:val="ListLabel407"/>
          <w:rFonts w:ascii="Book Antiqua" w:hAnsi="Book Antiqua"/>
          <w:sz w:val="22"/>
          <w:szCs w:val="22"/>
        </w:rPr>
        <w:t>štatisticko-evidenčný odbor</w:t>
      </w:r>
      <w:r>
        <w:rPr>
          <w:rStyle w:val="ListLabel407"/>
          <w:sz w:val="22"/>
          <w:szCs w:val="22"/>
          <w:rFonts w:ascii="Book Antiqua" w:hAnsi="Book Antiqua"/>
        </w:rPr>
        <w:fldChar w:fldCharType="end"/>
      </w:r>
      <w:r>
        <w:rPr>
          <w:rFonts w:ascii="Book Antiqua" w:hAnsi="Book Antiqua"/>
          <w:sz w:val="22"/>
          <w:szCs w:val="22"/>
        </w:rPr>
        <w:t xml:space="preserve"> (1971 – 1979)</w:t>
      </w:r>
    </w:p>
    <w:p>
      <w:pPr>
        <w:pStyle w:val="ListParagraph"/>
        <w:widowControl/>
        <w:numPr>
          <w:ilvl w:val="0"/>
          <w:numId w:val="6"/>
        </w:numPr>
        <w:suppressAutoHyphens w:val="false"/>
        <w:spacing w:lineRule="auto" w:line="276" w:before="120" w:after="0"/>
        <w:jc w:val="both"/>
        <w:rPr>
          <w:rFonts w:ascii="Book Antiqua" w:hAnsi="Book Antiqua"/>
          <w:sz w:val="22"/>
          <w:szCs w:val="22"/>
        </w:rPr>
      </w:pPr>
      <w:r>
        <w:rPr>
          <w:rFonts w:ascii="Book Antiqua" w:hAnsi="Book Antiqua"/>
          <w:sz w:val="22"/>
          <w:szCs w:val="22"/>
        </w:rPr>
        <w:t>II. zvláštny odbor Ministerstva vnútra (1953 – 1963)</w:t>
      </w:r>
    </w:p>
    <w:p>
      <w:pPr>
        <w:pStyle w:val="ListParagraph"/>
        <w:widowControl/>
        <w:numPr>
          <w:ilvl w:val="0"/>
          <w:numId w:val="6"/>
        </w:numPr>
        <w:suppressAutoHyphens w:val="false"/>
        <w:spacing w:lineRule="auto" w:line="276" w:before="120" w:after="0"/>
        <w:jc w:val="both"/>
        <w:rPr>
          <w:rFonts w:ascii="Book Antiqua" w:hAnsi="Book Antiqua"/>
          <w:sz w:val="22"/>
          <w:szCs w:val="22"/>
        </w:rPr>
      </w:pPr>
      <w:r>
        <w:rPr>
          <w:rFonts w:ascii="Book Antiqua" w:hAnsi="Book Antiqua"/>
          <w:sz w:val="22"/>
          <w:szCs w:val="22"/>
        </w:rPr>
        <w:t>III. zvláštny odbor Ministerstva vnútra (1953 – 1956)</w:t>
      </w:r>
    </w:p>
    <w:p>
      <w:pPr>
        <w:pStyle w:val="ListParagraph"/>
        <w:widowControl/>
        <w:numPr>
          <w:ilvl w:val="0"/>
          <w:numId w:val="6"/>
        </w:numPr>
        <w:suppressAutoHyphens w:val="false"/>
        <w:spacing w:lineRule="auto" w:line="276" w:before="120" w:after="0"/>
        <w:jc w:val="both"/>
        <w:rPr>
          <w:rFonts w:ascii="Book Antiqua" w:hAnsi="Book Antiqua"/>
          <w:sz w:val="22"/>
          <w:szCs w:val="22"/>
        </w:rPr>
      </w:pPr>
      <w:r>
        <w:rPr>
          <w:rFonts w:ascii="Book Antiqua" w:hAnsi="Book Antiqua"/>
          <w:sz w:val="22"/>
          <w:szCs w:val="22"/>
        </w:rPr>
        <w:t>V. zvláštny odbor Ministerstva vnútra (1953 – 1955)</w:t>
      </w:r>
    </w:p>
    <w:p>
      <w:pPr>
        <w:pStyle w:val="ListParagraph"/>
        <w:widowControl/>
        <w:numPr>
          <w:ilvl w:val="0"/>
          <w:numId w:val="6"/>
        </w:numPr>
        <w:suppressAutoHyphens w:val="false"/>
        <w:spacing w:lineRule="auto" w:line="276" w:before="120" w:after="0"/>
        <w:jc w:val="both"/>
        <w:rPr>
          <w:rFonts w:ascii="Book Antiqua" w:hAnsi="Book Antiqua"/>
          <w:sz w:val="22"/>
          <w:szCs w:val="22"/>
        </w:rPr>
      </w:pPr>
      <w:r>
        <w:rPr>
          <w:rFonts w:ascii="Book Antiqua" w:hAnsi="Book Antiqua"/>
          <w:sz w:val="22"/>
          <w:szCs w:val="22"/>
        </w:rPr>
        <w:t>V. zvláštny odbor Ministerstva vnútra (1955 – 1963)</w:t>
      </w:r>
    </w:p>
    <w:p>
      <w:pPr>
        <w:pStyle w:val="ListParagraph"/>
        <w:widowControl/>
        <w:numPr>
          <w:ilvl w:val="0"/>
          <w:numId w:val="6"/>
        </w:numPr>
        <w:suppressAutoHyphens w:val="false"/>
        <w:spacing w:lineRule="auto" w:line="276" w:before="120" w:after="0"/>
        <w:jc w:val="both"/>
        <w:rPr>
          <w:rFonts w:ascii="Book Antiqua" w:hAnsi="Book Antiqua"/>
          <w:sz w:val="22"/>
          <w:szCs w:val="22"/>
        </w:rPr>
      </w:pPr>
      <w:r>
        <w:rPr>
          <w:rFonts w:ascii="Book Antiqua" w:hAnsi="Book Antiqua"/>
          <w:sz w:val="22"/>
          <w:szCs w:val="22"/>
        </w:rPr>
        <w:t>VI. zvláštny odbor Ministerstva vnútra (1955 – 1964)</w:t>
      </w:r>
    </w:p>
    <w:p>
      <w:pPr>
        <w:pStyle w:val="ListParagraph"/>
        <w:widowControl/>
        <w:numPr>
          <w:ilvl w:val="0"/>
          <w:numId w:val="6"/>
        </w:numPr>
        <w:suppressAutoHyphens w:val="false"/>
        <w:spacing w:lineRule="auto" w:line="276" w:before="120" w:after="0"/>
        <w:jc w:val="both"/>
        <w:rPr/>
      </w:pPr>
      <w:hyperlink r:id="rId12">
        <w:r>
          <w:rPr>
            <w:rStyle w:val="ListLabel407"/>
            <w:rFonts w:ascii="Book Antiqua" w:hAnsi="Book Antiqua"/>
            <w:sz w:val="22"/>
            <w:szCs w:val="22"/>
          </w:rPr>
          <w:t xml:space="preserve">odbor zahraničnej </w:t>
        </w:r>
      </w:hyperlink>
      <w:r>
        <w:rPr>
          <w:rFonts w:ascii="Book Antiqua" w:hAnsi="Book Antiqua"/>
          <w:sz w:val="22"/>
          <w:szCs w:val="22"/>
        </w:rPr>
        <w:t>tlače – IV. odbor (1979 – 1988)</w:t>
      </w:r>
    </w:p>
    <w:p>
      <w:pPr>
        <w:pStyle w:val="ListParagraph"/>
        <w:widowControl/>
        <w:numPr>
          <w:ilvl w:val="0"/>
          <w:numId w:val="6"/>
        </w:numPr>
        <w:suppressAutoHyphens w:val="false"/>
        <w:spacing w:lineRule="auto" w:line="276" w:before="120" w:after="0"/>
        <w:jc w:val="both"/>
        <w:rPr>
          <w:rFonts w:ascii="Book Antiqua" w:hAnsi="Book Antiqua"/>
          <w:sz w:val="22"/>
          <w:szCs w:val="22"/>
        </w:rPr>
      </w:pPr>
      <w:r>
        <w:rPr>
          <w:rFonts w:ascii="Book Antiqua" w:hAnsi="Book Antiqua"/>
          <w:sz w:val="22"/>
          <w:szCs w:val="22"/>
        </w:rPr>
        <w:t>III. zvláštne oddelenie Ministerstva vnútra (1953 – 1954)</w:t>
      </w:r>
    </w:p>
    <w:p>
      <w:pPr>
        <w:pStyle w:val="ListParagraph"/>
        <w:widowControl/>
        <w:numPr>
          <w:ilvl w:val="0"/>
          <w:numId w:val="6"/>
        </w:numPr>
        <w:suppressAutoHyphens w:val="false"/>
        <w:spacing w:lineRule="auto" w:line="276" w:before="120" w:after="0"/>
        <w:jc w:val="both"/>
        <w:rPr>
          <w:rFonts w:ascii="Book Antiqua" w:hAnsi="Book Antiqua"/>
          <w:sz w:val="22"/>
          <w:szCs w:val="22"/>
        </w:rPr>
      </w:pPr>
      <w:r>
        <w:rPr>
          <w:rFonts w:ascii="Book Antiqua" w:hAnsi="Book Antiqua"/>
          <w:sz w:val="22"/>
          <w:szCs w:val="22"/>
        </w:rPr>
        <w:t>VI. zvláštny odbor Ministerstva vnútra (1955 – 1955)</w:t>
      </w:r>
    </w:p>
    <w:p>
      <w:pPr>
        <w:pStyle w:val="ListParagraph"/>
        <w:widowControl/>
        <w:numPr>
          <w:ilvl w:val="0"/>
          <w:numId w:val="6"/>
        </w:numPr>
        <w:suppressAutoHyphens w:val="false"/>
        <w:spacing w:lineRule="auto" w:line="276" w:before="120" w:after="0"/>
        <w:jc w:val="both"/>
        <w:rPr>
          <w:rFonts w:ascii="Book Antiqua" w:hAnsi="Book Antiqua"/>
          <w:sz w:val="22"/>
          <w:szCs w:val="22"/>
        </w:rPr>
      </w:pPr>
      <w:r>
        <w:rPr>
          <w:rFonts w:ascii="Book Antiqua" w:hAnsi="Book Antiqua"/>
          <w:sz w:val="22"/>
          <w:szCs w:val="22"/>
        </w:rPr>
        <w:t>zvláštna správa Ministerstva vnútra (1955 – 1963)</w:t>
      </w:r>
    </w:p>
    <w:p>
      <w:pPr>
        <w:pStyle w:val="ListParagraph"/>
        <w:widowControl/>
        <w:suppressAutoHyphens w:val="false"/>
        <w:spacing w:lineRule="auto" w:line="276" w:before="120" w:after="0"/>
        <w:ind w:left="720" w:hanging="0"/>
        <w:jc w:val="both"/>
        <w:rPr>
          <w:rFonts w:ascii="Book Antiqua" w:hAnsi="Book Antiqua"/>
          <w:sz w:val="22"/>
          <w:szCs w:val="22"/>
        </w:rPr>
      </w:pPr>
      <w:r>
        <w:rPr>
          <w:rFonts w:ascii="Book Antiqua" w:hAnsi="Book Antiqua"/>
          <w:sz w:val="22"/>
          <w:szCs w:val="22"/>
        </w:rPr>
      </w:r>
    </w:p>
    <w:p>
      <w:pPr>
        <w:pStyle w:val="ListParagraph"/>
        <w:widowControl/>
        <w:numPr>
          <w:ilvl w:val="0"/>
          <w:numId w:val="5"/>
        </w:numPr>
        <w:suppressAutoHyphens w:val="false"/>
        <w:spacing w:lineRule="auto" w:line="276" w:before="120" w:after="0"/>
        <w:jc w:val="both"/>
        <w:rPr>
          <w:rFonts w:ascii="Book Antiqua" w:hAnsi="Book Antiqua"/>
          <w:caps/>
          <w:sz w:val="22"/>
          <w:szCs w:val="22"/>
        </w:rPr>
      </w:pPr>
      <w:r>
        <w:rPr>
          <w:rFonts w:ascii="Book Antiqua" w:hAnsi="Book Antiqua"/>
          <w:caps/>
          <w:sz w:val="22"/>
          <w:szCs w:val="22"/>
        </w:rPr>
        <w:t xml:space="preserve">Útvary štátnej bezpečnosti pri ministerstvách Vnútra Českej socialistickej republiky a Slovenskej socialistickej republiky </w:t>
      </w:r>
    </w:p>
    <w:p>
      <w:pPr>
        <w:pStyle w:val="ListParagraph"/>
        <w:widowControl/>
        <w:numPr>
          <w:ilvl w:val="0"/>
          <w:numId w:val="7"/>
        </w:numPr>
        <w:suppressAutoHyphens w:val="false"/>
        <w:spacing w:lineRule="auto" w:line="276" w:before="120" w:after="0"/>
        <w:jc w:val="both"/>
        <w:rPr>
          <w:rFonts w:ascii="Book Antiqua" w:hAnsi="Book Antiqua"/>
          <w:sz w:val="22"/>
          <w:szCs w:val="22"/>
        </w:rPr>
      </w:pPr>
      <w:r>
        <w:rPr>
          <w:rFonts w:ascii="Book Antiqua" w:hAnsi="Book Antiqua"/>
          <w:sz w:val="22"/>
          <w:szCs w:val="22"/>
        </w:rPr>
        <w:t>hlavná správa Štátnej bezpečnosti Ministerstva vnútra Českej socialistickej republiky (1969 – 1970)</w:t>
      </w:r>
    </w:p>
    <w:p>
      <w:pPr>
        <w:pStyle w:val="ListParagraph"/>
        <w:widowControl/>
        <w:numPr>
          <w:ilvl w:val="0"/>
          <w:numId w:val="7"/>
        </w:numPr>
        <w:suppressAutoHyphens w:val="false"/>
        <w:spacing w:lineRule="auto" w:line="276" w:before="120" w:after="0"/>
        <w:jc w:val="both"/>
        <w:rPr>
          <w:rFonts w:ascii="Book Antiqua" w:hAnsi="Book Antiqua"/>
          <w:sz w:val="22"/>
          <w:szCs w:val="22"/>
        </w:rPr>
      </w:pPr>
      <w:r>
        <w:rPr>
          <w:rFonts w:ascii="Book Antiqua" w:hAnsi="Book Antiqua"/>
          <w:sz w:val="22"/>
          <w:szCs w:val="22"/>
        </w:rPr>
        <w:t>správa vyšetrovania Štátnej bezpečnosti Ministerstva vnútra Českej socialistickej republiky (1969 – 1970)</w:t>
      </w:r>
    </w:p>
    <w:p>
      <w:pPr>
        <w:pStyle w:val="ListParagraph"/>
        <w:widowControl/>
        <w:numPr>
          <w:ilvl w:val="0"/>
          <w:numId w:val="7"/>
        </w:numPr>
        <w:suppressAutoHyphens w:val="false"/>
        <w:spacing w:lineRule="auto" w:line="276" w:before="120" w:after="0"/>
        <w:jc w:val="both"/>
        <w:rPr>
          <w:rFonts w:ascii="Book Antiqua" w:hAnsi="Book Antiqua"/>
          <w:sz w:val="22"/>
          <w:szCs w:val="22"/>
        </w:rPr>
      </w:pPr>
      <w:r>
        <w:rPr>
          <w:rFonts w:ascii="Book Antiqua" w:hAnsi="Book Antiqua"/>
          <w:sz w:val="22"/>
          <w:szCs w:val="22"/>
        </w:rPr>
        <w:t>bezpečnostní odbor pre Štátnu bezpečnosť Ministerstva vnútra Českej socialistickej republiky (1969 – 1970)</w:t>
      </w:r>
    </w:p>
    <w:p>
      <w:pPr>
        <w:pStyle w:val="ListParagraph"/>
        <w:widowControl/>
        <w:numPr>
          <w:ilvl w:val="0"/>
          <w:numId w:val="7"/>
        </w:numPr>
        <w:suppressAutoHyphens w:val="false"/>
        <w:spacing w:lineRule="auto" w:line="276" w:before="120" w:after="0"/>
        <w:jc w:val="both"/>
        <w:rPr>
          <w:rFonts w:ascii="Book Antiqua" w:hAnsi="Book Antiqua"/>
          <w:sz w:val="22"/>
          <w:szCs w:val="22"/>
        </w:rPr>
      </w:pPr>
      <w:r>
        <w:rPr>
          <w:rFonts w:ascii="Book Antiqua" w:hAnsi="Book Antiqua"/>
          <w:sz w:val="22"/>
          <w:szCs w:val="22"/>
        </w:rPr>
        <w:t>hlavná správa Štátnej bezpečnosti Ministerstva vnútra Slovenskej socialistickej republiky (1969 – 1970)</w:t>
      </w:r>
    </w:p>
    <w:p>
      <w:pPr>
        <w:pStyle w:val="ListParagraph"/>
        <w:widowControl/>
        <w:numPr>
          <w:ilvl w:val="0"/>
          <w:numId w:val="7"/>
        </w:numPr>
        <w:suppressAutoHyphens w:val="false"/>
        <w:spacing w:lineRule="auto" w:line="276" w:before="120" w:after="0"/>
        <w:jc w:val="both"/>
        <w:rPr>
          <w:rFonts w:ascii="Book Antiqua" w:hAnsi="Book Antiqua"/>
          <w:sz w:val="22"/>
          <w:szCs w:val="22"/>
        </w:rPr>
      </w:pPr>
      <w:r>
        <w:rPr>
          <w:rFonts w:ascii="Book Antiqua" w:hAnsi="Book Antiqua"/>
          <w:sz w:val="22"/>
          <w:szCs w:val="22"/>
        </w:rPr>
        <w:t>správa pasov a víz Ministerstva vnútra Českej socialistickej republiky (1969 – 1970)</w:t>
      </w:r>
    </w:p>
    <w:p>
      <w:pPr>
        <w:pStyle w:val="ListParagraph"/>
        <w:widowControl/>
        <w:numPr>
          <w:ilvl w:val="0"/>
          <w:numId w:val="7"/>
        </w:numPr>
        <w:suppressAutoHyphens w:val="false"/>
        <w:spacing w:lineRule="auto" w:line="276" w:before="120" w:after="0"/>
        <w:jc w:val="both"/>
        <w:rPr>
          <w:rFonts w:ascii="Book Antiqua" w:hAnsi="Book Antiqua"/>
          <w:sz w:val="22"/>
          <w:szCs w:val="22"/>
        </w:rPr>
      </w:pPr>
      <w:r>
        <w:rPr>
          <w:rFonts w:ascii="Book Antiqua" w:hAnsi="Book Antiqua"/>
          <w:sz w:val="22"/>
          <w:szCs w:val="22"/>
        </w:rPr>
        <w:t>hlavná správa Štátnej bezpečnosti v Slovenskej socialistickej republike (1971 – 1974)</w:t>
      </w:r>
    </w:p>
    <w:p>
      <w:pPr>
        <w:pStyle w:val="ListParagraph"/>
        <w:widowControl/>
        <w:numPr>
          <w:ilvl w:val="0"/>
          <w:numId w:val="7"/>
        </w:numPr>
        <w:suppressAutoHyphens w:val="false"/>
        <w:spacing w:lineRule="auto" w:line="276" w:before="120" w:after="0"/>
        <w:jc w:val="both"/>
        <w:rPr>
          <w:rFonts w:ascii="Book Antiqua" w:hAnsi="Book Antiqua"/>
          <w:sz w:val="22"/>
          <w:szCs w:val="22"/>
        </w:rPr>
      </w:pPr>
      <w:r>
        <w:rPr>
          <w:rFonts w:ascii="Book Antiqua" w:hAnsi="Book Antiqua"/>
          <w:sz w:val="22"/>
          <w:szCs w:val="22"/>
        </w:rPr>
        <w:t>správa vyšetrovania Štátnej bezpečnosti Ministerstva vnútra Slovenskej socialistickej republiky (1969 – 1970)</w:t>
      </w:r>
    </w:p>
    <w:p>
      <w:pPr>
        <w:pStyle w:val="ListParagraph"/>
        <w:widowControl/>
        <w:numPr>
          <w:ilvl w:val="0"/>
          <w:numId w:val="7"/>
        </w:numPr>
        <w:suppressAutoHyphens w:val="false"/>
        <w:spacing w:lineRule="auto" w:line="276" w:before="120" w:after="0"/>
        <w:jc w:val="both"/>
        <w:rPr>
          <w:rFonts w:ascii="Book Antiqua" w:hAnsi="Book Antiqua"/>
          <w:sz w:val="22"/>
          <w:szCs w:val="22"/>
        </w:rPr>
      </w:pPr>
      <w:r>
        <w:rPr>
          <w:rFonts w:ascii="Book Antiqua" w:hAnsi="Book Antiqua"/>
          <w:sz w:val="22"/>
          <w:szCs w:val="22"/>
        </w:rPr>
        <w:t>bezpečnostný odbor Štátnej bezpečnosti Ministerstva vnútra Slovenskej socialistickej republiky (1969 – 1970)</w:t>
      </w:r>
    </w:p>
    <w:p>
      <w:pPr>
        <w:pStyle w:val="ListParagraph"/>
        <w:widowControl/>
        <w:numPr>
          <w:ilvl w:val="0"/>
          <w:numId w:val="7"/>
        </w:numPr>
        <w:suppressAutoHyphens w:val="false"/>
        <w:spacing w:lineRule="auto" w:line="276" w:before="120" w:after="0"/>
        <w:jc w:val="both"/>
        <w:rPr>
          <w:rFonts w:ascii="Book Antiqua" w:hAnsi="Book Antiqua"/>
          <w:sz w:val="22"/>
          <w:szCs w:val="22"/>
        </w:rPr>
      </w:pPr>
      <w:r>
        <w:rPr>
          <w:rFonts w:ascii="Book Antiqua" w:hAnsi="Book Antiqua"/>
          <w:sz w:val="22"/>
          <w:szCs w:val="22"/>
        </w:rPr>
        <w:t>správa ochrany ústavných a straníckych činiteľov Ministerstva vnútra Slovenskej socialistickej republiky (1969 – 1970)</w:t>
      </w:r>
    </w:p>
    <w:p>
      <w:pPr>
        <w:pStyle w:val="ListParagraph"/>
        <w:widowControl/>
        <w:numPr>
          <w:ilvl w:val="0"/>
          <w:numId w:val="7"/>
        </w:numPr>
        <w:suppressAutoHyphens w:val="false"/>
        <w:spacing w:lineRule="auto" w:line="276" w:before="120" w:after="0"/>
        <w:jc w:val="both"/>
        <w:rPr>
          <w:rFonts w:ascii="Book Antiqua" w:hAnsi="Book Antiqua"/>
          <w:sz w:val="22"/>
          <w:szCs w:val="22"/>
        </w:rPr>
      </w:pPr>
      <w:r>
        <w:rPr>
          <w:rFonts w:ascii="Book Antiqua" w:hAnsi="Book Antiqua"/>
          <w:sz w:val="22"/>
          <w:szCs w:val="22"/>
        </w:rPr>
        <w:t>Správa pasov a víz Ministerstva vnútra Slovenskej socialistickej republiky (1969 – 1970)</w:t>
      </w:r>
    </w:p>
    <w:p>
      <w:pPr>
        <w:pStyle w:val="ListParagraph"/>
        <w:widowControl/>
        <w:suppressAutoHyphens w:val="false"/>
        <w:spacing w:lineRule="auto" w:line="276" w:before="120" w:after="0"/>
        <w:ind w:left="720" w:hanging="0"/>
        <w:jc w:val="both"/>
        <w:rPr>
          <w:rFonts w:ascii="Book Antiqua" w:hAnsi="Book Antiqua"/>
          <w:sz w:val="22"/>
          <w:szCs w:val="22"/>
        </w:rPr>
      </w:pPr>
      <w:r>
        <w:rPr>
          <w:rFonts w:ascii="Book Antiqua" w:hAnsi="Book Antiqua"/>
          <w:sz w:val="22"/>
          <w:szCs w:val="22"/>
        </w:rPr>
      </w:r>
    </w:p>
    <w:p>
      <w:pPr>
        <w:pStyle w:val="ListParagraph"/>
        <w:widowControl/>
        <w:numPr>
          <w:ilvl w:val="0"/>
          <w:numId w:val="5"/>
        </w:numPr>
        <w:suppressAutoHyphens w:val="false"/>
        <w:spacing w:lineRule="auto" w:line="276" w:before="120" w:after="0"/>
        <w:jc w:val="both"/>
        <w:rPr>
          <w:rFonts w:ascii="Book Antiqua" w:hAnsi="Book Antiqua"/>
          <w:caps/>
          <w:sz w:val="22"/>
          <w:szCs w:val="22"/>
        </w:rPr>
      </w:pPr>
      <w:r>
        <w:rPr>
          <w:rFonts w:ascii="Book Antiqua" w:hAnsi="Book Antiqua"/>
          <w:caps/>
          <w:sz w:val="22"/>
          <w:szCs w:val="22"/>
        </w:rPr>
        <w:t xml:space="preserve">Územné útvary Štátnej bezpečnosti pred vznikom krajov </w:t>
      </w:r>
    </w:p>
    <w:p>
      <w:pPr>
        <w:pStyle w:val="ListParagraph"/>
        <w:widowControl/>
        <w:numPr>
          <w:ilvl w:val="0"/>
          <w:numId w:val="9"/>
        </w:numPr>
        <w:suppressAutoHyphens w:val="false"/>
        <w:spacing w:lineRule="auto" w:line="276" w:before="120" w:after="0"/>
        <w:jc w:val="both"/>
        <w:rPr>
          <w:rFonts w:ascii="Book Antiqua" w:hAnsi="Book Antiqua"/>
          <w:sz w:val="22"/>
          <w:szCs w:val="22"/>
        </w:rPr>
      </w:pPr>
      <w:r>
        <w:rPr>
          <w:rFonts w:ascii="Book Antiqua" w:hAnsi="Book Antiqua"/>
          <w:sz w:val="22"/>
          <w:szCs w:val="22"/>
        </w:rPr>
        <w:t>zemská úradovňa Štátnej bezpečnosti (1945 – 1948)</w:t>
      </w:r>
    </w:p>
    <w:p>
      <w:pPr>
        <w:pStyle w:val="ListParagraph"/>
        <w:widowControl/>
        <w:numPr>
          <w:ilvl w:val="0"/>
          <w:numId w:val="9"/>
        </w:numPr>
        <w:suppressAutoHyphens w:val="false"/>
        <w:spacing w:lineRule="auto" w:line="276" w:before="120" w:after="0"/>
        <w:jc w:val="both"/>
        <w:rPr>
          <w:rFonts w:ascii="Book Antiqua" w:hAnsi="Book Antiqua"/>
          <w:sz w:val="22"/>
          <w:szCs w:val="22"/>
        </w:rPr>
      </w:pPr>
      <w:r>
        <w:rPr>
          <w:rFonts w:ascii="Book Antiqua" w:hAnsi="Book Antiqua"/>
          <w:sz w:val="22"/>
          <w:szCs w:val="22"/>
        </w:rPr>
        <w:t>oblastní úradovňa Štátnej bezpečnosti (1945 – 1948)</w:t>
      </w:r>
    </w:p>
    <w:p>
      <w:pPr>
        <w:pStyle w:val="ListParagraph"/>
        <w:widowControl/>
        <w:numPr>
          <w:ilvl w:val="0"/>
          <w:numId w:val="9"/>
        </w:numPr>
        <w:suppressAutoHyphens w:val="false"/>
        <w:spacing w:lineRule="auto" w:line="276" w:before="120" w:after="0"/>
        <w:jc w:val="both"/>
        <w:rPr>
          <w:rFonts w:ascii="Book Antiqua" w:hAnsi="Book Antiqua"/>
          <w:sz w:val="22"/>
          <w:szCs w:val="22"/>
        </w:rPr>
      </w:pPr>
      <w:r>
        <w:rPr>
          <w:rFonts w:ascii="Book Antiqua" w:hAnsi="Book Antiqua"/>
          <w:sz w:val="22"/>
          <w:szCs w:val="22"/>
        </w:rPr>
        <w:t>pobočka oblastnej úradovne Štátnej bezpečnosti (1945 – 1948)</w:t>
      </w:r>
    </w:p>
    <w:p>
      <w:pPr>
        <w:pStyle w:val="ListParagraph"/>
        <w:widowControl/>
        <w:suppressAutoHyphens w:val="false"/>
        <w:spacing w:lineRule="auto" w:line="276" w:before="120" w:after="0"/>
        <w:ind w:left="720" w:hanging="0"/>
        <w:jc w:val="both"/>
        <w:rPr>
          <w:rFonts w:ascii="Book Antiqua" w:hAnsi="Book Antiqua"/>
          <w:sz w:val="22"/>
          <w:szCs w:val="22"/>
        </w:rPr>
      </w:pPr>
      <w:r>
        <w:rPr>
          <w:rFonts w:ascii="Book Antiqua" w:hAnsi="Book Antiqua"/>
          <w:sz w:val="22"/>
          <w:szCs w:val="22"/>
        </w:rPr>
      </w:r>
    </w:p>
    <w:p>
      <w:pPr>
        <w:pStyle w:val="ListParagraph"/>
        <w:numPr>
          <w:ilvl w:val="0"/>
          <w:numId w:val="5"/>
        </w:numPr>
        <w:spacing w:lineRule="auto" w:line="276" w:before="120" w:after="0"/>
        <w:jc w:val="both"/>
        <w:rPr>
          <w:rFonts w:ascii="Book Antiqua" w:hAnsi="Book Antiqua"/>
          <w:caps/>
          <w:sz w:val="22"/>
          <w:szCs w:val="22"/>
        </w:rPr>
      </w:pPr>
      <w:r>
        <w:rPr>
          <w:rFonts w:ascii="Book Antiqua" w:hAnsi="Book Antiqua"/>
          <w:caps/>
          <w:sz w:val="22"/>
          <w:szCs w:val="22"/>
        </w:rPr>
        <w:t>Územné útvary Štátnej bezpečnosti v krajoch a správa Ministerstva vnútra Jáchymov</w:t>
      </w:r>
    </w:p>
    <w:p>
      <w:pPr>
        <w:pStyle w:val="ListParagraph"/>
        <w:widowControl/>
        <w:numPr>
          <w:ilvl w:val="0"/>
          <w:numId w:val="10"/>
        </w:numPr>
        <w:suppressAutoHyphens w:val="false"/>
        <w:spacing w:lineRule="auto" w:line="276" w:before="120" w:after="0"/>
        <w:jc w:val="both"/>
        <w:rPr>
          <w:rFonts w:ascii="Book Antiqua" w:hAnsi="Book Antiqua"/>
          <w:sz w:val="22"/>
          <w:szCs w:val="22"/>
        </w:rPr>
      </w:pPr>
      <w:r>
        <w:rPr>
          <w:rFonts w:ascii="Book Antiqua" w:hAnsi="Book Antiqua"/>
          <w:sz w:val="22"/>
          <w:szCs w:val="22"/>
        </w:rPr>
        <w:t>krajské veliteľstvá Štátnej bezpečnosti (1949 – 1952)</w:t>
      </w:r>
    </w:p>
    <w:p>
      <w:pPr>
        <w:pStyle w:val="ListParagraph"/>
        <w:widowControl/>
        <w:numPr>
          <w:ilvl w:val="0"/>
          <w:numId w:val="10"/>
        </w:numPr>
        <w:suppressAutoHyphens w:val="false"/>
        <w:spacing w:lineRule="auto" w:line="276" w:before="120" w:after="0"/>
        <w:jc w:val="both"/>
        <w:rPr>
          <w:rFonts w:ascii="Book Antiqua" w:hAnsi="Book Antiqua"/>
          <w:sz w:val="22"/>
          <w:szCs w:val="22"/>
        </w:rPr>
      </w:pPr>
      <w:r>
        <w:rPr>
          <w:rFonts w:ascii="Book Antiqua" w:hAnsi="Book Antiqua"/>
          <w:sz w:val="22"/>
          <w:szCs w:val="22"/>
        </w:rPr>
        <w:t>krajská správa Štátnej bezpečnosti (1952 – 1953)</w:t>
      </w:r>
    </w:p>
    <w:p>
      <w:pPr>
        <w:pStyle w:val="ListParagraph"/>
        <w:widowControl/>
        <w:numPr>
          <w:ilvl w:val="0"/>
          <w:numId w:val="10"/>
        </w:numPr>
        <w:suppressAutoHyphens w:val="false"/>
        <w:spacing w:lineRule="auto" w:line="276" w:before="120" w:after="0"/>
        <w:jc w:val="both"/>
        <w:rPr>
          <w:rFonts w:ascii="Book Antiqua" w:hAnsi="Book Antiqua"/>
          <w:sz w:val="22"/>
          <w:szCs w:val="22"/>
        </w:rPr>
      </w:pPr>
      <w:r>
        <w:rPr>
          <w:rFonts w:ascii="Book Antiqua" w:hAnsi="Book Antiqua"/>
          <w:sz w:val="22"/>
          <w:szCs w:val="22"/>
        </w:rPr>
        <w:t>oddiel Štátnej bezpečnosti ZNB útvaru Jáchymov (1949 – 1950)</w:t>
      </w:r>
    </w:p>
    <w:p>
      <w:pPr>
        <w:pStyle w:val="ListParagraph"/>
        <w:widowControl/>
        <w:numPr>
          <w:ilvl w:val="0"/>
          <w:numId w:val="10"/>
        </w:numPr>
        <w:suppressAutoHyphens w:val="false"/>
        <w:spacing w:lineRule="auto" w:line="276" w:before="120" w:after="0"/>
        <w:jc w:val="both"/>
        <w:rPr>
          <w:rFonts w:ascii="Book Antiqua" w:hAnsi="Book Antiqua"/>
          <w:sz w:val="22"/>
          <w:szCs w:val="22"/>
        </w:rPr>
      </w:pPr>
      <w:r>
        <w:rPr>
          <w:rFonts w:ascii="Book Antiqua" w:hAnsi="Book Antiqua"/>
          <w:sz w:val="22"/>
          <w:szCs w:val="22"/>
        </w:rPr>
        <w:t>oddiel Štátnej bezpečnosti veliteľstva Jizera (1951 – 1952)</w:t>
      </w:r>
    </w:p>
    <w:p>
      <w:pPr>
        <w:pStyle w:val="ListParagraph"/>
        <w:widowControl/>
        <w:numPr>
          <w:ilvl w:val="0"/>
          <w:numId w:val="10"/>
        </w:numPr>
        <w:suppressAutoHyphens w:val="false"/>
        <w:spacing w:lineRule="auto" w:line="276" w:before="120" w:after="0"/>
        <w:jc w:val="both"/>
        <w:rPr>
          <w:rFonts w:ascii="Book Antiqua" w:hAnsi="Book Antiqua"/>
          <w:sz w:val="22"/>
          <w:szCs w:val="22"/>
        </w:rPr>
      </w:pPr>
      <w:r>
        <w:rPr>
          <w:rFonts w:ascii="Book Antiqua" w:hAnsi="Book Antiqua"/>
          <w:sz w:val="22"/>
          <w:szCs w:val="22"/>
        </w:rPr>
        <w:t>odbor Štátnej bezpečnosti správy Národnej bezpečnosti Jáchymov (1952 - 1954)</w:t>
      </w:r>
    </w:p>
    <w:p>
      <w:pPr>
        <w:pStyle w:val="ListParagraph"/>
        <w:widowControl/>
        <w:numPr>
          <w:ilvl w:val="0"/>
          <w:numId w:val="10"/>
        </w:numPr>
        <w:suppressAutoHyphens w:val="false"/>
        <w:spacing w:lineRule="auto" w:line="276" w:before="120" w:after="0"/>
        <w:jc w:val="both"/>
        <w:rPr>
          <w:rFonts w:ascii="Book Antiqua" w:hAnsi="Book Antiqua"/>
          <w:sz w:val="22"/>
          <w:szCs w:val="22"/>
        </w:rPr>
      </w:pPr>
      <w:r>
        <w:rPr>
          <w:rFonts w:ascii="Book Antiqua" w:hAnsi="Book Antiqua"/>
          <w:sz w:val="22"/>
          <w:szCs w:val="22"/>
        </w:rPr>
        <w:t>uvedené útvary správy Ministerstva vnútra Jáchymov (1954 – 1959)</w:t>
      </w:r>
    </w:p>
    <w:p>
      <w:pPr>
        <w:pStyle w:val="ListParagraph"/>
        <w:numPr>
          <w:ilvl w:val="0"/>
          <w:numId w:val="8"/>
        </w:numPr>
        <w:spacing w:lineRule="auto" w:line="276" w:before="120" w:after="0"/>
        <w:jc w:val="both"/>
        <w:rPr>
          <w:rFonts w:ascii="Book Antiqua" w:hAnsi="Book Antiqua"/>
          <w:sz w:val="22"/>
          <w:szCs w:val="22"/>
        </w:rPr>
      </w:pPr>
      <w:r>
        <w:rPr>
          <w:rFonts w:ascii="Book Antiqua" w:hAnsi="Book Antiqua"/>
          <w:sz w:val="22"/>
          <w:szCs w:val="22"/>
        </w:rPr>
        <w:t>I. odbor správy MV Jáchymov</w:t>
      </w:r>
    </w:p>
    <w:p>
      <w:pPr>
        <w:pStyle w:val="ListParagraph"/>
        <w:numPr>
          <w:ilvl w:val="0"/>
          <w:numId w:val="8"/>
        </w:numPr>
        <w:spacing w:lineRule="auto" w:line="276" w:before="120" w:after="0"/>
        <w:jc w:val="both"/>
        <w:rPr>
          <w:rFonts w:ascii="Book Antiqua" w:hAnsi="Book Antiqua"/>
          <w:sz w:val="22"/>
          <w:szCs w:val="22"/>
        </w:rPr>
      </w:pPr>
      <w:r>
        <w:rPr>
          <w:rFonts w:ascii="Book Antiqua" w:hAnsi="Book Antiqua"/>
          <w:sz w:val="22"/>
          <w:szCs w:val="22"/>
        </w:rPr>
        <w:t>I.A odbor správy MV Jáchymov</w:t>
      </w:r>
    </w:p>
    <w:p>
      <w:pPr>
        <w:pStyle w:val="ListParagraph"/>
        <w:numPr>
          <w:ilvl w:val="0"/>
          <w:numId w:val="8"/>
        </w:numPr>
        <w:spacing w:lineRule="auto" w:line="276" w:before="120" w:after="0"/>
        <w:jc w:val="both"/>
        <w:rPr>
          <w:rFonts w:ascii="Book Antiqua" w:hAnsi="Book Antiqua"/>
          <w:sz w:val="22"/>
          <w:szCs w:val="22"/>
        </w:rPr>
      </w:pPr>
      <w:r>
        <w:rPr>
          <w:rFonts w:ascii="Book Antiqua" w:hAnsi="Book Antiqua"/>
          <w:sz w:val="22"/>
          <w:szCs w:val="22"/>
        </w:rPr>
        <w:t>II. odbor správy MV Jáchymov</w:t>
      </w:r>
    </w:p>
    <w:p>
      <w:pPr>
        <w:pStyle w:val="ListParagraph"/>
        <w:numPr>
          <w:ilvl w:val="0"/>
          <w:numId w:val="8"/>
        </w:numPr>
        <w:spacing w:lineRule="auto" w:line="276" w:before="120" w:after="0"/>
        <w:jc w:val="both"/>
        <w:rPr>
          <w:rFonts w:ascii="Book Antiqua" w:hAnsi="Book Antiqua"/>
          <w:sz w:val="22"/>
          <w:szCs w:val="22"/>
        </w:rPr>
      </w:pPr>
      <w:r>
        <w:rPr>
          <w:rFonts w:ascii="Book Antiqua" w:hAnsi="Book Antiqua"/>
          <w:sz w:val="22"/>
          <w:szCs w:val="22"/>
        </w:rPr>
        <w:t>II.A odbor správy MV Jáchymov</w:t>
      </w:r>
    </w:p>
    <w:p>
      <w:pPr>
        <w:pStyle w:val="ListParagraph"/>
        <w:numPr>
          <w:ilvl w:val="0"/>
          <w:numId w:val="8"/>
        </w:numPr>
        <w:spacing w:lineRule="auto" w:line="276" w:before="120" w:after="0"/>
        <w:jc w:val="both"/>
        <w:rPr>
          <w:rFonts w:ascii="Book Antiqua" w:hAnsi="Book Antiqua"/>
          <w:sz w:val="22"/>
          <w:szCs w:val="22"/>
        </w:rPr>
      </w:pPr>
      <w:r>
        <w:rPr>
          <w:rFonts w:ascii="Book Antiqua" w:hAnsi="Book Antiqua"/>
          <w:sz w:val="22"/>
          <w:szCs w:val="22"/>
        </w:rPr>
        <w:t>III. odbor správy MV Jáchymov</w:t>
      </w:r>
    </w:p>
    <w:p>
      <w:pPr>
        <w:pStyle w:val="ListParagraph"/>
        <w:numPr>
          <w:ilvl w:val="0"/>
          <w:numId w:val="8"/>
        </w:numPr>
        <w:spacing w:lineRule="auto" w:line="276" w:before="120" w:after="0"/>
        <w:jc w:val="both"/>
        <w:rPr>
          <w:rFonts w:ascii="Book Antiqua" w:hAnsi="Book Antiqua"/>
          <w:sz w:val="22"/>
          <w:szCs w:val="22"/>
        </w:rPr>
      </w:pPr>
      <w:r>
        <w:rPr>
          <w:rFonts w:ascii="Book Antiqua" w:hAnsi="Book Antiqua"/>
          <w:sz w:val="22"/>
          <w:szCs w:val="22"/>
        </w:rPr>
        <w:t>IV. odbor správy MV Jáchymov</w:t>
      </w:r>
    </w:p>
    <w:p>
      <w:pPr>
        <w:pStyle w:val="ListParagraph"/>
        <w:numPr>
          <w:ilvl w:val="0"/>
          <w:numId w:val="8"/>
        </w:numPr>
        <w:spacing w:lineRule="auto" w:line="276" w:before="120" w:after="0"/>
        <w:jc w:val="both"/>
        <w:rPr>
          <w:rFonts w:ascii="Book Antiqua" w:hAnsi="Book Antiqua"/>
          <w:sz w:val="22"/>
          <w:szCs w:val="22"/>
        </w:rPr>
      </w:pPr>
      <w:r>
        <w:rPr>
          <w:rFonts w:ascii="Book Antiqua" w:hAnsi="Book Antiqua"/>
          <w:sz w:val="22"/>
          <w:szCs w:val="22"/>
        </w:rPr>
        <w:t>V. odbor správy MV Jáchymov</w:t>
      </w:r>
    </w:p>
    <w:p>
      <w:pPr>
        <w:pStyle w:val="ListParagraph"/>
        <w:numPr>
          <w:ilvl w:val="0"/>
          <w:numId w:val="8"/>
        </w:numPr>
        <w:spacing w:lineRule="auto" w:line="276" w:before="120" w:after="0"/>
        <w:jc w:val="both"/>
        <w:rPr>
          <w:rFonts w:ascii="Book Antiqua" w:hAnsi="Book Antiqua"/>
          <w:sz w:val="22"/>
          <w:szCs w:val="22"/>
        </w:rPr>
      </w:pPr>
      <w:r>
        <w:rPr>
          <w:rFonts w:ascii="Book Antiqua" w:hAnsi="Book Antiqua"/>
          <w:sz w:val="22"/>
          <w:szCs w:val="22"/>
        </w:rPr>
        <w:t>3. samostatné oddelenie správy MV Jáchymov</w:t>
      </w:r>
    </w:p>
    <w:p>
      <w:pPr>
        <w:pStyle w:val="ListParagraph"/>
        <w:numPr>
          <w:ilvl w:val="0"/>
          <w:numId w:val="8"/>
        </w:numPr>
        <w:spacing w:lineRule="auto" w:line="276" w:before="120" w:after="0"/>
        <w:jc w:val="both"/>
        <w:rPr>
          <w:rFonts w:ascii="Book Antiqua" w:hAnsi="Book Antiqua"/>
          <w:sz w:val="22"/>
          <w:szCs w:val="22"/>
        </w:rPr>
      </w:pPr>
      <w:r>
        <w:rPr>
          <w:rFonts w:ascii="Book Antiqua" w:hAnsi="Book Antiqua"/>
          <w:sz w:val="22"/>
          <w:szCs w:val="22"/>
        </w:rPr>
        <w:t>4. samostatné oddelenie správy MV Jáchymov</w:t>
      </w:r>
    </w:p>
    <w:p>
      <w:pPr>
        <w:pStyle w:val="ListParagraph"/>
        <w:numPr>
          <w:ilvl w:val="0"/>
          <w:numId w:val="8"/>
        </w:numPr>
        <w:spacing w:lineRule="auto" w:line="276" w:before="120" w:after="0"/>
        <w:jc w:val="both"/>
        <w:rPr>
          <w:rFonts w:ascii="Book Antiqua" w:hAnsi="Book Antiqua"/>
          <w:sz w:val="22"/>
          <w:szCs w:val="22"/>
        </w:rPr>
      </w:pPr>
      <w:r>
        <w:rPr>
          <w:rFonts w:ascii="Book Antiqua" w:hAnsi="Book Antiqua"/>
          <w:sz w:val="22"/>
          <w:szCs w:val="22"/>
        </w:rPr>
        <w:t>1. zvláštne oddelenie správy MV Jáchymov</w:t>
      </w:r>
    </w:p>
    <w:p>
      <w:pPr>
        <w:pStyle w:val="ListParagraph"/>
        <w:numPr>
          <w:ilvl w:val="0"/>
          <w:numId w:val="8"/>
        </w:numPr>
        <w:spacing w:lineRule="auto" w:line="276" w:before="120" w:after="0"/>
        <w:jc w:val="both"/>
        <w:rPr>
          <w:rFonts w:ascii="Book Antiqua" w:hAnsi="Book Antiqua"/>
          <w:sz w:val="22"/>
          <w:szCs w:val="22"/>
        </w:rPr>
      </w:pPr>
      <w:r>
        <w:rPr>
          <w:rFonts w:ascii="Book Antiqua" w:hAnsi="Book Antiqua"/>
          <w:sz w:val="22"/>
          <w:szCs w:val="22"/>
        </w:rPr>
        <w:t>III. zvláštne skupina správy MV Jáchymov</w:t>
      </w:r>
    </w:p>
    <w:p>
      <w:pPr>
        <w:pStyle w:val="ListParagraph"/>
        <w:numPr>
          <w:ilvl w:val="0"/>
          <w:numId w:val="8"/>
        </w:numPr>
        <w:spacing w:lineRule="auto" w:line="276" w:before="120" w:after="0"/>
        <w:jc w:val="both"/>
        <w:rPr>
          <w:rFonts w:ascii="Book Antiqua" w:hAnsi="Book Antiqua"/>
          <w:sz w:val="22"/>
          <w:szCs w:val="22"/>
        </w:rPr>
      </w:pPr>
      <w:r>
        <w:rPr>
          <w:rFonts w:ascii="Book Antiqua" w:hAnsi="Book Antiqua"/>
          <w:sz w:val="22"/>
          <w:szCs w:val="22"/>
        </w:rPr>
        <w:t>zvláštna skupina správy MV Jáchymov</w:t>
      </w:r>
    </w:p>
    <w:p>
      <w:pPr>
        <w:pStyle w:val="ListParagraph"/>
        <w:widowControl/>
        <w:numPr>
          <w:ilvl w:val="0"/>
          <w:numId w:val="9"/>
        </w:numPr>
        <w:suppressAutoHyphens w:val="false"/>
        <w:spacing w:lineRule="auto" w:line="276" w:before="120" w:after="0"/>
        <w:jc w:val="both"/>
        <w:rPr>
          <w:rFonts w:ascii="Book Antiqua" w:hAnsi="Book Antiqua"/>
          <w:sz w:val="22"/>
          <w:szCs w:val="22"/>
        </w:rPr>
      </w:pPr>
      <w:r>
        <w:rPr>
          <w:rFonts w:ascii="Book Antiqua" w:hAnsi="Book Antiqua"/>
          <w:sz w:val="22"/>
          <w:szCs w:val="22"/>
        </w:rPr>
        <w:t>uvedené útvary krajských správ Ministerstva vnútra Československej republiky (1954 – 1966)</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I. odbor KS MV</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odbor "Z" KS MV</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II. odbor KS MV</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II. odbor KS MV Praha – pre hlavné mesto Prahu</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II. odbor KS MV Praha – pre Stredočeský kraj</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III. odbor KS MV</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IV. odbor KS MV</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V. odbor KS MV</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VI. odbor KS MV</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VII. odbor KS MV (do 1964)</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VIII. odbor KS MV</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IX. odbor KS MV</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odbor vyšetrovania KS MV</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odbor železničnej dopravy KS MV</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1. zvláštne oddelenie KS MV</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2. zvláštne oddelenie KS MV</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5. oddelenie KS MV</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6. zvláštne oddelenie KS MV</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7. samostatné oddelenie KS MV</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zvláštne skupina KS MV</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3. zvláštna skupina KS MV</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6. zvláštna skupina KS MV</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analytická skupina (oddelenie) KS MV</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skupina ochrany straníckych (politických) činiteľov pri vnútornom oddelení (odboru) KS MV</w:t>
      </w:r>
    </w:p>
    <w:p>
      <w:pPr>
        <w:pStyle w:val="ListParagraph"/>
        <w:numPr>
          <w:ilvl w:val="0"/>
          <w:numId w:val="11"/>
        </w:numPr>
        <w:spacing w:lineRule="auto" w:line="276" w:before="120" w:after="0"/>
        <w:jc w:val="both"/>
        <w:rPr>
          <w:rFonts w:ascii="Book Antiqua" w:hAnsi="Book Antiqua"/>
          <w:sz w:val="22"/>
          <w:szCs w:val="22"/>
        </w:rPr>
      </w:pPr>
      <w:r>
        <w:rPr>
          <w:rFonts w:ascii="Book Antiqua" w:hAnsi="Book Antiqua"/>
          <w:sz w:val="22"/>
          <w:szCs w:val="22"/>
        </w:rPr>
        <w:t>útvar Dunaj KS MV Bratislava</w:t>
      </w:r>
    </w:p>
    <w:p>
      <w:pPr>
        <w:pStyle w:val="ListParagraph"/>
        <w:widowControl/>
        <w:numPr>
          <w:ilvl w:val="0"/>
          <w:numId w:val="9"/>
        </w:numPr>
        <w:suppressAutoHyphens w:val="false"/>
        <w:spacing w:lineRule="auto" w:line="276" w:before="120" w:after="0"/>
        <w:jc w:val="both"/>
        <w:rPr>
          <w:rFonts w:ascii="Book Antiqua" w:hAnsi="Book Antiqua"/>
          <w:sz w:val="22"/>
          <w:szCs w:val="22"/>
        </w:rPr>
      </w:pPr>
      <w:r>
        <w:rPr>
          <w:rFonts w:ascii="Book Antiqua" w:hAnsi="Book Antiqua"/>
          <w:sz w:val="22"/>
          <w:szCs w:val="22"/>
        </w:rPr>
        <w:t>I. odbor krajskej správy Zboru národnej bezpečnosti (1966 - 1969)</w:t>
      </w:r>
    </w:p>
    <w:p>
      <w:pPr>
        <w:pStyle w:val="ListParagraph"/>
        <w:widowControl/>
        <w:numPr>
          <w:ilvl w:val="0"/>
          <w:numId w:val="9"/>
        </w:numPr>
        <w:suppressAutoHyphens w:val="false"/>
        <w:spacing w:lineRule="auto" w:line="276" w:before="120" w:after="0"/>
        <w:jc w:val="both"/>
        <w:rPr>
          <w:rFonts w:ascii="Book Antiqua" w:hAnsi="Book Antiqua"/>
          <w:sz w:val="22"/>
          <w:szCs w:val="22"/>
        </w:rPr>
      </w:pPr>
      <w:r>
        <w:rPr>
          <w:rFonts w:ascii="Book Antiqua" w:hAnsi="Book Antiqua"/>
          <w:sz w:val="22"/>
          <w:szCs w:val="22"/>
        </w:rPr>
        <w:t>správa Štátnej bezpečnosti krajskej správy Zboru národnej bezpečnosti, správa Štátnej bezpečnosti správy hlavného mesta Bratislavy a Západoslovenského kraja a správa Štátnej bezpečnosti správy Zboru národnej bezpečnosti hlavného mesta Prahy a Stredočeského kraja (1966 – 1990):</w:t>
      </w:r>
    </w:p>
    <w:p>
      <w:pPr>
        <w:pStyle w:val="ListParagraph"/>
        <w:widowControl/>
        <w:numPr>
          <w:ilvl w:val="0"/>
          <w:numId w:val="9"/>
        </w:numPr>
        <w:suppressAutoHyphens w:val="false"/>
        <w:spacing w:lineRule="auto" w:line="276" w:before="120" w:after="0"/>
        <w:jc w:val="both"/>
        <w:rPr/>
      </w:pPr>
      <w:hyperlink r:id="rId13">
        <w:r>
          <w:rPr>
            <w:rStyle w:val="ListLabel407"/>
            <w:rFonts w:ascii="Book Antiqua" w:hAnsi="Book Antiqua"/>
            <w:sz w:val="22"/>
            <w:szCs w:val="22"/>
          </w:rPr>
          <w:t>odbor vyšetrovania Štátnej bezpečnosti krajskej správy Zboru národnej bezpečnosti, a správy Zboru národnej bezpečnosti hlavného mesta Bratislavy a Západoslovenského kraja</w:t>
        </w:r>
      </w:hyperlink>
      <w:r>
        <w:rPr>
          <w:rFonts w:ascii="Book Antiqua" w:hAnsi="Book Antiqua"/>
          <w:sz w:val="22"/>
          <w:szCs w:val="22"/>
        </w:rPr>
        <w:t xml:space="preserve"> a správy Zboru národnej bezpečnosti hlavného mesta Prahy a Stredočeského kraja (1966 – 1990)</w:t>
      </w:r>
    </w:p>
    <w:p>
      <w:pPr>
        <w:pStyle w:val="ListParagraph"/>
        <w:widowControl/>
        <w:numPr>
          <w:ilvl w:val="0"/>
          <w:numId w:val="9"/>
        </w:numPr>
        <w:suppressAutoHyphens w:val="false"/>
        <w:spacing w:lineRule="auto" w:line="276" w:before="120" w:after="0"/>
        <w:jc w:val="both"/>
        <w:rPr>
          <w:rFonts w:ascii="Book Antiqua" w:hAnsi="Book Antiqua"/>
          <w:sz w:val="22"/>
          <w:szCs w:val="22"/>
        </w:rPr>
      </w:pPr>
      <w:r>
        <w:rPr>
          <w:rFonts w:ascii="Book Antiqua" w:hAnsi="Book Antiqua"/>
          <w:sz w:val="22"/>
          <w:szCs w:val="22"/>
        </w:rPr>
        <w:t>krajské oddelenia (odbory) pasov a víz krajských správ Zboru národnej bezpečnosti</w:t>
      </w:r>
    </w:p>
    <w:p>
      <w:pPr>
        <w:pStyle w:val="ListParagraph"/>
        <w:widowControl/>
        <w:numPr>
          <w:ilvl w:val="0"/>
          <w:numId w:val="9"/>
        </w:numPr>
        <w:suppressAutoHyphens w:val="false"/>
        <w:spacing w:lineRule="auto" w:line="276" w:before="120" w:after="0"/>
        <w:jc w:val="both"/>
        <w:rPr>
          <w:rFonts w:ascii="Book Antiqua" w:hAnsi="Book Antiqua"/>
          <w:sz w:val="22"/>
          <w:szCs w:val="22"/>
        </w:rPr>
      </w:pPr>
      <w:r>
        <w:rPr>
          <w:rFonts w:ascii="Book Antiqua" w:hAnsi="Book Antiqua"/>
          <w:sz w:val="22"/>
          <w:szCs w:val="22"/>
        </w:rPr>
        <w:t>krajské oddelenia tlačového dozoru krajských správ Zboru národnej bezpečnosti</w:t>
      </w:r>
    </w:p>
    <w:p>
      <w:pPr>
        <w:pStyle w:val="ListParagraph"/>
        <w:widowControl/>
        <w:numPr>
          <w:ilvl w:val="0"/>
          <w:numId w:val="9"/>
        </w:numPr>
        <w:suppressAutoHyphens w:val="false"/>
        <w:spacing w:lineRule="auto" w:line="276" w:before="120" w:after="0"/>
        <w:jc w:val="both"/>
        <w:rPr>
          <w:rFonts w:ascii="Book Antiqua" w:hAnsi="Book Antiqua"/>
          <w:sz w:val="22"/>
          <w:szCs w:val="22"/>
        </w:rPr>
      </w:pPr>
      <w:r>
        <w:rPr>
          <w:rFonts w:ascii="Book Antiqua" w:hAnsi="Book Antiqua"/>
          <w:sz w:val="22"/>
          <w:szCs w:val="22"/>
        </w:rPr>
        <w:t>odbor pasov a víz krajskej správy Zboru národnej bezpečnosti, správy Zboru národnej bezpečnosti hlavného mesta Bratislavy a Západoslovenského kraje a Zboru národnej bezpečnosti hlavného mesta Prahy a Stredočeského kraja (1979 – 1990)</w:t>
      </w:r>
    </w:p>
    <w:p>
      <w:pPr>
        <w:pStyle w:val="ListParagraph"/>
        <w:widowControl/>
        <w:numPr>
          <w:ilvl w:val="0"/>
          <w:numId w:val="9"/>
        </w:numPr>
        <w:suppressAutoHyphens w:val="false"/>
        <w:spacing w:lineRule="auto" w:line="276" w:before="120" w:after="0"/>
        <w:jc w:val="both"/>
        <w:rPr>
          <w:rFonts w:ascii="Book Antiqua" w:hAnsi="Book Antiqua"/>
          <w:sz w:val="22"/>
          <w:szCs w:val="22"/>
        </w:rPr>
      </w:pPr>
      <w:r>
        <w:rPr>
          <w:rFonts w:ascii="Book Antiqua" w:hAnsi="Book Antiqua"/>
          <w:sz w:val="22"/>
          <w:szCs w:val="22"/>
        </w:rPr>
        <w:t>odbor ochrany straníckych a vládnych činiteľov Krajskej správy Zboru národnej bezpečnosti</w:t>
      </w:r>
    </w:p>
    <w:p>
      <w:pPr>
        <w:pStyle w:val="ListParagraph"/>
        <w:widowControl/>
        <w:numPr>
          <w:ilvl w:val="0"/>
          <w:numId w:val="9"/>
        </w:numPr>
        <w:suppressAutoHyphens w:val="false"/>
        <w:spacing w:lineRule="auto" w:line="276" w:before="120" w:after="0"/>
        <w:jc w:val="both"/>
        <w:rPr>
          <w:rFonts w:ascii="Book Antiqua" w:hAnsi="Book Antiqua"/>
          <w:sz w:val="22"/>
          <w:szCs w:val="22"/>
        </w:rPr>
      </w:pPr>
      <w:r>
        <w:rPr>
          <w:rFonts w:ascii="Book Antiqua" w:hAnsi="Book Antiqua"/>
          <w:sz w:val="22"/>
          <w:szCs w:val="22"/>
        </w:rPr>
        <w:t>II. odbor krajskej správy Zboru národnej bezpečnosti Praha - pre hlavné mesto Prahu (1966 - 1969)</w:t>
      </w:r>
    </w:p>
    <w:p>
      <w:pPr>
        <w:pStyle w:val="ListParagraph"/>
        <w:widowControl/>
        <w:numPr>
          <w:ilvl w:val="0"/>
          <w:numId w:val="9"/>
        </w:numPr>
        <w:suppressAutoHyphens w:val="false"/>
        <w:spacing w:lineRule="auto" w:line="276" w:before="120" w:after="0"/>
        <w:jc w:val="both"/>
        <w:rPr>
          <w:rFonts w:ascii="Book Antiqua" w:hAnsi="Book Antiqua"/>
          <w:sz w:val="22"/>
          <w:szCs w:val="22"/>
        </w:rPr>
      </w:pPr>
      <w:r>
        <w:rPr>
          <w:rFonts w:ascii="Book Antiqua" w:hAnsi="Book Antiqua"/>
          <w:sz w:val="22"/>
          <w:szCs w:val="22"/>
        </w:rPr>
        <w:t>II. odbor krajskej správy Zboru národnej bezpečnosti Praha - pre Stredočeský kraj (1966 - 1969)</w:t>
      </w:r>
    </w:p>
    <w:p>
      <w:pPr>
        <w:pStyle w:val="ListParagraph"/>
        <w:widowControl/>
        <w:numPr>
          <w:ilvl w:val="0"/>
          <w:numId w:val="9"/>
        </w:numPr>
        <w:suppressAutoHyphens w:val="false"/>
        <w:spacing w:lineRule="auto" w:line="276" w:before="120" w:after="0"/>
        <w:jc w:val="both"/>
        <w:rPr>
          <w:rFonts w:ascii="Book Antiqua" w:hAnsi="Book Antiqua"/>
          <w:sz w:val="22"/>
          <w:szCs w:val="22"/>
        </w:rPr>
      </w:pPr>
      <w:r>
        <w:rPr>
          <w:rFonts w:ascii="Book Antiqua" w:hAnsi="Book Antiqua"/>
          <w:sz w:val="22"/>
          <w:szCs w:val="22"/>
        </w:rPr>
        <w:t>IV. odbor (ustanovka) krajskej správy Zboru národnej bezpečnosti Praha (1966 - 1969)</w:t>
      </w:r>
    </w:p>
    <w:p>
      <w:pPr>
        <w:pStyle w:val="ListParagraph"/>
        <w:widowControl/>
        <w:numPr>
          <w:ilvl w:val="0"/>
          <w:numId w:val="9"/>
        </w:numPr>
        <w:suppressAutoHyphens w:val="false"/>
        <w:spacing w:lineRule="auto" w:line="276" w:before="120" w:after="0"/>
        <w:jc w:val="both"/>
        <w:rPr>
          <w:rFonts w:ascii="Book Antiqua" w:hAnsi="Book Antiqua"/>
          <w:sz w:val="22"/>
          <w:szCs w:val="22"/>
        </w:rPr>
      </w:pPr>
      <w:r>
        <w:rPr>
          <w:rFonts w:ascii="Book Antiqua" w:hAnsi="Book Antiqua"/>
          <w:sz w:val="22"/>
          <w:szCs w:val="22"/>
        </w:rPr>
        <w:t>VI. odbor krajskej správy Zboru národnej bezpečnosti Praha (1966 - 1969)</w:t>
      </w:r>
    </w:p>
    <w:p>
      <w:pPr>
        <w:pStyle w:val="ListParagraph"/>
        <w:widowControl/>
        <w:numPr>
          <w:ilvl w:val="0"/>
          <w:numId w:val="9"/>
        </w:numPr>
        <w:suppressAutoHyphens w:val="false"/>
        <w:spacing w:lineRule="auto" w:line="276" w:before="120" w:after="0"/>
        <w:jc w:val="both"/>
        <w:rPr>
          <w:rFonts w:ascii="Book Antiqua" w:hAnsi="Book Antiqua"/>
          <w:sz w:val="22"/>
          <w:szCs w:val="22"/>
        </w:rPr>
      </w:pPr>
      <w:r>
        <w:rPr>
          <w:rFonts w:ascii="Book Antiqua" w:hAnsi="Book Antiqua"/>
          <w:sz w:val="22"/>
          <w:szCs w:val="22"/>
        </w:rPr>
        <w:t>štatisticko-evidenčné oddelenie krajskej správy Zboru národnej bezpečnosti Praha (1966 - 1969)</w:t>
      </w:r>
    </w:p>
    <w:p>
      <w:pPr>
        <w:pStyle w:val="ListParagraph"/>
        <w:widowControl/>
        <w:numPr>
          <w:ilvl w:val="0"/>
          <w:numId w:val="9"/>
        </w:numPr>
        <w:suppressAutoHyphens w:val="false"/>
        <w:spacing w:lineRule="auto" w:line="276" w:before="120" w:after="0"/>
        <w:jc w:val="both"/>
        <w:rPr>
          <w:rFonts w:ascii="Book Antiqua" w:hAnsi="Book Antiqua"/>
          <w:sz w:val="22"/>
          <w:szCs w:val="22"/>
        </w:rPr>
      </w:pPr>
      <w:r>
        <w:rPr>
          <w:rFonts w:ascii="Book Antiqua" w:hAnsi="Book Antiqua"/>
          <w:sz w:val="22"/>
          <w:szCs w:val="22"/>
        </w:rPr>
        <w:t>analytické oddelenie krajskej správy Zboru národnej bezpečnosti Praha (1966 - 1969)</w:t>
      </w:r>
    </w:p>
    <w:p>
      <w:pPr>
        <w:pStyle w:val="ListParagraph"/>
        <w:widowControl/>
        <w:numPr>
          <w:ilvl w:val="0"/>
          <w:numId w:val="9"/>
        </w:numPr>
        <w:suppressAutoHyphens w:val="false"/>
        <w:spacing w:lineRule="auto" w:line="276" w:before="120" w:after="0"/>
        <w:jc w:val="both"/>
        <w:rPr>
          <w:rFonts w:ascii="Book Antiqua" w:hAnsi="Book Antiqua"/>
          <w:sz w:val="22"/>
          <w:szCs w:val="22"/>
        </w:rPr>
      </w:pPr>
      <w:r>
        <w:rPr>
          <w:rFonts w:ascii="Book Antiqua" w:hAnsi="Book Antiqua"/>
          <w:sz w:val="22"/>
          <w:szCs w:val="22"/>
        </w:rPr>
        <w:t>analyticko-evidenčný odbor krajskej správy Zboru národnej bezpečnosti Praha (1966 - 1969)</w:t>
      </w:r>
    </w:p>
    <w:p>
      <w:pPr>
        <w:pStyle w:val="ListParagraph"/>
        <w:numPr>
          <w:ilvl w:val="0"/>
          <w:numId w:val="9"/>
        </w:numPr>
        <w:spacing w:lineRule="auto" w:line="276" w:before="120" w:after="0"/>
        <w:jc w:val="both"/>
        <w:rPr>
          <w:rFonts w:ascii="Book Antiqua" w:hAnsi="Book Antiqua"/>
          <w:sz w:val="22"/>
          <w:szCs w:val="22"/>
        </w:rPr>
      </w:pPr>
      <w:r>
        <w:rPr>
          <w:rFonts w:ascii="Book Antiqua" w:hAnsi="Book Antiqua"/>
          <w:sz w:val="22"/>
          <w:szCs w:val="22"/>
        </w:rPr>
        <w:t>oblastný odbor Štátnej bezpečnosti správy Zboru národnej bezpečnosti hlavného mesta Prahy a Stredočeského kraja (1980 – 1982)</w:t>
      </w:r>
    </w:p>
    <w:p>
      <w:pPr>
        <w:pStyle w:val="ListParagraph"/>
        <w:numPr>
          <w:ilvl w:val="0"/>
          <w:numId w:val="9"/>
        </w:numPr>
        <w:spacing w:lineRule="auto" w:line="276" w:before="120" w:after="0"/>
        <w:jc w:val="both"/>
        <w:rPr>
          <w:rFonts w:ascii="Book Antiqua" w:hAnsi="Book Antiqua"/>
          <w:sz w:val="22"/>
          <w:szCs w:val="22"/>
        </w:rPr>
      </w:pPr>
      <w:r>
        <w:rPr>
          <w:rFonts w:ascii="Book Antiqua" w:hAnsi="Book Antiqua"/>
          <w:sz w:val="22"/>
          <w:szCs w:val="22"/>
        </w:rPr>
        <w:t>oddelenia Štátnej bezpečnosti útvaru Zboru národnej bezpečnosti Dukovany, Temelín, Mochovce a Jaslovské Bohunice (1983 – 1987)</w:t>
      </w:r>
    </w:p>
    <w:p>
      <w:pPr>
        <w:pStyle w:val="ListParagraph"/>
        <w:spacing w:lineRule="auto" w:line="276" w:before="120" w:after="0"/>
        <w:ind w:left="720" w:hanging="0"/>
        <w:jc w:val="both"/>
        <w:rPr>
          <w:rFonts w:ascii="Book Antiqua" w:hAnsi="Book Antiqua"/>
          <w:sz w:val="22"/>
          <w:szCs w:val="22"/>
        </w:rPr>
      </w:pPr>
      <w:r>
        <w:rPr>
          <w:rFonts w:ascii="Book Antiqua" w:hAnsi="Book Antiqua"/>
          <w:sz w:val="22"/>
          <w:szCs w:val="22"/>
        </w:rPr>
      </w:r>
    </w:p>
    <w:p>
      <w:pPr>
        <w:pStyle w:val="ListParagraph"/>
        <w:numPr>
          <w:ilvl w:val="0"/>
          <w:numId w:val="5"/>
        </w:numPr>
        <w:spacing w:lineRule="auto" w:line="276" w:before="120" w:after="0"/>
        <w:jc w:val="both"/>
        <w:rPr>
          <w:rFonts w:ascii="Book Antiqua" w:hAnsi="Book Antiqua"/>
          <w:caps/>
          <w:sz w:val="22"/>
          <w:szCs w:val="22"/>
        </w:rPr>
      </w:pPr>
      <w:r>
        <w:rPr>
          <w:rFonts w:ascii="Book Antiqua" w:hAnsi="Book Antiqua"/>
          <w:caps/>
          <w:sz w:val="22"/>
          <w:szCs w:val="22"/>
        </w:rPr>
        <w:t>Útvary štátnej bezpečnosti v okresoch (obvodoch)</w:t>
      </w:r>
    </w:p>
    <w:p>
      <w:pPr>
        <w:pStyle w:val="ListParagraph"/>
        <w:numPr>
          <w:ilvl w:val="0"/>
          <w:numId w:val="12"/>
        </w:numPr>
        <w:spacing w:lineRule="auto" w:line="276" w:before="120" w:after="0"/>
        <w:jc w:val="both"/>
        <w:rPr>
          <w:rFonts w:ascii="Book Antiqua" w:hAnsi="Book Antiqua"/>
          <w:sz w:val="22"/>
          <w:szCs w:val="22"/>
        </w:rPr>
      </w:pPr>
      <w:r>
        <w:rPr>
          <w:rFonts w:ascii="Book Antiqua" w:hAnsi="Book Antiqua"/>
          <w:sz w:val="22"/>
          <w:szCs w:val="22"/>
        </w:rPr>
        <w:t>veliteľstvo oddielu Štátnej bezpečnosti (1949 – 1952)</w:t>
      </w:r>
    </w:p>
    <w:p>
      <w:pPr>
        <w:pStyle w:val="ListParagraph"/>
        <w:numPr>
          <w:ilvl w:val="0"/>
          <w:numId w:val="12"/>
        </w:numPr>
        <w:spacing w:lineRule="auto" w:line="276" w:before="120" w:after="0"/>
        <w:jc w:val="both"/>
        <w:rPr>
          <w:rFonts w:ascii="Book Antiqua" w:hAnsi="Book Antiqua"/>
          <w:sz w:val="22"/>
          <w:szCs w:val="22"/>
        </w:rPr>
      </w:pPr>
      <w:r>
        <w:rPr>
          <w:rFonts w:ascii="Book Antiqua" w:hAnsi="Book Antiqua"/>
          <w:sz w:val="22"/>
          <w:szCs w:val="22"/>
        </w:rPr>
        <w:t>oddiel Štátnej bezpečnosti (1949 – 1952)</w:t>
      </w:r>
    </w:p>
    <w:p>
      <w:pPr>
        <w:pStyle w:val="ListParagraph"/>
        <w:numPr>
          <w:ilvl w:val="0"/>
          <w:numId w:val="12"/>
        </w:numPr>
        <w:spacing w:lineRule="auto" w:line="276" w:before="120" w:after="0"/>
        <w:jc w:val="both"/>
        <w:rPr>
          <w:rFonts w:ascii="Book Antiqua" w:hAnsi="Book Antiqua"/>
          <w:sz w:val="22"/>
          <w:szCs w:val="22"/>
        </w:rPr>
      </w:pPr>
      <w:r>
        <w:rPr>
          <w:rFonts w:ascii="Book Antiqua" w:hAnsi="Book Antiqua"/>
          <w:sz w:val="22"/>
          <w:szCs w:val="22"/>
        </w:rPr>
        <w:t>okresné oddelenia Štátnej bezpečnosti (1952 – 1953)</w:t>
      </w:r>
    </w:p>
    <w:p>
      <w:pPr>
        <w:pStyle w:val="ListParagraph"/>
        <w:numPr>
          <w:ilvl w:val="0"/>
          <w:numId w:val="12"/>
        </w:numPr>
        <w:spacing w:lineRule="auto" w:line="276" w:before="120" w:after="0"/>
        <w:jc w:val="both"/>
        <w:rPr>
          <w:rFonts w:ascii="Book Antiqua" w:hAnsi="Book Antiqua"/>
          <w:sz w:val="22"/>
          <w:szCs w:val="22"/>
        </w:rPr>
      </w:pPr>
      <w:r>
        <w:rPr>
          <w:rFonts w:ascii="Book Antiqua" w:hAnsi="Book Antiqua"/>
          <w:sz w:val="22"/>
          <w:szCs w:val="22"/>
        </w:rPr>
        <w:t>operatívne skupiny Ministerstva vnútra v obvodoch hlavného mesta Prahy (1956 – 1960)</w:t>
      </w:r>
    </w:p>
    <w:p>
      <w:pPr>
        <w:pStyle w:val="ListParagraph"/>
        <w:numPr>
          <w:ilvl w:val="0"/>
          <w:numId w:val="12"/>
        </w:numPr>
        <w:spacing w:lineRule="auto" w:line="276" w:before="120" w:after="0"/>
        <w:jc w:val="both"/>
        <w:rPr>
          <w:rFonts w:ascii="Book Antiqua" w:hAnsi="Book Antiqua"/>
          <w:sz w:val="22"/>
          <w:szCs w:val="22"/>
        </w:rPr>
      </w:pPr>
      <w:r>
        <w:rPr>
          <w:rFonts w:ascii="Book Antiqua" w:hAnsi="Book Antiqua"/>
          <w:sz w:val="22"/>
          <w:szCs w:val="22"/>
        </w:rPr>
        <w:t>obvodné oddelenia Ministerstva vnútra na území hlavného mesta Prahy – náčelník a operatívne skupina (1960 – 1964)</w:t>
      </w:r>
    </w:p>
    <w:p>
      <w:pPr>
        <w:pStyle w:val="ListParagraph"/>
        <w:numPr>
          <w:ilvl w:val="0"/>
          <w:numId w:val="12"/>
        </w:numPr>
        <w:spacing w:lineRule="auto" w:line="276" w:before="120" w:after="0"/>
        <w:jc w:val="both"/>
        <w:rPr>
          <w:rFonts w:ascii="Book Antiqua" w:hAnsi="Book Antiqua"/>
          <w:sz w:val="22"/>
          <w:szCs w:val="22"/>
        </w:rPr>
      </w:pPr>
      <w:r>
        <w:rPr>
          <w:rFonts w:ascii="Book Antiqua" w:hAnsi="Book Antiqua"/>
          <w:sz w:val="22"/>
          <w:szCs w:val="22"/>
        </w:rPr>
        <w:t>okresné oddelenia Ministerstva vnútra – náčelník, zástupca náčelníka pre operatívnu činnosť a jemu podriadení pracovníci (1954 – 1966)</w:t>
      </w:r>
    </w:p>
    <w:p>
      <w:pPr>
        <w:pStyle w:val="ListParagraph"/>
        <w:numPr>
          <w:ilvl w:val="0"/>
          <w:numId w:val="12"/>
        </w:numPr>
        <w:spacing w:lineRule="auto" w:line="276" w:before="120" w:after="0"/>
        <w:jc w:val="both"/>
        <w:rPr>
          <w:rFonts w:ascii="Book Antiqua" w:hAnsi="Book Antiqua"/>
          <w:sz w:val="22"/>
          <w:szCs w:val="22"/>
        </w:rPr>
      </w:pPr>
      <w:r>
        <w:rPr>
          <w:rFonts w:ascii="Book Antiqua" w:hAnsi="Book Antiqua"/>
          <w:sz w:val="22"/>
          <w:szCs w:val="22"/>
        </w:rPr>
        <w:t>oddelenia Štátnej bezpečnosti v okresoch (1966 – 1977)</w:t>
      </w:r>
    </w:p>
    <w:p>
      <w:pPr>
        <w:pStyle w:val="ListParagraph"/>
        <w:numPr>
          <w:ilvl w:val="0"/>
          <w:numId w:val="12"/>
        </w:numPr>
        <w:spacing w:lineRule="auto" w:line="276" w:before="120" w:after="0"/>
        <w:jc w:val="both"/>
        <w:rPr>
          <w:rFonts w:ascii="Book Antiqua" w:hAnsi="Book Antiqua"/>
          <w:sz w:val="22"/>
          <w:szCs w:val="22"/>
        </w:rPr>
      </w:pPr>
      <w:r>
        <w:rPr>
          <w:rFonts w:ascii="Book Antiqua" w:hAnsi="Book Antiqua"/>
          <w:sz w:val="22"/>
          <w:szCs w:val="22"/>
        </w:rPr>
        <w:t>skupiny Štátnej bezpečnosti v okresoch (1966 – 1977)</w:t>
      </w:r>
    </w:p>
    <w:p>
      <w:pPr>
        <w:pStyle w:val="ListParagraph"/>
        <w:numPr>
          <w:ilvl w:val="0"/>
          <w:numId w:val="12"/>
        </w:numPr>
        <w:spacing w:lineRule="auto" w:line="276" w:before="120" w:after="0"/>
        <w:jc w:val="both"/>
        <w:rPr>
          <w:rFonts w:ascii="Book Antiqua" w:hAnsi="Book Antiqua"/>
          <w:sz w:val="22"/>
          <w:szCs w:val="22"/>
        </w:rPr>
      </w:pPr>
      <w:r>
        <w:rPr>
          <w:rFonts w:ascii="Book Antiqua" w:hAnsi="Book Antiqua"/>
          <w:sz w:val="22"/>
          <w:szCs w:val="22"/>
        </w:rPr>
        <w:t>zložky Štátnej bezpečnosti pri okresných správach Zboru národnej bezpečnosti, obvodných správach Zboru národnej bezpečnosti v Prahe a Bratislave, mestských správach Zboru národnej bezpečnosti v Brne, Košiciach, Ostrave a Plzni (1977 – 1990):</w:t>
      </w:r>
    </w:p>
    <w:p>
      <w:pPr>
        <w:pStyle w:val="ListParagraph"/>
        <w:numPr>
          <w:ilvl w:val="0"/>
          <w:numId w:val="13"/>
        </w:numPr>
        <w:spacing w:lineRule="auto" w:line="276" w:before="120" w:after="0"/>
        <w:jc w:val="both"/>
        <w:rPr>
          <w:rFonts w:ascii="Book Antiqua" w:hAnsi="Book Antiqua"/>
          <w:sz w:val="22"/>
          <w:szCs w:val="22"/>
        </w:rPr>
      </w:pPr>
      <w:r>
        <w:rPr>
          <w:rFonts w:ascii="Book Antiqua" w:hAnsi="Book Antiqua"/>
          <w:sz w:val="22"/>
          <w:szCs w:val="22"/>
        </w:rPr>
        <w:t>odbor Štátnej bezpečnosti</w:t>
      </w:r>
    </w:p>
    <w:p>
      <w:pPr>
        <w:pStyle w:val="ListParagraph"/>
        <w:numPr>
          <w:ilvl w:val="0"/>
          <w:numId w:val="13"/>
        </w:numPr>
        <w:spacing w:lineRule="auto" w:line="276" w:before="120" w:after="0"/>
        <w:jc w:val="both"/>
        <w:rPr>
          <w:rFonts w:ascii="Book Antiqua" w:hAnsi="Book Antiqua"/>
          <w:sz w:val="22"/>
          <w:szCs w:val="22"/>
        </w:rPr>
      </w:pPr>
      <w:r>
        <w:rPr>
          <w:rFonts w:ascii="Book Antiqua" w:hAnsi="Book Antiqua"/>
          <w:sz w:val="22"/>
          <w:szCs w:val="22"/>
        </w:rPr>
        <w:t>oddelenie Štátnej bezpečnosti</w:t>
      </w:r>
    </w:p>
    <w:p>
      <w:pPr>
        <w:pStyle w:val="ListParagraph"/>
        <w:numPr>
          <w:ilvl w:val="0"/>
          <w:numId w:val="13"/>
        </w:numPr>
        <w:spacing w:lineRule="auto" w:line="276" w:before="120" w:after="0"/>
        <w:jc w:val="both"/>
        <w:rPr>
          <w:rFonts w:ascii="Book Antiqua" w:hAnsi="Book Antiqua"/>
          <w:sz w:val="22"/>
          <w:szCs w:val="22"/>
        </w:rPr>
      </w:pPr>
      <w:r>
        <w:rPr>
          <w:rFonts w:ascii="Book Antiqua" w:hAnsi="Book Antiqua"/>
          <w:sz w:val="22"/>
          <w:szCs w:val="22"/>
        </w:rPr>
        <w:t>vysunutá skupina Štátnej bezpečnosti</w:t>
      </w:r>
    </w:p>
    <w:p>
      <w:pPr>
        <w:pStyle w:val="ListParagraph"/>
        <w:numPr>
          <w:ilvl w:val="0"/>
          <w:numId w:val="13"/>
        </w:numPr>
        <w:spacing w:lineRule="auto" w:line="276" w:before="120" w:after="0"/>
        <w:jc w:val="both"/>
        <w:rPr>
          <w:rFonts w:ascii="Book Antiqua" w:hAnsi="Book Antiqua"/>
          <w:sz w:val="22"/>
          <w:szCs w:val="22"/>
        </w:rPr>
      </w:pPr>
      <w:r>
        <w:rPr>
          <w:rFonts w:ascii="Book Antiqua" w:hAnsi="Book Antiqua"/>
          <w:sz w:val="22"/>
          <w:szCs w:val="22"/>
        </w:rPr>
        <w:t>vysunuté pracovisko Štátnej bezpečnosti</w:t>
      </w:r>
    </w:p>
    <w:p>
      <w:pPr>
        <w:pStyle w:val="ListParagraph"/>
        <w:numPr>
          <w:ilvl w:val="0"/>
          <w:numId w:val="12"/>
        </w:numPr>
        <w:spacing w:lineRule="auto" w:line="276" w:before="120" w:after="0"/>
        <w:jc w:val="both"/>
        <w:rPr>
          <w:rFonts w:ascii="Book Antiqua" w:hAnsi="Book Antiqua"/>
          <w:sz w:val="22"/>
          <w:szCs w:val="22"/>
        </w:rPr>
      </w:pPr>
      <w:r>
        <w:rPr>
          <w:rFonts w:ascii="Book Antiqua" w:hAnsi="Book Antiqua"/>
          <w:sz w:val="22"/>
          <w:szCs w:val="22"/>
        </w:rPr>
        <w:t>oddelenie pasov a víz okresnej správy Zboru národnej bezpečnosti, obvodné správy Zboru národnej bezpečnosti v Prahe a Bratislava, mestské správy Zboru národnej bezpečnosti v Brne, Košiciach, Ostrave a Plzni (1979 – 1990)</w:t>
      </w:r>
    </w:p>
    <w:p>
      <w:pPr>
        <w:pStyle w:val="ListParagraph"/>
        <w:spacing w:lineRule="auto" w:line="276" w:before="120" w:after="0"/>
        <w:ind w:left="720" w:hanging="0"/>
        <w:jc w:val="both"/>
        <w:rPr>
          <w:rFonts w:ascii="Book Antiqua" w:hAnsi="Book Antiqua"/>
          <w:sz w:val="22"/>
          <w:szCs w:val="22"/>
        </w:rPr>
      </w:pPr>
      <w:r>
        <w:rPr>
          <w:rFonts w:ascii="Book Antiqua" w:hAnsi="Book Antiqua"/>
          <w:sz w:val="22"/>
          <w:szCs w:val="22"/>
        </w:rPr>
        <w:t xml:space="preserve"> </w:t>
      </w:r>
    </w:p>
    <w:p>
      <w:pPr>
        <w:pStyle w:val="ListParagraph"/>
        <w:numPr>
          <w:ilvl w:val="0"/>
          <w:numId w:val="5"/>
        </w:numPr>
        <w:spacing w:lineRule="auto" w:line="276" w:before="120" w:after="0"/>
        <w:jc w:val="both"/>
        <w:rPr>
          <w:rFonts w:ascii="Book Antiqua" w:hAnsi="Book Antiqua"/>
          <w:caps/>
          <w:sz w:val="22"/>
          <w:szCs w:val="22"/>
        </w:rPr>
      </w:pPr>
      <w:r>
        <w:rPr>
          <w:rFonts w:ascii="Book Antiqua" w:hAnsi="Book Antiqua"/>
          <w:caps/>
          <w:sz w:val="22"/>
          <w:szCs w:val="22"/>
        </w:rPr>
        <w:t xml:space="preserve">Ďalšie útvary štátnej bezpečnosti </w:t>
      </w:r>
    </w:p>
    <w:p>
      <w:pPr>
        <w:pStyle w:val="ListParagraph"/>
        <w:numPr>
          <w:ilvl w:val="0"/>
          <w:numId w:val="14"/>
        </w:numPr>
        <w:spacing w:lineRule="auto" w:line="276" w:before="120" w:after="0"/>
        <w:jc w:val="both"/>
        <w:rPr>
          <w:rFonts w:ascii="Book Antiqua" w:hAnsi="Book Antiqua"/>
          <w:sz w:val="22"/>
          <w:szCs w:val="22"/>
        </w:rPr>
      </w:pPr>
      <w:r>
        <w:rPr>
          <w:rFonts w:ascii="Book Antiqua" w:hAnsi="Book Antiqua"/>
          <w:sz w:val="22"/>
          <w:szCs w:val="22"/>
        </w:rPr>
        <w:t>oddelenie (oddiel, referát) pasovej kontroly (1949 – 1955, 1966 – 1973, 1979 – 1990)</w:t>
      </w:r>
    </w:p>
    <w:p>
      <w:pPr>
        <w:pStyle w:val="ListParagraph"/>
        <w:numPr>
          <w:ilvl w:val="0"/>
          <w:numId w:val="14"/>
        </w:numPr>
        <w:spacing w:lineRule="auto" w:line="276" w:before="120" w:after="0"/>
        <w:jc w:val="both"/>
        <w:rPr/>
      </w:pPr>
      <w:r>
        <w:fldChar w:fldCharType="begin"/>
      </w:r>
      <w:r>
        <w:rPr>
          <w:rStyle w:val="ListLabel407"/>
          <w:sz w:val="22"/>
          <w:szCs w:val="22"/>
          <w:rFonts w:ascii="Book Antiqua" w:hAnsi="Book Antiqua"/>
        </w:rPr>
        <w:instrText> HYPERLINK "http://www.ustrcr.cz/cs/rmv-or-stb-71-89" \l "olk"</w:instrText>
      </w:r>
      <w:r>
        <w:rPr>
          <w:rStyle w:val="ListLabel407"/>
          <w:sz w:val="22"/>
          <w:szCs w:val="22"/>
          <w:rFonts w:ascii="Book Antiqua" w:hAnsi="Book Antiqua"/>
        </w:rPr>
        <w:fldChar w:fldCharType="separate"/>
      </w:r>
      <w:r>
        <w:rPr>
          <w:rStyle w:val="ListLabel407"/>
          <w:rFonts w:ascii="Book Antiqua" w:hAnsi="Book Antiqua"/>
          <w:sz w:val="22"/>
          <w:szCs w:val="22"/>
        </w:rPr>
        <w:t xml:space="preserve"> </w:t>
      </w:r>
      <w:r>
        <w:rPr>
          <w:rStyle w:val="ListLabel407"/>
          <w:sz w:val="22"/>
          <w:szCs w:val="22"/>
          <w:rFonts w:ascii="Book Antiqua" w:hAnsi="Book Antiqua"/>
        </w:rPr>
        <w:fldChar w:fldCharType="end"/>
      </w:r>
      <w:r>
        <w:rPr>
          <w:rStyle w:val="ListLabel407"/>
          <w:rFonts w:ascii="Book Antiqua" w:hAnsi="Book Antiqua"/>
          <w:sz w:val="22"/>
          <w:szCs w:val="22"/>
        </w:rPr>
        <w:t>oddelenie (odbor) letiskovej kontroly</w:t>
      </w:r>
      <w:r>
        <w:rPr>
          <w:rFonts w:ascii="Book Antiqua" w:hAnsi="Book Antiqua"/>
          <w:sz w:val="22"/>
          <w:szCs w:val="22"/>
        </w:rPr>
        <w:t xml:space="preserve"> (1972 – 1990)</w:t>
      </w:r>
    </w:p>
    <w:p>
      <w:pPr>
        <w:pStyle w:val="ListParagraph"/>
        <w:numPr>
          <w:ilvl w:val="0"/>
          <w:numId w:val="14"/>
        </w:numPr>
        <w:spacing w:lineRule="auto" w:line="276" w:before="120" w:after="0"/>
        <w:jc w:val="both"/>
        <w:rPr>
          <w:rFonts w:ascii="Book Antiqua" w:hAnsi="Book Antiqua"/>
          <w:sz w:val="22"/>
          <w:szCs w:val="22"/>
        </w:rPr>
      </w:pPr>
      <w:r>
        <w:rPr>
          <w:rFonts w:ascii="Book Antiqua" w:hAnsi="Book Antiqua"/>
          <w:sz w:val="22"/>
          <w:szCs w:val="22"/>
        </w:rPr>
        <w:t>oddelenie ochrany štátnych hraníc (1979 – 1990).</w:t>
      </w:r>
    </w:p>
    <w:p>
      <w:pPr>
        <w:pStyle w:val="ListParagraph"/>
        <w:spacing w:lineRule="auto" w:line="276" w:before="120" w:after="0"/>
        <w:ind w:left="720" w:hanging="0"/>
        <w:jc w:val="both"/>
        <w:rPr>
          <w:rFonts w:ascii="Book Antiqua" w:hAnsi="Book Antiqua"/>
          <w:sz w:val="22"/>
          <w:szCs w:val="22"/>
        </w:rPr>
      </w:pPr>
      <w:r>
        <w:rPr>
          <w:rFonts w:ascii="Book Antiqua" w:hAnsi="Book Antiqua"/>
          <w:sz w:val="22"/>
          <w:szCs w:val="22"/>
        </w:rPr>
      </w:r>
    </w:p>
    <w:p>
      <w:pPr>
        <w:pStyle w:val="ListParagraph"/>
        <w:spacing w:lineRule="auto" w:line="276" w:before="120" w:after="0"/>
        <w:ind w:left="720" w:hanging="294"/>
        <w:jc w:val="both"/>
        <w:rPr>
          <w:rFonts w:ascii="Book Antiqua" w:hAnsi="Book Antiqua"/>
          <w:sz w:val="22"/>
          <w:szCs w:val="22"/>
        </w:rPr>
      </w:pPr>
      <w:r>
        <w:rPr>
          <w:rFonts w:ascii="Book Antiqua" w:hAnsi="Book Antiqua"/>
          <w:sz w:val="22"/>
          <w:szCs w:val="22"/>
        </w:rPr>
        <w:t xml:space="preserve">VIII.  </w:t>
      </w:r>
      <w:r>
        <w:rPr>
          <w:rFonts w:ascii="Book Antiqua" w:hAnsi="Book Antiqua"/>
          <w:caps/>
          <w:sz w:val="22"/>
          <w:szCs w:val="22"/>
        </w:rPr>
        <w:t>Spravodajské zložky Pohraničnej stráže</w:t>
      </w:r>
    </w:p>
    <w:p>
      <w:pPr>
        <w:pStyle w:val="ListParagraph"/>
        <w:spacing w:lineRule="auto" w:line="276" w:before="120" w:after="0"/>
        <w:ind w:left="720" w:hanging="294"/>
        <w:jc w:val="both"/>
        <w:rPr>
          <w:rFonts w:ascii="Book Antiqua" w:hAnsi="Book Antiqua"/>
          <w:sz w:val="22"/>
          <w:szCs w:val="22"/>
        </w:rPr>
      </w:pPr>
      <w:r>
        <w:rPr>
          <w:rFonts w:ascii="Book Antiqua" w:hAnsi="Book Antiqua"/>
          <w:sz w:val="22"/>
          <w:szCs w:val="22"/>
        </w:rPr>
        <w:t>1. sektor I/1 - operačný Veliteľstva Pohraničnej stráže (1950 – 1952)</w:t>
      </w:r>
    </w:p>
    <w:p>
      <w:pPr>
        <w:pStyle w:val="ListParagraph"/>
        <w:spacing w:lineRule="auto" w:line="276" w:before="120" w:after="0"/>
        <w:ind w:left="720" w:hanging="294"/>
        <w:jc w:val="both"/>
        <w:rPr>
          <w:rFonts w:ascii="Book Antiqua" w:hAnsi="Book Antiqua"/>
          <w:sz w:val="22"/>
          <w:szCs w:val="22"/>
        </w:rPr>
      </w:pPr>
      <w:r>
        <w:rPr>
          <w:rFonts w:ascii="Book Antiqua" w:hAnsi="Book Antiqua"/>
          <w:sz w:val="22"/>
          <w:szCs w:val="22"/>
        </w:rPr>
        <w:t>2. sektor I/2 - spravodajský Veliteľstva Pohraničnej stráže (1950 – 1952)</w:t>
      </w:r>
    </w:p>
    <w:p>
      <w:pPr>
        <w:pStyle w:val="ListParagraph"/>
        <w:spacing w:lineRule="auto" w:line="276" w:before="120" w:after="0"/>
        <w:ind w:left="720" w:hanging="294"/>
        <w:jc w:val="both"/>
        <w:rPr>
          <w:rFonts w:ascii="Book Antiqua" w:hAnsi="Book Antiqua"/>
          <w:sz w:val="22"/>
          <w:szCs w:val="22"/>
        </w:rPr>
      </w:pPr>
      <w:r>
        <w:rPr>
          <w:rFonts w:ascii="Book Antiqua" w:hAnsi="Book Antiqua"/>
          <w:sz w:val="22"/>
          <w:szCs w:val="22"/>
        </w:rPr>
        <w:t xml:space="preserve">3. odbor I/1 Hlavnej správy Pohraničnej a vnútornej stráže (1952 - </w:t>
      </w:r>
    </w:p>
    <w:p>
      <w:pPr>
        <w:pStyle w:val="ListParagraph"/>
        <w:spacing w:lineRule="auto" w:line="276" w:before="120" w:after="0"/>
        <w:ind w:left="720" w:hanging="294"/>
        <w:jc w:val="both"/>
        <w:rPr>
          <w:rFonts w:ascii="Book Antiqua" w:hAnsi="Book Antiqua"/>
          <w:sz w:val="22"/>
          <w:szCs w:val="22"/>
        </w:rPr>
      </w:pPr>
      <w:r>
        <w:rPr>
          <w:rFonts w:ascii="Book Antiqua" w:hAnsi="Book Antiqua"/>
          <w:sz w:val="22"/>
          <w:szCs w:val="22"/>
        </w:rPr>
        <w:t xml:space="preserve">4. odbor I/2 Hlavnej správy Pohraničnej a vnútornej stráže (1952 - </w:t>
      </w:r>
    </w:p>
    <w:p>
      <w:pPr>
        <w:pStyle w:val="ListParagraph"/>
        <w:spacing w:lineRule="auto" w:line="276" w:before="120" w:after="0"/>
        <w:ind w:left="720" w:hanging="294"/>
        <w:jc w:val="both"/>
        <w:rPr>
          <w:rFonts w:ascii="Book Antiqua" w:hAnsi="Book Antiqua"/>
          <w:sz w:val="22"/>
          <w:szCs w:val="22"/>
        </w:rPr>
      </w:pPr>
      <w:r>
        <w:rPr>
          <w:rFonts w:ascii="Book Antiqua" w:hAnsi="Book Antiqua"/>
          <w:sz w:val="22"/>
          <w:szCs w:val="22"/>
        </w:rPr>
        <w:t>5. spravodajské oddelenie brigády Pohraničnej stráže</w:t>
      </w:r>
    </w:p>
    <w:p>
      <w:pPr>
        <w:pStyle w:val="ListParagraph"/>
        <w:spacing w:lineRule="auto" w:line="276" w:before="120" w:after="0"/>
        <w:ind w:left="720" w:hanging="294"/>
        <w:jc w:val="both"/>
        <w:rPr>
          <w:rFonts w:ascii="Book Antiqua" w:hAnsi="Book Antiqua"/>
          <w:sz w:val="22"/>
          <w:szCs w:val="22"/>
        </w:rPr>
      </w:pPr>
      <w:r>
        <w:rPr>
          <w:rFonts w:ascii="Book Antiqua" w:hAnsi="Book Antiqua"/>
          <w:sz w:val="22"/>
          <w:szCs w:val="22"/>
        </w:rPr>
        <w:t>6. agentúrno-operatívne oddelenie brigády Pohraničnej stráže</w:t>
      </w:r>
    </w:p>
    <w:p>
      <w:pPr>
        <w:pStyle w:val="ListParagraph"/>
        <w:spacing w:lineRule="auto" w:line="276" w:before="120" w:after="0"/>
        <w:ind w:left="720" w:hanging="294"/>
        <w:jc w:val="both"/>
        <w:rPr>
          <w:rFonts w:ascii="Book Antiqua" w:hAnsi="Book Antiqua"/>
          <w:sz w:val="22"/>
          <w:szCs w:val="22"/>
        </w:rPr>
      </w:pPr>
      <w:r>
        <w:rPr>
          <w:rFonts w:ascii="Book Antiqua" w:hAnsi="Book Antiqua"/>
          <w:sz w:val="22"/>
          <w:szCs w:val="22"/>
        </w:rPr>
        <w:t>7. spravodajské oddelenie práporu brigády Pohraničnej stráže</w:t>
      </w:r>
    </w:p>
    <w:p>
      <w:pPr>
        <w:pStyle w:val="ListParagraph"/>
        <w:spacing w:lineRule="auto" w:line="276" w:before="120" w:after="0"/>
        <w:ind w:left="720" w:hanging="294"/>
        <w:jc w:val="both"/>
        <w:rPr>
          <w:rFonts w:ascii="Book Antiqua" w:hAnsi="Book Antiqua"/>
          <w:sz w:val="22"/>
          <w:szCs w:val="22"/>
        </w:rPr>
      </w:pPr>
      <w:r>
        <w:rPr>
          <w:rFonts w:ascii="Book Antiqua" w:hAnsi="Book Antiqua"/>
          <w:sz w:val="22"/>
          <w:szCs w:val="22"/>
        </w:rPr>
        <w:t xml:space="preserve">8. spravodajská skupina Pohraničnej stráže </w:t>
      </w:r>
    </w:p>
    <w:p>
      <w:pPr>
        <w:pStyle w:val="ListParagraph"/>
        <w:spacing w:lineRule="auto" w:line="276" w:before="120" w:after="0"/>
        <w:ind w:left="720" w:hanging="294"/>
        <w:jc w:val="both"/>
        <w:rPr>
          <w:rFonts w:ascii="Book Antiqua" w:hAnsi="Book Antiqua"/>
          <w:sz w:val="22"/>
          <w:szCs w:val="22"/>
        </w:rPr>
      </w:pPr>
      <w:r>
        <w:rPr>
          <w:rFonts w:ascii="Book Antiqua" w:hAnsi="Book Antiqua"/>
          <w:sz w:val="22"/>
          <w:szCs w:val="22"/>
        </w:rPr>
      </w:r>
    </w:p>
    <w:p>
      <w:pPr>
        <w:pStyle w:val="ListParagraph"/>
        <w:spacing w:lineRule="auto" w:line="276" w:before="120" w:after="0"/>
        <w:ind w:left="720" w:hanging="294"/>
        <w:jc w:val="both"/>
        <w:rPr>
          <w:rFonts w:ascii="Book Antiqua" w:hAnsi="Book Antiqua"/>
          <w:sz w:val="22"/>
          <w:szCs w:val="22"/>
        </w:rPr>
      </w:pPr>
      <w:r>
        <w:rPr>
          <w:rFonts w:ascii="Book Antiqua" w:hAnsi="Book Antiqua"/>
          <w:sz w:val="22"/>
          <w:szCs w:val="22"/>
        </w:rPr>
        <w:t xml:space="preserve">IX. </w:t>
      </w:r>
      <w:r>
        <w:rPr>
          <w:rFonts w:ascii="Book Antiqua" w:hAnsi="Book Antiqua"/>
          <w:caps/>
          <w:sz w:val="22"/>
          <w:szCs w:val="22"/>
        </w:rPr>
        <w:t>Spravodajské útvary Ministerstva národnej bezpečnosti</w:t>
      </w:r>
    </w:p>
    <w:p>
      <w:pPr>
        <w:pStyle w:val="ListParagraph"/>
        <w:spacing w:lineRule="auto" w:line="276" w:before="120" w:after="0"/>
        <w:ind w:left="720" w:hanging="294"/>
        <w:jc w:val="both"/>
        <w:rPr>
          <w:rFonts w:ascii="Book Antiqua" w:hAnsi="Book Antiqua"/>
          <w:sz w:val="22"/>
          <w:szCs w:val="22"/>
        </w:rPr>
      </w:pPr>
      <w:r>
        <w:rPr>
          <w:rFonts w:ascii="Book Antiqua" w:hAnsi="Book Antiqua"/>
          <w:sz w:val="22"/>
          <w:szCs w:val="22"/>
        </w:rPr>
        <w:t>1. 2. oddelenie Hlavného štábu Ministerstva národnej obrany (1945 – 1950)</w:t>
      </w:r>
    </w:p>
    <w:p>
      <w:pPr>
        <w:pStyle w:val="ListParagraph"/>
        <w:spacing w:lineRule="auto" w:line="276" w:before="120" w:after="0"/>
        <w:ind w:left="720" w:hanging="294"/>
        <w:jc w:val="both"/>
        <w:rPr>
          <w:rFonts w:ascii="Book Antiqua" w:hAnsi="Book Antiqua"/>
          <w:sz w:val="22"/>
          <w:szCs w:val="22"/>
        </w:rPr>
      </w:pPr>
      <w:r>
        <w:rPr>
          <w:rFonts w:ascii="Book Antiqua" w:hAnsi="Book Antiqua"/>
          <w:sz w:val="22"/>
          <w:szCs w:val="22"/>
        </w:rPr>
        <w:t>2. spravodajské oddelenie Hlavného štábu Ministerstva národnej obrany (1950 – 1951)</w:t>
      </w:r>
    </w:p>
    <w:p>
      <w:pPr>
        <w:pStyle w:val="ListParagraph"/>
        <w:spacing w:lineRule="auto" w:line="276" w:before="120" w:after="0"/>
        <w:ind w:left="720" w:hanging="294"/>
        <w:jc w:val="both"/>
        <w:rPr>
          <w:rFonts w:ascii="Book Antiqua" w:hAnsi="Book Antiqua"/>
          <w:sz w:val="22"/>
          <w:szCs w:val="22"/>
        </w:rPr>
      </w:pPr>
      <w:r>
        <w:rPr>
          <w:rFonts w:ascii="Book Antiqua" w:hAnsi="Book Antiqua"/>
          <w:sz w:val="22"/>
          <w:szCs w:val="22"/>
        </w:rPr>
        <w:t>3. spravodajská správa Generálneho štábu Československej ľudovej armády (1951 – 1989).“.</w:t>
      </w:r>
    </w:p>
    <w:p>
      <w:pPr>
        <w:pStyle w:val="Normal"/>
        <w:spacing w:lineRule="auto" w:line="276" w:before="120" w:after="0"/>
        <w:jc w:val="both"/>
        <w:rPr>
          <w:rFonts w:ascii="Book Antiqua" w:hAnsi="Book Antiqua"/>
          <w:sz w:val="22"/>
          <w:szCs w:val="22"/>
          <w:highlight w:val="green"/>
        </w:rPr>
      </w:pPr>
      <w:r>
        <w:rPr>
          <w:rFonts w:ascii="Book Antiqua" w:hAnsi="Book Antiqua"/>
          <w:sz w:val="22"/>
          <w:szCs w:val="22"/>
          <w:highlight w:val="green"/>
        </w:rPr>
      </w:r>
    </w:p>
    <w:p>
      <w:pPr>
        <w:pStyle w:val="Normal"/>
        <w:spacing w:lineRule="auto" w:line="276" w:before="120" w:after="0"/>
        <w:jc w:val="center"/>
        <w:rPr>
          <w:rFonts w:ascii="Book Antiqua" w:hAnsi="Book Antiqua"/>
          <w:b/>
          <w:b/>
          <w:sz w:val="22"/>
          <w:szCs w:val="22"/>
        </w:rPr>
      </w:pPr>
      <w:r>
        <w:rPr>
          <w:rFonts w:ascii="Book Antiqua" w:hAnsi="Book Antiqua"/>
          <w:b/>
          <w:sz w:val="22"/>
          <w:szCs w:val="22"/>
        </w:rPr>
        <w:t>Čl. V</w:t>
      </w:r>
    </w:p>
    <w:p>
      <w:pPr>
        <w:pStyle w:val="Normal"/>
        <w:spacing w:lineRule="auto" w:line="276" w:before="120" w:after="0"/>
        <w:ind w:firstLine="708"/>
        <w:jc w:val="both"/>
        <w:rPr>
          <w:rFonts w:ascii="Book Antiqua" w:hAnsi="Book Antiqua"/>
          <w:sz w:val="22"/>
          <w:szCs w:val="22"/>
        </w:rPr>
      </w:pPr>
      <w:r>
        <w:rPr>
          <w:rFonts w:ascii="Book Antiqua" w:hAnsi="Book Antiqua"/>
          <w:sz w:val="22"/>
          <w:szCs w:val="22"/>
        </w:rPr>
        <w:t>Tento zákon nadobúda účinnosť 1. marca 2020.</w:t>
      </w:r>
    </w:p>
    <w:p>
      <w:pPr>
        <w:pStyle w:val="Normal"/>
        <w:spacing w:lineRule="auto" w:line="276" w:before="120" w:after="0"/>
        <w:jc w:val="both"/>
        <w:rPr/>
      </w:pPr>
      <w:r>
        <w:rPr/>
      </w:r>
    </w:p>
    <w:sectPr>
      <w:type w:val="nextPage"/>
      <w:pgSz w:w="11906" w:h="16838"/>
      <w:pgMar w:left="1418" w:right="1418" w:header="0" w:top="1695" w:footer="0" w:bottom="1695" w:gutter="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Arial">
    <w:charset w:val="ee"/>
    <w:family w:val="roman"/>
    <w:pitch w:val="variable"/>
  </w:font>
  <w:font w:name="Cambria">
    <w:charset w:val="ee"/>
    <w:family w:val="roman"/>
    <w:pitch w:val="variable"/>
  </w:font>
  <w:font w:name="Tahoma">
    <w:charset w:val="ee"/>
    <w:family w:val="roman"/>
    <w:pitch w:val="variable"/>
  </w:font>
  <w:font w:name="Book Antiqua">
    <w:charset w:val="ee"/>
    <w:family w:val="roman"/>
    <w:pitch w:val="variable"/>
  </w:font>
  <w:font w:name="Liberation Sans">
    <w:altName w:val="Arial"/>
    <w:charset w:val="ee"/>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1146" w:hanging="360"/>
      </w:pPr>
      <w:rPr>
        <w:sz w:val="22"/>
        <w:b/>
        <w:rFonts w:ascii="Book Antiqua" w:hAnsi="Book Antiqua" w:cs="Times New Roman"/>
      </w:rPr>
    </w:lvl>
    <w:lvl w:ilvl="1">
      <w:start w:val="1"/>
      <w:numFmt w:val="lowerLetter"/>
      <w:lvlText w:val="%2."/>
      <w:lvlJc w:val="left"/>
      <w:pPr>
        <w:ind w:left="1866" w:hanging="360"/>
      </w:pPr>
      <w:rPr>
        <w:rFonts w:cs="Times New Roman"/>
      </w:rPr>
    </w:lvl>
    <w:lvl w:ilvl="2">
      <w:start w:val="1"/>
      <w:numFmt w:val="lowerRoman"/>
      <w:lvlText w:val="%3."/>
      <w:lvlJc w:val="right"/>
      <w:pPr>
        <w:ind w:left="2586" w:hanging="180"/>
      </w:pPr>
      <w:rPr>
        <w:rFonts w:cs="Times New Roman"/>
      </w:rPr>
    </w:lvl>
    <w:lvl w:ilvl="3">
      <w:start w:val="1"/>
      <w:numFmt w:val="decimal"/>
      <w:lvlText w:val="%4."/>
      <w:lvlJc w:val="left"/>
      <w:pPr>
        <w:ind w:left="3306" w:hanging="360"/>
      </w:pPr>
      <w:rPr>
        <w:rFonts w:cs="Times New Roman"/>
      </w:rPr>
    </w:lvl>
    <w:lvl w:ilvl="4">
      <w:start w:val="1"/>
      <w:numFmt w:val="lowerLetter"/>
      <w:lvlText w:val="%5."/>
      <w:lvlJc w:val="left"/>
      <w:pPr>
        <w:ind w:left="4026" w:hanging="360"/>
      </w:pPr>
      <w:rPr>
        <w:rFonts w:cs="Times New Roman"/>
      </w:rPr>
    </w:lvl>
    <w:lvl w:ilvl="5">
      <w:start w:val="1"/>
      <w:numFmt w:val="lowerRoman"/>
      <w:lvlText w:val="%6."/>
      <w:lvlJc w:val="right"/>
      <w:pPr>
        <w:ind w:left="4746" w:hanging="180"/>
      </w:pPr>
      <w:rPr>
        <w:rFonts w:cs="Times New Roman"/>
      </w:rPr>
    </w:lvl>
    <w:lvl w:ilvl="6">
      <w:start w:val="1"/>
      <w:numFmt w:val="decimal"/>
      <w:lvlText w:val="%7."/>
      <w:lvlJc w:val="left"/>
      <w:pPr>
        <w:ind w:left="5466" w:hanging="360"/>
      </w:pPr>
      <w:rPr>
        <w:rFonts w:cs="Times New Roman"/>
      </w:rPr>
    </w:lvl>
    <w:lvl w:ilvl="7">
      <w:start w:val="1"/>
      <w:numFmt w:val="lowerLetter"/>
      <w:lvlText w:val="%8."/>
      <w:lvlJc w:val="left"/>
      <w:pPr>
        <w:ind w:left="6186" w:hanging="360"/>
      </w:pPr>
      <w:rPr>
        <w:rFonts w:cs="Times New Roman"/>
      </w:rPr>
    </w:lvl>
    <w:lvl w:ilvl="8">
      <w:start w:val="1"/>
      <w:numFmt w:val="lowerRoman"/>
      <w:lvlText w:val="%9."/>
      <w:lvlJc w:val="right"/>
      <w:pPr>
        <w:ind w:left="6906" w:hanging="180"/>
      </w:pPr>
      <w:rPr>
        <w:rFonts w:cs="Times New Roman"/>
      </w:rPr>
    </w:lvl>
  </w:abstractNum>
  <w:abstractNum w:abstractNumId="2">
    <w:lvl w:ilvl="0">
      <w:start w:val="1"/>
      <w:numFmt w:val="decimal"/>
      <w:lvlText w:val="%1."/>
      <w:lvlJc w:val="left"/>
      <w:pPr>
        <w:ind w:left="720" w:hanging="360"/>
      </w:pPr>
      <w:rPr>
        <w:sz w:val="22"/>
        <w:rFonts w:ascii="Book Antiqua" w:hAnsi="Book Antiqua"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lvl w:ilvl="0">
      <w:start w:val="1"/>
      <w:numFmt w:val="decimal"/>
      <w:lvlText w:val="%1."/>
      <w:lvlJc w:val="left"/>
      <w:pPr>
        <w:ind w:left="720" w:hanging="360"/>
      </w:pPr>
      <w:rPr>
        <w:sz w:val="22"/>
        <w:rFonts w:ascii="Book Antiqua" w:hAnsi="Book Antiqua"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lvl w:ilvl="0">
      <w:start w:val="1"/>
      <w:numFmt w:val="decimal"/>
      <w:lvlText w:val="%1."/>
      <w:lvlJc w:val="left"/>
      <w:pPr>
        <w:ind w:left="720" w:hanging="360"/>
      </w:pPr>
      <w:rPr>
        <w:sz w:val="22"/>
        <w:rFonts w:ascii="Book Antiqua" w:hAnsi="Book Antiqua"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lvl w:ilvl="0">
      <w:start w:val="1"/>
      <w:numFmt w:val="upperRoman"/>
      <w:lvlText w:val="%1."/>
      <w:lvlJc w:val="left"/>
      <w:pPr>
        <w:ind w:left="1080" w:hanging="720"/>
      </w:pPr>
      <w:rPr>
        <w:sz w:val="22"/>
        <w:rFonts w:ascii="Book Antiqua" w:hAnsi="Book Antiqua"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lvl w:ilvl="0">
      <w:start w:val="1"/>
      <w:numFmt w:val="decimal"/>
      <w:lvlText w:val="%1."/>
      <w:lvlJc w:val="left"/>
      <w:pPr>
        <w:ind w:left="720" w:hanging="360"/>
      </w:pPr>
      <w:rPr>
        <w:sz w:val="22"/>
        <w:rFonts w:ascii="Book Antiqua" w:hAnsi="Book Antiqua"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lvl w:ilvl="0">
      <w:start w:val="1"/>
      <w:numFmt w:val="decimal"/>
      <w:lvlText w:val="%1."/>
      <w:lvlJc w:val="left"/>
      <w:pPr>
        <w:ind w:left="720" w:hanging="360"/>
      </w:pPr>
      <w:rPr>
        <w:sz w:val="22"/>
        <w:rFonts w:ascii="Book Antiqua" w:hAnsi="Book Antiqua"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lvl w:ilvl="0">
      <w:start w:val="1"/>
      <w:numFmt w:val="lowerLetter"/>
      <w:lvlText w:val="%1)"/>
      <w:lvlJc w:val="left"/>
      <w:pPr>
        <w:ind w:left="1440" w:hanging="360"/>
      </w:pPr>
      <w:rPr>
        <w:sz w:val="22"/>
        <w:rFonts w:ascii="Book Antiqua" w:hAnsi="Book Antiqua" w:cs="Times New Roman"/>
      </w:rPr>
    </w:lvl>
    <w:lvl w:ilvl="1">
      <w:start w:val="1"/>
      <w:numFmt w:val="upperRoman"/>
      <w:lvlText w:val="%2."/>
      <w:lvlJc w:val="left"/>
      <w:pPr>
        <w:ind w:left="2520" w:hanging="720"/>
      </w:pPr>
      <w:rPr>
        <w:sz w:val="20"/>
        <w:rFonts w:cs="Arial"/>
        <w:color w:val="444444"/>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9">
    <w:lvl w:ilvl="0">
      <w:start w:val="1"/>
      <w:numFmt w:val="decimal"/>
      <w:lvlText w:val="%1."/>
      <w:lvlJc w:val="left"/>
      <w:pPr>
        <w:ind w:left="720" w:hanging="360"/>
      </w:pPr>
      <w:rPr>
        <w:sz w:val="22"/>
        <w:rFonts w:ascii="Book Antiqua" w:hAnsi="Book Antiqua"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lvl w:ilvl="0">
      <w:start w:val="1"/>
      <w:numFmt w:val="decimal"/>
      <w:lvlText w:val="%1."/>
      <w:lvlJc w:val="left"/>
      <w:pPr>
        <w:ind w:left="720" w:hanging="360"/>
      </w:pPr>
      <w:rPr>
        <w:sz w:val="22"/>
        <w:rFonts w:ascii="Book Antiqua" w:hAnsi="Book Antiqua"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lvl w:ilvl="0">
      <w:start w:val="1"/>
      <w:numFmt w:val="lowerLetter"/>
      <w:lvlText w:val="%1)"/>
      <w:lvlJc w:val="left"/>
      <w:pPr>
        <w:ind w:left="1440" w:hanging="360"/>
      </w:pPr>
      <w:rPr>
        <w:sz w:val="22"/>
        <w:rFonts w:ascii="Book Antiqua" w:hAnsi="Book Antiqua" w:cs="Times New Roman"/>
      </w:rPr>
    </w:lvl>
    <w:lvl w:ilvl="1">
      <w:start w:val="1"/>
      <w:numFmt w:val="upperRoman"/>
      <w:lvlText w:val="%2."/>
      <w:lvlJc w:val="left"/>
      <w:pPr>
        <w:ind w:left="2520" w:hanging="720"/>
      </w:pPr>
      <w:rPr>
        <w:sz w:val="20"/>
        <w:rFonts w:cs="Arial"/>
        <w:color w:val="444444"/>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2">
    <w:lvl w:ilvl="0">
      <w:start w:val="1"/>
      <w:numFmt w:val="decimal"/>
      <w:lvlText w:val="%1."/>
      <w:lvlJc w:val="left"/>
      <w:pPr>
        <w:ind w:left="720" w:hanging="360"/>
      </w:pPr>
      <w:rPr>
        <w:sz w:val="22"/>
        <w:rFonts w:ascii="Book Antiqua" w:hAnsi="Book Antiqua"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lvl w:ilvl="0">
      <w:start w:val="1"/>
      <w:numFmt w:val="lowerLetter"/>
      <w:lvlText w:val="%1)"/>
      <w:lvlJc w:val="left"/>
      <w:pPr>
        <w:ind w:left="1440" w:hanging="360"/>
      </w:pPr>
      <w:rPr>
        <w:sz w:val="22"/>
        <w:rFonts w:ascii="Book Antiqua" w:hAnsi="Book Antiqua" w:cs="Times New Roman"/>
      </w:rPr>
    </w:lvl>
    <w:lvl w:ilvl="1">
      <w:start w:val="1"/>
      <w:numFmt w:val="upperRoman"/>
      <w:lvlText w:val="%2."/>
      <w:lvlJc w:val="left"/>
      <w:pPr>
        <w:ind w:left="2520" w:hanging="720"/>
      </w:pPr>
      <w:rPr>
        <w:sz w:val="20"/>
        <w:rFonts w:cs="Arial"/>
        <w:color w:val="444444"/>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4">
    <w:lvl w:ilvl="0">
      <w:start w:val="1"/>
      <w:numFmt w:val="decimal"/>
      <w:lvlText w:val="%1."/>
      <w:lvlJc w:val="left"/>
      <w:pPr>
        <w:ind w:left="720" w:hanging="360"/>
      </w:pPr>
      <w:rPr>
        <w:sz w:val="22"/>
        <w:rFonts w:ascii="Book Antiqua" w:hAnsi="Book Antiqua"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5">
    <w:lvl w:ilvl="0">
      <w:start w:val="1"/>
      <w:numFmt w:val="decimal"/>
      <w:lvlText w:val="(%1)"/>
      <w:lvlJc w:val="left"/>
      <w:pPr>
        <w:ind w:left="1421" w:hanging="570"/>
      </w:pPr>
      <w:rPr>
        <w:sz w:val="22"/>
        <w:rFonts w:ascii="Book Antiqua" w:hAnsi="Book Antiqua" w:cs="Times New Roman"/>
      </w:rPr>
    </w:lvl>
    <w:lvl w:ilvl="1">
      <w:start w:val="1"/>
      <w:numFmt w:val="lowerLetter"/>
      <w:lvlText w:val="%2."/>
      <w:lvlJc w:val="left"/>
      <w:pPr>
        <w:ind w:left="1931" w:hanging="360"/>
      </w:pPr>
      <w:rPr>
        <w:rFonts w:cs="Times New Roman"/>
      </w:rPr>
    </w:lvl>
    <w:lvl w:ilvl="2">
      <w:start w:val="1"/>
      <w:numFmt w:val="lowerRoman"/>
      <w:lvlText w:val="%3."/>
      <w:lvlJc w:val="right"/>
      <w:pPr>
        <w:ind w:left="2651" w:hanging="180"/>
      </w:pPr>
      <w:rPr>
        <w:rFonts w:cs="Times New Roman"/>
      </w:rPr>
    </w:lvl>
    <w:lvl w:ilvl="3">
      <w:start w:val="1"/>
      <w:numFmt w:val="decimal"/>
      <w:lvlText w:val="%4."/>
      <w:lvlJc w:val="left"/>
      <w:pPr>
        <w:ind w:left="3371" w:hanging="360"/>
      </w:pPr>
      <w:rPr>
        <w:rFonts w:cs="Times New Roman"/>
      </w:rPr>
    </w:lvl>
    <w:lvl w:ilvl="4">
      <w:start w:val="1"/>
      <w:numFmt w:val="lowerLetter"/>
      <w:lvlText w:val="%5."/>
      <w:lvlJc w:val="left"/>
      <w:pPr>
        <w:ind w:left="4091" w:hanging="360"/>
      </w:pPr>
      <w:rPr>
        <w:rFonts w:cs="Times New Roman"/>
      </w:rPr>
    </w:lvl>
    <w:lvl w:ilvl="5">
      <w:start w:val="1"/>
      <w:numFmt w:val="lowerRoman"/>
      <w:lvlText w:val="%6."/>
      <w:lvlJc w:val="right"/>
      <w:pPr>
        <w:ind w:left="4811" w:hanging="180"/>
      </w:pPr>
      <w:rPr>
        <w:rFonts w:cs="Times New Roman"/>
      </w:rPr>
    </w:lvl>
    <w:lvl w:ilvl="6">
      <w:start w:val="1"/>
      <w:numFmt w:val="decimal"/>
      <w:lvlText w:val="%7."/>
      <w:lvlJc w:val="left"/>
      <w:pPr>
        <w:ind w:left="5531" w:hanging="360"/>
      </w:pPr>
      <w:rPr>
        <w:rFonts w:cs="Times New Roman"/>
      </w:rPr>
    </w:lvl>
    <w:lvl w:ilvl="7">
      <w:start w:val="1"/>
      <w:numFmt w:val="lowerLetter"/>
      <w:lvlText w:val="%8."/>
      <w:lvlJc w:val="left"/>
      <w:pPr>
        <w:ind w:left="6251" w:hanging="360"/>
      </w:pPr>
      <w:rPr>
        <w:rFonts w:cs="Times New Roman"/>
      </w:rPr>
    </w:lvl>
    <w:lvl w:ilvl="8">
      <w:start w:val="1"/>
      <w:numFmt w:val="lowerRoman"/>
      <w:lvlText w:val="%9."/>
      <w:lvlJc w:val="right"/>
      <w:pPr>
        <w:ind w:left="6971" w:hanging="180"/>
      </w:pPr>
      <w:rPr>
        <w:rFonts w:cs="Times New Roman"/>
      </w:rPr>
    </w:lvl>
  </w:abstractNum>
  <w:abstractNum w:abstractNumId="16">
    <w:lvl w:ilvl="0">
      <w:start w:val="1"/>
      <w:numFmt w:val="decimal"/>
      <w:lvlText w:val="%1."/>
      <w:lvlJc w:val="left"/>
      <w:pPr>
        <w:ind w:left="1145" w:hanging="360"/>
      </w:pPr>
      <w:rPr>
        <w:sz w:val="22"/>
        <w:rFonts w:ascii="Book Antiqua" w:hAnsi="Book Antiqua" w:cs="Times New Roman"/>
      </w:rPr>
    </w:lvl>
    <w:lvl w:ilvl="1">
      <w:start w:val="1"/>
      <w:numFmt w:val="lowerLetter"/>
      <w:lvlText w:val="%2."/>
      <w:lvlJc w:val="left"/>
      <w:pPr>
        <w:ind w:left="1865" w:hanging="360"/>
      </w:pPr>
      <w:rPr>
        <w:rFonts w:cs="Times New Roman"/>
      </w:rPr>
    </w:lvl>
    <w:lvl w:ilvl="2">
      <w:start w:val="1"/>
      <w:numFmt w:val="lowerRoman"/>
      <w:lvlText w:val="%3."/>
      <w:lvlJc w:val="right"/>
      <w:pPr>
        <w:ind w:left="2585" w:hanging="180"/>
      </w:pPr>
      <w:rPr>
        <w:rFonts w:cs="Times New Roman"/>
      </w:rPr>
    </w:lvl>
    <w:lvl w:ilvl="3">
      <w:start w:val="1"/>
      <w:numFmt w:val="decimal"/>
      <w:lvlText w:val="%4."/>
      <w:lvlJc w:val="left"/>
      <w:pPr>
        <w:ind w:left="3305" w:hanging="360"/>
      </w:pPr>
      <w:rPr>
        <w:rFonts w:cs="Times New Roman"/>
      </w:rPr>
    </w:lvl>
    <w:lvl w:ilvl="4">
      <w:start w:val="1"/>
      <w:numFmt w:val="lowerLetter"/>
      <w:lvlText w:val="%5."/>
      <w:lvlJc w:val="left"/>
      <w:pPr>
        <w:ind w:left="4025" w:hanging="360"/>
      </w:pPr>
      <w:rPr>
        <w:rFonts w:cs="Times New Roman"/>
      </w:rPr>
    </w:lvl>
    <w:lvl w:ilvl="5">
      <w:start w:val="1"/>
      <w:numFmt w:val="lowerRoman"/>
      <w:lvlText w:val="%6."/>
      <w:lvlJc w:val="right"/>
      <w:pPr>
        <w:ind w:left="4745" w:hanging="180"/>
      </w:pPr>
      <w:rPr>
        <w:rFonts w:cs="Times New Roman"/>
      </w:rPr>
    </w:lvl>
    <w:lvl w:ilvl="6">
      <w:start w:val="1"/>
      <w:numFmt w:val="decimal"/>
      <w:lvlText w:val="%7."/>
      <w:lvlJc w:val="left"/>
      <w:pPr>
        <w:ind w:left="5465" w:hanging="360"/>
      </w:pPr>
      <w:rPr>
        <w:rFonts w:cs="Times New Roman"/>
      </w:rPr>
    </w:lvl>
    <w:lvl w:ilvl="7">
      <w:start w:val="1"/>
      <w:numFmt w:val="lowerLetter"/>
      <w:lvlText w:val="%8."/>
      <w:lvlJc w:val="left"/>
      <w:pPr>
        <w:ind w:left="6185" w:hanging="360"/>
      </w:pPr>
      <w:rPr>
        <w:rFonts w:cs="Times New Roman"/>
      </w:rPr>
    </w:lvl>
    <w:lvl w:ilvl="8">
      <w:start w:val="1"/>
      <w:numFmt w:val="lowerRoman"/>
      <w:lvlText w:val="%9."/>
      <w:lvlJc w:val="right"/>
      <w:pPr>
        <w:ind w:left="6905" w:hanging="180"/>
      </w:pPr>
      <w:rPr>
        <w:rFonts w:cs="Times New Roman"/>
      </w:rPr>
    </w:lvl>
  </w:abstractNum>
  <w:abstractNum w:abstractNumId="17">
    <w:lvl w:ilvl="0">
      <w:start w:val="1"/>
      <w:numFmt w:val="decimal"/>
      <w:lvlText w:val="(%1)"/>
      <w:lvlJc w:val="left"/>
      <w:pPr>
        <w:ind w:left="1069" w:hanging="360"/>
      </w:pPr>
      <w:rPr>
        <w:sz w:val="22"/>
        <w:rFonts w:ascii="Book Antiqua" w:hAnsi="Book Antiqua" w:cs="Times New Roman"/>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18">
    <w:lvl w:ilvl="0">
      <w:start w:val="1"/>
      <w:numFmt w:val="lowerLetter"/>
      <w:lvlText w:val="%1)"/>
      <w:lvlJc w:val="left"/>
      <w:pPr>
        <w:ind w:left="1789" w:hanging="360"/>
      </w:pPr>
      <w:rPr>
        <w:sz w:val="22"/>
        <w:rFonts w:ascii="Book Antiqua" w:hAnsi="Book Antiqua" w:cs="Times New Roman"/>
      </w:rPr>
    </w:lvl>
    <w:lvl w:ilvl="1">
      <w:start w:val="1"/>
      <w:numFmt w:val="lowerLetter"/>
      <w:lvlText w:val="%2."/>
      <w:lvlJc w:val="left"/>
      <w:pPr>
        <w:ind w:left="2509" w:hanging="360"/>
      </w:pPr>
      <w:rPr>
        <w:rFonts w:cs="Times New Roman"/>
      </w:rPr>
    </w:lvl>
    <w:lvl w:ilvl="2">
      <w:start w:val="1"/>
      <w:numFmt w:val="lowerRoman"/>
      <w:lvlText w:val="%3."/>
      <w:lvlJc w:val="right"/>
      <w:pPr>
        <w:ind w:left="3229" w:hanging="180"/>
      </w:pPr>
      <w:rPr>
        <w:rFonts w:cs="Times New Roman"/>
      </w:rPr>
    </w:lvl>
    <w:lvl w:ilvl="3">
      <w:start w:val="1"/>
      <w:numFmt w:val="decimal"/>
      <w:lvlText w:val="%4."/>
      <w:lvlJc w:val="left"/>
      <w:pPr>
        <w:ind w:left="3949" w:hanging="360"/>
      </w:pPr>
      <w:rPr>
        <w:rFonts w:cs="Times New Roman"/>
      </w:rPr>
    </w:lvl>
    <w:lvl w:ilvl="4">
      <w:start w:val="1"/>
      <w:numFmt w:val="lowerLetter"/>
      <w:lvlText w:val="%5."/>
      <w:lvlJc w:val="left"/>
      <w:pPr>
        <w:ind w:left="4669" w:hanging="360"/>
      </w:pPr>
      <w:rPr>
        <w:rFonts w:cs="Times New Roman"/>
      </w:rPr>
    </w:lvl>
    <w:lvl w:ilvl="5">
      <w:start w:val="1"/>
      <w:numFmt w:val="lowerRoman"/>
      <w:lvlText w:val="%6."/>
      <w:lvlJc w:val="right"/>
      <w:pPr>
        <w:ind w:left="5389" w:hanging="180"/>
      </w:pPr>
      <w:rPr>
        <w:rFonts w:cs="Times New Roman"/>
      </w:rPr>
    </w:lvl>
    <w:lvl w:ilvl="6">
      <w:start w:val="1"/>
      <w:numFmt w:val="decimal"/>
      <w:lvlText w:val="%7."/>
      <w:lvlJc w:val="left"/>
      <w:pPr>
        <w:ind w:left="6109" w:hanging="360"/>
      </w:pPr>
      <w:rPr>
        <w:rFonts w:cs="Times New Roman"/>
      </w:rPr>
    </w:lvl>
    <w:lvl w:ilvl="7">
      <w:start w:val="1"/>
      <w:numFmt w:val="lowerLetter"/>
      <w:lvlText w:val="%8."/>
      <w:lvlJc w:val="left"/>
      <w:pPr>
        <w:ind w:left="6829" w:hanging="360"/>
      </w:pPr>
      <w:rPr>
        <w:rFonts w:cs="Times New Roman"/>
      </w:rPr>
    </w:lvl>
    <w:lvl w:ilvl="8">
      <w:start w:val="1"/>
      <w:numFmt w:val="lowerRoman"/>
      <w:lvlText w:val="%9."/>
      <w:lvlJc w:val="right"/>
      <w:pPr>
        <w:ind w:left="7549" w:hanging="180"/>
      </w:pPr>
      <w:rPr>
        <w:rFonts w:cs="Times New Roman"/>
      </w:rPr>
    </w:lvl>
  </w:abstractNum>
  <w:abstractNum w:abstractNumId="19">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sk-S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asciiTheme="minorHAnsi" w:cstheme="minorHAnsi" w:hAnsiTheme="minorHAnsi"/>
        <w:szCs w:val="22"/>
        <w:lang w:val="sk-SK" w:eastAsia="en-US" w:bidi="ar-SA"/>
      </w:rPr>
    </w:rPrDefault>
    <w:pPrDefault>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caption" w:uiPriority="35" w:semiHidden="1"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uiPriority="1"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fc306c"/>
    <w:pPr>
      <w:widowControl w:val="false"/>
      <w:suppressAutoHyphens w:val="true"/>
      <w:bidi w:val="0"/>
      <w:spacing w:lineRule="auto" w:line="240" w:before="0" w:after="0"/>
      <w:jc w:val="left"/>
    </w:pPr>
    <w:rPr>
      <w:rFonts w:ascii="Times New Roman" w:hAnsi="Times New Roman" w:cs="Times New Roman" w:eastAsia="Times New Roman"/>
      <w:color w:val="auto"/>
      <w:kern w:val="0"/>
      <w:sz w:val="24"/>
      <w:szCs w:val="20"/>
      <w:lang w:eastAsia="ar-SA" w:val="sk-SK" w:bidi="ar-SA"/>
    </w:rPr>
  </w:style>
  <w:style w:type="paragraph" w:styleId="Nadpis1">
    <w:name w:val="Heading 1"/>
    <w:basedOn w:val="Normal"/>
    <w:next w:val="Normal"/>
    <w:link w:val="Nadpis1Char"/>
    <w:uiPriority w:val="9"/>
    <w:qFormat/>
    <w:rsid w:val="00fc306c"/>
    <w:pPr>
      <w:keepNext w:val="true"/>
      <w:widowControl/>
      <w:tabs>
        <w:tab w:val="clear" w:pos="708"/>
        <w:tab w:val="left" w:pos="432" w:leader="none"/>
      </w:tabs>
      <w:suppressAutoHyphens w:val="false"/>
      <w:ind w:left="432" w:hanging="432"/>
      <w:outlineLvl w:val="0"/>
    </w:pPr>
    <w:rPr>
      <w:rFonts w:ascii="Arial" w:hAnsi="Arial" w:cs="Arial"/>
      <w:b/>
      <w:bCs/>
      <w:caps/>
      <w:szCs w:val="24"/>
    </w:rPr>
  </w:style>
  <w:style w:type="paragraph" w:styleId="Nadpis3">
    <w:name w:val="Heading 3"/>
    <w:basedOn w:val="Normal"/>
    <w:next w:val="Normal"/>
    <w:link w:val="Nadpis3Char"/>
    <w:uiPriority w:val="9"/>
    <w:semiHidden/>
    <w:unhideWhenUsed/>
    <w:qFormat/>
    <w:rsid w:val="009c6d1f"/>
    <w:pPr>
      <w:keepNext w:val="true"/>
      <w:keepLines/>
      <w:spacing w:before="40" w:after="0"/>
      <w:outlineLvl w:val="2"/>
    </w:pPr>
    <w:rPr>
      <w:rFonts w:ascii="Cambria" w:hAnsi="Cambria" w:eastAsia="" w:asciiTheme="majorHAnsi" w:eastAsiaTheme="majorEastAsia" w:hAnsiTheme="majorHAnsi"/>
      <w:color w:val="243F60" w:themeColor="accent1" w:themeShade="7f"/>
      <w:szCs w:val="24"/>
    </w:rPr>
  </w:style>
  <w:style w:type="character" w:styleId="DefaultParagraphFont" w:default="1">
    <w:name w:val="Default Paragraph Font"/>
    <w:uiPriority w:val="1"/>
    <w:semiHidden/>
    <w:unhideWhenUsed/>
    <w:qFormat/>
    <w:rPr/>
  </w:style>
  <w:style w:type="character" w:styleId="Nadpis1Char" w:customStyle="1">
    <w:name w:val="Nadpis 1 Char"/>
    <w:basedOn w:val="DefaultParagraphFont"/>
    <w:link w:val="Nadpis1"/>
    <w:uiPriority w:val="9"/>
    <w:qFormat/>
    <w:locked/>
    <w:rsid w:val="00fc306c"/>
    <w:rPr>
      <w:rFonts w:ascii="Arial" w:hAnsi="Arial" w:cs="Arial"/>
      <w:b/>
      <w:bCs/>
      <w:caps/>
      <w:sz w:val="24"/>
      <w:szCs w:val="24"/>
      <w:lang w:val="x-none" w:eastAsia="ar-SA" w:bidi="ar-SA"/>
    </w:rPr>
  </w:style>
  <w:style w:type="character" w:styleId="Nadpis3Char" w:customStyle="1">
    <w:name w:val="Nadpis 3 Char"/>
    <w:basedOn w:val="DefaultParagraphFont"/>
    <w:link w:val="Nadpis3"/>
    <w:uiPriority w:val="9"/>
    <w:semiHidden/>
    <w:qFormat/>
    <w:locked/>
    <w:rsid w:val="009c6d1f"/>
    <w:rPr>
      <w:rFonts w:ascii="Cambria" w:hAnsi="Cambria" w:eastAsia="" w:cs="Times New Roman" w:asciiTheme="majorHAnsi" w:eastAsiaTheme="majorEastAsia" w:hAnsiTheme="majorHAnsi"/>
      <w:color w:val="243F60" w:themeColor="accent1" w:themeShade="7f"/>
      <w:sz w:val="24"/>
      <w:szCs w:val="24"/>
      <w:lang w:val="x-none" w:eastAsia="ar-SA" w:bidi="ar-SA"/>
    </w:rPr>
  </w:style>
  <w:style w:type="character" w:styleId="PtaChar" w:customStyle="1">
    <w:name w:val="Päta Char"/>
    <w:basedOn w:val="DefaultParagraphFont"/>
    <w:link w:val="Pta"/>
    <w:uiPriority w:val="99"/>
    <w:qFormat/>
    <w:locked/>
    <w:rsid w:val="00fc306c"/>
    <w:rPr>
      <w:rFonts w:ascii="Times New Roman" w:hAnsi="Times New Roman" w:cs="Times New Roman"/>
      <w:sz w:val="24"/>
      <w:szCs w:val="24"/>
      <w:lang w:val="x-none" w:eastAsia="ar-SA" w:bidi="ar-SA"/>
    </w:rPr>
  </w:style>
  <w:style w:type="character" w:styleId="TextpoznmkypodiarouChar" w:customStyle="1">
    <w:name w:val="Text poznámky pod čiarou Char"/>
    <w:basedOn w:val="DefaultParagraphFont"/>
    <w:link w:val="Textpoznmkypodiarou"/>
    <w:uiPriority w:val="99"/>
    <w:qFormat/>
    <w:locked/>
    <w:rsid w:val="00fc306c"/>
    <w:rPr>
      <w:rFonts w:ascii="Times New Roman" w:hAnsi="Times New Roman" w:cs="Times New Roman"/>
      <w:sz w:val="20"/>
      <w:szCs w:val="20"/>
      <w:lang w:val="x-none" w:eastAsia="ar-SA" w:bidi="ar-SA"/>
    </w:rPr>
  </w:style>
  <w:style w:type="character" w:styleId="Ukotveniepoznmkypodiarou">
    <w:name w:val="Ukotvenie poznámky pod čiarou"/>
    <w:rPr>
      <w:rFonts w:cs="Times New Roman"/>
      <w:vertAlign w:val="superscript"/>
    </w:rPr>
  </w:style>
  <w:style w:type="character" w:styleId="FootnoteCharacters">
    <w:name w:val="Footnote Characters"/>
    <w:basedOn w:val="DefaultParagraphFont"/>
    <w:uiPriority w:val="99"/>
    <w:semiHidden/>
    <w:unhideWhenUsed/>
    <w:qFormat/>
    <w:rsid w:val="00fc306c"/>
    <w:rPr>
      <w:rFonts w:cs="Times New Roman"/>
      <w:vertAlign w:val="superscript"/>
    </w:rPr>
  </w:style>
  <w:style w:type="character" w:styleId="HlavikaChar" w:customStyle="1">
    <w:name w:val="Hlavička Char"/>
    <w:basedOn w:val="DefaultParagraphFont"/>
    <w:link w:val="Hlavika"/>
    <w:uiPriority w:val="99"/>
    <w:qFormat/>
    <w:locked/>
    <w:rsid w:val="00f35b07"/>
    <w:rPr>
      <w:rFonts w:ascii="Times New Roman" w:hAnsi="Times New Roman" w:cs="Times New Roman"/>
      <w:sz w:val="20"/>
      <w:szCs w:val="20"/>
      <w:lang w:val="x-none" w:eastAsia="ar-SA" w:bidi="ar-SA"/>
    </w:rPr>
  </w:style>
  <w:style w:type="character" w:styleId="TextbublinyChar" w:customStyle="1">
    <w:name w:val="Text bubliny Char"/>
    <w:basedOn w:val="DefaultParagraphFont"/>
    <w:link w:val="Textbubliny"/>
    <w:uiPriority w:val="99"/>
    <w:semiHidden/>
    <w:qFormat/>
    <w:locked/>
    <w:rsid w:val="00f35b07"/>
    <w:rPr>
      <w:rFonts w:ascii="Tahoma" w:hAnsi="Tahoma" w:cs="Tahoma"/>
      <w:sz w:val="16"/>
      <w:szCs w:val="16"/>
      <w:lang w:val="x-none" w:eastAsia="ar-SA" w:bidi="ar-SA"/>
    </w:rPr>
  </w:style>
  <w:style w:type="character" w:styleId="ZkladntextChar" w:customStyle="1">
    <w:name w:val="Základný text Char"/>
    <w:basedOn w:val="DefaultParagraphFont"/>
    <w:link w:val="Zkladntext"/>
    <w:uiPriority w:val="99"/>
    <w:qFormat/>
    <w:locked/>
    <w:rsid w:val="00b6325f"/>
    <w:rPr>
      <w:rFonts w:ascii="Times New Roman" w:hAnsi="Times New Roman" w:cs="Times New Roman"/>
      <w:b/>
      <w:bCs/>
      <w:sz w:val="24"/>
      <w:szCs w:val="24"/>
      <w:lang w:val="x-none" w:eastAsia="sk-SK"/>
    </w:rPr>
  </w:style>
  <w:style w:type="character" w:styleId="HTMLVariable">
    <w:name w:val="HTML Variable"/>
    <w:basedOn w:val="DefaultParagraphFont"/>
    <w:uiPriority w:val="99"/>
    <w:semiHidden/>
    <w:unhideWhenUsed/>
    <w:qFormat/>
    <w:rsid w:val="00814416"/>
    <w:rPr>
      <w:rFonts w:cs="Times New Roman"/>
      <w:i/>
      <w:iCs/>
    </w:rPr>
  </w:style>
  <w:style w:type="character" w:styleId="Internetovodkaz">
    <w:name w:val="Internetový odkaz"/>
    <w:basedOn w:val="DefaultParagraphFont"/>
    <w:uiPriority w:val="99"/>
    <w:unhideWhenUsed/>
    <w:rsid w:val="00cd6300"/>
    <w:rPr>
      <w:rFonts w:cs="Times New Roman"/>
      <w:color w:val="0000FF"/>
      <w:u w:val="single"/>
    </w:rPr>
  </w:style>
  <w:style w:type="character" w:styleId="ListLabel1">
    <w:name w:val="ListLabel 1"/>
    <w:qFormat/>
    <w:rPr>
      <w:rFonts w:cs="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eastAsia="Times New Roman"/>
    </w:rPr>
  </w:style>
  <w:style w:type="character" w:styleId="ListLabel11">
    <w:name w:val="ListLabel 11"/>
    <w:qFormat/>
    <w:rPr>
      <w:rFonts w:cs="Times New Roman"/>
    </w:rPr>
  </w:style>
  <w:style w:type="character" w:styleId="ListLabel12">
    <w:name w:val="ListLabel 12"/>
    <w:qFormat/>
    <w:rPr>
      <w:rFonts w:cs="Times New Roman"/>
    </w:rPr>
  </w:style>
  <w:style w:type="character" w:styleId="ListLabel13">
    <w:name w:val="ListLabel 13"/>
    <w:qFormat/>
    <w:rPr>
      <w:rFonts w:cs="Times New Roman"/>
    </w:rPr>
  </w:style>
  <w:style w:type="character" w:styleId="ListLabel14">
    <w:name w:val="ListLabel 14"/>
    <w:qFormat/>
    <w:rPr>
      <w:rFonts w:cs="Times New Roman"/>
    </w:rPr>
  </w:style>
  <w:style w:type="character" w:styleId="ListLabel15">
    <w:name w:val="ListLabel 15"/>
    <w:qFormat/>
    <w:rPr>
      <w:rFonts w:cs="Times New Roman"/>
    </w:rPr>
  </w:style>
  <w:style w:type="character" w:styleId="ListLabel16">
    <w:name w:val="ListLabel 16"/>
    <w:qFormat/>
    <w:rPr>
      <w:rFonts w:cs="Times New Roman"/>
    </w:rPr>
  </w:style>
  <w:style w:type="character" w:styleId="ListLabel17">
    <w:name w:val="ListLabel 17"/>
    <w:qFormat/>
    <w:rPr>
      <w:rFonts w:cs="Times New Roman"/>
    </w:rPr>
  </w:style>
  <w:style w:type="character" w:styleId="ListLabel18">
    <w:name w:val="ListLabel 18"/>
    <w:qFormat/>
    <w:rPr>
      <w:rFonts w:cs="Times New Roman"/>
    </w:rPr>
  </w:style>
  <w:style w:type="character" w:styleId="ListLabel19">
    <w:name w:val="ListLabel 19"/>
    <w:qFormat/>
    <w:rPr>
      <w:rFonts w:cs="Times New Roman"/>
    </w:rPr>
  </w:style>
  <w:style w:type="character" w:styleId="ListLabel20">
    <w:name w:val="ListLabel 20"/>
    <w:qFormat/>
    <w:rPr>
      <w:rFonts w:cs="Times New Roman"/>
    </w:rPr>
  </w:style>
  <w:style w:type="character" w:styleId="ListLabel21">
    <w:name w:val="ListLabel 21"/>
    <w:qFormat/>
    <w:rPr>
      <w:rFonts w:cs="Times New Roman"/>
    </w:rPr>
  </w:style>
  <w:style w:type="character" w:styleId="ListLabel22">
    <w:name w:val="ListLabel 22"/>
    <w:qFormat/>
    <w:rPr>
      <w:rFonts w:cs="Times New Roman"/>
    </w:rPr>
  </w:style>
  <w:style w:type="character" w:styleId="ListLabel23">
    <w:name w:val="ListLabel 23"/>
    <w:qFormat/>
    <w:rPr>
      <w:rFonts w:cs="Times New Roman"/>
    </w:rPr>
  </w:style>
  <w:style w:type="character" w:styleId="ListLabel24">
    <w:name w:val="ListLabel 24"/>
    <w:qFormat/>
    <w:rPr>
      <w:rFonts w:cs="Times New Roman"/>
    </w:rPr>
  </w:style>
  <w:style w:type="character" w:styleId="ListLabel25">
    <w:name w:val="ListLabel 25"/>
    <w:qFormat/>
    <w:rPr>
      <w:rFonts w:cs="Times New Roman"/>
    </w:rPr>
  </w:style>
  <w:style w:type="character" w:styleId="ListLabel26">
    <w:name w:val="ListLabel 26"/>
    <w:qFormat/>
    <w:rPr>
      <w:rFonts w:cs="Times New Roman"/>
    </w:rPr>
  </w:style>
  <w:style w:type="character" w:styleId="ListLabel27">
    <w:name w:val="ListLabel 27"/>
    <w:qFormat/>
    <w:rPr>
      <w:rFonts w:cs="Times New Roman"/>
    </w:rPr>
  </w:style>
  <w:style w:type="character" w:styleId="ListLabel28">
    <w:name w:val="ListLabel 28"/>
    <w:qFormat/>
    <w:rPr>
      <w:rFonts w:cs="Times New Roman"/>
    </w:rPr>
  </w:style>
  <w:style w:type="character" w:styleId="ListLabel29">
    <w:name w:val="ListLabel 29"/>
    <w:qFormat/>
    <w:rPr>
      <w:rFonts w:ascii="Book Antiqua" w:hAnsi="Book Antiqua" w:cs="Times New Roman"/>
      <w:b/>
      <w:sz w:val="22"/>
    </w:rPr>
  </w:style>
  <w:style w:type="character" w:styleId="ListLabel30">
    <w:name w:val="ListLabel 30"/>
    <w:qFormat/>
    <w:rPr>
      <w:rFonts w:cs="Times New Roman"/>
    </w:rPr>
  </w:style>
  <w:style w:type="character" w:styleId="ListLabel31">
    <w:name w:val="ListLabel 31"/>
    <w:qFormat/>
    <w:rPr>
      <w:rFonts w:cs="Times New Roman"/>
    </w:rPr>
  </w:style>
  <w:style w:type="character" w:styleId="ListLabel32">
    <w:name w:val="ListLabel 32"/>
    <w:qFormat/>
    <w:rPr>
      <w:rFonts w:cs="Times New Roman"/>
    </w:rPr>
  </w:style>
  <w:style w:type="character" w:styleId="ListLabel33">
    <w:name w:val="ListLabel 33"/>
    <w:qFormat/>
    <w:rPr>
      <w:rFonts w:cs="Times New Roman"/>
    </w:rPr>
  </w:style>
  <w:style w:type="character" w:styleId="ListLabel34">
    <w:name w:val="ListLabel 34"/>
    <w:qFormat/>
    <w:rPr>
      <w:rFonts w:cs="Times New Roman"/>
    </w:rPr>
  </w:style>
  <w:style w:type="character" w:styleId="ListLabel35">
    <w:name w:val="ListLabel 35"/>
    <w:qFormat/>
    <w:rPr>
      <w:rFonts w:cs="Times New Roman"/>
    </w:rPr>
  </w:style>
  <w:style w:type="character" w:styleId="ListLabel36">
    <w:name w:val="ListLabel 36"/>
    <w:qFormat/>
    <w:rPr>
      <w:rFonts w:cs="Times New Roman"/>
    </w:rPr>
  </w:style>
  <w:style w:type="character" w:styleId="ListLabel37">
    <w:name w:val="ListLabel 37"/>
    <w:qFormat/>
    <w:rPr>
      <w:rFonts w:cs="Times New Roman"/>
    </w:rPr>
  </w:style>
  <w:style w:type="character" w:styleId="ListLabel38">
    <w:name w:val="ListLabel 38"/>
    <w:qFormat/>
    <w:rPr>
      <w:rFonts w:ascii="Book Antiqua" w:hAnsi="Book Antiqua" w:cs="Times New Roman"/>
      <w:sz w:val="22"/>
    </w:rPr>
  </w:style>
  <w:style w:type="character" w:styleId="ListLabel39">
    <w:name w:val="ListLabel 39"/>
    <w:qFormat/>
    <w:rPr>
      <w:rFonts w:cs="Times New Roman"/>
    </w:rPr>
  </w:style>
  <w:style w:type="character" w:styleId="ListLabel40">
    <w:name w:val="ListLabel 40"/>
    <w:qFormat/>
    <w:rPr>
      <w:rFonts w:cs="Times New Roman"/>
    </w:rPr>
  </w:style>
  <w:style w:type="character" w:styleId="ListLabel41">
    <w:name w:val="ListLabel 41"/>
    <w:qFormat/>
    <w:rPr>
      <w:rFonts w:cs="Times New Roman"/>
    </w:rPr>
  </w:style>
  <w:style w:type="character" w:styleId="ListLabel42">
    <w:name w:val="ListLabel 42"/>
    <w:qFormat/>
    <w:rPr>
      <w:rFonts w:cs="Times New Roman"/>
    </w:rPr>
  </w:style>
  <w:style w:type="character" w:styleId="ListLabel43">
    <w:name w:val="ListLabel 43"/>
    <w:qFormat/>
    <w:rPr>
      <w:rFonts w:cs="Times New Roman"/>
    </w:rPr>
  </w:style>
  <w:style w:type="character" w:styleId="ListLabel44">
    <w:name w:val="ListLabel 44"/>
    <w:qFormat/>
    <w:rPr>
      <w:rFonts w:cs="Times New Roman"/>
    </w:rPr>
  </w:style>
  <w:style w:type="character" w:styleId="ListLabel45">
    <w:name w:val="ListLabel 45"/>
    <w:qFormat/>
    <w:rPr>
      <w:rFonts w:cs="Times New Roman"/>
    </w:rPr>
  </w:style>
  <w:style w:type="character" w:styleId="ListLabel46">
    <w:name w:val="ListLabel 46"/>
    <w:qFormat/>
    <w:rPr>
      <w:rFonts w:cs="Times New Roman"/>
    </w:rPr>
  </w:style>
  <w:style w:type="character" w:styleId="ListLabel47">
    <w:name w:val="ListLabel 47"/>
    <w:qFormat/>
    <w:rPr>
      <w:rFonts w:cs="Times New Roman"/>
    </w:rPr>
  </w:style>
  <w:style w:type="character" w:styleId="ListLabel48">
    <w:name w:val="ListLabel 48"/>
    <w:qFormat/>
    <w:rPr>
      <w:rFonts w:cs="Times New Roman"/>
    </w:rPr>
  </w:style>
  <w:style w:type="character" w:styleId="ListLabel49">
    <w:name w:val="ListLabel 49"/>
    <w:qFormat/>
    <w:rPr>
      <w:rFonts w:cs="Times New Roman"/>
    </w:rPr>
  </w:style>
  <w:style w:type="character" w:styleId="ListLabel50">
    <w:name w:val="ListLabel 50"/>
    <w:qFormat/>
    <w:rPr>
      <w:rFonts w:cs="Times New Roman"/>
    </w:rPr>
  </w:style>
  <w:style w:type="character" w:styleId="ListLabel51">
    <w:name w:val="ListLabel 51"/>
    <w:qFormat/>
    <w:rPr>
      <w:rFonts w:cs="Times New Roman"/>
    </w:rPr>
  </w:style>
  <w:style w:type="character" w:styleId="ListLabel52">
    <w:name w:val="ListLabel 52"/>
    <w:qFormat/>
    <w:rPr>
      <w:rFonts w:cs="Times New Roman"/>
    </w:rPr>
  </w:style>
  <w:style w:type="character" w:styleId="ListLabel53">
    <w:name w:val="ListLabel 53"/>
    <w:qFormat/>
    <w:rPr>
      <w:rFonts w:cs="Times New Roman"/>
    </w:rPr>
  </w:style>
  <w:style w:type="character" w:styleId="ListLabel54">
    <w:name w:val="ListLabel 54"/>
    <w:qFormat/>
    <w:rPr>
      <w:rFonts w:cs="Times New Roman"/>
    </w:rPr>
  </w:style>
  <w:style w:type="character" w:styleId="ListLabel55">
    <w:name w:val="ListLabel 55"/>
    <w:qFormat/>
    <w:rPr>
      <w:rFonts w:cs="Times New Roman"/>
    </w:rPr>
  </w:style>
  <w:style w:type="character" w:styleId="ListLabel56">
    <w:name w:val="ListLabel 56"/>
    <w:qFormat/>
    <w:rPr>
      <w:rFonts w:cs="Times New Roman"/>
    </w:rPr>
  </w:style>
  <w:style w:type="character" w:styleId="ListLabel57">
    <w:name w:val="ListLabel 57"/>
    <w:qFormat/>
    <w:rPr>
      <w:rFonts w:cs="Times New Roman"/>
    </w:rPr>
  </w:style>
  <w:style w:type="character" w:styleId="ListLabel58">
    <w:name w:val="ListLabel 58"/>
    <w:qFormat/>
    <w:rPr>
      <w:rFonts w:cs="Times New Roman"/>
    </w:rPr>
  </w:style>
  <w:style w:type="character" w:styleId="ListLabel59">
    <w:name w:val="ListLabel 59"/>
    <w:qFormat/>
    <w:rPr>
      <w:rFonts w:cs="Times New Roman"/>
    </w:rPr>
  </w:style>
  <w:style w:type="character" w:styleId="ListLabel60">
    <w:name w:val="ListLabel 60"/>
    <w:qFormat/>
    <w:rPr>
      <w:rFonts w:cs="Times New Roman"/>
    </w:rPr>
  </w:style>
  <w:style w:type="character" w:styleId="ListLabel61">
    <w:name w:val="ListLabel 61"/>
    <w:qFormat/>
    <w:rPr>
      <w:rFonts w:cs="Times New Roman"/>
    </w:rPr>
  </w:style>
  <w:style w:type="character" w:styleId="ListLabel62">
    <w:name w:val="ListLabel 62"/>
    <w:qFormat/>
    <w:rPr>
      <w:rFonts w:cs="Times New Roman"/>
    </w:rPr>
  </w:style>
  <w:style w:type="character" w:styleId="ListLabel63">
    <w:name w:val="ListLabel 63"/>
    <w:qFormat/>
    <w:rPr>
      <w:rFonts w:cs="Times New Roman"/>
    </w:rPr>
  </w:style>
  <w:style w:type="character" w:styleId="ListLabel64">
    <w:name w:val="ListLabel 64"/>
    <w:qFormat/>
    <w:rPr>
      <w:rFonts w:cs="Times New Roman"/>
    </w:rPr>
  </w:style>
  <w:style w:type="character" w:styleId="ListLabel65">
    <w:name w:val="ListLabel 65"/>
    <w:qFormat/>
    <w:rPr>
      <w:rFonts w:cs="Times New Roman"/>
    </w:rPr>
  </w:style>
  <w:style w:type="character" w:styleId="ListLabel66">
    <w:name w:val="ListLabel 66"/>
    <w:qFormat/>
    <w:rPr>
      <w:rFonts w:cs="Times New Roman"/>
    </w:rPr>
  </w:style>
  <w:style w:type="character" w:styleId="ListLabel67">
    <w:name w:val="ListLabel 67"/>
    <w:qFormat/>
    <w:rPr>
      <w:rFonts w:cs="Times New Roman"/>
    </w:rPr>
  </w:style>
  <w:style w:type="character" w:styleId="ListLabel68">
    <w:name w:val="ListLabel 68"/>
    <w:qFormat/>
    <w:rPr>
      <w:rFonts w:cs="Times New Roman"/>
    </w:rPr>
  </w:style>
  <w:style w:type="character" w:styleId="ListLabel69">
    <w:name w:val="ListLabel 69"/>
    <w:qFormat/>
    <w:rPr>
      <w:rFonts w:cs="Times New Roman"/>
    </w:rPr>
  </w:style>
  <w:style w:type="character" w:styleId="ListLabel70">
    <w:name w:val="ListLabel 70"/>
    <w:qFormat/>
    <w:rPr>
      <w:rFonts w:cs="Times New Roman"/>
    </w:rPr>
  </w:style>
  <w:style w:type="character" w:styleId="ListLabel71">
    <w:name w:val="ListLabel 71"/>
    <w:qFormat/>
    <w:rPr>
      <w:rFonts w:cs="Times New Roman"/>
    </w:rPr>
  </w:style>
  <w:style w:type="character" w:styleId="ListLabel72">
    <w:name w:val="ListLabel 72"/>
    <w:qFormat/>
    <w:rPr>
      <w:rFonts w:cs="Times New Roman"/>
    </w:rPr>
  </w:style>
  <w:style w:type="character" w:styleId="ListLabel73">
    <w:name w:val="ListLabel 73"/>
    <w:qFormat/>
    <w:rPr>
      <w:rFonts w:cs="Times New Roman"/>
    </w:rPr>
  </w:style>
  <w:style w:type="character" w:styleId="ListLabel74">
    <w:name w:val="ListLabel 74"/>
    <w:qFormat/>
    <w:rPr>
      <w:rFonts w:cs="Times New Roman"/>
    </w:rPr>
  </w:style>
  <w:style w:type="character" w:styleId="ListLabel75">
    <w:name w:val="ListLabel 75"/>
    <w:qFormat/>
    <w:rPr>
      <w:rFonts w:cs="Times New Roman"/>
    </w:rPr>
  </w:style>
  <w:style w:type="character" w:styleId="ListLabel76">
    <w:name w:val="ListLabel 76"/>
    <w:qFormat/>
    <w:rPr>
      <w:rFonts w:cs="Times New Roman"/>
    </w:rPr>
  </w:style>
  <w:style w:type="character" w:styleId="ListLabel77">
    <w:name w:val="ListLabel 77"/>
    <w:qFormat/>
    <w:rPr>
      <w:rFonts w:cs="Times New Roman"/>
    </w:rPr>
  </w:style>
  <w:style w:type="character" w:styleId="ListLabel78">
    <w:name w:val="ListLabel 78"/>
    <w:qFormat/>
    <w:rPr>
      <w:rFonts w:cs="Times New Roman"/>
    </w:rPr>
  </w:style>
  <w:style w:type="character" w:styleId="ListLabel79">
    <w:name w:val="ListLabel 79"/>
    <w:qFormat/>
    <w:rPr>
      <w:rFonts w:cs="Times New Roman"/>
    </w:rPr>
  </w:style>
  <w:style w:type="character" w:styleId="ListLabel80">
    <w:name w:val="ListLabel 80"/>
    <w:qFormat/>
    <w:rPr>
      <w:rFonts w:cs="Times New Roman"/>
    </w:rPr>
  </w:style>
  <w:style w:type="character" w:styleId="ListLabel81">
    <w:name w:val="ListLabel 81"/>
    <w:qFormat/>
    <w:rPr>
      <w:rFonts w:cs="Times New Roman"/>
    </w:rPr>
  </w:style>
  <w:style w:type="character" w:styleId="ListLabel82">
    <w:name w:val="ListLabel 82"/>
    <w:qFormat/>
    <w:rPr>
      <w:rFonts w:cs="Times New Roman"/>
    </w:rPr>
  </w:style>
  <w:style w:type="character" w:styleId="ListLabel83">
    <w:name w:val="ListLabel 83"/>
    <w:qFormat/>
    <w:rPr>
      <w:rFonts w:ascii="Book Antiqua" w:hAnsi="Book Antiqua" w:cs="Times New Roman"/>
      <w:sz w:val="22"/>
    </w:rPr>
  </w:style>
  <w:style w:type="character" w:styleId="ListLabel84">
    <w:name w:val="ListLabel 84"/>
    <w:qFormat/>
    <w:rPr>
      <w:rFonts w:cs="Times New Roman"/>
    </w:rPr>
  </w:style>
  <w:style w:type="character" w:styleId="ListLabel85">
    <w:name w:val="ListLabel 85"/>
    <w:qFormat/>
    <w:rPr>
      <w:rFonts w:cs="Times New Roman"/>
    </w:rPr>
  </w:style>
  <w:style w:type="character" w:styleId="ListLabel86">
    <w:name w:val="ListLabel 86"/>
    <w:qFormat/>
    <w:rPr>
      <w:rFonts w:cs="Times New Roman"/>
    </w:rPr>
  </w:style>
  <w:style w:type="character" w:styleId="ListLabel87">
    <w:name w:val="ListLabel 87"/>
    <w:qFormat/>
    <w:rPr>
      <w:rFonts w:cs="Times New Roman"/>
    </w:rPr>
  </w:style>
  <w:style w:type="character" w:styleId="ListLabel88">
    <w:name w:val="ListLabel 88"/>
    <w:qFormat/>
    <w:rPr>
      <w:rFonts w:cs="Times New Roman"/>
    </w:rPr>
  </w:style>
  <w:style w:type="character" w:styleId="ListLabel89">
    <w:name w:val="ListLabel 89"/>
    <w:qFormat/>
    <w:rPr>
      <w:rFonts w:cs="Times New Roman"/>
    </w:rPr>
  </w:style>
  <w:style w:type="character" w:styleId="ListLabel90">
    <w:name w:val="ListLabel 90"/>
    <w:qFormat/>
    <w:rPr>
      <w:rFonts w:cs="Times New Roman"/>
    </w:rPr>
  </w:style>
  <w:style w:type="character" w:styleId="ListLabel91">
    <w:name w:val="ListLabel 91"/>
    <w:qFormat/>
    <w:rPr>
      <w:rFonts w:cs="Times New Roman"/>
    </w:rPr>
  </w:style>
  <w:style w:type="character" w:styleId="ListLabel92">
    <w:name w:val="ListLabel 92"/>
    <w:qFormat/>
    <w:rPr>
      <w:rFonts w:cs="Times New Roman"/>
      <w:b/>
    </w:rPr>
  </w:style>
  <w:style w:type="character" w:styleId="ListLabel93">
    <w:name w:val="ListLabel 93"/>
    <w:qFormat/>
    <w:rPr>
      <w:rFonts w:cs="Times New Roman"/>
    </w:rPr>
  </w:style>
  <w:style w:type="character" w:styleId="ListLabel94">
    <w:name w:val="ListLabel 94"/>
    <w:qFormat/>
    <w:rPr>
      <w:rFonts w:cs="Times New Roman"/>
    </w:rPr>
  </w:style>
  <w:style w:type="character" w:styleId="ListLabel95">
    <w:name w:val="ListLabel 95"/>
    <w:qFormat/>
    <w:rPr>
      <w:rFonts w:cs="Times New Roman"/>
    </w:rPr>
  </w:style>
  <w:style w:type="character" w:styleId="ListLabel96">
    <w:name w:val="ListLabel 96"/>
    <w:qFormat/>
    <w:rPr>
      <w:rFonts w:cs="Times New Roman"/>
    </w:rPr>
  </w:style>
  <w:style w:type="character" w:styleId="ListLabel97">
    <w:name w:val="ListLabel 97"/>
    <w:qFormat/>
    <w:rPr>
      <w:rFonts w:cs="Times New Roman"/>
    </w:rPr>
  </w:style>
  <w:style w:type="character" w:styleId="ListLabel98">
    <w:name w:val="ListLabel 98"/>
    <w:qFormat/>
    <w:rPr>
      <w:rFonts w:cs="Times New Roman"/>
    </w:rPr>
  </w:style>
  <w:style w:type="character" w:styleId="ListLabel99">
    <w:name w:val="ListLabel 99"/>
    <w:qFormat/>
    <w:rPr>
      <w:rFonts w:cs="Times New Roman"/>
    </w:rPr>
  </w:style>
  <w:style w:type="character" w:styleId="ListLabel100">
    <w:name w:val="ListLabel 100"/>
    <w:qFormat/>
    <w:rPr>
      <w:rFonts w:cs="Times New Roman"/>
    </w:rPr>
  </w:style>
  <w:style w:type="character" w:styleId="ListLabel101">
    <w:name w:val="ListLabel 101"/>
    <w:qFormat/>
    <w:rPr>
      <w:rFonts w:ascii="Book Antiqua" w:hAnsi="Book Antiqua" w:cs="Times New Roman"/>
      <w:sz w:val="22"/>
    </w:rPr>
  </w:style>
  <w:style w:type="character" w:styleId="ListLabel102">
    <w:name w:val="ListLabel 102"/>
    <w:qFormat/>
    <w:rPr>
      <w:rFonts w:cs="Times New Roman"/>
    </w:rPr>
  </w:style>
  <w:style w:type="character" w:styleId="ListLabel103">
    <w:name w:val="ListLabel 103"/>
    <w:qFormat/>
    <w:rPr>
      <w:rFonts w:cs="Times New Roman"/>
    </w:rPr>
  </w:style>
  <w:style w:type="character" w:styleId="ListLabel104">
    <w:name w:val="ListLabel 104"/>
    <w:qFormat/>
    <w:rPr>
      <w:rFonts w:cs="Times New Roman"/>
    </w:rPr>
  </w:style>
  <w:style w:type="character" w:styleId="ListLabel105">
    <w:name w:val="ListLabel 105"/>
    <w:qFormat/>
    <w:rPr>
      <w:rFonts w:cs="Times New Roman"/>
    </w:rPr>
  </w:style>
  <w:style w:type="character" w:styleId="ListLabel106">
    <w:name w:val="ListLabel 106"/>
    <w:qFormat/>
    <w:rPr>
      <w:rFonts w:cs="Times New Roman"/>
    </w:rPr>
  </w:style>
  <w:style w:type="character" w:styleId="ListLabel107">
    <w:name w:val="ListLabel 107"/>
    <w:qFormat/>
    <w:rPr>
      <w:rFonts w:cs="Times New Roman"/>
    </w:rPr>
  </w:style>
  <w:style w:type="character" w:styleId="ListLabel108">
    <w:name w:val="ListLabel 108"/>
    <w:qFormat/>
    <w:rPr>
      <w:rFonts w:cs="Times New Roman"/>
    </w:rPr>
  </w:style>
  <w:style w:type="character" w:styleId="ListLabel109">
    <w:name w:val="ListLabel 109"/>
    <w:qFormat/>
    <w:rPr>
      <w:rFonts w:cs="Times New Roman"/>
    </w:rPr>
  </w:style>
  <w:style w:type="character" w:styleId="ListLabel110">
    <w:name w:val="ListLabel 110"/>
    <w:qFormat/>
    <w:rPr>
      <w:rFonts w:cs="Times New Roman"/>
    </w:rPr>
  </w:style>
  <w:style w:type="character" w:styleId="ListLabel111">
    <w:name w:val="ListLabel 111"/>
    <w:qFormat/>
    <w:rPr>
      <w:rFonts w:cs="Times New Roman"/>
    </w:rPr>
  </w:style>
  <w:style w:type="character" w:styleId="ListLabel112">
    <w:name w:val="ListLabel 112"/>
    <w:qFormat/>
    <w:rPr>
      <w:rFonts w:cs="Times New Roman"/>
    </w:rPr>
  </w:style>
  <w:style w:type="character" w:styleId="ListLabel113">
    <w:name w:val="ListLabel 113"/>
    <w:qFormat/>
    <w:rPr>
      <w:rFonts w:cs="Times New Roman"/>
    </w:rPr>
  </w:style>
  <w:style w:type="character" w:styleId="ListLabel114">
    <w:name w:val="ListLabel 114"/>
    <w:qFormat/>
    <w:rPr>
      <w:rFonts w:cs="Times New Roman"/>
    </w:rPr>
  </w:style>
  <w:style w:type="character" w:styleId="ListLabel115">
    <w:name w:val="ListLabel 115"/>
    <w:qFormat/>
    <w:rPr>
      <w:rFonts w:cs="Times New Roman"/>
    </w:rPr>
  </w:style>
  <w:style w:type="character" w:styleId="ListLabel116">
    <w:name w:val="ListLabel 116"/>
    <w:qFormat/>
    <w:rPr>
      <w:rFonts w:cs="Times New Roman"/>
    </w:rPr>
  </w:style>
  <w:style w:type="character" w:styleId="ListLabel117">
    <w:name w:val="ListLabel 117"/>
    <w:qFormat/>
    <w:rPr>
      <w:rFonts w:cs="Times New Roman"/>
    </w:rPr>
  </w:style>
  <w:style w:type="character" w:styleId="ListLabel118">
    <w:name w:val="ListLabel 118"/>
    <w:qFormat/>
    <w:rPr>
      <w:rFonts w:cs="Times New Roman"/>
    </w:rPr>
  </w:style>
  <w:style w:type="character" w:styleId="ListLabel119">
    <w:name w:val="ListLabel 119"/>
    <w:qFormat/>
    <w:rPr>
      <w:rFonts w:cs="Times New Roman"/>
    </w:rPr>
  </w:style>
  <w:style w:type="character" w:styleId="ListLabel120">
    <w:name w:val="ListLabel 120"/>
    <w:qFormat/>
    <w:rPr>
      <w:rFonts w:cs="Times New Roman"/>
    </w:rPr>
  </w:style>
  <w:style w:type="character" w:styleId="ListLabel121">
    <w:name w:val="ListLabel 121"/>
    <w:qFormat/>
    <w:rPr>
      <w:rFonts w:cs="Times New Roman"/>
    </w:rPr>
  </w:style>
  <w:style w:type="character" w:styleId="ListLabel122">
    <w:name w:val="ListLabel 122"/>
    <w:qFormat/>
    <w:rPr>
      <w:rFonts w:cs="Times New Roman"/>
    </w:rPr>
  </w:style>
  <w:style w:type="character" w:styleId="ListLabel123">
    <w:name w:val="ListLabel 123"/>
    <w:qFormat/>
    <w:rPr>
      <w:rFonts w:cs="Times New Roman"/>
    </w:rPr>
  </w:style>
  <w:style w:type="character" w:styleId="ListLabel124">
    <w:name w:val="ListLabel 124"/>
    <w:qFormat/>
    <w:rPr>
      <w:rFonts w:cs="Times New Roman"/>
    </w:rPr>
  </w:style>
  <w:style w:type="character" w:styleId="ListLabel125">
    <w:name w:val="ListLabel 125"/>
    <w:qFormat/>
    <w:rPr>
      <w:rFonts w:cs="Times New Roman"/>
    </w:rPr>
  </w:style>
  <w:style w:type="character" w:styleId="ListLabel126">
    <w:name w:val="ListLabel 126"/>
    <w:qFormat/>
    <w:rPr>
      <w:rFonts w:cs="Times New Roman"/>
    </w:rPr>
  </w:style>
  <w:style w:type="character" w:styleId="ListLabel127">
    <w:name w:val="ListLabel 127"/>
    <w:qFormat/>
    <w:rPr>
      <w:rFonts w:cs="Times New Roman"/>
    </w:rPr>
  </w:style>
  <w:style w:type="character" w:styleId="ListLabel128">
    <w:name w:val="ListLabel 128"/>
    <w:qFormat/>
    <w:rPr>
      <w:rFonts w:ascii="Book Antiqua" w:hAnsi="Book Antiqua" w:cs="Times New Roman"/>
      <w:sz w:val="22"/>
    </w:rPr>
  </w:style>
  <w:style w:type="character" w:styleId="ListLabel129">
    <w:name w:val="ListLabel 129"/>
    <w:qFormat/>
    <w:rPr>
      <w:rFonts w:cs="Times New Roman"/>
    </w:rPr>
  </w:style>
  <w:style w:type="character" w:styleId="ListLabel130">
    <w:name w:val="ListLabel 130"/>
    <w:qFormat/>
    <w:rPr>
      <w:rFonts w:cs="Times New Roman"/>
    </w:rPr>
  </w:style>
  <w:style w:type="character" w:styleId="ListLabel131">
    <w:name w:val="ListLabel 131"/>
    <w:qFormat/>
    <w:rPr>
      <w:rFonts w:cs="Times New Roman"/>
    </w:rPr>
  </w:style>
  <w:style w:type="character" w:styleId="ListLabel132">
    <w:name w:val="ListLabel 132"/>
    <w:qFormat/>
    <w:rPr>
      <w:rFonts w:cs="Times New Roman"/>
    </w:rPr>
  </w:style>
  <w:style w:type="character" w:styleId="ListLabel133">
    <w:name w:val="ListLabel 133"/>
    <w:qFormat/>
    <w:rPr>
      <w:rFonts w:cs="Times New Roman"/>
    </w:rPr>
  </w:style>
  <w:style w:type="character" w:styleId="ListLabel134">
    <w:name w:val="ListLabel 134"/>
    <w:qFormat/>
    <w:rPr>
      <w:rFonts w:cs="Times New Roman"/>
    </w:rPr>
  </w:style>
  <w:style w:type="character" w:styleId="ListLabel135">
    <w:name w:val="ListLabel 135"/>
    <w:qFormat/>
    <w:rPr>
      <w:rFonts w:cs="Times New Roman"/>
    </w:rPr>
  </w:style>
  <w:style w:type="character" w:styleId="ListLabel136">
    <w:name w:val="ListLabel 136"/>
    <w:qFormat/>
    <w:rPr>
      <w:rFonts w:cs="Times New Roman"/>
    </w:rPr>
  </w:style>
  <w:style w:type="character" w:styleId="ListLabel137">
    <w:name w:val="ListLabel 137"/>
    <w:qFormat/>
    <w:rPr>
      <w:rFonts w:cs="Times New Roman"/>
    </w:rPr>
  </w:style>
  <w:style w:type="character" w:styleId="ListLabel138">
    <w:name w:val="ListLabel 138"/>
    <w:qFormat/>
    <w:rPr>
      <w:rFonts w:cs="Times New Roman"/>
    </w:rPr>
  </w:style>
  <w:style w:type="character" w:styleId="ListLabel139">
    <w:name w:val="ListLabel 139"/>
    <w:qFormat/>
    <w:rPr>
      <w:rFonts w:cs="Times New Roman"/>
    </w:rPr>
  </w:style>
  <w:style w:type="character" w:styleId="ListLabel140">
    <w:name w:val="ListLabel 140"/>
    <w:qFormat/>
    <w:rPr>
      <w:rFonts w:cs="Times New Roman"/>
    </w:rPr>
  </w:style>
  <w:style w:type="character" w:styleId="ListLabel141">
    <w:name w:val="ListLabel 141"/>
    <w:qFormat/>
    <w:rPr>
      <w:rFonts w:cs="Times New Roman"/>
    </w:rPr>
  </w:style>
  <w:style w:type="character" w:styleId="ListLabel142">
    <w:name w:val="ListLabel 142"/>
    <w:qFormat/>
    <w:rPr>
      <w:rFonts w:cs="Times New Roman"/>
    </w:rPr>
  </w:style>
  <w:style w:type="character" w:styleId="ListLabel143">
    <w:name w:val="ListLabel 143"/>
    <w:qFormat/>
    <w:rPr>
      <w:rFonts w:cs="Times New Roman"/>
    </w:rPr>
  </w:style>
  <w:style w:type="character" w:styleId="ListLabel144">
    <w:name w:val="ListLabel 144"/>
    <w:qFormat/>
    <w:rPr>
      <w:rFonts w:cs="Times New Roman"/>
    </w:rPr>
  </w:style>
  <w:style w:type="character" w:styleId="ListLabel145">
    <w:name w:val="ListLabel 145"/>
    <w:qFormat/>
    <w:rPr>
      <w:rFonts w:cs="Times New Roman"/>
    </w:rPr>
  </w:style>
  <w:style w:type="character" w:styleId="ListLabel146">
    <w:name w:val="ListLabel 146"/>
    <w:qFormat/>
    <w:rPr>
      <w:rFonts w:ascii="Book Antiqua" w:hAnsi="Book Antiqua" w:cs="Times New Roman"/>
      <w:sz w:val="22"/>
    </w:rPr>
  </w:style>
  <w:style w:type="character" w:styleId="ListLabel147">
    <w:name w:val="ListLabel 147"/>
    <w:qFormat/>
    <w:rPr>
      <w:rFonts w:cs="Times New Roman"/>
    </w:rPr>
  </w:style>
  <w:style w:type="character" w:styleId="ListLabel148">
    <w:name w:val="ListLabel 148"/>
    <w:qFormat/>
    <w:rPr>
      <w:rFonts w:cs="Times New Roman"/>
    </w:rPr>
  </w:style>
  <w:style w:type="character" w:styleId="ListLabel149">
    <w:name w:val="ListLabel 149"/>
    <w:qFormat/>
    <w:rPr>
      <w:rFonts w:cs="Times New Roman"/>
    </w:rPr>
  </w:style>
  <w:style w:type="character" w:styleId="ListLabel150">
    <w:name w:val="ListLabel 150"/>
    <w:qFormat/>
    <w:rPr>
      <w:rFonts w:cs="Times New Roman"/>
    </w:rPr>
  </w:style>
  <w:style w:type="character" w:styleId="ListLabel151">
    <w:name w:val="ListLabel 151"/>
    <w:qFormat/>
    <w:rPr>
      <w:rFonts w:cs="Times New Roman"/>
    </w:rPr>
  </w:style>
  <w:style w:type="character" w:styleId="ListLabel152">
    <w:name w:val="ListLabel 152"/>
    <w:qFormat/>
    <w:rPr>
      <w:rFonts w:cs="Times New Roman"/>
    </w:rPr>
  </w:style>
  <w:style w:type="character" w:styleId="ListLabel153">
    <w:name w:val="ListLabel 153"/>
    <w:qFormat/>
    <w:rPr>
      <w:rFonts w:cs="Times New Roman"/>
    </w:rPr>
  </w:style>
  <w:style w:type="character" w:styleId="ListLabel154">
    <w:name w:val="ListLabel 154"/>
    <w:qFormat/>
    <w:rPr>
      <w:rFonts w:cs="Times New Roman"/>
    </w:rPr>
  </w:style>
  <w:style w:type="character" w:styleId="ListLabel155">
    <w:name w:val="ListLabel 155"/>
    <w:qFormat/>
    <w:rPr>
      <w:rFonts w:ascii="Book Antiqua" w:hAnsi="Book Antiqua" w:cs="Times New Roman"/>
      <w:sz w:val="22"/>
    </w:rPr>
  </w:style>
  <w:style w:type="character" w:styleId="ListLabel156">
    <w:name w:val="ListLabel 156"/>
    <w:qFormat/>
    <w:rPr>
      <w:rFonts w:cs="Times New Roman"/>
    </w:rPr>
  </w:style>
  <w:style w:type="character" w:styleId="ListLabel157">
    <w:name w:val="ListLabel 157"/>
    <w:qFormat/>
    <w:rPr>
      <w:rFonts w:cs="Times New Roman"/>
    </w:rPr>
  </w:style>
  <w:style w:type="character" w:styleId="ListLabel158">
    <w:name w:val="ListLabel 158"/>
    <w:qFormat/>
    <w:rPr>
      <w:rFonts w:cs="Times New Roman"/>
    </w:rPr>
  </w:style>
  <w:style w:type="character" w:styleId="ListLabel159">
    <w:name w:val="ListLabel 159"/>
    <w:qFormat/>
    <w:rPr>
      <w:rFonts w:cs="Times New Roman"/>
    </w:rPr>
  </w:style>
  <w:style w:type="character" w:styleId="ListLabel160">
    <w:name w:val="ListLabel 160"/>
    <w:qFormat/>
    <w:rPr>
      <w:rFonts w:cs="Times New Roman"/>
    </w:rPr>
  </w:style>
  <w:style w:type="character" w:styleId="ListLabel161">
    <w:name w:val="ListLabel 161"/>
    <w:qFormat/>
    <w:rPr>
      <w:rFonts w:cs="Times New Roman"/>
    </w:rPr>
  </w:style>
  <w:style w:type="character" w:styleId="ListLabel162">
    <w:name w:val="ListLabel 162"/>
    <w:qFormat/>
    <w:rPr>
      <w:rFonts w:cs="Times New Roman"/>
    </w:rPr>
  </w:style>
  <w:style w:type="character" w:styleId="ListLabel163">
    <w:name w:val="ListLabel 163"/>
    <w:qFormat/>
    <w:rPr>
      <w:rFonts w:cs="Times New Roman"/>
    </w:rPr>
  </w:style>
  <w:style w:type="character" w:styleId="ListLabel164">
    <w:name w:val="ListLabel 164"/>
    <w:qFormat/>
    <w:rPr>
      <w:rFonts w:cs="Times New Roman"/>
    </w:rPr>
  </w:style>
  <w:style w:type="character" w:styleId="ListLabel165">
    <w:name w:val="ListLabel 165"/>
    <w:qFormat/>
    <w:rPr>
      <w:rFonts w:cs="Times New Roman"/>
    </w:rPr>
  </w:style>
  <w:style w:type="character" w:styleId="ListLabel166">
    <w:name w:val="ListLabel 166"/>
    <w:qFormat/>
    <w:rPr>
      <w:rFonts w:cs="Times New Roman"/>
    </w:rPr>
  </w:style>
  <w:style w:type="character" w:styleId="ListLabel167">
    <w:name w:val="ListLabel 167"/>
    <w:qFormat/>
    <w:rPr>
      <w:rFonts w:cs="Times New Roman"/>
    </w:rPr>
  </w:style>
  <w:style w:type="character" w:styleId="ListLabel168">
    <w:name w:val="ListLabel 168"/>
    <w:qFormat/>
    <w:rPr>
      <w:rFonts w:cs="Times New Roman"/>
    </w:rPr>
  </w:style>
  <w:style w:type="character" w:styleId="ListLabel169">
    <w:name w:val="ListLabel 169"/>
    <w:qFormat/>
    <w:rPr>
      <w:rFonts w:cs="Times New Roman"/>
    </w:rPr>
  </w:style>
  <w:style w:type="character" w:styleId="ListLabel170">
    <w:name w:val="ListLabel 170"/>
    <w:qFormat/>
    <w:rPr>
      <w:rFonts w:cs="Times New Roman"/>
    </w:rPr>
  </w:style>
  <w:style w:type="character" w:styleId="ListLabel171">
    <w:name w:val="ListLabel 171"/>
    <w:qFormat/>
    <w:rPr>
      <w:rFonts w:cs="Times New Roman"/>
    </w:rPr>
  </w:style>
  <w:style w:type="character" w:styleId="ListLabel172">
    <w:name w:val="ListLabel 172"/>
    <w:qFormat/>
    <w:rPr>
      <w:rFonts w:cs="Times New Roman"/>
    </w:rPr>
  </w:style>
  <w:style w:type="character" w:styleId="ListLabel173">
    <w:name w:val="ListLabel 173"/>
    <w:qFormat/>
    <w:rPr>
      <w:rFonts w:cs="Times New Roman"/>
    </w:rPr>
  </w:style>
  <w:style w:type="character" w:styleId="ListLabel174">
    <w:name w:val="ListLabel 174"/>
    <w:qFormat/>
    <w:rPr>
      <w:rFonts w:cs="Times New Roman"/>
    </w:rPr>
  </w:style>
  <w:style w:type="character" w:styleId="ListLabel175">
    <w:name w:val="ListLabel 175"/>
    <w:qFormat/>
    <w:rPr>
      <w:rFonts w:cs="Times New Roman"/>
    </w:rPr>
  </w:style>
  <w:style w:type="character" w:styleId="ListLabel176">
    <w:name w:val="ListLabel 176"/>
    <w:qFormat/>
    <w:rPr>
      <w:rFonts w:cs="Times New Roman"/>
    </w:rPr>
  </w:style>
  <w:style w:type="character" w:styleId="ListLabel177">
    <w:name w:val="ListLabel 177"/>
    <w:qFormat/>
    <w:rPr>
      <w:rFonts w:cs="Times New Roman"/>
    </w:rPr>
  </w:style>
  <w:style w:type="character" w:styleId="ListLabel178">
    <w:name w:val="ListLabel 178"/>
    <w:qFormat/>
    <w:rPr>
      <w:rFonts w:cs="Times New Roman"/>
    </w:rPr>
  </w:style>
  <w:style w:type="character" w:styleId="ListLabel179">
    <w:name w:val="ListLabel 179"/>
    <w:qFormat/>
    <w:rPr>
      <w:rFonts w:cs="Times New Roman"/>
    </w:rPr>
  </w:style>
  <w:style w:type="character" w:styleId="ListLabel180">
    <w:name w:val="ListLabel 180"/>
    <w:qFormat/>
    <w:rPr>
      <w:rFonts w:cs="Times New Roman"/>
    </w:rPr>
  </w:style>
  <w:style w:type="character" w:styleId="ListLabel181">
    <w:name w:val="ListLabel 181"/>
    <w:qFormat/>
    <w:rPr>
      <w:rFonts w:cs="Times New Roman"/>
    </w:rPr>
  </w:style>
  <w:style w:type="character" w:styleId="ListLabel182">
    <w:name w:val="ListLabel 182"/>
    <w:qFormat/>
    <w:rPr>
      <w:rFonts w:cs="Times New Roman"/>
    </w:rPr>
  </w:style>
  <w:style w:type="character" w:styleId="ListLabel183">
    <w:name w:val="ListLabel 183"/>
    <w:qFormat/>
    <w:rPr>
      <w:rFonts w:cs="Arial"/>
      <w:color w:val="444444"/>
      <w:sz w:val="20"/>
    </w:rPr>
  </w:style>
  <w:style w:type="character" w:styleId="ListLabel184">
    <w:name w:val="ListLabel 184"/>
    <w:qFormat/>
    <w:rPr>
      <w:rFonts w:cs="Times New Roman"/>
    </w:rPr>
  </w:style>
  <w:style w:type="character" w:styleId="ListLabel185">
    <w:name w:val="ListLabel 185"/>
    <w:qFormat/>
    <w:rPr>
      <w:rFonts w:cs="Times New Roman"/>
    </w:rPr>
  </w:style>
  <w:style w:type="character" w:styleId="ListLabel186">
    <w:name w:val="ListLabel 186"/>
    <w:qFormat/>
    <w:rPr>
      <w:rFonts w:cs="Times New Roman"/>
    </w:rPr>
  </w:style>
  <w:style w:type="character" w:styleId="ListLabel187">
    <w:name w:val="ListLabel 187"/>
    <w:qFormat/>
    <w:rPr>
      <w:rFonts w:cs="Times New Roman"/>
    </w:rPr>
  </w:style>
  <w:style w:type="character" w:styleId="ListLabel188">
    <w:name w:val="ListLabel 188"/>
    <w:qFormat/>
    <w:rPr>
      <w:rFonts w:cs="Times New Roman"/>
    </w:rPr>
  </w:style>
  <w:style w:type="character" w:styleId="ListLabel189">
    <w:name w:val="ListLabel 189"/>
    <w:qFormat/>
    <w:rPr>
      <w:rFonts w:cs="Times New Roman"/>
    </w:rPr>
  </w:style>
  <w:style w:type="character" w:styleId="ListLabel190">
    <w:name w:val="ListLabel 190"/>
    <w:qFormat/>
    <w:rPr>
      <w:rFonts w:cs="Times New Roman"/>
    </w:rPr>
  </w:style>
  <w:style w:type="character" w:styleId="ListLabel191">
    <w:name w:val="ListLabel 191"/>
    <w:qFormat/>
    <w:rPr>
      <w:rFonts w:cs="Times New Roman"/>
    </w:rPr>
  </w:style>
  <w:style w:type="character" w:styleId="ListLabel192">
    <w:name w:val="ListLabel 192"/>
    <w:qFormat/>
    <w:rPr>
      <w:rFonts w:cs="Times New Roman"/>
    </w:rPr>
  </w:style>
  <w:style w:type="character" w:styleId="ListLabel193">
    <w:name w:val="ListLabel 193"/>
    <w:qFormat/>
    <w:rPr>
      <w:rFonts w:cs="Times New Roman"/>
    </w:rPr>
  </w:style>
  <w:style w:type="character" w:styleId="ListLabel194">
    <w:name w:val="ListLabel 194"/>
    <w:qFormat/>
    <w:rPr>
      <w:rFonts w:cs="Times New Roman"/>
    </w:rPr>
  </w:style>
  <w:style w:type="character" w:styleId="ListLabel195">
    <w:name w:val="ListLabel 195"/>
    <w:qFormat/>
    <w:rPr>
      <w:rFonts w:cs="Times New Roman"/>
    </w:rPr>
  </w:style>
  <w:style w:type="character" w:styleId="ListLabel196">
    <w:name w:val="ListLabel 196"/>
    <w:qFormat/>
    <w:rPr>
      <w:rFonts w:cs="Times New Roman"/>
    </w:rPr>
  </w:style>
  <w:style w:type="character" w:styleId="ListLabel197">
    <w:name w:val="ListLabel 197"/>
    <w:qFormat/>
    <w:rPr>
      <w:rFonts w:cs="Times New Roman"/>
    </w:rPr>
  </w:style>
  <w:style w:type="character" w:styleId="ListLabel198">
    <w:name w:val="ListLabel 198"/>
    <w:qFormat/>
    <w:rPr>
      <w:rFonts w:cs="Times New Roman"/>
    </w:rPr>
  </w:style>
  <w:style w:type="character" w:styleId="ListLabel199">
    <w:name w:val="ListLabel 199"/>
    <w:qFormat/>
    <w:rPr>
      <w:rFonts w:cs="Times New Roman"/>
    </w:rPr>
  </w:style>
  <w:style w:type="character" w:styleId="ListLabel200">
    <w:name w:val="ListLabel 200"/>
    <w:qFormat/>
    <w:rPr>
      <w:rFonts w:ascii="Book Antiqua" w:hAnsi="Book Antiqua" w:cs="Times New Roman"/>
      <w:sz w:val="22"/>
    </w:rPr>
  </w:style>
  <w:style w:type="character" w:styleId="ListLabel201">
    <w:name w:val="ListLabel 201"/>
    <w:qFormat/>
    <w:rPr>
      <w:rFonts w:cs="Arial"/>
      <w:color w:val="444444"/>
      <w:sz w:val="20"/>
    </w:rPr>
  </w:style>
  <w:style w:type="character" w:styleId="ListLabel202">
    <w:name w:val="ListLabel 202"/>
    <w:qFormat/>
    <w:rPr>
      <w:rFonts w:cs="Times New Roman"/>
    </w:rPr>
  </w:style>
  <w:style w:type="character" w:styleId="ListLabel203">
    <w:name w:val="ListLabel 203"/>
    <w:qFormat/>
    <w:rPr>
      <w:rFonts w:cs="Times New Roman"/>
    </w:rPr>
  </w:style>
  <w:style w:type="character" w:styleId="ListLabel204">
    <w:name w:val="ListLabel 204"/>
    <w:qFormat/>
    <w:rPr>
      <w:rFonts w:cs="Times New Roman"/>
    </w:rPr>
  </w:style>
  <w:style w:type="character" w:styleId="ListLabel205">
    <w:name w:val="ListLabel 205"/>
    <w:qFormat/>
    <w:rPr>
      <w:rFonts w:cs="Times New Roman"/>
    </w:rPr>
  </w:style>
  <w:style w:type="character" w:styleId="ListLabel206">
    <w:name w:val="ListLabel 206"/>
    <w:qFormat/>
    <w:rPr>
      <w:rFonts w:cs="Times New Roman"/>
    </w:rPr>
  </w:style>
  <w:style w:type="character" w:styleId="ListLabel207">
    <w:name w:val="ListLabel 207"/>
    <w:qFormat/>
    <w:rPr>
      <w:rFonts w:cs="Times New Roman"/>
    </w:rPr>
  </w:style>
  <w:style w:type="character" w:styleId="ListLabel208">
    <w:name w:val="ListLabel 208"/>
    <w:qFormat/>
    <w:rPr>
      <w:rFonts w:cs="Times New Roman"/>
    </w:rPr>
  </w:style>
  <w:style w:type="character" w:styleId="ListLabel209">
    <w:name w:val="ListLabel 209"/>
    <w:qFormat/>
    <w:rPr>
      <w:rFonts w:cs="Times New Roman"/>
    </w:rPr>
  </w:style>
  <w:style w:type="character" w:styleId="ListLabel210">
    <w:name w:val="ListLabel 210"/>
    <w:qFormat/>
    <w:rPr>
      <w:rFonts w:cs="Times New Roman"/>
    </w:rPr>
  </w:style>
  <w:style w:type="character" w:styleId="ListLabel211">
    <w:name w:val="ListLabel 211"/>
    <w:qFormat/>
    <w:rPr>
      <w:rFonts w:cs="Times New Roman"/>
    </w:rPr>
  </w:style>
  <w:style w:type="character" w:styleId="ListLabel212">
    <w:name w:val="ListLabel 212"/>
    <w:qFormat/>
    <w:rPr>
      <w:rFonts w:cs="Times New Roman"/>
    </w:rPr>
  </w:style>
  <w:style w:type="character" w:styleId="ListLabel213">
    <w:name w:val="ListLabel 213"/>
    <w:qFormat/>
    <w:rPr>
      <w:rFonts w:cs="Times New Roman"/>
    </w:rPr>
  </w:style>
  <w:style w:type="character" w:styleId="ListLabel214">
    <w:name w:val="ListLabel 214"/>
    <w:qFormat/>
    <w:rPr>
      <w:rFonts w:cs="Times New Roman"/>
    </w:rPr>
  </w:style>
  <w:style w:type="character" w:styleId="ListLabel215">
    <w:name w:val="ListLabel 215"/>
    <w:qFormat/>
    <w:rPr>
      <w:rFonts w:cs="Times New Roman"/>
    </w:rPr>
  </w:style>
  <w:style w:type="character" w:styleId="ListLabel216">
    <w:name w:val="ListLabel 216"/>
    <w:qFormat/>
    <w:rPr>
      <w:rFonts w:cs="Times New Roman"/>
    </w:rPr>
  </w:style>
  <w:style w:type="character" w:styleId="ListLabel217">
    <w:name w:val="ListLabel 217"/>
    <w:qFormat/>
    <w:rPr>
      <w:rFonts w:cs="Times New Roman"/>
    </w:rPr>
  </w:style>
  <w:style w:type="character" w:styleId="ListLabel218">
    <w:name w:val="ListLabel 218"/>
    <w:qFormat/>
    <w:rPr>
      <w:rFonts w:cs="Times New Roman"/>
    </w:rPr>
  </w:style>
  <w:style w:type="character" w:styleId="ListLabel219">
    <w:name w:val="ListLabel 219"/>
    <w:qFormat/>
    <w:rPr>
      <w:rFonts w:cs="Times New Roman"/>
    </w:rPr>
  </w:style>
  <w:style w:type="character" w:styleId="ListLabel220">
    <w:name w:val="ListLabel 220"/>
    <w:qFormat/>
    <w:rPr>
      <w:rFonts w:cs="Times New Roman"/>
    </w:rPr>
  </w:style>
  <w:style w:type="character" w:styleId="ListLabel221">
    <w:name w:val="ListLabel 221"/>
    <w:qFormat/>
    <w:rPr>
      <w:rFonts w:cs="Times New Roman"/>
    </w:rPr>
  </w:style>
  <w:style w:type="character" w:styleId="ListLabel222">
    <w:name w:val="ListLabel 222"/>
    <w:qFormat/>
    <w:rPr>
      <w:rFonts w:cs="Times New Roman"/>
    </w:rPr>
  </w:style>
  <w:style w:type="character" w:styleId="ListLabel223">
    <w:name w:val="ListLabel 223"/>
    <w:qFormat/>
    <w:rPr>
      <w:rFonts w:cs="Times New Roman"/>
    </w:rPr>
  </w:style>
  <w:style w:type="character" w:styleId="ListLabel224">
    <w:name w:val="ListLabel 224"/>
    <w:qFormat/>
    <w:rPr>
      <w:rFonts w:cs="Times New Roman"/>
    </w:rPr>
  </w:style>
  <w:style w:type="character" w:styleId="ListLabel225">
    <w:name w:val="ListLabel 225"/>
    <w:qFormat/>
    <w:rPr>
      <w:rFonts w:cs="Times New Roman"/>
    </w:rPr>
  </w:style>
  <w:style w:type="character" w:styleId="ListLabel226">
    <w:name w:val="ListLabel 226"/>
    <w:qFormat/>
    <w:rPr>
      <w:rFonts w:cs="Times New Roman"/>
    </w:rPr>
  </w:style>
  <w:style w:type="character" w:styleId="ListLabel227">
    <w:name w:val="ListLabel 227"/>
    <w:qFormat/>
    <w:rPr>
      <w:rFonts w:cs="Times New Roman"/>
    </w:rPr>
  </w:style>
  <w:style w:type="character" w:styleId="ListLabel228">
    <w:name w:val="ListLabel 228"/>
    <w:qFormat/>
    <w:rPr>
      <w:rFonts w:cs="Times New Roman"/>
    </w:rPr>
  </w:style>
  <w:style w:type="character" w:styleId="ListLabel229">
    <w:name w:val="ListLabel 229"/>
    <w:qFormat/>
    <w:rPr>
      <w:rFonts w:cs="Times New Roman"/>
    </w:rPr>
  </w:style>
  <w:style w:type="character" w:styleId="ListLabel230">
    <w:name w:val="ListLabel 230"/>
    <w:qFormat/>
    <w:rPr>
      <w:rFonts w:cs="Times New Roman"/>
    </w:rPr>
  </w:style>
  <w:style w:type="character" w:styleId="ListLabel231">
    <w:name w:val="ListLabel 231"/>
    <w:qFormat/>
    <w:rPr>
      <w:rFonts w:cs="Times New Roman"/>
    </w:rPr>
  </w:style>
  <w:style w:type="character" w:styleId="ListLabel232">
    <w:name w:val="ListLabel 232"/>
    <w:qFormat/>
    <w:rPr>
      <w:rFonts w:cs="Times New Roman"/>
    </w:rPr>
  </w:style>
  <w:style w:type="character" w:styleId="ListLabel233">
    <w:name w:val="ListLabel 233"/>
    <w:qFormat/>
    <w:rPr>
      <w:rFonts w:cs="Times New Roman"/>
    </w:rPr>
  </w:style>
  <w:style w:type="character" w:styleId="ListLabel234">
    <w:name w:val="ListLabel 234"/>
    <w:qFormat/>
    <w:rPr>
      <w:rFonts w:cs="Times New Roman"/>
    </w:rPr>
  </w:style>
  <w:style w:type="character" w:styleId="ListLabel235">
    <w:name w:val="ListLabel 235"/>
    <w:qFormat/>
    <w:rPr>
      <w:rFonts w:cs="Times New Roman"/>
    </w:rPr>
  </w:style>
  <w:style w:type="character" w:styleId="ListLabel236">
    <w:name w:val="ListLabel 236"/>
    <w:qFormat/>
    <w:rPr>
      <w:rFonts w:cs="Times New Roman"/>
    </w:rPr>
  </w:style>
  <w:style w:type="character" w:styleId="ListLabel237">
    <w:name w:val="ListLabel 237"/>
    <w:qFormat/>
    <w:rPr>
      <w:rFonts w:cs="Times New Roman"/>
    </w:rPr>
  </w:style>
  <w:style w:type="character" w:styleId="ListLabel238">
    <w:name w:val="ListLabel 238"/>
    <w:qFormat/>
    <w:rPr>
      <w:rFonts w:cs="Times New Roman"/>
    </w:rPr>
  </w:style>
  <w:style w:type="character" w:styleId="ListLabel239">
    <w:name w:val="ListLabel 239"/>
    <w:qFormat/>
    <w:rPr>
      <w:rFonts w:cs="Times New Roman"/>
    </w:rPr>
  </w:style>
  <w:style w:type="character" w:styleId="ListLabel240">
    <w:name w:val="ListLabel 240"/>
    <w:qFormat/>
    <w:rPr>
      <w:rFonts w:cs="Times New Roman"/>
    </w:rPr>
  </w:style>
  <w:style w:type="character" w:styleId="ListLabel241">
    <w:name w:val="ListLabel 241"/>
    <w:qFormat/>
    <w:rPr>
      <w:rFonts w:cs="Times New Roman"/>
    </w:rPr>
  </w:style>
  <w:style w:type="character" w:styleId="ListLabel242">
    <w:name w:val="ListLabel 242"/>
    <w:qFormat/>
    <w:rPr>
      <w:rFonts w:cs="Times New Roman"/>
    </w:rPr>
  </w:style>
  <w:style w:type="character" w:styleId="ListLabel243">
    <w:name w:val="ListLabel 243"/>
    <w:qFormat/>
    <w:rPr>
      <w:rFonts w:cs="Times New Roman"/>
    </w:rPr>
  </w:style>
  <w:style w:type="character" w:styleId="ListLabel244">
    <w:name w:val="ListLabel 244"/>
    <w:qFormat/>
    <w:rPr>
      <w:rFonts w:cs="Times New Roman"/>
    </w:rPr>
  </w:style>
  <w:style w:type="character" w:styleId="ListLabel245">
    <w:name w:val="ListLabel 245"/>
    <w:qFormat/>
    <w:rPr>
      <w:rFonts w:cs="Times New Roman"/>
    </w:rPr>
  </w:style>
  <w:style w:type="character" w:styleId="ListLabel246">
    <w:name w:val="ListLabel 246"/>
    <w:qFormat/>
    <w:rPr>
      <w:rFonts w:cs="Times New Roman"/>
    </w:rPr>
  </w:style>
  <w:style w:type="character" w:styleId="ListLabel247">
    <w:name w:val="ListLabel 247"/>
    <w:qFormat/>
    <w:rPr>
      <w:rFonts w:cs="Times New Roman"/>
    </w:rPr>
  </w:style>
  <w:style w:type="character" w:styleId="ListLabel248">
    <w:name w:val="ListLabel 248"/>
    <w:qFormat/>
    <w:rPr>
      <w:rFonts w:cs="Times New Roman"/>
    </w:rPr>
  </w:style>
  <w:style w:type="character" w:styleId="ListLabel249">
    <w:name w:val="ListLabel 249"/>
    <w:qFormat/>
    <w:rPr>
      <w:rFonts w:cs="Times New Roman"/>
    </w:rPr>
  </w:style>
  <w:style w:type="character" w:styleId="ListLabel250">
    <w:name w:val="ListLabel 250"/>
    <w:qFormat/>
    <w:rPr>
      <w:rFonts w:cs="Times New Roman"/>
    </w:rPr>
  </w:style>
  <w:style w:type="character" w:styleId="ListLabel251">
    <w:name w:val="ListLabel 251"/>
    <w:qFormat/>
    <w:rPr>
      <w:rFonts w:cs="Times New Roman"/>
    </w:rPr>
  </w:style>
  <w:style w:type="character" w:styleId="ListLabel252">
    <w:name w:val="ListLabel 252"/>
    <w:qFormat/>
    <w:rPr>
      <w:rFonts w:cs="Times New Roman"/>
    </w:rPr>
  </w:style>
  <w:style w:type="character" w:styleId="ListLabel253">
    <w:name w:val="ListLabel 253"/>
    <w:qFormat/>
    <w:rPr>
      <w:rFonts w:cs="Times New Roman"/>
    </w:rPr>
  </w:style>
  <w:style w:type="character" w:styleId="ListLabel254">
    <w:name w:val="ListLabel 254"/>
    <w:qFormat/>
    <w:rPr>
      <w:rFonts w:cs="Times New Roman"/>
    </w:rPr>
  </w:style>
  <w:style w:type="character" w:styleId="ListLabel255">
    <w:name w:val="ListLabel 255"/>
    <w:qFormat/>
    <w:rPr>
      <w:rFonts w:cs="Times New Roman"/>
    </w:rPr>
  </w:style>
  <w:style w:type="character" w:styleId="ListLabel256">
    <w:name w:val="ListLabel 256"/>
    <w:qFormat/>
    <w:rPr>
      <w:rFonts w:cs="Times New Roman"/>
    </w:rPr>
  </w:style>
  <w:style w:type="character" w:styleId="ListLabel257">
    <w:name w:val="ListLabel 257"/>
    <w:qFormat/>
    <w:rPr>
      <w:rFonts w:cs="Times New Roman"/>
    </w:rPr>
  </w:style>
  <w:style w:type="character" w:styleId="ListLabel258">
    <w:name w:val="ListLabel 258"/>
    <w:qFormat/>
    <w:rPr>
      <w:rFonts w:cs="Times New Roman"/>
    </w:rPr>
  </w:style>
  <w:style w:type="character" w:styleId="ListLabel259">
    <w:name w:val="ListLabel 259"/>
    <w:qFormat/>
    <w:rPr>
      <w:rFonts w:cs="Times New Roman"/>
    </w:rPr>
  </w:style>
  <w:style w:type="character" w:styleId="ListLabel260">
    <w:name w:val="ListLabel 260"/>
    <w:qFormat/>
    <w:rPr>
      <w:rFonts w:cs="Times New Roman"/>
    </w:rPr>
  </w:style>
  <w:style w:type="character" w:styleId="ListLabel261">
    <w:name w:val="ListLabel 261"/>
    <w:qFormat/>
    <w:rPr>
      <w:rFonts w:cs="Times New Roman"/>
    </w:rPr>
  </w:style>
  <w:style w:type="character" w:styleId="ListLabel262">
    <w:name w:val="ListLabel 262"/>
    <w:qFormat/>
    <w:rPr>
      <w:rFonts w:cs="Times New Roman"/>
    </w:rPr>
  </w:style>
  <w:style w:type="character" w:styleId="ListLabel263">
    <w:name w:val="ListLabel 263"/>
    <w:qFormat/>
    <w:rPr>
      <w:rFonts w:cs="Arial"/>
      <w:color w:val="444444"/>
      <w:sz w:val="20"/>
    </w:rPr>
  </w:style>
  <w:style w:type="character" w:styleId="ListLabel264">
    <w:name w:val="ListLabel 264"/>
    <w:qFormat/>
    <w:rPr>
      <w:rFonts w:cs="Times New Roman"/>
    </w:rPr>
  </w:style>
  <w:style w:type="character" w:styleId="ListLabel265">
    <w:name w:val="ListLabel 265"/>
    <w:qFormat/>
    <w:rPr>
      <w:rFonts w:cs="Times New Roman"/>
    </w:rPr>
  </w:style>
  <w:style w:type="character" w:styleId="ListLabel266">
    <w:name w:val="ListLabel 266"/>
    <w:qFormat/>
    <w:rPr>
      <w:rFonts w:cs="Times New Roman"/>
    </w:rPr>
  </w:style>
  <w:style w:type="character" w:styleId="ListLabel267">
    <w:name w:val="ListLabel 267"/>
    <w:qFormat/>
    <w:rPr>
      <w:rFonts w:cs="Times New Roman"/>
    </w:rPr>
  </w:style>
  <w:style w:type="character" w:styleId="ListLabel268">
    <w:name w:val="ListLabel 268"/>
    <w:qFormat/>
    <w:rPr>
      <w:rFonts w:cs="Times New Roman"/>
    </w:rPr>
  </w:style>
  <w:style w:type="character" w:styleId="ListLabel269">
    <w:name w:val="ListLabel 269"/>
    <w:qFormat/>
    <w:rPr>
      <w:rFonts w:cs="Times New Roman"/>
    </w:rPr>
  </w:style>
  <w:style w:type="character" w:styleId="ListLabel270">
    <w:name w:val="ListLabel 270"/>
    <w:qFormat/>
    <w:rPr>
      <w:rFonts w:cs="Times New Roman"/>
    </w:rPr>
  </w:style>
  <w:style w:type="character" w:styleId="ListLabel271">
    <w:name w:val="ListLabel 271"/>
    <w:qFormat/>
    <w:rPr>
      <w:rFonts w:cs="Times New Roman"/>
    </w:rPr>
  </w:style>
  <w:style w:type="character" w:styleId="ListLabel272">
    <w:name w:val="ListLabel 272"/>
    <w:qFormat/>
    <w:rPr>
      <w:rFonts w:cs="Times New Roman"/>
    </w:rPr>
  </w:style>
  <w:style w:type="character" w:styleId="ListLabel273">
    <w:name w:val="ListLabel 273"/>
    <w:qFormat/>
    <w:rPr>
      <w:rFonts w:cs="Times New Roman"/>
    </w:rPr>
  </w:style>
  <w:style w:type="character" w:styleId="ListLabel274">
    <w:name w:val="ListLabel 274"/>
    <w:qFormat/>
    <w:rPr>
      <w:rFonts w:cs="Times New Roman"/>
    </w:rPr>
  </w:style>
  <w:style w:type="character" w:styleId="ListLabel275">
    <w:name w:val="ListLabel 275"/>
    <w:qFormat/>
    <w:rPr>
      <w:rFonts w:cs="Times New Roman"/>
    </w:rPr>
  </w:style>
  <w:style w:type="character" w:styleId="ListLabel276">
    <w:name w:val="ListLabel 276"/>
    <w:qFormat/>
    <w:rPr>
      <w:rFonts w:cs="Times New Roman"/>
    </w:rPr>
  </w:style>
  <w:style w:type="character" w:styleId="ListLabel277">
    <w:name w:val="ListLabel 277"/>
    <w:qFormat/>
    <w:rPr>
      <w:rFonts w:cs="Times New Roman"/>
    </w:rPr>
  </w:style>
  <w:style w:type="character" w:styleId="ListLabel278">
    <w:name w:val="ListLabel 278"/>
    <w:qFormat/>
    <w:rPr>
      <w:rFonts w:cs="Times New Roman"/>
    </w:rPr>
  </w:style>
  <w:style w:type="character" w:styleId="ListLabel279">
    <w:name w:val="ListLabel 279"/>
    <w:qFormat/>
    <w:rPr>
      <w:rFonts w:cs="Times New Roman"/>
    </w:rPr>
  </w:style>
  <w:style w:type="character" w:styleId="ListLabel280">
    <w:name w:val="ListLabel 280"/>
    <w:qFormat/>
    <w:rPr>
      <w:rFonts w:cs="Times New Roman"/>
    </w:rPr>
  </w:style>
  <w:style w:type="character" w:styleId="ListLabel281">
    <w:name w:val="ListLabel 281"/>
    <w:qFormat/>
    <w:rPr>
      <w:rFonts w:ascii="Book Antiqua" w:hAnsi="Book Antiqua" w:cs="Times New Roman"/>
      <w:sz w:val="22"/>
    </w:rPr>
  </w:style>
  <w:style w:type="character" w:styleId="ListLabel282">
    <w:name w:val="ListLabel 282"/>
    <w:qFormat/>
    <w:rPr>
      <w:rFonts w:cs="Times New Roman"/>
    </w:rPr>
  </w:style>
  <w:style w:type="character" w:styleId="ListLabel283">
    <w:name w:val="ListLabel 283"/>
    <w:qFormat/>
    <w:rPr>
      <w:rFonts w:cs="Times New Roman"/>
    </w:rPr>
  </w:style>
  <w:style w:type="character" w:styleId="ListLabel284">
    <w:name w:val="ListLabel 284"/>
    <w:qFormat/>
    <w:rPr>
      <w:rFonts w:cs="Times New Roman"/>
    </w:rPr>
  </w:style>
  <w:style w:type="character" w:styleId="ListLabel285">
    <w:name w:val="ListLabel 285"/>
    <w:qFormat/>
    <w:rPr>
      <w:rFonts w:cs="Times New Roman"/>
    </w:rPr>
  </w:style>
  <w:style w:type="character" w:styleId="ListLabel286">
    <w:name w:val="ListLabel 286"/>
    <w:qFormat/>
    <w:rPr>
      <w:rFonts w:cs="Times New Roman"/>
    </w:rPr>
  </w:style>
  <w:style w:type="character" w:styleId="ListLabel287">
    <w:name w:val="ListLabel 287"/>
    <w:qFormat/>
    <w:rPr>
      <w:rFonts w:cs="Times New Roman"/>
    </w:rPr>
  </w:style>
  <w:style w:type="character" w:styleId="ListLabel288">
    <w:name w:val="ListLabel 288"/>
    <w:qFormat/>
    <w:rPr>
      <w:rFonts w:cs="Times New Roman"/>
    </w:rPr>
  </w:style>
  <w:style w:type="character" w:styleId="ListLabel289">
    <w:name w:val="ListLabel 289"/>
    <w:qFormat/>
    <w:rPr>
      <w:rFonts w:cs="Times New Roman"/>
    </w:rPr>
  </w:style>
  <w:style w:type="character" w:styleId="ListLabel290">
    <w:name w:val="ListLabel 290"/>
    <w:qFormat/>
    <w:rPr>
      <w:rFonts w:ascii="Book Antiqua" w:hAnsi="Book Antiqua" w:cs="Times New Roman"/>
      <w:sz w:val="22"/>
    </w:rPr>
  </w:style>
  <w:style w:type="character" w:styleId="ListLabel291">
    <w:name w:val="ListLabel 291"/>
    <w:qFormat/>
    <w:rPr>
      <w:rFonts w:cs="Times New Roman"/>
    </w:rPr>
  </w:style>
  <w:style w:type="character" w:styleId="ListLabel292">
    <w:name w:val="ListLabel 292"/>
    <w:qFormat/>
    <w:rPr>
      <w:rFonts w:cs="Times New Roman"/>
    </w:rPr>
  </w:style>
  <w:style w:type="character" w:styleId="ListLabel293">
    <w:name w:val="ListLabel 293"/>
    <w:qFormat/>
    <w:rPr>
      <w:rFonts w:cs="Times New Roman"/>
    </w:rPr>
  </w:style>
  <w:style w:type="character" w:styleId="ListLabel294">
    <w:name w:val="ListLabel 294"/>
    <w:qFormat/>
    <w:rPr>
      <w:rFonts w:cs="Times New Roman"/>
    </w:rPr>
  </w:style>
  <w:style w:type="character" w:styleId="ListLabel295">
    <w:name w:val="ListLabel 295"/>
    <w:qFormat/>
    <w:rPr>
      <w:rFonts w:cs="Times New Roman"/>
    </w:rPr>
  </w:style>
  <w:style w:type="character" w:styleId="ListLabel296">
    <w:name w:val="ListLabel 296"/>
    <w:qFormat/>
    <w:rPr>
      <w:rFonts w:cs="Times New Roman"/>
    </w:rPr>
  </w:style>
  <w:style w:type="character" w:styleId="ListLabel297">
    <w:name w:val="ListLabel 297"/>
    <w:qFormat/>
    <w:rPr>
      <w:rFonts w:cs="Times New Roman"/>
    </w:rPr>
  </w:style>
  <w:style w:type="character" w:styleId="ListLabel298">
    <w:name w:val="ListLabel 298"/>
    <w:qFormat/>
    <w:rPr>
      <w:rFonts w:cs="Times New Roman"/>
    </w:rPr>
  </w:style>
  <w:style w:type="character" w:styleId="ListLabel299">
    <w:name w:val="ListLabel 299"/>
    <w:qFormat/>
    <w:rPr>
      <w:rFonts w:ascii="Book Antiqua" w:hAnsi="Book Antiqua" w:cs="Times New Roman"/>
      <w:sz w:val="22"/>
    </w:rPr>
  </w:style>
  <w:style w:type="character" w:styleId="ListLabel300">
    <w:name w:val="ListLabel 300"/>
    <w:qFormat/>
    <w:rPr>
      <w:rFonts w:cs="Arial"/>
      <w:color w:val="444444"/>
      <w:sz w:val="20"/>
    </w:rPr>
  </w:style>
  <w:style w:type="character" w:styleId="ListLabel301">
    <w:name w:val="ListLabel 301"/>
    <w:qFormat/>
    <w:rPr>
      <w:rFonts w:cs="Times New Roman"/>
    </w:rPr>
  </w:style>
  <w:style w:type="character" w:styleId="ListLabel302">
    <w:name w:val="ListLabel 302"/>
    <w:qFormat/>
    <w:rPr>
      <w:rFonts w:cs="Times New Roman"/>
    </w:rPr>
  </w:style>
  <w:style w:type="character" w:styleId="ListLabel303">
    <w:name w:val="ListLabel 303"/>
    <w:qFormat/>
    <w:rPr>
      <w:rFonts w:cs="Times New Roman"/>
    </w:rPr>
  </w:style>
  <w:style w:type="character" w:styleId="ListLabel304">
    <w:name w:val="ListLabel 304"/>
    <w:qFormat/>
    <w:rPr>
      <w:rFonts w:cs="Times New Roman"/>
    </w:rPr>
  </w:style>
  <w:style w:type="character" w:styleId="ListLabel305">
    <w:name w:val="ListLabel 305"/>
    <w:qFormat/>
    <w:rPr>
      <w:rFonts w:cs="Times New Roman"/>
    </w:rPr>
  </w:style>
  <w:style w:type="character" w:styleId="ListLabel306">
    <w:name w:val="ListLabel 306"/>
    <w:qFormat/>
    <w:rPr>
      <w:rFonts w:cs="Times New Roman"/>
    </w:rPr>
  </w:style>
  <w:style w:type="character" w:styleId="ListLabel307">
    <w:name w:val="ListLabel 307"/>
    <w:qFormat/>
    <w:rPr>
      <w:rFonts w:cs="Times New Roman"/>
    </w:rPr>
  </w:style>
  <w:style w:type="character" w:styleId="ListLabel308">
    <w:name w:val="ListLabel 308"/>
    <w:qFormat/>
    <w:rPr>
      <w:rFonts w:cs="Times New Roman"/>
    </w:rPr>
  </w:style>
  <w:style w:type="character" w:styleId="ListLabel309">
    <w:name w:val="ListLabel 309"/>
    <w:qFormat/>
    <w:rPr>
      <w:rFonts w:cs="Arial"/>
      <w:color w:val="444444"/>
      <w:sz w:val="20"/>
    </w:rPr>
  </w:style>
  <w:style w:type="character" w:styleId="ListLabel310">
    <w:name w:val="ListLabel 310"/>
    <w:qFormat/>
    <w:rPr>
      <w:rFonts w:cs="Times New Roman"/>
    </w:rPr>
  </w:style>
  <w:style w:type="character" w:styleId="ListLabel311">
    <w:name w:val="ListLabel 311"/>
    <w:qFormat/>
    <w:rPr>
      <w:rFonts w:cs="Times New Roman"/>
    </w:rPr>
  </w:style>
  <w:style w:type="character" w:styleId="ListLabel312">
    <w:name w:val="ListLabel 312"/>
    <w:qFormat/>
    <w:rPr>
      <w:rFonts w:cs="Times New Roman"/>
    </w:rPr>
  </w:style>
  <w:style w:type="character" w:styleId="ListLabel313">
    <w:name w:val="ListLabel 313"/>
    <w:qFormat/>
    <w:rPr>
      <w:rFonts w:cs="Times New Roman"/>
    </w:rPr>
  </w:style>
  <w:style w:type="character" w:styleId="ListLabel314">
    <w:name w:val="ListLabel 314"/>
    <w:qFormat/>
    <w:rPr>
      <w:rFonts w:cs="Times New Roman"/>
    </w:rPr>
  </w:style>
  <w:style w:type="character" w:styleId="ListLabel315">
    <w:name w:val="ListLabel 315"/>
    <w:qFormat/>
    <w:rPr>
      <w:rFonts w:cs="Times New Roman"/>
    </w:rPr>
  </w:style>
  <w:style w:type="character" w:styleId="ListLabel316">
    <w:name w:val="ListLabel 316"/>
    <w:qFormat/>
    <w:rPr>
      <w:rFonts w:cs="Times New Roman"/>
    </w:rPr>
  </w:style>
  <w:style w:type="character" w:styleId="ListLabel317">
    <w:name w:val="ListLabel 317"/>
    <w:qFormat/>
    <w:rPr>
      <w:rFonts w:cs="Times New Roman"/>
    </w:rPr>
  </w:style>
  <w:style w:type="character" w:styleId="ListLabel318">
    <w:name w:val="ListLabel 318"/>
    <w:qFormat/>
    <w:rPr>
      <w:rFonts w:cs="Arial"/>
      <w:color w:val="444444"/>
      <w:sz w:val="20"/>
    </w:rPr>
  </w:style>
  <w:style w:type="character" w:styleId="ListLabel319">
    <w:name w:val="ListLabel 319"/>
    <w:qFormat/>
    <w:rPr>
      <w:rFonts w:cs="Times New Roman"/>
    </w:rPr>
  </w:style>
  <w:style w:type="character" w:styleId="ListLabel320">
    <w:name w:val="ListLabel 320"/>
    <w:qFormat/>
    <w:rPr>
      <w:rFonts w:cs="Times New Roman"/>
    </w:rPr>
  </w:style>
  <w:style w:type="character" w:styleId="ListLabel321">
    <w:name w:val="ListLabel 321"/>
    <w:qFormat/>
    <w:rPr>
      <w:rFonts w:cs="Times New Roman"/>
    </w:rPr>
  </w:style>
  <w:style w:type="character" w:styleId="ListLabel322">
    <w:name w:val="ListLabel 322"/>
    <w:qFormat/>
    <w:rPr>
      <w:rFonts w:cs="Times New Roman"/>
    </w:rPr>
  </w:style>
  <w:style w:type="character" w:styleId="ListLabel323">
    <w:name w:val="ListLabel 323"/>
    <w:qFormat/>
    <w:rPr>
      <w:rFonts w:cs="Times New Roman"/>
    </w:rPr>
  </w:style>
  <w:style w:type="character" w:styleId="ListLabel324">
    <w:name w:val="ListLabel 324"/>
    <w:qFormat/>
    <w:rPr>
      <w:rFonts w:cs="Times New Roman"/>
    </w:rPr>
  </w:style>
  <w:style w:type="character" w:styleId="ListLabel325">
    <w:name w:val="ListLabel 325"/>
    <w:qFormat/>
    <w:rPr>
      <w:rFonts w:cs="Times New Roman"/>
    </w:rPr>
  </w:style>
  <w:style w:type="character" w:styleId="ListLabel326">
    <w:name w:val="ListLabel 326"/>
    <w:qFormat/>
    <w:rPr>
      <w:rFonts w:cs="Times New Roman"/>
    </w:rPr>
  </w:style>
  <w:style w:type="character" w:styleId="ListLabel327">
    <w:name w:val="ListLabel 327"/>
    <w:qFormat/>
    <w:rPr>
      <w:rFonts w:cs="Arial"/>
      <w:color w:val="444444"/>
      <w:sz w:val="20"/>
    </w:rPr>
  </w:style>
  <w:style w:type="character" w:styleId="ListLabel328">
    <w:name w:val="ListLabel 328"/>
    <w:qFormat/>
    <w:rPr>
      <w:rFonts w:cs="Times New Roman"/>
    </w:rPr>
  </w:style>
  <w:style w:type="character" w:styleId="ListLabel329">
    <w:name w:val="ListLabel 329"/>
    <w:qFormat/>
    <w:rPr>
      <w:rFonts w:cs="Times New Roman"/>
    </w:rPr>
  </w:style>
  <w:style w:type="character" w:styleId="ListLabel330">
    <w:name w:val="ListLabel 330"/>
    <w:qFormat/>
    <w:rPr>
      <w:rFonts w:cs="Times New Roman"/>
    </w:rPr>
  </w:style>
  <w:style w:type="character" w:styleId="ListLabel331">
    <w:name w:val="ListLabel 331"/>
    <w:qFormat/>
    <w:rPr>
      <w:rFonts w:cs="Times New Roman"/>
    </w:rPr>
  </w:style>
  <w:style w:type="character" w:styleId="ListLabel332">
    <w:name w:val="ListLabel 332"/>
    <w:qFormat/>
    <w:rPr>
      <w:rFonts w:cs="Times New Roman"/>
    </w:rPr>
  </w:style>
  <w:style w:type="character" w:styleId="ListLabel333">
    <w:name w:val="ListLabel 333"/>
    <w:qFormat/>
    <w:rPr>
      <w:rFonts w:cs="Times New Roman"/>
    </w:rPr>
  </w:style>
  <w:style w:type="character" w:styleId="ListLabel334">
    <w:name w:val="ListLabel 334"/>
    <w:qFormat/>
    <w:rPr>
      <w:rFonts w:cs="Times New Roman"/>
    </w:rPr>
  </w:style>
  <w:style w:type="character" w:styleId="ListLabel335">
    <w:name w:val="ListLabel 335"/>
    <w:qFormat/>
    <w:rPr>
      <w:rFonts w:ascii="Book Antiqua" w:hAnsi="Book Antiqua" w:cs="Times New Roman"/>
      <w:sz w:val="22"/>
    </w:rPr>
  </w:style>
  <w:style w:type="character" w:styleId="ListLabel336">
    <w:name w:val="ListLabel 336"/>
    <w:qFormat/>
    <w:rPr>
      <w:rFonts w:cs="Times New Roman"/>
    </w:rPr>
  </w:style>
  <w:style w:type="character" w:styleId="ListLabel337">
    <w:name w:val="ListLabel 337"/>
    <w:qFormat/>
    <w:rPr>
      <w:rFonts w:cs="Times New Roman"/>
    </w:rPr>
  </w:style>
  <w:style w:type="character" w:styleId="ListLabel338">
    <w:name w:val="ListLabel 338"/>
    <w:qFormat/>
    <w:rPr>
      <w:rFonts w:cs="Times New Roman"/>
    </w:rPr>
  </w:style>
  <w:style w:type="character" w:styleId="ListLabel339">
    <w:name w:val="ListLabel 339"/>
    <w:qFormat/>
    <w:rPr>
      <w:rFonts w:cs="Times New Roman"/>
    </w:rPr>
  </w:style>
  <w:style w:type="character" w:styleId="ListLabel340">
    <w:name w:val="ListLabel 340"/>
    <w:qFormat/>
    <w:rPr>
      <w:rFonts w:cs="Times New Roman"/>
    </w:rPr>
  </w:style>
  <w:style w:type="character" w:styleId="ListLabel341">
    <w:name w:val="ListLabel 341"/>
    <w:qFormat/>
    <w:rPr>
      <w:rFonts w:cs="Times New Roman"/>
    </w:rPr>
  </w:style>
  <w:style w:type="character" w:styleId="ListLabel342">
    <w:name w:val="ListLabel 342"/>
    <w:qFormat/>
    <w:rPr>
      <w:rFonts w:cs="Times New Roman"/>
    </w:rPr>
  </w:style>
  <w:style w:type="character" w:styleId="ListLabel343">
    <w:name w:val="ListLabel 343"/>
    <w:qFormat/>
    <w:rPr>
      <w:rFonts w:cs="Times New Roman"/>
    </w:rPr>
  </w:style>
  <w:style w:type="character" w:styleId="ListLabel344">
    <w:name w:val="ListLabel 344"/>
    <w:qFormat/>
    <w:rPr>
      <w:rFonts w:ascii="Book Antiqua" w:hAnsi="Book Antiqua" w:cs="Times New Roman"/>
      <w:sz w:val="22"/>
    </w:rPr>
  </w:style>
  <w:style w:type="character" w:styleId="ListLabel345">
    <w:name w:val="ListLabel 345"/>
    <w:qFormat/>
    <w:rPr>
      <w:rFonts w:cs="Arial"/>
      <w:color w:val="444444"/>
      <w:sz w:val="20"/>
    </w:rPr>
  </w:style>
  <w:style w:type="character" w:styleId="ListLabel346">
    <w:name w:val="ListLabel 346"/>
    <w:qFormat/>
    <w:rPr>
      <w:rFonts w:cs="Times New Roman"/>
    </w:rPr>
  </w:style>
  <w:style w:type="character" w:styleId="ListLabel347">
    <w:name w:val="ListLabel 347"/>
    <w:qFormat/>
    <w:rPr>
      <w:rFonts w:cs="Times New Roman"/>
    </w:rPr>
  </w:style>
  <w:style w:type="character" w:styleId="ListLabel348">
    <w:name w:val="ListLabel 348"/>
    <w:qFormat/>
    <w:rPr>
      <w:rFonts w:cs="Times New Roman"/>
    </w:rPr>
  </w:style>
  <w:style w:type="character" w:styleId="ListLabel349">
    <w:name w:val="ListLabel 349"/>
    <w:qFormat/>
    <w:rPr>
      <w:rFonts w:cs="Times New Roman"/>
    </w:rPr>
  </w:style>
  <w:style w:type="character" w:styleId="ListLabel350">
    <w:name w:val="ListLabel 350"/>
    <w:qFormat/>
    <w:rPr>
      <w:rFonts w:cs="Times New Roman"/>
    </w:rPr>
  </w:style>
  <w:style w:type="character" w:styleId="ListLabel351">
    <w:name w:val="ListLabel 351"/>
    <w:qFormat/>
    <w:rPr>
      <w:rFonts w:cs="Times New Roman"/>
    </w:rPr>
  </w:style>
  <w:style w:type="character" w:styleId="ListLabel352">
    <w:name w:val="ListLabel 352"/>
    <w:qFormat/>
    <w:rPr>
      <w:rFonts w:cs="Times New Roman"/>
    </w:rPr>
  </w:style>
  <w:style w:type="character" w:styleId="ListLabel353">
    <w:name w:val="ListLabel 353"/>
    <w:qFormat/>
    <w:rPr>
      <w:rFonts w:ascii="Book Antiqua" w:hAnsi="Book Antiqua" w:cs="Times New Roman"/>
      <w:sz w:val="22"/>
    </w:rPr>
  </w:style>
  <w:style w:type="character" w:styleId="ListLabel354">
    <w:name w:val="ListLabel 354"/>
    <w:qFormat/>
    <w:rPr>
      <w:rFonts w:cs="Times New Roman"/>
    </w:rPr>
  </w:style>
  <w:style w:type="character" w:styleId="ListLabel355">
    <w:name w:val="ListLabel 355"/>
    <w:qFormat/>
    <w:rPr>
      <w:rFonts w:cs="Times New Roman"/>
    </w:rPr>
  </w:style>
  <w:style w:type="character" w:styleId="ListLabel356">
    <w:name w:val="ListLabel 356"/>
    <w:qFormat/>
    <w:rPr>
      <w:rFonts w:cs="Times New Roman"/>
    </w:rPr>
  </w:style>
  <w:style w:type="character" w:styleId="ListLabel357">
    <w:name w:val="ListLabel 357"/>
    <w:qFormat/>
    <w:rPr>
      <w:rFonts w:cs="Times New Roman"/>
    </w:rPr>
  </w:style>
  <w:style w:type="character" w:styleId="ListLabel358">
    <w:name w:val="ListLabel 358"/>
    <w:qFormat/>
    <w:rPr>
      <w:rFonts w:cs="Times New Roman"/>
    </w:rPr>
  </w:style>
  <w:style w:type="character" w:styleId="ListLabel359">
    <w:name w:val="ListLabel 359"/>
    <w:qFormat/>
    <w:rPr>
      <w:rFonts w:cs="Times New Roman"/>
    </w:rPr>
  </w:style>
  <w:style w:type="character" w:styleId="ListLabel360">
    <w:name w:val="ListLabel 360"/>
    <w:qFormat/>
    <w:rPr>
      <w:rFonts w:cs="Times New Roman"/>
    </w:rPr>
  </w:style>
  <w:style w:type="character" w:styleId="ListLabel361">
    <w:name w:val="ListLabel 361"/>
    <w:qFormat/>
    <w:rPr>
      <w:rFonts w:cs="Times New Roman"/>
    </w:rPr>
  </w:style>
  <w:style w:type="character" w:styleId="ListLabel362">
    <w:name w:val="ListLabel 362"/>
    <w:qFormat/>
    <w:rPr>
      <w:rFonts w:cs="Times New Roman"/>
    </w:rPr>
  </w:style>
  <w:style w:type="character" w:styleId="ListLabel363">
    <w:name w:val="ListLabel 363"/>
    <w:qFormat/>
    <w:rPr>
      <w:rFonts w:cs="Times New Roman"/>
    </w:rPr>
  </w:style>
  <w:style w:type="character" w:styleId="ListLabel364">
    <w:name w:val="ListLabel 364"/>
    <w:qFormat/>
    <w:rPr>
      <w:rFonts w:cs="Times New Roman"/>
    </w:rPr>
  </w:style>
  <w:style w:type="character" w:styleId="ListLabel365">
    <w:name w:val="ListLabel 365"/>
    <w:qFormat/>
    <w:rPr>
      <w:rFonts w:cs="Times New Roman"/>
    </w:rPr>
  </w:style>
  <w:style w:type="character" w:styleId="ListLabel366">
    <w:name w:val="ListLabel 366"/>
    <w:qFormat/>
    <w:rPr>
      <w:rFonts w:cs="Times New Roman"/>
    </w:rPr>
  </w:style>
  <w:style w:type="character" w:styleId="ListLabel367">
    <w:name w:val="ListLabel 367"/>
    <w:qFormat/>
    <w:rPr>
      <w:rFonts w:cs="Times New Roman"/>
    </w:rPr>
  </w:style>
  <w:style w:type="character" w:styleId="ListLabel368">
    <w:name w:val="ListLabel 368"/>
    <w:qFormat/>
    <w:rPr>
      <w:rFonts w:cs="Times New Roman"/>
    </w:rPr>
  </w:style>
  <w:style w:type="character" w:styleId="ListLabel369">
    <w:name w:val="ListLabel 369"/>
    <w:qFormat/>
    <w:rPr>
      <w:rFonts w:cs="Times New Roman"/>
    </w:rPr>
  </w:style>
  <w:style w:type="character" w:styleId="ListLabel370">
    <w:name w:val="ListLabel 370"/>
    <w:qFormat/>
    <w:rPr>
      <w:rFonts w:cs="Times New Roman"/>
    </w:rPr>
  </w:style>
  <w:style w:type="character" w:styleId="ListLabel371">
    <w:name w:val="ListLabel 371"/>
    <w:qFormat/>
    <w:rPr>
      <w:rFonts w:ascii="Book Antiqua" w:hAnsi="Book Antiqua" w:cs="Times New Roman"/>
      <w:sz w:val="22"/>
    </w:rPr>
  </w:style>
  <w:style w:type="character" w:styleId="ListLabel372">
    <w:name w:val="ListLabel 372"/>
    <w:qFormat/>
    <w:rPr>
      <w:rFonts w:cs="Times New Roman"/>
    </w:rPr>
  </w:style>
  <w:style w:type="character" w:styleId="ListLabel373">
    <w:name w:val="ListLabel 373"/>
    <w:qFormat/>
    <w:rPr>
      <w:rFonts w:cs="Times New Roman"/>
    </w:rPr>
  </w:style>
  <w:style w:type="character" w:styleId="ListLabel374">
    <w:name w:val="ListLabel 374"/>
    <w:qFormat/>
    <w:rPr>
      <w:rFonts w:cs="Times New Roman"/>
    </w:rPr>
  </w:style>
  <w:style w:type="character" w:styleId="ListLabel375">
    <w:name w:val="ListLabel 375"/>
    <w:qFormat/>
    <w:rPr>
      <w:rFonts w:cs="Times New Roman"/>
    </w:rPr>
  </w:style>
  <w:style w:type="character" w:styleId="ListLabel376">
    <w:name w:val="ListLabel 376"/>
    <w:qFormat/>
    <w:rPr>
      <w:rFonts w:cs="Times New Roman"/>
    </w:rPr>
  </w:style>
  <w:style w:type="character" w:styleId="ListLabel377">
    <w:name w:val="ListLabel 377"/>
    <w:qFormat/>
    <w:rPr>
      <w:rFonts w:cs="Times New Roman"/>
    </w:rPr>
  </w:style>
  <w:style w:type="character" w:styleId="ListLabel378">
    <w:name w:val="ListLabel 378"/>
    <w:qFormat/>
    <w:rPr>
      <w:rFonts w:cs="Times New Roman"/>
    </w:rPr>
  </w:style>
  <w:style w:type="character" w:styleId="ListLabel379">
    <w:name w:val="ListLabel 379"/>
    <w:qFormat/>
    <w:rPr>
      <w:rFonts w:cs="Times New Roman"/>
    </w:rPr>
  </w:style>
  <w:style w:type="character" w:styleId="ListLabel380">
    <w:name w:val="ListLabel 380"/>
    <w:qFormat/>
    <w:rPr>
      <w:rFonts w:ascii="Book Antiqua" w:hAnsi="Book Antiqua" w:cs="Times New Roman"/>
      <w:sz w:val="22"/>
    </w:rPr>
  </w:style>
  <w:style w:type="character" w:styleId="ListLabel381">
    <w:name w:val="ListLabel 381"/>
    <w:qFormat/>
    <w:rPr>
      <w:rFonts w:cs="Times New Roman"/>
    </w:rPr>
  </w:style>
  <w:style w:type="character" w:styleId="ListLabel382">
    <w:name w:val="ListLabel 382"/>
    <w:qFormat/>
    <w:rPr>
      <w:rFonts w:cs="Times New Roman"/>
    </w:rPr>
  </w:style>
  <w:style w:type="character" w:styleId="ListLabel383">
    <w:name w:val="ListLabel 383"/>
    <w:qFormat/>
    <w:rPr>
      <w:rFonts w:cs="Times New Roman"/>
    </w:rPr>
  </w:style>
  <w:style w:type="character" w:styleId="ListLabel384">
    <w:name w:val="ListLabel 384"/>
    <w:qFormat/>
    <w:rPr>
      <w:rFonts w:cs="Times New Roman"/>
    </w:rPr>
  </w:style>
  <w:style w:type="character" w:styleId="ListLabel385">
    <w:name w:val="ListLabel 385"/>
    <w:qFormat/>
    <w:rPr>
      <w:rFonts w:cs="Times New Roman"/>
    </w:rPr>
  </w:style>
  <w:style w:type="character" w:styleId="ListLabel386">
    <w:name w:val="ListLabel 386"/>
    <w:qFormat/>
    <w:rPr>
      <w:rFonts w:cs="Times New Roman"/>
    </w:rPr>
  </w:style>
  <w:style w:type="character" w:styleId="ListLabel387">
    <w:name w:val="ListLabel 387"/>
    <w:qFormat/>
    <w:rPr>
      <w:rFonts w:cs="Times New Roman"/>
    </w:rPr>
  </w:style>
  <w:style w:type="character" w:styleId="ListLabel388">
    <w:name w:val="ListLabel 388"/>
    <w:qFormat/>
    <w:rPr>
      <w:rFonts w:cs="Times New Roman"/>
    </w:rPr>
  </w:style>
  <w:style w:type="character" w:styleId="ListLabel389">
    <w:name w:val="ListLabel 389"/>
    <w:qFormat/>
    <w:rPr>
      <w:rFonts w:ascii="Book Antiqua" w:hAnsi="Book Antiqua" w:cs="Times New Roman"/>
      <w:sz w:val="22"/>
    </w:rPr>
  </w:style>
  <w:style w:type="character" w:styleId="ListLabel390">
    <w:name w:val="ListLabel 390"/>
    <w:qFormat/>
    <w:rPr>
      <w:rFonts w:cs="Times New Roman"/>
    </w:rPr>
  </w:style>
  <w:style w:type="character" w:styleId="ListLabel391">
    <w:name w:val="ListLabel 391"/>
    <w:qFormat/>
    <w:rPr>
      <w:rFonts w:cs="Times New Roman"/>
    </w:rPr>
  </w:style>
  <w:style w:type="character" w:styleId="ListLabel392">
    <w:name w:val="ListLabel 392"/>
    <w:qFormat/>
    <w:rPr>
      <w:rFonts w:cs="Times New Roman"/>
    </w:rPr>
  </w:style>
  <w:style w:type="character" w:styleId="ListLabel393">
    <w:name w:val="ListLabel 393"/>
    <w:qFormat/>
    <w:rPr>
      <w:rFonts w:cs="Times New Roman"/>
    </w:rPr>
  </w:style>
  <w:style w:type="character" w:styleId="ListLabel394">
    <w:name w:val="ListLabel 394"/>
    <w:qFormat/>
    <w:rPr>
      <w:rFonts w:cs="Times New Roman"/>
    </w:rPr>
  </w:style>
  <w:style w:type="character" w:styleId="ListLabel395">
    <w:name w:val="ListLabel 395"/>
    <w:qFormat/>
    <w:rPr>
      <w:rFonts w:cs="Times New Roman"/>
    </w:rPr>
  </w:style>
  <w:style w:type="character" w:styleId="ListLabel396">
    <w:name w:val="ListLabel 396"/>
    <w:qFormat/>
    <w:rPr>
      <w:rFonts w:cs="Times New Roman"/>
    </w:rPr>
  </w:style>
  <w:style w:type="character" w:styleId="ListLabel397">
    <w:name w:val="ListLabel 397"/>
    <w:qFormat/>
    <w:rPr>
      <w:rFonts w:cs="Times New Roman"/>
    </w:rPr>
  </w:style>
  <w:style w:type="character" w:styleId="ListLabel398">
    <w:name w:val="ListLabel 398"/>
    <w:qFormat/>
    <w:rPr>
      <w:rFonts w:ascii="Book Antiqua" w:hAnsi="Book Antiqua" w:cs="Times New Roman"/>
      <w:sz w:val="22"/>
    </w:rPr>
  </w:style>
  <w:style w:type="character" w:styleId="ListLabel399">
    <w:name w:val="ListLabel 399"/>
    <w:qFormat/>
    <w:rPr>
      <w:rFonts w:cs="Times New Roman"/>
    </w:rPr>
  </w:style>
  <w:style w:type="character" w:styleId="ListLabel400">
    <w:name w:val="ListLabel 400"/>
    <w:qFormat/>
    <w:rPr>
      <w:rFonts w:cs="Times New Roman"/>
    </w:rPr>
  </w:style>
  <w:style w:type="character" w:styleId="ListLabel401">
    <w:name w:val="ListLabel 401"/>
    <w:qFormat/>
    <w:rPr>
      <w:rFonts w:cs="Times New Roman"/>
    </w:rPr>
  </w:style>
  <w:style w:type="character" w:styleId="ListLabel402">
    <w:name w:val="ListLabel 402"/>
    <w:qFormat/>
    <w:rPr>
      <w:rFonts w:cs="Times New Roman"/>
    </w:rPr>
  </w:style>
  <w:style w:type="character" w:styleId="ListLabel403">
    <w:name w:val="ListLabel 403"/>
    <w:qFormat/>
    <w:rPr>
      <w:rFonts w:cs="Times New Roman"/>
    </w:rPr>
  </w:style>
  <w:style w:type="character" w:styleId="ListLabel404">
    <w:name w:val="ListLabel 404"/>
    <w:qFormat/>
    <w:rPr>
      <w:rFonts w:cs="Times New Roman"/>
    </w:rPr>
  </w:style>
  <w:style w:type="character" w:styleId="ListLabel405">
    <w:name w:val="ListLabel 405"/>
    <w:qFormat/>
    <w:rPr>
      <w:rFonts w:cs="Times New Roman"/>
    </w:rPr>
  </w:style>
  <w:style w:type="character" w:styleId="ListLabel406">
    <w:name w:val="ListLabel 406"/>
    <w:qFormat/>
    <w:rPr>
      <w:rFonts w:cs="Times New Roman"/>
    </w:rPr>
  </w:style>
  <w:style w:type="character" w:styleId="ListLabel407">
    <w:name w:val="ListLabel 407"/>
    <w:qFormat/>
    <w:rPr>
      <w:rFonts w:ascii="Book Antiqua" w:hAnsi="Book Antiqua"/>
      <w:sz w:val="22"/>
      <w:szCs w:val="22"/>
    </w:rPr>
  </w:style>
  <w:style w:type="character" w:styleId="ListLabel408">
    <w:name w:val="ListLabel 408"/>
    <w:qFormat/>
    <w:rPr/>
  </w:style>
  <w:style w:type="paragraph" w:styleId="Nadpis">
    <w:name w:val="Nadpis"/>
    <w:basedOn w:val="Normal"/>
    <w:next w:val="Telotextu"/>
    <w:qFormat/>
    <w:pPr>
      <w:keepNext w:val="true"/>
      <w:spacing w:before="240" w:after="120"/>
    </w:pPr>
    <w:rPr>
      <w:rFonts w:ascii="Liberation Sans" w:hAnsi="Liberation Sans" w:eastAsia="Microsoft YaHei" w:cs="Mangal"/>
      <w:sz w:val="28"/>
      <w:szCs w:val="28"/>
    </w:rPr>
  </w:style>
  <w:style w:type="paragraph" w:styleId="Telotextu">
    <w:name w:val="Body Text"/>
    <w:basedOn w:val="Normal"/>
    <w:link w:val="ZkladntextChar"/>
    <w:uiPriority w:val="99"/>
    <w:rsid w:val="00b6325f"/>
    <w:pPr>
      <w:widowControl/>
      <w:suppressAutoHyphens w:val="false"/>
      <w:jc w:val="center"/>
    </w:pPr>
    <w:rPr>
      <w:b/>
      <w:bCs/>
      <w:szCs w:val="24"/>
      <w:lang w:eastAsia="sk-SK"/>
    </w:rPr>
  </w:style>
  <w:style w:type="paragraph" w:styleId="Zoznam">
    <w:name w:val="List"/>
    <w:basedOn w:val="Telotextu"/>
    <w:pPr/>
    <w:rPr>
      <w:rFonts w:cs="Mangal"/>
    </w:rPr>
  </w:style>
  <w:style w:type="paragraph" w:styleId="Popis">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Pta">
    <w:name w:val="Footer"/>
    <w:basedOn w:val="Normal"/>
    <w:link w:val="PtaChar"/>
    <w:uiPriority w:val="99"/>
    <w:rsid w:val="00fc306c"/>
    <w:pPr>
      <w:widowControl/>
      <w:tabs>
        <w:tab w:val="clear" w:pos="708"/>
        <w:tab w:val="center" w:pos="4536" w:leader="none"/>
        <w:tab w:val="right" w:pos="9072" w:leader="none"/>
      </w:tabs>
      <w:suppressAutoHyphens w:val="false"/>
    </w:pPr>
    <w:rPr>
      <w:szCs w:val="24"/>
    </w:rPr>
  </w:style>
  <w:style w:type="paragraph" w:styleId="ListParagraph">
    <w:name w:val="List Paragraph"/>
    <w:basedOn w:val="Normal"/>
    <w:uiPriority w:val="34"/>
    <w:qFormat/>
    <w:rsid w:val="00fc306c"/>
    <w:pPr>
      <w:ind w:left="708" w:hanging="0"/>
    </w:pPr>
    <w:rPr/>
  </w:style>
  <w:style w:type="paragraph" w:styleId="Poznmkapodiarou">
    <w:name w:val="Footnote Text"/>
    <w:basedOn w:val="Normal"/>
    <w:link w:val="TextpoznmkypodiarouChar"/>
    <w:uiPriority w:val="99"/>
    <w:unhideWhenUsed/>
    <w:rsid w:val="00fc306c"/>
    <w:pPr/>
    <w:rPr>
      <w:sz w:val="20"/>
    </w:rPr>
  </w:style>
  <w:style w:type="paragraph" w:styleId="Hlavika">
    <w:name w:val="Header"/>
    <w:basedOn w:val="Normal"/>
    <w:link w:val="HlavikaChar"/>
    <w:uiPriority w:val="99"/>
    <w:unhideWhenUsed/>
    <w:rsid w:val="00f35b07"/>
    <w:pPr>
      <w:tabs>
        <w:tab w:val="clear" w:pos="708"/>
        <w:tab w:val="center" w:pos="4536" w:leader="none"/>
        <w:tab w:val="right" w:pos="9072" w:leader="none"/>
      </w:tabs>
    </w:pPr>
    <w:rPr/>
  </w:style>
  <w:style w:type="paragraph" w:styleId="BalloonText">
    <w:name w:val="Balloon Text"/>
    <w:basedOn w:val="Normal"/>
    <w:link w:val="TextbublinyChar"/>
    <w:uiPriority w:val="99"/>
    <w:semiHidden/>
    <w:unhideWhenUsed/>
    <w:qFormat/>
    <w:rsid w:val="00f35b07"/>
    <w:pPr/>
    <w:rPr>
      <w:rFonts w:ascii="Tahoma" w:hAnsi="Tahoma" w:cs="Tahoma"/>
      <w:sz w:val="16"/>
      <w:szCs w:val="16"/>
    </w:rPr>
  </w:style>
  <w:style w:type="numbering" w:styleId="NoList" w:default="1">
    <w:name w:val="No List"/>
    <w:uiPriority w:val="99"/>
    <w:semiHidden/>
    <w:unhideWhenUsed/>
    <w:qFormat/>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ustrcr.cz/data/pdf/rozkazy/orstb71-89/rn_ii_s_snb_18_1989.pdf" TargetMode="External"/><Relationship Id="rId3" Type="http://schemas.openxmlformats.org/officeDocument/2006/relationships/hyperlink" Target="http://www.ustrcr.cz/data/pdf/rozkazy/orstb71-89/rn_iv_s_snb_8_1989.pdf" TargetMode="External"/><Relationship Id="rId4" Type="http://schemas.openxmlformats.org/officeDocument/2006/relationships/hyperlink" Target="http://www.ustrcr.cz/data/pdf/rozkazy/orstb71-89/rn_vi_s_snb_8_1989.pdf" TargetMode="External"/><Relationship Id="rId5" Type="http://schemas.openxmlformats.org/officeDocument/2006/relationships/hyperlink" Target="http://www.ustrcr.cz/data/pdf/rozkazy/orstb71-89/rn_xii_s_snb_7_1989.pdf" TargetMode="External"/><Relationship Id="rId6" Type="http://schemas.openxmlformats.org/officeDocument/2006/relationships/hyperlink" Target="http://www.ustrcr.cz/data/pdf/rozkazy/orstb71-89/rn_xiii_s_snb_5_1989.pdf" TargetMode="External"/><Relationship Id="rId7" Type="http://schemas.openxmlformats.org/officeDocument/2006/relationships/hyperlink" Target="http://www.ustrcr.cz/data/pdf/rozkazy/orstb71-89/rmv_43_1971.pdf" TargetMode="External"/><Relationship Id="rId8" Type="http://schemas.openxmlformats.org/officeDocument/2006/relationships/hyperlink" Target="http://www.ustrcr.cz/data/pdf/rozkazy/orstb71-89/rmv_26_1974.pdf" TargetMode="External"/><Relationship Id="rId9" Type="http://schemas.openxmlformats.org/officeDocument/2006/relationships/hyperlink" Target="http://www.ustrcr.cz/data/pdf/rozkazy/orstb71-89/rmv_20_1981.pdf" TargetMode="External"/><Relationship Id="rId10" Type="http://schemas.openxmlformats.org/officeDocument/2006/relationships/hyperlink" Target="http://www.ustrcr.cz/data/pdf/rozkazy/orstb71-89/rns_spv_20_1989.pdf" TargetMode="External"/><Relationship Id="rId11" Type="http://schemas.openxmlformats.org/officeDocument/2006/relationships/hyperlink" Target="http://www.ustrcr.cz/data/pdf/rozkazy/orstb71-89/rn_sva_snb_3_1989.pdf" TargetMode="External"/><Relationship Id="rId12" Type="http://schemas.openxmlformats.org/officeDocument/2006/relationships/hyperlink" Target="http://www.ustrcr.cz/data/pdf/rozkazy/orstb71-89/rmv_22_1980.pdf" TargetMode="External"/><Relationship Id="rId13" Type="http://schemas.openxmlformats.org/officeDocument/2006/relationships/hyperlink" Target="http://www.ustrcr.cz/data/pdf/rozkazy/orstb71-89/rmv_22_1981.pdf" TargetMode="Externa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LibreOffice/6.2.3.2$Windows_X86_64 LibreOffice_project/aecc05fe267cc68dde00352a451aa867b3b546ac</Application>
  <Pages>16</Pages>
  <Words>4330</Words>
  <Characters>24141</Characters>
  <CharactersWithSpaces>28377</CharactersWithSpaces>
  <Paragraphs>298</Paragraphs>
  <Company>Kancelaria NR SR</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2019-11-01T18:47:00Z</dcterms:created>
  <dc:creator>Maťka</dc:creator>
  <dc:description/>
  <dc:language>sk-SK</dc:language>
  <cp:lastModifiedBy>Milan</cp:lastModifiedBy>
  <cp:lastPrinted>2015-09-30T08:17:00Z</cp:lastPrinted>
  <dcterms:modified xsi:type="dcterms:W3CDTF">2019-11-02T08:25:00Z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Kancelaria NR SR</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