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lnywebov1"/>
        <w:spacing w:lineRule="auto" w:line="276" w:before="120" w:after="0"/>
        <w:jc w:val="center"/>
        <w:rPr>
          <w:rFonts w:ascii="Book Antiqua" w:hAnsi="Book Antiqua" w:cs="Book Antiqua"/>
          <w:b/>
          <w:b/>
          <w:bCs/>
          <w:caps/>
          <w:spacing w:val="30"/>
          <w:sz w:val="22"/>
          <w:szCs w:val="22"/>
        </w:rPr>
      </w:pPr>
      <w:r>
        <w:rPr>
          <w:rFonts w:cs="Book Antiqua"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>
      <w:pPr>
        <w:pStyle w:val="Normlnywebov1"/>
        <w:spacing w:lineRule="auto" w:line="276"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</w:r>
    </w:p>
    <w:p>
      <w:pPr>
        <w:pStyle w:val="Nadpis1"/>
        <w:numPr>
          <w:ilvl w:val="0"/>
          <w:numId w:val="2"/>
        </w:numPr>
        <w:spacing w:lineRule="auto" w:line="276"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  <w:t>A. Všeobecná časť</w:t>
      </w:r>
    </w:p>
    <w:p>
      <w:pPr>
        <w:pStyle w:val="Normal"/>
        <w:spacing w:before="120" w:after="0"/>
        <w:ind w:firstLine="709"/>
        <w:jc w:val="both"/>
        <w:rPr>
          <w:rFonts w:ascii="Book Antiqua" w:hAnsi="Book Antiqua"/>
        </w:rPr>
      </w:pPr>
      <w:r>
        <w:rPr>
          <w:rFonts w:cs="Book Antiqua" w:ascii="Book Antiqua" w:hAnsi="Book Antiqua"/>
        </w:rPr>
        <w:t xml:space="preserve">Návrh zákona, ktorým </w:t>
      </w:r>
      <w:r>
        <w:rPr>
          <w:rFonts w:cs="Book Antiqua" w:ascii="Book Antiqua" w:hAnsi="Book Antiqua"/>
          <w:bCs/>
        </w:rPr>
        <w:t>sa dopĺňa zákon č. 365/2004 Z. z. o rovnakom zaobchádzaní v niektorých oblastiach a o ochrane pred diskrimináciou a o zmene a doplnení niektorých zákonov (antidiskriminačný zákon) v znení neskorších predpisov</w:t>
      </w:r>
      <w:r>
        <w:rPr>
          <w:rFonts w:cs="Book Antiqua" w:ascii="Book Antiqua" w:hAnsi="Book Antiqua"/>
        </w:rPr>
        <w:t xml:space="preserve"> (ďalej len „návrh zákona“) predkladá do legislatívneho procesu poslankyňa Národnej rady Slovenskej republiky Silvia Shahzad</w:t>
      </w:r>
      <w:r>
        <w:rPr>
          <w:rFonts w:ascii="Book Antiqua" w:hAnsi="Book Antiqua"/>
        </w:rPr>
        <w:t xml:space="preserve">. </w:t>
      </w:r>
    </w:p>
    <w:p>
      <w:pPr>
        <w:pStyle w:val="Normal"/>
        <w:spacing w:before="120" w:after="0"/>
        <w:ind w:firstLine="709"/>
        <w:jc w:val="both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Návrh zákona vypĺňa medzeru v slovenskom antidiskriminačnom práve spôsobenú chýbajúcou implementáciou zákazu diskriminácie osôb so zdravotným postihnutím podľa Dohovoru OSN o právach osôb so zdravotným postihnutím (ďalej len „Dohovor OSN“). Dohovor OSN v čl. 5 zakazuje diskrimináciu ľudí so zdravotným postihnutím, pričom diskrimináciou z dôvodu zdravotného postihnutia sa podľa čl. 2 Dohovoru OSN rozumie aj odmietnutie tzv. primeraných úprav. Právny koncept primeraných úprav je definovaný v čl. 2 Dohovoru OSN tak, že ide o „</w:t>
      </w:r>
      <w:r>
        <w:rPr>
          <w:rFonts w:cs="Book Antiqua" w:ascii="Book Antiqua" w:hAnsi="Book Antiqua"/>
          <w:i/>
        </w:rPr>
        <w:t>nevyhnutné a adekvátne zmeny a prispôsobenie, ktoré nepredstavuje neúmerné alebo nadmerné zaťaženie a ktoré sa robia, ak si to vyžaduje konkrétny prípad, s cieľom zabezpečiť osobám so zdravotným postihnutím využívanie alebo uplatňovanie všetkých ľudských práv a základných slobôd na rovnakom základe s ostatnými</w:t>
      </w:r>
      <w:r>
        <w:rPr>
          <w:rFonts w:cs="Book Antiqua" w:ascii="Book Antiqua" w:hAnsi="Book Antiqua"/>
        </w:rPr>
        <w:t xml:space="preserve">“. </w:t>
      </w:r>
    </w:p>
    <w:p>
      <w:pPr>
        <w:pStyle w:val="Normal"/>
        <w:spacing w:before="120" w:after="0"/>
        <w:ind w:firstLine="709"/>
        <w:jc w:val="both"/>
        <w:rPr>
          <w:rFonts w:ascii="Book Antiqua" w:hAnsi="Book Antiqua" w:cs="Book Antiqua"/>
          <w:bCs/>
          <w:i/>
          <w:i/>
        </w:rPr>
      </w:pPr>
      <w:r>
        <w:rPr>
          <w:rFonts w:cs="Book Antiqua" w:ascii="Book Antiqua" w:hAnsi="Book Antiqua"/>
          <w:bCs/>
        </w:rPr>
        <w:t>Zákon č. 365/2004 Z. z. o rovnakom zaobchádzaní v niektorých oblastiach a o ochrane pred diskrimináciou a o zmene a doplnení niektorých zákonov (antidiskriminačný zákon) v znení neskorších predpisov (ďalej len</w:t>
      </w:r>
      <w:r>
        <w:rPr>
          <w:rFonts w:cs="Book Antiqua" w:ascii="Book Antiqua" w:hAnsi="Book Antiqua"/>
        </w:rPr>
        <w:t xml:space="preserve"> „</w:t>
      </w:r>
      <w:r>
        <w:rPr>
          <w:rFonts w:cs="Book Antiqua" w:ascii="Book Antiqua" w:hAnsi="Book Antiqua"/>
          <w:bCs/>
        </w:rPr>
        <w:t xml:space="preserve">antidiskriminačný zákon“) tento právny koncept v plnej šírke nepozná. V § 7 antidiskriminačného zákona je upravený iba vo vzťahu k zamestnávaniu ľudí so zdravotným postihnutím. To je veľmi reštriktívny a nesprávny prístup, ktorý nezodpovedá Dohovoru OSN a výrazne obmedzuje ochranu ľudí so zdravotným postihnutím pred diskrimináciou, v rozpore s medzinárodnými záväzkami Slovenskej republiky. Túto skutočnosť potvrdil aj Výbor OSN pre práva osôb so zdravotným postihnutím, ktorý vo svojich záverečných odporúčaniach publikovaných 18. apríla 2016 uviedol, že </w:t>
      </w:r>
      <w:r>
        <w:rPr>
          <w:rFonts w:cs="Book Antiqua" w:ascii="Book Antiqua" w:hAnsi="Book Antiqua"/>
          <w:bCs/>
          <w:i/>
        </w:rPr>
        <w:t>„je znepokojený tým, že legislatíva, ktorá zakazuje diskrimináciu na základe zdravotného postihnutia, nebola rozšírená nad rámec oblasti zamestnanosti“</w:t>
      </w:r>
      <w:r>
        <w:rPr>
          <w:rFonts w:cs="Book Antiqua" w:ascii="Book Antiqua" w:hAnsi="Book Antiqua"/>
          <w:bCs/>
        </w:rPr>
        <w:t xml:space="preserve">. Taktiež vyslovil znepokojenie z dôvodu, že </w:t>
      </w:r>
      <w:r>
        <w:rPr>
          <w:rFonts w:cs="Book Antiqua" w:ascii="Book Antiqua" w:hAnsi="Book Antiqua"/>
          <w:bCs/>
          <w:i/>
        </w:rPr>
        <w:t>„primerané úpravy sa nesprávne interpretovali ako dočasné vyrovnávacie opatrenie a že v legislatíve chýba explicitná definícia primeraných úprav. Výbor je znepokojený tým, že zamietnutie primeraných úprav nie je v zákone upravené ako diskriminácia na základe zdravotného postihnutia.“</w:t>
      </w:r>
      <w:r>
        <w:rPr>
          <w:rFonts w:cs="Book Antiqua" w:ascii="Book Antiqua" w:hAnsi="Book Antiqua"/>
          <w:bCs/>
        </w:rPr>
        <w:t xml:space="preserve"> Preto Výbor OSN pre práva osôb so zdravotným postihnutím výslovne odporučil, aby sa </w:t>
      </w:r>
      <w:r>
        <w:rPr>
          <w:rFonts w:cs="Book Antiqua" w:ascii="Book Antiqua" w:hAnsi="Book Antiqua"/>
          <w:bCs/>
          <w:i/>
        </w:rPr>
        <w:t>„</w:t>
      </w:r>
      <w:r>
        <w:rPr>
          <w:rFonts w:cs="Book Antiqua" w:ascii="Book Antiqua" w:hAnsi="Book Antiqua"/>
          <w:b/>
          <w:bCs/>
          <w:i/>
        </w:rPr>
        <w:t>novelizoval § 2a ods. 1 antidiskriminačného zákona tak, aby zahŕňal odmietnutie primeraných úprav ako diskrimináciu na základe zdravotného postihnutia ...“.</w:t>
      </w:r>
    </w:p>
    <w:p>
      <w:pPr>
        <w:pStyle w:val="Normal"/>
        <w:tabs>
          <w:tab w:val="clear" w:pos="709"/>
          <w:tab w:val="left" w:pos="426" w:leader="none"/>
        </w:tabs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  <w:tab/>
        <w:t>Cieľom návrhu zákona je tak zosúladiť znenie antidiskriminačného zákona so znením Dohovoru OSN, a to podľa odporúčaní Výboru OSN pre práva osôb so zdravotným postihnutím.</w:t>
      </w:r>
      <w:r>
        <w:rPr>
          <w:rFonts w:ascii="Book Antiqua" w:hAnsi="Book Antiqua"/>
        </w:rPr>
        <w:t xml:space="preserve"> Tým dôjde nielen k naplneniu povinnosti, ktorá Slovenskej republike vyplýva z ratifikovanej medzinárodnej zmluvy o ľudských právach, ale aj k posilneniu ochrany osôb so zdravotným postihnutím. </w:t>
      </w:r>
      <w:r>
        <w:rPr>
          <w:rFonts w:cs="Book Antiqua" w:ascii="Book Antiqua" w:hAnsi="Book Antiqua"/>
        </w:rPr>
        <w:t>Predkladaný návrh zákona bude mať pozitívne sociálne vplyvy. Návrh zákona nebude mať žiadny vplyv na rozpočet verejnej správy, na podnikateľské prostredie, na životné prostredie ani na informatizáciu spoločnosti.</w:t>
      </w:r>
    </w:p>
    <w:p>
      <w:pPr>
        <w:pStyle w:val="Normlnywebov1"/>
        <w:spacing w:lineRule="auto" w:line="276"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>
      <w:pPr>
        <w:pStyle w:val="Normal"/>
        <w:suppressAutoHyphens w:val="false"/>
        <w:spacing w:lineRule="auto" w:line="240" w:before="0" w:after="0"/>
        <w:rPr>
          <w:rFonts w:ascii="Book Antiqua" w:hAnsi="Book Antiqua" w:cs="Times New Roman"/>
          <w:b/>
          <w:b/>
        </w:rPr>
      </w:pPr>
      <w:r>
        <w:rPr>
          <w:rFonts w:cs="Times New Roman" w:ascii="Book Antiqua" w:hAnsi="Book Antiqua"/>
          <w:b/>
        </w:rPr>
      </w:r>
      <w:r>
        <w:br w:type="page"/>
      </w:r>
    </w:p>
    <w:p>
      <w:pPr>
        <w:pStyle w:val="Normlnywebov1"/>
        <w:spacing w:lineRule="auto" w:line="276" w:before="120" w:after="0"/>
        <w:jc w:val="both"/>
        <w:rPr>
          <w:rFonts w:ascii="Book Antiqua" w:hAnsi="Book Antiqua" w:cs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B. Osobitná časť</w:t>
      </w:r>
    </w:p>
    <w:p>
      <w:pPr>
        <w:pStyle w:val="Normal"/>
        <w:spacing w:before="120" w:after="0"/>
        <w:jc w:val="both"/>
        <w:rPr>
          <w:rFonts w:ascii="Book Antiqua" w:hAnsi="Book Antiqua" w:cs="Book Antiqua"/>
          <w:b/>
          <w:b/>
        </w:rPr>
      </w:pPr>
      <w:r>
        <w:rPr>
          <w:rFonts w:cs="Book Antiqua" w:ascii="Book Antiqua" w:hAnsi="Book Antiqua"/>
          <w:b/>
        </w:rPr>
      </w:r>
    </w:p>
    <w:p>
      <w:pPr>
        <w:pStyle w:val="Normal"/>
        <w:spacing w:before="120" w:after="0"/>
        <w:jc w:val="both"/>
        <w:rPr>
          <w:rFonts w:ascii="Book Antiqua" w:hAnsi="Book Antiqua" w:cs="Book Antiqua"/>
          <w:u w:val="single"/>
        </w:rPr>
      </w:pPr>
      <w:r>
        <w:rPr>
          <w:rFonts w:cs="Book Antiqua" w:ascii="Book Antiqua" w:hAnsi="Book Antiqua"/>
          <w:b/>
        </w:rPr>
        <w:t>K Čl. I</w:t>
      </w:r>
    </w:p>
    <w:p>
      <w:pPr>
        <w:pStyle w:val="Normal"/>
        <w:spacing w:before="120" w:after="0"/>
        <w:jc w:val="both"/>
        <w:rPr>
          <w:rFonts w:ascii="Book Antiqua" w:hAnsi="Book Antiqua" w:cs="Book Antiqua"/>
        </w:rPr>
      </w:pPr>
      <w:r>
        <w:rPr>
          <w:rFonts w:cs="Book Antiqua" w:ascii="Book Antiqua" w:hAnsi="Book Antiqua"/>
          <w:u w:val="single"/>
        </w:rPr>
        <w:t>K bodu 1</w:t>
      </w:r>
    </w:p>
    <w:p>
      <w:pPr>
        <w:pStyle w:val="Normal"/>
        <w:spacing w:before="120" w:after="0"/>
        <w:ind w:firstLine="567"/>
        <w:jc w:val="both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 xml:space="preserve">Osoby so zdravotným postihnutím čelia rôznym formám diskriminácie. Dohovor OSN ako jednu zo zvláštnych foriem diskriminácie zaviedol aj odmietnutie primeraných úprav. Ide o právny koncept, ktorý súvisí s povinnosťou urobiť zmeny a prispôsobenia, ktoré by nepredstavovali neúmerné alebo nadmerné zaťaženie a ktoré by viedli u osôb so zdravotným postihnutím k zabezpečeniu využívania všetkých ľudských práv a základných slobôd. Konkrétnym príkladom z rozhodovacej praxe Európskeho súdu pre ľudské práva môžu byť zmeny a prispôsobenia fyzického prostredia pre osobu s ochrnutím tak, aby mohla študovať na vysokej škole (viď rozsudok ESĽP zo dňa 30. 1. 2018 vo veci </w:t>
      </w:r>
      <w:r>
        <w:rPr>
          <w:rFonts w:cs="Book Antiqua" w:ascii="Book Antiqua" w:hAnsi="Book Antiqua"/>
          <w:i/>
        </w:rPr>
        <w:t xml:space="preserve">Enver </w:t>
      </w:r>
      <w:r>
        <w:rPr>
          <w:rFonts w:cs="Book Antiqua" w:ascii="Book Antiqua" w:hAnsi="Book Antiqua"/>
          <w:bCs/>
          <w:i/>
        </w:rPr>
        <w:t>Ş</w:t>
      </w:r>
      <w:r>
        <w:rPr>
          <w:rFonts w:cs="Book Antiqua" w:ascii="Book Antiqua" w:hAnsi="Book Antiqua"/>
          <w:i/>
        </w:rPr>
        <w:t>ahin proti Turecku</w:t>
      </w:r>
      <w:r>
        <w:rPr>
          <w:rFonts w:cs="Book Antiqua" w:ascii="Book Antiqua" w:hAnsi="Book Antiqua"/>
        </w:rPr>
        <w:t xml:space="preserve">, sťažnosť č. 23065/12), alebo rozhodnutie Výboru OSN pre práva osôb so zdravotným postihnutím v prípade sťažovateľky, ktorej stavebný úrad nedal kladné stavebné povolenie na výstavbu bazénu, ktorý potrebovala k rehabilitácii (viď rozhodnutie Výboru OSN pre práva osôb so zdravotným postihnutím vo veci </w:t>
      </w:r>
      <w:r>
        <w:rPr>
          <w:rFonts w:cs="Book Antiqua" w:ascii="Book Antiqua" w:hAnsi="Book Antiqua"/>
          <w:i/>
        </w:rPr>
        <w:t>H.M. proti Švédsku</w:t>
      </w:r>
      <w:r>
        <w:rPr>
          <w:rFonts w:cs="Book Antiqua" w:ascii="Book Antiqua" w:hAnsi="Book Antiqua"/>
        </w:rPr>
        <w:t>, sťažnosť č. 3/2011, rozhodnutie zo dňa 19. 4. 2012).</w:t>
      </w:r>
    </w:p>
    <w:p>
      <w:pPr>
        <w:pStyle w:val="Normal"/>
        <w:spacing w:before="120" w:after="0"/>
        <w:ind w:firstLine="567"/>
        <w:jc w:val="both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>Antidiskriminačný zákon upravuje zvláštne formy diskriminácie osôb so zdravotným postihnutím v § 2a ods. 11 písm. d) a v prípade zamestnávania v § 7. Ani jedno z ustanovení tohto zákona neformuluje odmietnutie prijatia primeraných úprav – okrem oblasti zamestnávania podľa § 7 - ako diskrimináciu na základe zdravotného postihnutia. S ohľadom na povinnosť zaistiť ochranu všetkých osôb so zdravotným postihnutím pred diskrimináciou vo všetkých oblastiach života v zmysle najvyššieho dosiahnutého štandardu ochrany ich práv, a s poukazom na povinnosť v zmysle čl. 4 ods. 1 písm. a) Dohovoru OSN prijať všetky príslušné legislatívne opatrenia na uplatňovanie práv uznávaných v Dohovore OSN, vrátane práva na rovnosť v zmysle čl. 2 a čl. 5 Dohovoru OSN, je potrebné vymedziť odmietnutie primeraných úprav ako jednu z foriem diskriminácie osôb so zdravotným postihnutím.</w:t>
      </w:r>
    </w:p>
    <w:p>
      <w:pPr>
        <w:pStyle w:val="Normal"/>
        <w:spacing w:before="120" w:after="0"/>
        <w:jc w:val="both"/>
        <w:rPr>
          <w:rFonts w:ascii="Book Antiqua" w:hAnsi="Book Antiqua" w:cs="Book Antiqua"/>
        </w:rPr>
      </w:pPr>
      <w:r>
        <w:rPr>
          <w:rFonts w:cs="Book Antiqua" w:ascii="Book Antiqua" w:hAnsi="Book Antiqua"/>
          <w:u w:val="single"/>
        </w:rPr>
        <w:t>K bodu 2</w:t>
      </w:r>
    </w:p>
    <w:p>
      <w:pPr>
        <w:pStyle w:val="Normal"/>
        <w:spacing w:before="120" w:after="0"/>
        <w:jc w:val="both"/>
        <w:rPr>
          <w:rFonts w:ascii="Book Antiqua" w:hAnsi="Book Antiqua" w:cs="Book Antiqua"/>
        </w:rPr>
      </w:pPr>
      <w:r>
        <w:rPr>
          <w:rFonts w:cs="Book Antiqua" w:ascii="Book Antiqua" w:hAnsi="Book Antiqua"/>
        </w:rPr>
        <w:tab/>
        <w:t>Antidiskriminačný zákon nedefinuje pojem primerané úpravy. Je preto vhodné doplniť definíciu tohto špecifického právneho konceptu v súlade s čl. 2 Dohovoru OSN tak, aby aj zákonná úprava presne stanovovala, čo sa rozumie pod pojmom primerané úpravy. Zároveň nie je potrebné v zákone formulovať pravidlá pre posúdenie primeranosti a toho, ktoré zmeny a prispôsobenie by nepredstavovali neúmerné alebo nadmerné zaťaženie, nakoľko tie budú vždy predmetom individuálneho posudzovania podľa konkrétnych okolností daného prípadu.</w:t>
      </w:r>
    </w:p>
    <w:p>
      <w:pPr>
        <w:pStyle w:val="Normal"/>
        <w:spacing w:before="120" w:after="0"/>
        <w:jc w:val="both"/>
        <w:rPr>
          <w:rFonts w:ascii="Book Antiqua" w:hAnsi="Book Antiqua" w:cs="Book Antiqua"/>
          <w:b/>
          <w:b/>
        </w:rPr>
      </w:pPr>
      <w:r>
        <w:rPr>
          <w:rFonts w:cs="Book Antiqua" w:ascii="Book Antiqua" w:hAnsi="Book Antiqua"/>
          <w:b/>
        </w:rPr>
      </w:r>
    </w:p>
    <w:p>
      <w:pPr>
        <w:pStyle w:val="Normal"/>
        <w:spacing w:before="120" w:after="0"/>
        <w:jc w:val="both"/>
        <w:rPr>
          <w:rFonts w:ascii="Book Antiqua" w:hAnsi="Book Antiqua" w:cs="Book Antiqua"/>
          <w:b/>
          <w:b/>
          <w:bCs/>
          <w:caps/>
          <w:spacing w:val="30"/>
        </w:rPr>
      </w:pPr>
      <w:r>
        <w:rPr>
          <w:rFonts w:cs="Book Antiqua" w:ascii="Book Antiqua" w:hAnsi="Book Antiqua"/>
          <w:b/>
        </w:rPr>
        <w:t>K Čl. II</w:t>
      </w:r>
    </w:p>
    <w:p>
      <w:pPr>
        <w:pStyle w:val="Normlnywebov1"/>
        <w:spacing w:lineRule="auto" w:line="276" w:before="120" w:after="0"/>
        <w:ind w:firstLine="708"/>
        <w:jc w:val="both"/>
        <w:rPr/>
      </w:pPr>
      <w:r>
        <w:rPr>
          <w:rFonts w:cs="Book Antiqua" w:ascii="Book Antiqua" w:hAnsi="Book Antiqua"/>
          <w:b/>
          <w:bCs/>
          <w:caps/>
          <w:spacing w:val="30"/>
          <w:sz w:val="22"/>
          <w:szCs w:val="22"/>
        </w:rPr>
        <w:tab/>
      </w:r>
      <w:r>
        <w:rPr>
          <w:rFonts w:cs="Book Antiqua" w:ascii="Book Antiqua" w:hAnsi="Book Antiqua"/>
          <w:bCs/>
          <w:sz w:val="22"/>
          <w:szCs w:val="22"/>
        </w:rPr>
        <w:t>Navrhuje sa účinnosť návrhu zákona so zohľadnením potrebnej dĺžky legisvakančnej lehoty na</w:t>
      </w:r>
      <w:r>
        <w:rPr>
          <w:rFonts w:cs="Book Antiqua" w:ascii="Book Antiqua" w:hAnsi="Book Antiqua"/>
          <w:sz w:val="22"/>
          <w:szCs w:val="22"/>
        </w:rPr>
        <w:t xml:space="preserve"> 1. marca 2020.</w:t>
      </w:r>
      <w:r>
        <w:br w:type="page"/>
      </w:r>
    </w:p>
    <w:p>
      <w:pPr>
        <w:pStyle w:val="Normal"/>
        <w:tabs>
          <w:tab w:val="clear" w:pos="709"/>
          <w:tab w:val="left" w:pos="6015" w:leader="none"/>
        </w:tabs>
        <w:spacing w:before="120" w:after="0"/>
        <w:jc w:val="center"/>
        <w:rPr>
          <w:rFonts w:ascii="Book Antiqua" w:hAnsi="Book Antiqua" w:cs="Book Antiqua"/>
          <w:b/>
          <w:b/>
          <w:bCs/>
        </w:rPr>
      </w:pPr>
      <w:r>
        <w:rPr>
          <w:rFonts w:cs="Book Antiqua" w:ascii="Book Antiqua" w:hAnsi="Book Antiqua"/>
          <w:b/>
          <w:bCs/>
          <w:caps/>
          <w:spacing w:val="30"/>
        </w:rPr>
        <w:t>DOLOŽKA ZLUČITEĽNOSTI</w:t>
      </w:r>
    </w:p>
    <w:p>
      <w:pPr>
        <w:pStyle w:val="Normlnywebov1"/>
        <w:spacing w:lineRule="auto" w:line="276"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  <w:t>návrhu zákona</w:t>
      </w:r>
      <w:r>
        <w:rPr>
          <w:rFonts w:cs="Book Antiqua" w:ascii="Book Antiqua" w:hAnsi="Book Antiqua"/>
          <w:sz w:val="22"/>
          <w:szCs w:val="22"/>
        </w:rPr>
        <w:t xml:space="preserve"> </w:t>
      </w:r>
      <w:r>
        <w:rPr>
          <w:rFonts w:cs="Book Antiqua" w:ascii="Book Antiqua" w:hAnsi="Book Antiqua"/>
          <w:b/>
          <w:bCs/>
          <w:sz w:val="22"/>
          <w:szCs w:val="22"/>
        </w:rPr>
        <w:t>s právom Európskej únie</w:t>
      </w:r>
    </w:p>
    <w:p>
      <w:pPr>
        <w:pStyle w:val="Normlnywebov1"/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  <w:t> </w:t>
      </w:r>
    </w:p>
    <w:p>
      <w:pPr>
        <w:pStyle w:val="Normlnywebov1"/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  <w:t>1. Navrhovateľ zákona:</w:t>
      </w:r>
      <w:r>
        <w:rPr>
          <w:rFonts w:cs="Book Antiqua" w:ascii="Book Antiqua" w:hAnsi="Book Antiqua"/>
          <w:sz w:val="22"/>
          <w:szCs w:val="22"/>
        </w:rPr>
        <w:t xml:space="preserve"> poslankyňa Národnej rady Slovenskej republiky Silvia Shahzad</w:t>
      </w:r>
    </w:p>
    <w:p>
      <w:pPr>
        <w:pStyle w:val="Normal"/>
        <w:spacing w:before="120" w:after="0"/>
        <w:jc w:val="both"/>
        <w:rPr>
          <w:rFonts w:ascii="Book Antiqua" w:hAnsi="Book Antiqua" w:cs="Book Antiqua"/>
          <w:b/>
          <w:b/>
          <w:bCs/>
        </w:rPr>
      </w:pPr>
      <w:r>
        <w:rPr>
          <w:rFonts w:cs="Book Antiqua" w:ascii="Book Antiqua" w:hAnsi="Book Antiqua"/>
          <w:b/>
          <w:bCs/>
        </w:rPr>
      </w:r>
    </w:p>
    <w:p>
      <w:pPr>
        <w:pStyle w:val="Normal"/>
        <w:spacing w:before="120" w:after="0"/>
        <w:jc w:val="both"/>
        <w:rPr>
          <w:rFonts w:ascii="Book Antiqua" w:hAnsi="Book Antiqua" w:cs="Book Antiqua"/>
          <w:bCs/>
        </w:rPr>
      </w:pPr>
      <w:r>
        <w:rPr>
          <w:rFonts w:cs="Book Antiqua" w:ascii="Book Antiqua" w:hAnsi="Book Antiqua"/>
          <w:b/>
          <w:bCs/>
        </w:rPr>
        <w:t>2. Názov návrhu právneho predpisu:</w:t>
      </w:r>
      <w:r>
        <w:rPr>
          <w:rFonts w:cs="Book Antiqua" w:ascii="Book Antiqua" w:hAnsi="Book Antiqua"/>
          <w:b/>
        </w:rPr>
        <w:t xml:space="preserve"> </w:t>
      </w:r>
      <w:r>
        <w:rPr>
          <w:rFonts w:cs="Book Antiqua" w:ascii="Book Antiqua" w:hAnsi="Book Antiqua"/>
        </w:rPr>
        <w:t xml:space="preserve">návrh zákona, ktorým </w:t>
      </w:r>
      <w:r>
        <w:rPr>
          <w:rFonts w:cs="Book Antiqua" w:ascii="Book Antiqua" w:hAnsi="Book Antiqua"/>
          <w:bCs/>
        </w:rPr>
        <w:t>sa dopĺňa zákon č.</w:t>
      </w:r>
      <w:r>
        <w:rPr>
          <w:rFonts w:ascii="Book Antiqua" w:hAnsi="Book Antiqua"/>
        </w:rPr>
        <w:t xml:space="preserve"> 365/2004 Z. z. o rovnakom zaobchádzaní v niektorých oblastiach a o ochrane pred diskrimináciou a o zmene a doplnení niektorých zákonov (antidiskriminačný zákon) v znení neskorších predpisov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  <w:t>3. Predmet návrhu zákona:</w:t>
      </w:r>
    </w:p>
    <w:p>
      <w:pPr>
        <w:pStyle w:val="Vchodzie"/>
        <w:numPr>
          <w:ilvl w:val="0"/>
          <w:numId w:val="3"/>
        </w:numPr>
        <w:spacing w:lineRule="auto" w:line="276" w:before="120" w:after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 upravený v primárnom práve Európskej únie, a to v čl. 6 Zmluvy o Európskej únii v spojení s čl. 21 ods. 1 a čl. 26 Charty základných práv Európskej únie a v čl. 10 Zmluvy o fungovaní Európskej únie,</w:t>
      </w:r>
    </w:p>
    <w:p>
      <w:pPr>
        <w:pStyle w:val="NormalWeb"/>
        <w:numPr>
          <w:ilvl w:val="0"/>
          <w:numId w:val="3"/>
        </w:numPr>
        <w:spacing w:lineRule="auto" w:line="276" w:before="120" w:after="0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nie</w:t>
      </w:r>
      <w:r>
        <w:rPr>
          <w:rFonts w:cs="Book Antiqua" w:ascii="Book Antiqua" w:hAnsi="Book Antiqua"/>
          <w:bCs/>
          <w:sz w:val="22"/>
          <w:szCs w:val="22"/>
        </w:rPr>
        <w:t xml:space="preserve"> je upravený v sekundárnom práve Európskej únie, </w:t>
      </w:r>
    </w:p>
    <w:p>
      <w:pPr>
        <w:pStyle w:val="NormalWeb"/>
        <w:numPr>
          <w:ilvl w:val="0"/>
          <w:numId w:val="3"/>
        </w:numPr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nie</w:t>
      </w:r>
      <w:r>
        <w:rPr>
          <w:rFonts w:cs="Book Antiqua" w:ascii="Book Antiqua" w:hAnsi="Book Antiqua"/>
          <w:bCs/>
          <w:sz w:val="22"/>
          <w:szCs w:val="22"/>
        </w:rPr>
        <w:t xml:space="preserve"> je obsiahnutý v judikatúre Súdneho dvora Európskej únie.</w:t>
      </w:r>
    </w:p>
    <w:p>
      <w:pPr>
        <w:pStyle w:val="NormalWeb"/>
        <w:spacing w:lineRule="auto" w:line="276" w:before="120" w:after="0"/>
        <w:ind w:left="720" w:hanging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  <w:t>4. Záväzky Slovenskej republiky vo vzťahu k Európskej únii:</w:t>
      </w:r>
    </w:p>
    <w:p>
      <w:pPr>
        <w:pStyle w:val="NormalWeb"/>
        <w:numPr>
          <w:ilvl w:val="0"/>
          <w:numId w:val="4"/>
        </w:numPr>
        <w:spacing w:lineRule="auto" w:line="276" w:before="120" w:after="0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cs="Book Antiqua" w:ascii="Book Antiqua" w:hAnsi="Book Antiqua"/>
          <w:bCs/>
          <w:sz w:val="22"/>
          <w:szCs w:val="22"/>
        </w:rPr>
        <w:t>bezpredmetné,</w:t>
      </w:r>
    </w:p>
    <w:p>
      <w:pPr>
        <w:pStyle w:val="NormalWeb"/>
        <w:numPr>
          <w:ilvl w:val="0"/>
          <w:numId w:val="4"/>
        </w:numPr>
        <w:spacing w:lineRule="auto" w:line="276" w:before="120" w:after="0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cs="Book Antiqua" w:ascii="Book Antiqua" w:hAnsi="Book Antiqua"/>
          <w:bCs/>
          <w:sz w:val="22"/>
          <w:szCs w:val="22"/>
        </w:rPr>
        <w:t>v danej oblasti nebol proti Slovenskej republike začatý postup Európskej komisie a ani konanie Súdneho dvora Európskej únie podľa článkov 258 až 260 Zmluvy o fungovaní Európskej únie,</w:t>
      </w:r>
    </w:p>
    <w:p>
      <w:pPr>
        <w:pStyle w:val="NormalWeb"/>
        <w:numPr>
          <w:ilvl w:val="0"/>
          <w:numId w:val="4"/>
        </w:numPr>
        <w:spacing w:lineRule="auto" w:line="276" w:before="120" w:after="0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cs="Book Antiqua" w:ascii="Book Antiqua" w:hAnsi="Book Antiqua"/>
          <w:bCs/>
          <w:sz w:val="22"/>
          <w:szCs w:val="22"/>
        </w:rPr>
        <w:t>bezpredmetné.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  <w:t>5. Stupeň zlučiteľnosti návrhu zákona s právom Európskej únie: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cs="Book Antiqua" w:ascii="Book Antiqua" w:hAnsi="Book Antiqua"/>
          <w:bCs/>
          <w:sz w:val="22"/>
          <w:szCs w:val="22"/>
        </w:rPr>
        <w:t>- úplný.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b/>
          <w:b/>
          <w:b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</w:r>
      <w:r>
        <w:br w:type="page"/>
      </w:r>
    </w:p>
    <w:p>
      <w:pPr>
        <w:pStyle w:val="Normal"/>
        <w:spacing w:before="120" w:after="0"/>
        <w:jc w:val="center"/>
        <w:rPr>
          <w:rFonts w:ascii="Book Antiqua" w:hAnsi="Book Antiqua" w:cs="Book Antiqua"/>
          <w:b/>
          <w:b/>
          <w:bCs/>
        </w:rPr>
      </w:pPr>
      <w:r>
        <w:rPr>
          <w:rFonts w:cs="Book Antiqua" w:ascii="Book Antiqua" w:hAnsi="Book Antiqua"/>
          <w:b/>
          <w:bCs/>
          <w:caps/>
          <w:spacing w:val="30"/>
        </w:rPr>
        <w:t>Doložka</w:t>
      </w:r>
    </w:p>
    <w:p>
      <w:pPr>
        <w:pStyle w:val="Normal"/>
        <w:spacing w:before="120" w:after="0"/>
        <w:jc w:val="center"/>
        <w:rPr>
          <w:rFonts w:ascii="Book Antiqua" w:hAnsi="Book Antiqua" w:cs="Book Antiqua"/>
        </w:rPr>
      </w:pPr>
      <w:r>
        <w:rPr>
          <w:rFonts w:cs="Book Antiqua" w:ascii="Book Antiqua" w:hAnsi="Book Antiqua"/>
          <w:b/>
          <w:bCs/>
        </w:rPr>
        <w:t>vybraných vplyvov</w:t>
      </w:r>
    </w:p>
    <w:p>
      <w:pPr>
        <w:pStyle w:val="Normal"/>
        <w:spacing w:before="120" w:after="0"/>
        <w:jc w:val="both"/>
        <w:rPr>
          <w:rFonts w:ascii="Book Antiqua" w:hAnsi="Book Antiqua" w:cs="Book Antiqua"/>
        </w:rPr>
      </w:pPr>
      <w:r>
        <w:rPr>
          <w:rFonts w:cs="Book Antiqua" w:ascii="Book Antiqua" w:hAnsi="Book Antiqua"/>
        </w:rPr>
      </w:r>
    </w:p>
    <w:p>
      <w:pPr>
        <w:pStyle w:val="Normal"/>
        <w:spacing w:before="120" w:after="0"/>
        <w:jc w:val="both"/>
        <w:rPr>
          <w:rFonts w:ascii="Book Antiqua" w:hAnsi="Book Antiqua" w:cs="Book Antiqua"/>
          <w:bCs/>
        </w:rPr>
      </w:pPr>
      <w:r>
        <w:rPr>
          <w:rFonts w:cs="Book Antiqua" w:ascii="Book Antiqua" w:hAnsi="Book Antiqua"/>
          <w:b/>
          <w:bCs/>
        </w:rPr>
        <w:t xml:space="preserve">A.1. Názov materiálu: </w:t>
      </w:r>
      <w:r>
        <w:rPr>
          <w:rFonts w:cs="Book Antiqua" w:ascii="Book Antiqua" w:hAnsi="Book Antiqua"/>
        </w:rPr>
        <w:t xml:space="preserve">návrh zákona, ktorým </w:t>
      </w:r>
      <w:r>
        <w:rPr>
          <w:rFonts w:cs="Book Antiqua" w:ascii="Book Antiqua" w:hAnsi="Book Antiqua"/>
          <w:bCs/>
        </w:rPr>
        <w:t xml:space="preserve">sa dopĺňa zákon </w:t>
      </w:r>
      <w:r>
        <w:rPr>
          <w:rFonts w:ascii="Book Antiqua" w:hAnsi="Book Antiqua"/>
        </w:rPr>
        <w:t>č. 365/2004 Z. z. o rovnakom zaobchádzaní v niektorých oblastiach a o ochrane pred diskrimináciou a o zmene a doplnení niektorých zákonov (antidiskriminačný zákon) v znení neskorších predpisov</w:t>
      </w:r>
    </w:p>
    <w:p>
      <w:pPr>
        <w:pStyle w:val="Normal"/>
        <w:spacing w:before="120" w:after="0"/>
        <w:jc w:val="both"/>
        <w:rPr>
          <w:rFonts w:ascii="Book Antiqua" w:hAnsi="Book Antiqua" w:cs="Book Antiqua"/>
          <w:b/>
          <w:b/>
          <w:bCs/>
        </w:rPr>
      </w:pPr>
      <w:r>
        <w:rPr>
          <w:rFonts w:cs="Book Antiqua" w:ascii="Book Antiqua" w:hAnsi="Book Antiqua"/>
          <w:b/>
          <w:bCs/>
        </w:rPr>
      </w:r>
    </w:p>
    <w:p>
      <w:pPr>
        <w:pStyle w:val="Normal"/>
        <w:spacing w:before="120" w:after="0"/>
        <w:jc w:val="both"/>
        <w:rPr>
          <w:rFonts w:ascii="Book Antiqua" w:hAnsi="Book Antiqua" w:cs="Book Antiqua"/>
          <w:i/>
          <w:i/>
          <w:iCs/>
        </w:rPr>
      </w:pPr>
      <w:r>
        <w:rPr>
          <w:rFonts w:cs="Book Antiqua" w:ascii="Book Antiqua" w:hAnsi="Book Antiqua"/>
          <w:b/>
          <w:bCs/>
        </w:rPr>
        <w:t>Termín začatia a ukončenia PPK:</w:t>
      </w:r>
      <w:r>
        <w:rPr>
          <w:rFonts w:cs="Book Antiqua" w:ascii="Book Antiqua" w:hAnsi="Book Antiqua"/>
        </w:rPr>
        <w:t xml:space="preserve"> </w:t>
      </w:r>
      <w:r>
        <w:rPr>
          <w:rFonts w:cs="Book Antiqua" w:ascii="Book Antiqua" w:hAnsi="Book Antiqua"/>
          <w:i/>
          <w:iCs/>
        </w:rPr>
        <w:t>bezpredmetné</w:t>
      </w:r>
    </w:p>
    <w:p>
      <w:pPr>
        <w:pStyle w:val="Normal"/>
        <w:spacing w:before="120" w:after="0"/>
        <w:jc w:val="both"/>
        <w:rPr>
          <w:rFonts w:ascii="Book Antiqua" w:hAnsi="Book Antiqua" w:cs="Book Antiqua"/>
          <w:i/>
          <w:i/>
          <w:iCs/>
        </w:rPr>
      </w:pPr>
      <w:r>
        <w:rPr>
          <w:rFonts w:cs="Book Antiqua" w:ascii="Book Antiqua" w:hAnsi="Book Antiqua"/>
          <w:i/>
          <w:iCs/>
        </w:rPr>
      </w:r>
    </w:p>
    <w:p>
      <w:pPr>
        <w:pStyle w:val="NormalWeb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jc w:val="left"/>
        <w:tblInd w:w="0" w:type="dxa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5508"/>
        <w:gridCol w:w="1188"/>
        <w:gridCol w:w="1179"/>
        <w:gridCol w:w="1196"/>
      </w:tblGrid>
      <w:tr>
        <w:trPr/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Negatívne </w:t>
            </w:r>
          </w:p>
        </w:tc>
      </w:tr>
      <w:tr>
        <w:trPr/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vplyvy na hospodárenie obyvateľstva,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sociálnu exklúziu,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</w:tr>
      <w:tr>
        <w:trPr/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rovnosť príležitostí a rodovú rovnosť a vplyvy na zamestnanosť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76"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NormalWeb"/>
        <w:spacing w:lineRule="auto" w:line="276" w:before="120" w:after="0"/>
        <w:rPr>
          <w:rFonts w:ascii="Book Antiqua" w:hAnsi="Book Antiqua"/>
          <w:b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</w:r>
    </w:p>
    <w:p>
      <w:pPr>
        <w:pStyle w:val="NormalWeb"/>
        <w:spacing w:lineRule="auto" w:line="276" w:before="12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>
      <w:pPr>
        <w:pStyle w:val="NormalWeb"/>
        <w:spacing w:lineRule="auto" w:line="276" w:before="120" w:after="0"/>
        <w:jc w:val="both"/>
        <w:rPr>
          <w:rFonts w:ascii="Book Antiqua" w:hAnsi="Book Antiqua" w:cs="Book Antiqua"/>
          <w:bCs/>
          <w:i/>
          <w:i/>
          <w:sz w:val="22"/>
          <w:szCs w:val="22"/>
        </w:rPr>
      </w:pPr>
      <w:r>
        <w:rPr>
          <w:rFonts w:cs="Book Antiqua" w:ascii="Book Antiqua" w:hAnsi="Book Antiqua"/>
          <w:bCs/>
          <w:i/>
          <w:sz w:val="22"/>
          <w:szCs w:val="22"/>
        </w:rPr>
        <w:t>Od predloženého návrhu zákona sa v prvom rade očakávajú pozitívne sociálne vplyvy, a to najmä v oblasti sociálnej inklúzie, ale aj na rovnosť príležitostí a rodovú rovnosť. Definovanie primeraných úprav zvýši ochranu osôb so zdravotným postihnutím pred diskrimináciou a napomôže odstraňovaniu bariér a začleneniu osôb so zdravotným postihnutím do všetkých sfér spoločnosti. Keďže predložený návrh je v súlade s filozofiou antidiskriminačného zákona a len vypĺňa a zaceľuje existujúcu legislatívnu medzeru, nemá vplyv na rozpočet verejnej správy. Návrh zákona nezakladá žiadne vplyvy na podnikateľské prostredie, informatizáciu spoločnosti ani na životné prostredie.</w:t>
      </w:r>
    </w:p>
    <w:p>
      <w:pPr>
        <w:pStyle w:val="Normal"/>
        <w:spacing w:before="120" w:after="0"/>
        <w:jc w:val="both"/>
        <w:rPr>
          <w:rFonts w:ascii="Book Antiqua" w:hAnsi="Book Antiqua" w:cs="Book Antiqua"/>
          <w:i/>
          <w:i/>
        </w:rPr>
      </w:pPr>
      <w:r>
        <w:rPr>
          <w:rFonts w:cs="Book Antiqua" w:ascii="Book Antiqua" w:hAnsi="Book Antiqua"/>
          <w:b/>
          <w:bCs/>
        </w:rPr>
        <w:t>A.4. Alternatívne riešenia</w:t>
      </w:r>
    </w:p>
    <w:p>
      <w:pPr>
        <w:pStyle w:val="Normal"/>
        <w:spacing w:before="120" w:after="0"/>
        <w:jc w:val="both"/>
        <w:rPr>
          <w:rFonts w:ascii="Book Antiqua" w:hAnsi="Book Antiqua" w:cs="Book Antiqua"/>
          <w:b/>
          <w:b/>
          <w:bCs/>
        </w:rPr>
      </w:pPr>
      <w:r>
        <w:rPr>
          <w:rFonts w:cs="Book Antiqua" w:ascii="Book Antiqua" w:hAnsi="Book Antiqua"/>
          <w:i/>
        </w:rPr>
        <w:t>bezpredmetné </w:t>
      </w:r>
    </w:p>
    <w:p>
      <w:pPr>
        <w:pStyle w:val="NormalWeb"/>
        <w:spacing w:lineRule="auto" w:line="276" w:before="120" w:after="0"/>
        <w:ind w:left="567" w:hanging="567"/>
        <w:jc w:val="both"/>
        <w:rPr>
          <w:rFonts w:ascii="Book Antiqua" w:hAnsi="Book Antiqua" w:cs="Book Antiqua"/>
          <w:i/>
          <w:i/>
          <w:iCs/>
          <w:sz w:val="22"/>
          <w:szCs w:val="22"/>
        </w:rPr>
      </w:pPr>
      <w:r>
        <w:rPr>
          <w:rFonts w:cs="Book Antiqua"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>
      <w:pPr>
        <w:pStyle w:val="NormalWeb"/>
        <w:spacing w:lineRule="auto" w:line="276" w:before="120" w:after="0"/>
        <w:jc w:val="both"/>
        <w:rPr/>
      </w:pPr>
      <w:r>
        <w:rPr>
          <w:rFonts w:cs="Book Antiqua"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Book Antiqu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rFonts w:ascii="Book Antiqua" w:hAnsi="Book Antiqu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ar-SA" w:val="sk-SK" w:bidi="ar-SA"/>
    </w:rPr>
  </w:style>
  <w:style w:type="paragraph" w:styleId="Nadpis1">
    <w:name w:val="Heading 1"/>
    <w:basedOn w:val="Normal"/>
    <w:next w:val="Normal"/>
    <w:link w:val="Nadpis1Char"/>
    <w:uiPriority w:val="9"/>
    <w:qFormat/>
    <w:pPr>
      <w:keepNext w:val="true"/>
      <w:numPr>
        <w:ilvl w:val="0"/>
        <w:numId w:val="1"/>
      </w:numPr>
      <w:tabs>
        <w:tab w:val="clear" w:pos="709"/>
        <w:tab w:val="left" w:pos="0" w:leader="none"/>
      </w:tabs>
      <w:spacing w:lineRule="auto" w:line="240" w:before="0" w:after="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qFormat/>
    <w:pPr>
      <w:keepNext w:val="true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al"/>
    <w:next w:val="Normal"/>
    <w:link w:val="Nadpis5Char"/>
    <w:uiPriority w:val="9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Pr>
      <w:rFonts w:ascii="Cambria" w:hAnsi="Cambria" w:cs="Times New Roman"/>
      <w:b/>
      <w:kern w:val="2"/>
      <w:sz w:val="32"/>
    </w:rPr>
  </w:style>
  <w:style w:type="character" w:styleId="Nadpis3Char" w:customStyle="1">
    <w:name w:val="Nadpis 3 Char"/>
    <w:basedOn w:val="DefaultParagraphFont"/>
    <w:link w:val="Nadpis3"/>
    <w:uiPriority w:val="9"/>
    <w:qFormat/>
    <w:locked/>
    <w:rPr>
      <w:rFonts w:ascii="Cambria" w:hAnsi="Cambria" w:cs="Times New Roman"/>
      <w:b/>
      <w:sz w:val="26"/>
    </w:rPr>
  </w:style>
  <w:style w:type="character" w:styleId="Nadpis5Char" w:customStyle="1">
    <w:name w:val="Nadpis 5 Char"/>
    <w:basedOn w:val="DefaultParagraphFont"/>
    <w:link w:val="Nadpis5"/>
    <w:uiPriority w:val="9"/>
    <w:qFormat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styleId="WW8Num1z0" w:customStyle="1">
    <w:name w:val="WW8Num1z0"/>
    <w:qFormat/>
    <w:rPr>
      <w:rFonts w:ascii="Book Antiqua" w:hAnsi="Book Antiqua"/>
    </w:rPr>
  </w:style>
  <w:style w:type="character" w:styleId="WW8Num1z1" w:customStyle="1">
    <w:name w:val="WW8Num1z1"/>
    <w:qFormat/>
    <w:rPr>
      <w:rFonts w:ascii="Courier New" w:hAnsi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8Num1z3" w:customStyle="1">
    <w:name w:val="WW8Num1z3"/>
    <w:qFormat/>
    <w:rPr>
      <w:rFonts w:ascii="Symbol" w:hAnsi="Symbol"/>
    </w:rPr>
  </w:style>
  <w:style w:type="character" w:styleId="WW8Num1z4" w:customStyle="1">
    <w:name w:val="WW8Num1z4"/>
    <w:qFormat/>
    <w:rPr/>
  </w:style>
  <w:style w:type="character" w:styleId="WW8Num2z0" w:customStyle="1">
    <w:name w:val="WW8Num2z0"/>
    <w:qFormat/>
    <w:rPr>
      <w:rFonts w:ascii="Book Antiqua" w:hAnsi="Book Antiqua"/>
    </w:rPr>
  </w:style>
  <w:style w:type="character" w:styleId="WW8Num3z0" w:customStyle="1">
    <w:name w:val="WW8Num3z0"/>
    <w:qFormat/>
    <w:rPr>
      <w:rFonts w:ascii="Times New Roman" w:hAnsi="Times New Roman"/>
      <w:sz w:val="22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Times New Roman" w:hAnsi="Times New Roman"/>
      <w:sz w:val="22"/>
    </w:rPr>
  </w:style>
  <w:style w:type="character" w:styleId="WW8Num5z1" w:customStyle="1">
    <w:name w:val="WW8Num5z1"/>
    <w:qFormat/>
    <w:rPr>
      <w:rFonts w:ascii="Courier New" w:hAnsi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5z5" w:customStyle="1">
    <w:name w:val="WW8Num5z5"/>
    <w:qFormat/>
    <w:rPr>
      <w:rFonts w:ascii="Wingdings" w:hAnsi="Wingdings"/>
    </w:rPr>
  </w:style>
  <w:style w:type="character" w:styleId="WW8Num6z0" w:customStyle="1">
    <w:name w:val="WW8Num6z0"/>
    <w:qFormat/>
    <w:rPr>
      <w:b/>
    </w:rPr>
  </w:style>
  <w:style w:type="character" w:styleId="WW8Num6z2" w:customStyle="1">
    <w:name w:val="WW8Num6z2"/>
    <w:qFormat/>
    <w:rPr/>
  </w:style>
  <w:style w:type="character" w:styleId="WW8Num7z0" w:customStyle="1">
    <w:name w:val="WW8Num7z0"/>
    <w:qFormat/>
    <w:rPr>
      <w:rFonts w:ascii="Book Antiqua" w:hAnsi="Book Antiqua"/>
      <w:sz w:val="22"/>
    </w:rPr>
  </w:style>
  <w:style w:type="character" w:styleId="Predvolenpsmoodseku3" w:customStyle="1">
    <w:name w:val="Predvolené písmo odseku3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6z1" w:customStyle="1">
    <w:name w:val="WW8Num6z1"/>
    <w:qFormat/>
    <w:rPr>
      <w:rFonts w:ascii="Courier New" w:hAnsi="Courier New"/>
    </w:rPr>
  </w:style>
  <w:style w:type="character" w:styleId="WW8Num6z3" w:customStyle="1">
    <w:name w:val="WW8Num6z3"/>
    <w:qFormat/>
    <w:rPr>
      <w:b/>
    </w:rPr>
  </w:style>
  <w:style w:type="character" w:styleId="WW8Num6z5" w:customStyle="1">
    <w:name w:val="WW8Num6z5"/>
    <w:qFormat/>
    <w:rPr>
      <w:rFonts w:ascii="Wingdings" w:hAnsi="Wingdings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Predvolenpsmoodseku2" w:customStyle="1">
    <w:name w:val="Predvolené písmo odseku2"/>
    <w:qFormat/>
    <w:rPr/>
  </w:style>
  <w:style w:type="character" w:styleId="WW8Num3z1" w:customStyle="1">
    <w:name w:val="WW8Num3z1"/>
    <w:qFormat/>
    <w:rPr>
      <w:rFonts w:ascii="Courier New" w:hAnsi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WW8Num7z1" w:customStyle="1">
    <w:name w:val="WW8Num7z1"/>
    <w:qFormat/>
    <w:rPr>
      <w:rFonts w:ascii="Courier New" w:hAnsi="Courier New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b/>
    </w:rPr>
  </w:style>
  <w:style w:type="character" w:styleId="WW8Num9z1" w:customStyle="1">
    <w:name w:val="WW8Num9z1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Symbol" w:hAnsi="Symbol"/>
    </w:rPr>
  </w:style>
  <w:style w:type="character" w:styleId="WW8Num11z1" w:customStyle="1">
    <w:name w:val="WW8Num11z1"/>
    <w:qFormat/>
    <w:rPr>
      <w:rFonts w:ascii="Courier New" w:hAnsi="Courier New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>
      <w:b/>
    </w:rPr>
  </w:style>
  <w:style w:type="character" w:styleId="WW8Num11z5" w:customStyle="1">
    <w:name w:val="WW8Num11z5"/>
    <w:qFormat/>
    <w:rPr>
      <w:rFonts w:ascii="Wingdings" w:hAnsi="Wingdings"/>
    </w:rPr>
  </w:style>
  <w:style w:type="character" w:styleId="Predvolenpsmoodseku1" w:customStyle="1">
    <w:name w:val="Predvolené písmo odseku1"/>
    <w:qFormat/>
    <w:rPr/>
  </w:style>
  <w:style w:type="character" w:styleId="ZarkazkladnhotextuChar" w:customStyle="1">
    <w:name w:val="Zarážka základného textu Char"/>
    <w:qFormat/>
    <w:rPr>
      <w:rFonts w:ascii="Times New Roman" w:hAnsi="Times New Roman"/>
      <w:sz w:val="20"/>
    </w:rPr>
  </w:style>
  <w:style w:type="character" w:styleId="ZkladntextChar" w:customStyle="1">
    <w:name w:val="Základný text Char"/>
    <w:qFormat/>
    <w:rPr>
      <w:rFonts w:ascii="Times New Roman" w:hAnsi="Times New Roman"/>
      <w:sz w:val="24"/>
    </w:rPr>
  </w:style>
  <w:style w:type="character" w:styleId="Zdraznenie" w:customStyle="1">
    <w:name w:val="Zdôraznenie"/>
    <w:basedOn w:val="DefaultParagraphFont"/>
    <w:uiPriority w:val="20"/>
    <w:qFormat/>
    <w:rPr>
      <w:rFonts w:cs="Times New Roman"/>
      <w:i/>
    </w:rPr>
  </w:style>
  <w:style w:type="character" w:styleId="Appleconvertedspace" w:customStyle="1">
    <w:name w:val="apple-converted-space"/>
    <w:qFormat/>
    <w:rPr/>
  </w:style>
  <w:style w:type="character" w:styleId="TextbublinyChar" w:customStyle="1">
    <w:name w:val="Text bubliny Char"/>
    <w:qFormat/>
    <w:rPr>
      <w:rFonts w:ascii="Tahoma" w:hAnsi="Tahoma"/>
      <w:sz w:val="16"/>
    </w:rPr>
  </w:style>
  <w:style w:type="character" w:styleId="S8" w:customStyle="1">
    <w:name w:val="s8"/>
    <w:qFormat/>
    <w:rPr/>
  </w:style>
  <w:style w:type="character" w:styleId="S11" w:customStyle="1">
    <w:name w:val="s11"/>
    <w:qFormat/>
    <w:rPr/>
  </w:style>
  <w:style w:type="character" w:styleId="ZkladntextChar1" w:customStyle="1">
    <w:name w:val="Základný text Char1"/>
    <w:qFormat/>
    <w:rPr>
      <w:rFonts w:ascii="Calibri" w:hAnsi="Calibri"/>
      <w:sz w:val="22"/>
      <w:lang w:val="x-none" w:eastAsia="ar-SA" w:bidi="ar-SA"/>
    </w:rPr>
  </w:style>
  <w:style w:type="character" w:styleId="ZarkazkladnhotextuChar1" w:customStyle="1">
    <w:name w:val="Zarážka základného textu Char1"/>
    <w:qFormat/>
    <w:rPr>
      <w:rFonts w:ascii="Calibri" w:hAnsi="Calibri"/>
      <w:sz w:val="22"/>
      <w:lang w:val="x-none" w:eastAsia="ar-SA" w:bidi="ar-SA"/>
    </w:rPr>
  </w:style>
  <w:style w:type="character" w:styleId="TextbublinyChar1" w:customStyle="1">
    <w:name w:val="Text bubliny Char1"/>
    <w:qFormat/>
    <w:rPr>
      <w:rFonts w:ascii="Segoe UI" w:hAnsi="Segoe UI"/>
      <w:sz w:val="18"/>
      <w:lang w:val="x-none" w:eastAsia="ar-SA" w:bidi="ar-SA"/>
    </w:rPr>
  </w:style>
  <w:style w:type="character" w:styleId="HlavikaChar" w:customStyle="1">
    <w:name w:val="Hlavička Char"/>
    <w:qFormat/>
    <w:rPr>
      <w:rFonts w:ascii="Calibri" w:hAnsi="Calibri"/>
      <w:sz w:val="22"/>
      <w:lang w:val="x-none" w:eastAsia="ar-SA" w:bidi="ar-SA"/>
    </w:rPr>
  </w:style>
  <w:style w:type="character" w:styleId="PtaChar" w:customStyle="1">
    <w:name w:val="Päta Char"/>
    <w:qFormat/>
    <w:rPr>
      <w:rFonts w:ascii="Calibri" w:hAnsi="Calibri"/>
      <w:sz w:val="22"/>
      <w:lang w:val="x-none" w:eastAsia="ar-SA" w:bidi="ar-SA"/>
    </w:rPr>
  </w:style>
  <w:style w:type="character" w:styleId="Internetovodkaz" w:customStyle="1">
    <w:name w:val="Internetový odkaz"/>
    <w:basedOn w:val="DefaultParagraphFont"/>
    <w:uiPriority w:val="99"/>
    <w:rPr>
      <w:rFonts w:cs="Times New Roman"/>
      <w:color w:val="0000FF"/>
      <w:u w:val="single"/>
    </w:rPr>
  </w:style>
  <w:style w:type="character" w:styleId="HTMLVariable">
    <w:name w:val="HTML Variable"/>
    <w:basedOn w:val="DefaultParagraphFont"/>
    <w:uiPriority w:val="99"/>
    <w:qFormat/>
    <w:rPr>
      <w:rFonts w:cs="Times New Roman"/>
      <w:i/>
    </w:rPr>
  </w:style>
  <w:style w:type="character" w:styleId="Znakyprepoznmkupodiarou" w:customStyle="1">
    <w:name w:val="Znaky pre poznámku pod čiarou"/>
    <w:qFormat/>
    <w:rPr>
      <w:vertAlign w:val="superscript"/>
    </w:rPr>
  </w:style>
  <w:style w:type="character" w:styleId="ZkladntextChar2" w:customStyle="1">
    <w:name w:val="Základný text Char2"/>
    <w:basedOn w:val="DefaultParagraphFont"/>
    <w:link w:val="Zkladntext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styleId="ZarkazkladnhotextuChar2" w:customStyle="1">
    <w:name w:val="Zarážka základného textu Char2"/>
    <w:basedOn w:val="DefaultParagraphFont"/>
    <w:link w:val="Zarkazkladnhotextu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styleId="TextbublinyChar2" w:customStyle="1">
    <w:name w:val="Text bubliny Char2"/>
    <w:basedOn w:val="DefaultParagraphFont"/>
    <w:link w:val="Textbubliny"/>
    <w:uiPriority w:val="99"/>
    <w:semiHidden/>
    <w:qFormat/>
    <w:locked/>
    <w:rPr>
      <w:rFonts w:ascii="Segoe UI" w:hAnsi="Segoe UI" w:cs="Segoe UI"/>
      <w:sz w:val="18"/>
      <w:szCs w:val="18"/>
      <w:lang w:val="x-none" w:eastAsia="ar-SA" w:bidi="ar-SA"/>
    </w:rPr>
  </w:style>
  <w:style w:type="character" w:styleId="HlavikaChar1" w:customStyle="1">
    <w:name w:val="Hlavička Char1"/>
    <w:basedOn w:val="DefaultParagraphFont"/>
    <w:link w:val="Hlavika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styleId="PtaChar1" w:customStyle="1">
    <w:name w:val="Päta Char1"/>
    <w:basedOn w:val="DefaultParagraphFont"/>
    <w:link w:val="Pta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qFormat/>
    <w:locked/>
    <w:rsid w:val="0078256b"/>
    <w:rPr>
      <w:rFonts w:ascii="Calibri" w:hAnsi="Calibri" w:cs="Times New Roman"/>
      <w:lang w:val="sk-SK" w:eastAsia="ar-SA" w:bidi="ar-SA"/>
    </w:rPr>
  </w:style>
  <w:style w:type="character" w:styleId="PredformtovanHTMLChar" w:customStyle="1">
    <w:name w:val="Predformátované HTML Char"/>
    <w:basedOn w:val="DefaultParagraphFont"/>
    <w:link w:val="PredformtovanHTML"/>
    <w:uiPriority w:val="99"/>
    <w:semiHidden/>
    <w:qFormat/>
    <w:locked/>
    <w:rPr>
      <w:rFonts w:ascii="Courier New" w:hAnsi="Courier New" w:cs="Courier New"/>
      <w:lang w:val="x-none" w:eastAsia="ar-SA" w:bidi="ar-SA"/>
    </w:rPr>
  </w:style>
  <w:style w:type="character" w:styleId="Ukotveniepoznmkypodiarou" w:customStyle="1">
    <w:name w:val="Ukotvenie poznámky pod čiarou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78256b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20a14"/>
    <w:rPr>
      <w:rFonts w:cs="Times New Roman"/>
      <w:color w:val="800080"/>
      <w:u w:val="single"/>
    </w:rPr>
  </w:style>
  <w:style w:type="character" w:styleId="SingleTxtGChar" w:customStyle="1">
    <w:name w:val="_ Single Txt_G Char"/>
    <w:link w:val="SingleTxtG"/>
    <w:qFormat/>
    <w:locked/>
    <w:rsid w:val="00c94ff9"/>
    <w:rPr/>
  </w:style>
  <w:style w:type="character" w:styleId="H23GChar" w:customStyle="1">
    <w:name w:val="_ H_2/3_G Char"/>
    <w:link w:val="H23G"/>
    <w:qFormat/>
    <w:locked/>
    <w:rsid w:val="00c94ff9"/>
    <w:rPr>
      <w:b/>
    </w:rPr>
  </w:style>
  <w:style w:type="character" w:styleId="ListLabel1" w:customStyle="1">
    <w:name w:val="ListLabel 1"/>
    <w:qFormat/>
    <w:rPr>
      <w:rFonts w:cs="Book Antiqua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Book Antiqua"/>
      <w:b w:val="false"/>
      <w:sz w:val="22"/>
      <w:szCs w:val="22"/>
    </w:rPr>
  </w:style>
  <w:style w:type="character" w:styleId="ListLabel11" w:customStyle="1">
    <w:name w:val="ListLabel 11"/>
    <w:qFormat/>
    <w:rPr>
      <w:rFonts w:ascii="Book Antiqua" w:hAnsi="Book Antiqua" w:cs="Times New Roman"/>
      <w:b/>
      <w:sz w:val="22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  <w:b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Times New Roman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cs="Times New Roman"/>
    </w:rPr>
  </w:style>
  <w:style w:type="character" w:styleId="ListLabel31" w:customStyle="1">
    <w:name w:val="ListLabel 31"/>
    <w:qFormat/>
    <w:rPr>
      <w:rFonts w:cs="Times New Roman"/>
    </w:rPr>
  </w:style>
  <w:style w:type="character" w:styleId="ListLabel32" w:customStyle="1">
    <w:name w:val="ListLabel 32"/>
    <w:qFormat/>
    <w:rPr>
      <w:rFonts w:cs="Times New Roman"/>
    </w:rPr>
  </w:style>
  <w:style w:type="character" w:styleId="ListLabel33" w:customStyle="1">
    <w:name w:val="ListLabel 33"/>
    <w:qFormat/>
    <w:rPr>
      <w:rFonts w:cs="Times New Roman"/>
    </w:rPr>
  </w:style>
  <w:style w:type="character" w:styleId="ListLabel34" w:customStyle="1">
    <w:name w:val="ListLabel 34"/>
    <w:qFormat/>
    <w:rPr>
      <w:rFonts w:cs="Times New Roman"/>
    </w:rPr>
  </w:style>
  <w:style w:type="character" w:styleId="ListLabel35" w:customStyle="1">
    <w:name w:val="ListLabel 35"/>
    <w:qFormat/>
    <w:rPr>
      <w:rFonts w:cs="Times New Roman"/>
    </w:rPr>
  </w:style>
  <w:style w:type="character" w:styleId="ListLabel36" w:customStyle="1">
    <w:name w:val="ListLabel 36"/>
    <w:qFormat/>
    <w:rPr>
      <w:rFonts w:cs="Times New Roman"/>
    </w:rPr>
  </w:style>
  <w:style w:type="character" w:styleId="ListLabel37" w:customStyle="1">
    <w:name w:val="ListLabel 37"/>
    <w:qFormat/>
    <w:rPr>
      <w:rFonts w:cs="Times New Roman"/>
    </w:rPr>
  </w:style>
  <w:style w:type="character" w:styleId="ListLabel38" w:customStyle="1">
    <w:name w:val="ListLabel 38"/>
    <w:qFormat/>
    <w:rPr>
      <w:rFonts w:cs="Times New Roman"/>
      <w:b/>
      <w:sz w:val="22"/>
    </w:rPr>
  </w:style>
  <w:style w:type="character" w:styleId="ListLabel39" w:customStyle="1">
    <w:name w:val="ListLabel 39"/>
    <w:qFormat/>
    <w:rPr>
      <w:rFonts w:cs="Times New Roman"/>
    </w:rPr>
  </w:style>
  <w:style w:type="character" w:styleId="ListLabel40" w:customStyle="1">
    <w:name w:val="ListLabel 40"/>
    <w:qFormat/>
    <w:rPr>
      <w:rFonts w:cs="Times New Roman"/>
    </w:rPr>
  </w:style>
  <w:style w:type="character" w:styleId="ListLabel41" w:customStyle="1">
    <w:name w:val="ListLabel 41"/>
    <w:qFormat/>
    <w:rPr>
      <w:rFonts w:cs="Times New Roman"/>
    </w:rPr>
  </w:style>
  <w:style w:type="character" w:styleId="ListLabel42" w:customStyle="1">
    <w:name w:val="ListLabel 42"/>
    <w:qFormat/>
    <w:rPr>
      <w:rFonts w:cs="Times New Roman"/>
    </w:rPr>
  </w:style>
  <w:style w:type="character" w:styleId="ListLabel43" w:customStyle="1">
    <w:name w:val="ListLabel 43"/>
    <w:qFormat/>
    <w:rPr>
      <w:rFonts w:cs="Times New Roman"/>
    </w:rPr>
  </w:style>
  <w:style w:type="character" w:styleId="ListLabel44" w:customStyle="1">
    <w:name w:val="ListLabel 44"/>
    <w:qFormat/>
    <w:rPr>
      <w:rFonts w:cs="Times New Roman"/>
    </w:rPr>
  </w:style>
  <w:style w:type="character" w:styleId="ListLabel45" w:customStyle="1">
    <w:name w:val="ListLabel 45"/>
    <w:qFormat/>
    <w:rPr>
      <w:rFonts w:cs="Times New Roman"/>
    </w:rPr>
  </w:style>
  <w:style w:type="character" w:styleId="ListLabel46" w:customStyle="1">
    <w:name w:val="ListLabel 46"/>
    <w:qFormat/>
    <w:rPr>
      <w:rFonts w:cs="Times New Roman"/>
    </w:rPr>
  </w:style>
  <w:style w:type="character" w:styleId="ListLabel47" w:customStyle="1">
    <w:name w:val="ListLabel 47"/>
    <w:qFormat/>
    <w:rPr>
      <w:b w:val="false"/>
      <w:sz w:val="20"/>
      <w:szCs w:val="20"/>
    </w:rPr>
  </w:style>
  <w:style w:type="character" w:styleId="ListLabel48" w:customStyle="1">
    <w:name w:val="ListLabel 48"/>
    <w:qFormat/>
    <w:rPr>
      <w:rFonts w:eastAsia="Times New Roman" w:cs="Times New Roman"/>
    </w:rPr>
  </w:style>
  <w:style w:type="character" w:styleId="ListLabel49" w:customStyle="1">
    <w:name w:val="ListLabel 49"/>
    <w:qFormat/>
    <w:rPr>
      <w:rFonts w:cs="Times New Roman"/>
    </w:rPr>
  </w:style>
  <w:style w:type="character" w:styleId="ListLabel50" w:customStyle="1">
    <w:name w:val="ListLabel 50"/>
    <w:qFormat/>
    <w:rPr>
      <w:rFonts w:cs="Times New Roman"/>
    </w:rPr>
  </w:style>
  <w:style w:type="character" w:styleId="ListLabel51" w:customStyle="1">
    <w:name w:val="ListLabel 51"/>
    <w:qFormat/>
    <w:rPr>
      <w:rFonts w:cs="Times New Roman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cs="Times New Roman"/>
    </w:rPr>
  </w:style>
  <w:style w:type="character" w:styleId="ListLabel54" w:customStyle="1">
    <w:name w:val="ListLabel 54"/>
    <w:qFormat/>
    <w:rPr>
      <w:rFonts w:cs="Times New Roman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>
    <w:name w:val="ListLabel 58"/>
    <w:qFormat/>
    <w:rPr>
      <w:rFonts w:cs="Book Antiqua"/>
    </w:rPr>
  </w:style>
  <w:style w:type="character" w:styleId="ListLabel59">
    <w:name w:val="ListLabel 59"/>
    <w:qFormat/>
    <w:rPr>
      <w:rFonts w:cs="Book Antiqua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Book Antiqua" w:hAnsi="Book Antiqua" w:cs="Times New Roman"/>
      <w:b/>
      <w:sz w:val="22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elotextu">
    <w:name w:val="Body Text"/>
    <w:basedOn w:val="Normal"/>
    <w:link w:val="ZkladntextChar2"/>
    <w:uiPriority w:val="99"/>
    <w:pPr>
      <w:spacing w:lineRule="auto" w:line="240" w:before="0" w:after="120"/>
    </w:pPr>
    <w:rPr>
      <w:rFonts w:ascii="Times New Roman" w:hAnsi="Times New Roman" w:cs="Times New Roman"/>
      <w:sz w:val="24"/>
      <w:szCs w:val="24"/>
    </w:rPr>
  </w:style>
  <w:style w:type="paragraph" w:styleId="Zoznam">
    <w:name w:val="List"/>
    <w:basedOn w:val="Telotextu"/>
    <w:uiPriority w:val="99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pisok" w:customStyle="1">
    <w:name w:val="Popisok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lnywebov1" w:customStyle="1">
    <w:name w:val="Normálny (webový)1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Odsadenietelatextu">
    <w:name w:val="Body Text Indent"/>
    <w:basedOn w:val="Normal"/>
    <w:link w:val="ZarkazkladnhotextuChar2"/>
    <w:uiPriority w:val="99"/>
    <w:pPr>
      <w:spacing w:lineRule="auto" w:line="240" w:before="0" w:after="0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styleId="Odsekzoznamu1" w:customStyle="1">
    <w:name w:val="Odsek zoznamu1"/>
    <w:basedOn w:val="Normal"/>
    <w:qFormat/>
    <w:pPr>
      <w:ind w:left="720" w:hanging="0"/>
    </w:pPr>
    <w:rPr/>
  </w:style>
  <w:style w:type="paragraph" w:styleId="BalloonText">
    <w:name w:val="Balloon Text"/>
    <w:basedOn w:val="Normal"/>
    <w:link w:val="TextbublinyChar2"/>
    <w:uiPriority w:val="99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tabuky" w:customStyle="1">
    <w:name w:val="Obsah tabuľky"/>
    <w:basedOn w:val="Normal"/>
    <w:qFormat/>
    <w:pPr>
      <w:suppressLineNumbers/>
    </w:pPr>
    <w:rPr/>
  </w:style>
  <w:style w:type="paragraph" w:styleId="Nadpistabuky" w:customStyle="1">
    <w:name w:val="Nadpis tabuľky"/>
    <w:basedOn w:val="Obsahtabuky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al"/>
    <w:link w:val="HlavikaChar1"/>
    <w:uiPriority w:val="9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1"/>
    <w:uiPriority w:val="9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o" w:customStyle="1">
    <w:name w:val="go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Poznmkapodiarou">
    <w:name w:val="Footnote Text"/>
    <w:basedOn w:val="Normal"/>
    <w:link w:val="TextpoznmkypodiarouChar"/>
    <w:uiPriority w:val="99"/>
    <w:pPr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PredformtovanHTMLChar"/>
    <w:uiPriority w:val="99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Vchodzie" w:customStyle="1">
    <w:name w:val="Vchodzie"/>
    <w:qFormat/>
    <w:rsid w:val="00d557a0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sk-SK" w:eastAsia="sk-SK" w:bidi="ar-SA"/>
    </w:rPr>
  </w:style>
  <w:style w:type="paragraph" w:styleId="SingleTxtG" w:customStyle="1">
    <w:name w:val="_ Single Txt_G"/>
    <w:basedOn w:val="Normal"/>
    <w:link w:val="SingleTxtGChar"/>
    <w:qFormat/>
    <w:rsid w:val="00c94ff9"/>
    <w:pPr>
      <w:spacing w:lineRule="atLeast" w:line="240" w:before="0" w:after="120"/>
      <w:ind w:left="1134" w:right="1134" w:hanging="0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paragraph" w:styleId="H23G" w:customStyle="1">
    <w:name w:val="_ H_2/3_G"/>
    <w:basedOn w:val="Normal"/>
    <w:next w:val="Normal"/>
    <w:link w:val="H23GChar"/>
    <w:qFormat/>
    <w:rsid w:val="00c94ff9"/>
    <w:pPr>
      <w:keepNext w:val="true"/>
      <w:keepLines/>
      <w:tabs>
        <w:tab w:val="clear" w:pos="709"/>
        <w:tab w:val="right" w:pos="851" w:leader="none"/>
      </w:tabs>
      <w:spacing w:lineRule="exact" w:line="240" w:before="240" w:after="120"/>
      <w:ind w:left="1134" w:right="1134" w:hanging="1134"/>
    </w:pPr>
    <w:rPr>
      <w:rFonts w:ascii="Times New Roman" w:hAnsi="Times New Roman" w:cs="Times New Roman"/>
      <w:b/>
      <w:sz w:val="20"/>
      <w:szCs w:val="20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BF5027-5B87-4EF3-A426-7E37629E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LibreOffice/6.2.3.2$Windows_X86_64 LibreOffice_project/aecc05fe267cc68dde00352a451aa867b3b546ac</Application>
  <Pages>6</Pages>
  <Words>1263</Words>
  <Characters>7627</Characters>
  <CharactersWithSpaces>8856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2019-11-04T01:26:00Z</dcterms:created>
  <dc:creator>Maťka</dc:creator>
  <dc:description/>
  <dc:language>sk-SK</dc:language>
  <cp:lastModifiedBy>Milan</cp:lastModifiedBy>
  <cp:lastPrinted>2015-02-05T09:07:00Z</cp:lastPrinted>
  <dcterms:modified xsi:type="dcterms:W3CDTF">2019-11-04T01:26:00Z</dcterms:modified>
  <cp:revision>2</cp:revision>
  <dc:subject/>
  <dc:title>DÔVODOVÁ SPRÁVA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