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405" w:rsidRDefault="00390405" w:rsidP="00964702">
      <w:pPr>
        <w:ind w:left="1416" w:firstLine="708"/>
        <w:rPr>
          <w:rFonts w:ascii="Arial Narrow" w:hAnsi="Arial Narrow"/>
          <w:b/>
          <w:sz w:val="20"/>
          <w:szCs w:val="20"/>
        </w:rPr>
      </w:pPr>
    </w:p>
    <w:p w:rsidR="008E7ACA" w:rsidRDefault="008E7ACA" w:rsidP="008E7ACA">
      <w:pPr>
        <w:spacing w:before="120" w:after="120" w:line="360" w:lineRule="auto"/>
        <w:jc w:val="center"/>
      </w:pPr>
      <w:r>
        <w:t>Predkladacia správa</w:t>
      </w:r>
    </w:p>
    <w:p w:rsidR="000F7514" w:rsidRDefault="000F7514" w:rsidP="00864D39">
      <w:pPr>
        <w:spacing w:after="120" w:line="360" w:lineRule="auto"/>
        <w:jc w:val="both"/>
      </w:pPr>
      <w:r>
        <w:t>Súhrnná výročná správa Slovenskej republiky za rok 201</w:t>
      </w:r>
      <w:r w:rsidR="00906D83">
        <w:t>8</w:t>
      </w:r>
      <w:r>
        <w:t xml:space="preserve"> sa predkladá na základe zákona</w:t>
      </w:r>
      <w:r w:rsidR="008E7ACA" w:rsidRPr="00220DFF">
        <w:t xml:space="preserve"> </w:t>
      </w:r>
      <w:r w:rsidR="00BB1562">
        <w:br/>
        <w:t xml:space="preserve">č. </w:t>
      </w:r>
      <w:r w:rsidR="008E7ACA" w:rsidRPr="00220DFF">
        <w:t xml:space="preserve">523/2004 Z. z. o rozpočtových pravidlách verejnej správy a o zmene a doplnení niektorých zákonov v znení </w:t>
      </w:r>
      <w:r>
        <w:t>neskorších predpisov</w:t>
      </w:r>
      <w:r w:rsidR="007D24A6">
        <w:t>, pričom ide o nelegislatívny materiál, ktorý svojím obsahom faktograficky a vecne dokumentuje vývoj</w:t>
      </w:r>
      <w:r w:rsidR="008B194A">
        <w:t xml:space="preserve"> a stav najdôležitejších parametrov</w:t>
      </w:r>
      <w:r w:rsidR="008B194A">
        <w:br/>
      </w:r>
      <w:r w:rsidR="007D24A6">
        <w:t xml:space="preserve">(a zložiek) verejných financií. </w:t>
      </w:r>
      <w:r w:rsidR="002A642A">
        <w:t>S</w:t>
      </w:r>
      <w:r w:rsidR="00B85569">
        <w:t>práva obsahuje údaje o </w:t>
      </w:r>
      <w:r w:rsidR="002A642A">
        <w:t>výsledku</w:t>
      </w:r>
      <w:r w:rsidR="00B85569">
        <w:t xml:space="preserve"> </w:t>
      </w:r>
      <w:r w:rsidR="002A642A">
        <w:t>hospodárenia verejných financií</w:t>
      </w:r>
      <w:r w:rsidR="00B85569">
        <w:t xml:space="preserve"> </w:t>
      </w:r>
      <w:r w:rsidR="002A642A">
        <w:t>SR</w:t>
      </w:r>
      <w:r w:rsidR="00B85569">
        <w:t xml:space="preserve"> za rok 201</w:t>
      </w:r>
      <w:r w:rsidR="00906D83">
        <w:t>8</w:t>
      </w:r>
      <w:r w:rsidR="00B85569">
        <w:t xml:space="preserve"> na základe októbrovej notifikácie </w:t>
      </w:r>
      <w:r w:rsidR="002A642A">
        <w:t xml:space="preserve">údajov zverejnenej </w:t>
      </w:r>
      <w:r w:rsidR="00B85569">
        <w:t>Eurostat</w:t>
      </w:r>
      <w:r w:rsidR="002A642A">
        <w:t>om dňa</w:t>
      </w:r>
      <w:r w:rsidR="008E5DF6">
        <w:t xml:space="preserve"> 2</w:t>
      </w:r>
      <w:r w:rsidR="00906D83">
        <w:t>1</w:t>
      </w:r>
      <w:r w:rsidR="00B85569">
        <w:t>. októbra</w:t>
      </w:r>
      <w:r w:rsidR="008E5DF6">
        <w:t xml:space="preserve"> 201</w:t>
      </w:r>
      <w:r w:rsidR="00906D83">
        <w:t>9</w:t>
      </w:r>
      <w:r w:rsidR="00DB5D94">
        <w:t xml:space="preserve">, </w:t>
      </w:r>
      <w:r w:rsidR="007D24A6">
        <w:t xml:space="preserve">ďalej </w:t>
      </w:r>
      <w:r w:rsidR="00DB5D94">
        <w:t>informácie požadované ústavným zákonom o rozpočtovej zodpovednosti a súhrnnú účtovnú závierku verejnej správy</w:t>
      </w:r>
      <w:r w:rsidR="007D24A6">
        <w:t xml:space="preserve"> zostavenú za približne 8 </w:t>
      </w:r>
      <w:r w:rsidR="00906D83">
        <w:t>150</w:t>
      </w:r>
      <w:r w:rsidR="007D24A6">
        <w:t xml:space="preserve"> organizácií</w:t>
      </w:r>
      <w:r w:rsidR="00DB5D94">
        <w:t>.</w:t>
      </w:r>
      <w:r w:rsidR="00B85569">
        <w:t xml:space="preserve"> </w:t>
      </w:r>
    </w:p>
    <w:p w:rsidR="001069A9" w:rsidRDefault="008E7ACA" w:rsidP="00DB5D94">
      <w:pPr>
        <w:spacing w:before="120" w:line="360" w:lineRule="auto"/>
        <w:jc w:val="both"/>
        <w:rPr>
          <w:szCs w:val="22"/>
          <w:u w:val="single"/>
        </w:rPr>
      </w:pPr>
      <w:r w:rsidRPr="00220DFF">
        <w:rPr>
          <w:u w:val="single"/>
        </w:rPr>
        <w:t xml:space="preserve">Súhrnná výročná správa </w:t>
      </w:r>
      <w:r w:rsidR="000F7514">
        <w:rPr>
          <w:u w:val="single"/>
        </w:rPr>
        <w:t xml:space="preserve">predstavuje </w:t>
      </w:r>
      <w:r w:rsidRPr="00220DFF">
        <w:rPr>
          <w:u w:val="single"/>
        </w:rPr>
        <w:t>komplexn</w:t>
      </w:r>
      <w:r w:rsidR="000F7514">
        <w:rPr>
          <w:u w:val="single"/>
        </w:rPr>
        <w:t>ý dokument zostavený na najvyšše</w:t>
      </w:r>
      <w:r w:rsidR="007378C8">
        <w:rPr>
          <w:u w:val="single"/>
        </w:rPr>
        <w:t>j</w:t>
      </w:r>
      <w:r w:rsidR="000F7514">
        <w:rPr>
          <w:u w:val="single"/>
        </w:rPr>
        <w:t xml:space="preserve"> úrovni národného výkazníctva za verejnú správu </w:t>
      </w:r>
      <w:r w:rsidR="00DB5D94">
        <w:rPr>
          <w:u w:val="single"/>
        </w:rPr>
        <w:t xml:space="preserve">pričom na jednom mieste a v koncentrovanej </w:t>
      </w:r>
      <w:r w:rsidR="00DB5D94" w:rsidRPr="00DB5D94">
        <w:rPr>
          <w:u w:val="single"/>
        </w:rPr>
        <w:t xml:space="preserve">podobe kombinuje rôzne </w:t>
      </w:r>
      <w:r w:rsidR="00DB5D94" w:rsidRPr="00DB5D94">
        <w:rPr>
          <w:szCs w:val="22"/>
          <w:u w:val="single"/>
        </w:rPr>
        <w:t>metodické a analytické pohľady na verejné financie Slovenska.</w:t>
      </w:r>
      <w:r w:rsidR="00DB5D94">
        <w:rPr>
          <w:szCs w:val="22"/>
          <w:u w:val="single"/>
        </w:rPr>
        <w:t xml:space="preserve"> </w:t>
      </w:r>
    </w:p>
    <w:p w:rsidR="00DB5D94" w:rsidRDefault="00A17A7D" w:rsidP="00DB5D94">
      <w:pPr>
        <w:spacing w:before="120" w:line="360" w:lineRule="auto"/>
        <w:jc w:val="both"/>
        <w:rPr>
          <w:u w:val="single"/>
        </w:rPr>
      </w:pPr>
      <w:r>
        <w:t xml:space="preserve">Tento dokument </w:t>
      </w:r>
      <w:r w:rsidR="008E5DF6">
        <w:t xml:space="preserve">obsahuje navyše rozšírené informácie o podnikoch štátnej správy, ktorými sa Ministerstvo financií SR </w:t>
      </w:r>
      <w:r>
        <w:t xml:space="preserve">zaoberá s cieľom analyzovať </w:t>
      </w:r>
      <w:r w:rsidR="00EF7965">
        <w:t>ich hospodárenie</w:t>
      </w:r>
      <w:r w:rsidR="008E5DF6">
        <w:t xml:space="preserve"> a dôvody zmien ich vlastného imania</w:t>
      </w:r>
      <w:r w:rsidR="00EF7965">
        <w:rPr>
          <w:szCs w:val="22"/>
        </w:rPr>
        <w:t xml:space="preserve">, ktoré majú vplyv na celkové čisté bohatstvo krajiny. V oblasti ďalších zložiek čistého bohatstva sa realizuje mapovanie údajových zdrojov (napr. o podmienených záväzkoch a podmienených aktívach), s cieľom nastavenia metodiky a spôsobu </w:t>
      </w:r>
      <w:r w:rsidR="00906D83">
        <w:rPr>
          <w:szCs w:val="22"/>
        </w:rPr>
        <w:t xml:space="preserve">štandardného </w:t>
      </w:r>
      <w:r w:rsidR="00EF7965">
        <w:rPr>
          <w:szCs w:val="22"/>
        </w:rPr>
        <w:t xml:space="preserve">zberu potrebných informácií. </w:t>
      </w:r>
    </w:p>
    <w:p w:rsidR="003D2B98" w:rsidRDefault="008B194A" w:rsidP="003D2B98">
      <w:pPr>
        <w:spacing w:before="120" w:line="360" w:lineRule="auto"/>
        <w:jc w:val="both"/>
        <w:rPr>
          <w:u w:val="single"/>
        </w:rPr>
      </w:pPr>
      <w:r>
        <w:t>Predloženú</w:t>
      </w:r>
      <w:r w:rsidR="008E7ACA" w:rsidRPr="000571F8">
        <w:t xml:space="preserve"> Súhrnn</w:t>
      </w:r>
      <w:r>
        <w:t>ú</w:t>
      </w:r>
      <w:r w:rsidR="008E7ACA" w:rsidRPr="000571F8">
        <w:t xml:space="preserve"> výročn</w:t>
      </w:r>
      <w:r>
        <w:t>ú</w:t>
      </w:r>
      <w:r w:rsidR="008E7ACA" w:rsidRPr="000571F8">
        <w:t xml:space="preserve"> správ</w:t>
      </w:r>
      <w:r>
        <w:t>u</w:t>
      </w:r>
      <w:r w:rsidR="008E7ACA" w:rsidRPr="000571F8">
        <w:t xml:space="preserve"> Slovenskej republiky za rok 201</w:t>
      </w:r>
      <w:r w:rsidR="00906D83">
        <w:t>8</w:t>
      </w:r>
      <w:bookmarkStart w:id="0" w:name="_GoBack"/>
      <w:bookmarkEnd w:id="0"/>
      <w:r w:rsidR="008E7ACA" w:rsidRPr="000571F8">
        <w:t xml:space="preserve"> </w:t>
      </w:r>
      <w:r>
        <w:t>sa nepožaduje</w:t>
      </w:r>
      <w:r w:rsidR="008E7ACA" w:rsidRPr="000571F8">
        <w:t xml:space="preserve"> v súlade s čl. 10 ods. 7 smernice n</w:t>
      </w:r>
      <w:r w:rsidR="008E7ACA" w:rsidRPr="000571F8">
        <w:rPr>
          <w:bCs/>
        </w:rPr>
        <w:t xml:space="preserve">a prípravu a predkladanie materiálov na rokovanie vlády SR </w:t>
      </w:r>
      <w:r>
        <w:rPr>
          <w:bCs/>
        </w:rPr>
        <w:t>predkladať na</w:t>
      </w:r>
      <w:r w:rsidR="008E7ACA" w:rsidRPr="000571F8">
        <w:rPr>
          <w:bCs/>
        </w:rPr>
        <w:t xml:space="preserve"> medzirezortné pripomienkové konani</w:t>
      </w:r>
      <w:r>
        <w:rPr>
          <w:bCs/>
        </w:rPr>
        <w:t>e</w:t>
      </w:r>
      <w:r w:rsidR="008E7ACA" w:rsidRPr="000571F8">
        <w:rPr>
          <w:bCs/>
        </w:rPr>
        <w:t xml:space="preserve">. </w:t>
      </w:r>
      <w:r w:rsidR="008E7ACA" w:rsidRPr="000571F8">
        <w:t xml:space="preserve">Nemá negatívny finančný vplyv na štátny rozpočet, rozpočty obcí, rozpočty vyšších územných celkov ani na rozpočty ostatných subjektov verejnej správy, rovnako nemá vplyv na životné prostredie, negatívne ekonomické vplyvy, negatívne vplyvy na zamestnanosť ani na tvorbu pracovných miest a na informatizáciu spoločnosti. </w:t>
      </w:r>
    </w:p>
    <w:p w:rsidR="0014417D" w:rsidRDefault="008E7ACA" w:rsidP="001069A9">
      <w:pPr>
        <w:spacing w:before="120" w:line="360" w:lineRule="auto"/>
        <w:jc w:val="both"/>
        <w:rPr>
          <w:rFonts w:ascii="Arial Narrow" w:hAnsi="Arial Narrow"/>
          <w:sz w:val="22"/>
          <w:szCs w:val="22"/>
        </w:rPr>
      </w:pPr>
      <w:r w:rsidRPr="000571F8">
        <w:t>Neobsahuje skutočnosti, ktoré sú predmetom utajenia</w:t>
      </w:r>
      <w:r w:rsidR="003A2F7A">
        <w:t xml:space="preserve"> podľa zákona č. 215/2004 Z. z.</w:t>
      </w:r>
      <w:r w:rsidR="003A2F7A">
        <w:br/>
      </w:r>
      <w:r w:rsidRPr="000571F8">
        <w:t>o ochrane utajovaných skutočností a o zmene a doplnení niektorých zákonov v znení neskorších predpisov a Nariadenia vlády Slovenskej republiky č. 216/2004 Z. z., ktorým sa ustanovujú oblasti utajovaných skutočností. Je mo</w:t>
      </w:r>
      <w:r w:rsidR="00B85569">
        <w:t>žné ju sprístupniť podľa zákona</w:t>
      </w:r>
      <w:r w:rsidR="00B85569">
        <w:br/>
      </w:r>
      <w:r w:rsidRPr="000571F8">
        <w:t>č. 211/2000 Z. z. o slobodnom prístupe k informáciám a o zmene a doplnení niektorých zákonov v znení neskorších predpisov.</w:t>
      </w:r>
    </w:p>
    <w:p w:rsidR="0014417D" w:rsidRDefault="0014417D" w:rsidP="00DA5265">
      <w:pPr>
        <w:rPr>
          <w:rFonts w:ascii="Arial Narrow" w:hAnsi="Arial Narrow"/>
          <w:sz w:val="22"/>
          <w:szCs w:val="22"/>
        </w:rPr>
      </w:pPr>
    </w:p>
    <w:sectPr w:rsidR="0014417D" w:rsidSect="000F7514">
      <w:footerReference w:type="even" r:id="rId8"/>
      <w:footerReference w:type="default" r:id="rId9"/>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923" w:rsidRDefault="00761923">
      <w:r>
        <w:separator/>
      </w:r>
    </w:p>
  </w:endnote>
  <w:endnote w:type="continuationSeparator" w:id="0">
    <w:p w:rsidR="00761923" w:rsidRDefault="0076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60" w:rsidRDefault="00731060" w:rsidP="0037782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731060" w:rsidRDefault="0073106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60" w:rsidRPr="00377822" w:rsidRDefault="00731060" w:rsidP="00377822">
    <w:pPr>
      <w:pStyle w:val="Pta"/>
      <w:framePr w:wrap="around" w:vAnchor="text" w:hAnchor="margin" w:xAlign="center" w:y="1"/>
      <w:rPr>
        <w:rStyle w:val="slostrany"/>
        <w:rFonts w:ascii="Arial" w:hAnsi="Arial" w:cs="Arial"/>
        <w:sz w:val="20"/>
        <w:szCs w:val="20"/>
      </w:rPr>
    </w:pPr>
  </w:p>
  <w:p w:rsidR="00731060" w:rsidRDefault="0073106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923" w:rsidRDefault="00761923">
      <w:r>
        <w:separator/>
      </w:r>
    </w:p>
  </w:footnote>
  <w:footnote w:type="continuationSeparator" w:id="0">
    <w:p w:rsidR="00761923" w:rsidRDefault="00761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589F"/>
    <w:multiLevelType w:val="hybridMultilevel"/>
    <w:tmpl w:val="512ED64A"/>
    <w:lvl w:ilvl="0" w:tplc="F15A8B14">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221F446C"/>
    <w:multiLevelType w:val="hybridMultilevel"/>
    <w:tmpl w:val="EAC8C3B2"/>
    <w:lvl w:ilvl="0" w:tplc="A0D6C910">
      <w:start w:val="1"/>
      <w:numFmt w:val="decimal"/>
      <w:lvlText w:val="%1."/>
      <w:lvlJc w:val="left"/>
      <w:pPr>
        <w:tabs>
          <w:tab w:val="num" w:pos="4095"/>
        </w:tabs>
        <w:ind w:left="4095" w:hanging="373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C7D4337"/>
    <w:multiLevelType w:val="hybridMultilevel"/>
    <w:tmpl w:val="734A5E0E"/>
    <w:lvl w:ilvl="0" w:tplc="95241E5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3DDD06AA"/>
    <w:multiLevelType w:val="hybridMultilevel"/>
    <w:tmpl w:val="64D2496A"/>
    <w:lvl w:ilvl="0" w:tplc="F15A8B14">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491E568F"/>
    <w:multiLevelType w:val="hybridMultilevel"/>
    <w:tmpl w:val="E696A9A4"/>
    <w:lvl w:ilvl="0" w:tplc="5602E73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51F3226E"/>
    <w:multiLevelType w:val="hybridMultilevel"/>
    <w:tmpl w:val="67C8DDD2"/>
    <w:lvl w:ilvl="0" w:tplc="442E06A0">
      <w:start w:val="1"/>
      <w:numFmt w:val="lowerLetter"/>
      <w:lvlText w:val="%1)"/>
      <w:lvlJc w:val="left"/>
      <w:pPr>
        <w:ind w:left="495" w:hanging="360"/>
      </w:pPr>
      <w:rPr>
        <w:rFonts w:cs="Times New Roman"/>
      </w:rPr>
    </w:lvl>
    <w:lvl w:ilvl="1" w:tplc="041B0019">
      <w:start w:val="1"/>
      <w:numFmt w:val="lowerLetter"/>
      <w:lvlText w:val="%2."/>
      <w:lvlJc w:val="left"/>
      <w:pPr>
        <w:ind w:left="1215" w:hanging="360"/>
      </w:pPr>
      <w:rPr>
        <w:rFonts w:cs="Times New Roman"/>
      </w:rPr>
    </w:lvl>
    <w:lvl w:ilvl="2" w:tplc="041B001B">
      <w:start w:val="1"/>
      <w:numFmt w:val="lowerRoman"/>
      <w:lvlText w:val="%3."/>
      <w:lvlJc w:val="right"/>
      <w:pPr>
        <w:ind w:left="1935" w:hanging="180"/>
      </w:pPr>
      <w:rPr>
        <w:rFonts w:cs="Times New Roman"/>
      </w:rPr>
    </w:lvl>
    <w:lvl w:ilvl="3" w:tplc="041B000F">
      <w:start w:val="1"/>
      <w:numFmt w:val="decimal"/>
      <w:lvlText w:val="%4."/>
      <w:lvlJc w:val="left"/>
      <w:pPr>
        <w:ind w:left="2655" w:hanging="360"/>
      </w:pPr>
      <w:rPr>
        <w:rFonts w:cs="Times New Roman"/>
      </w:rPr>
    </w:lvl>
    <w:lvl w:ilvl="4" w:tplc="041B0019">
      <w:start w:val="1"/>
      <w:numFmt w:val="lowerLetter"/>
      <w:lvlText w:val="%5."/>
      <w:lvlJc w:val="left"/>
      <w:pPr>
        <w:ind w:left="3375" w:hanging="360"/>
      </w:pPr>
      <w:rPr>
        <w:rFonts w:cs="Times New Roman"/>
      </w:rPr>
    </w:lvl>
    <w:lvl w:ilvl="5" w:tplc="041B001B">
      <w:start w:val="1"/>
      <w:numFmt w:val="lowerRoman"/>
      <w:lvlText w:val="%6."/>
      <w:lvlJc w:val="right"/>
      <w:pPr>
        <w:ind w:left="4095" w:hanging="180"/>
      </w:pPr>
      <w:rPr>
        <w:rFonts w:cs="Times New Roman"/>
      </w:rPr>
    </w:lvl>
    <w:lvl w:ilvl="6" w:tplc="041B000F">
      <w:start w:val="1"/>
      <w:numFmt w:val="decimal"/>
      <w:lvlText w:val="%7."/>
      <w:lvlJc w:val="left"/>
      <w:pPr>
        <w:ind w:left="4815" w:hanging="360"/>
      </w:pPr>
      <w:rPr>
        <w:rFonts w:cs="Times New Roman"/>
      </w:rPr>
    </w:lvl>
    <w:lvl w:ilvl="7" w:tplc="041B0019">
      <w:start w:val="1"/>
      <w:numFmt w:val="lowerLetter"/>
      <w:lvlText w:val="%8."/>
      <w:lvlJc w:val="left"/>
      <w:pPr>
        <w:ind w:left="5535" w:hanging="360"/>
      </w:pPr>
      <w:rPr>
        <w:rFonts w:cs="Times New Roman"/>
      </w:rPr>
    </w:lvl>
    <w:lvl w:ilvl="8" w:tplc="041B001B">
      <w:start w:val="1"/>
      <w:numFmt w:val="lowerRoman"/>
      <w:lvlText w:val="%9."/>
      <w:lvlJc w:val="right"/>
      <w:pPr>
        <w:ind w:left="6255" w:hanging="180"/>
      </w:pPr>
      <w:rPr>
        <w:rFonts w:cs="Times New Roman"/>
      </w:rPr>
    </w:lvl>
  </w:abstractNum>
  <w:abstractNum w:abstractNumId="6" w15:restartNumberingAfterBreak="0">
    <w:nsid w:val="573717BE"/>
    <w:multiLevelType w:val="hybridMultilevel"/>
    <w:tmpl w:val="5A6C39B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71"/>
    <w:rsid w:val="00011F5A"/>
    <w:rsid w:val="00015D0E"/>
    <w:rsid w:val="000211BA"/>
    <w:rsid w:val="00021FE2"/>
    <w:rsid w:val="00045DF0"/>
    <w:rsid w:val="00054E49"/>
    <w:rsid w:val="000571F8"/>
    <w:rsid w:val="00084724"/>
    <w:rsid w:val="00086DDF"/>
    <w:rsid w:val="00091387"/>
    <w:rsid w:val="0009194C"/>
    <w:rsid w:val="00097541"/>
    <w:rsid w:val="000B2C23"/>
    <w:rsid w:val="000D0879"/>
    <w:rsid w:val="000E088D"/>
    <w:rsid w:val="000F7514"/>
    <w:rsid w:val="001069A9"/>
    <w:rsid w:val="00107005"/>
    <w:rsid w:val="0011219A"/>
    <w:rsid w:val="00115CB2"/>
    <w:rsid w:val="001243C8"/>
    <w:rsid w:val="001303D2"/>
    <w:rsid w:val="0014417D"/>
    <w:rsid w:val="00147AAC"/>
    <w:rsid w:val="0019328B"/>
    <w:rsid w:val="001B703A"/>
    <w:rsid w:val="001C4977"/>
    <w:rsid w:val="001E4A95"/>
    <w:rsid w:val="001E6C36"/>
    <w:rsid w:val="00211611"/>
    <w:rsid w:val="00236B0D"/>
    <w:rsid w:val="002463BE"/>
    <w:rsid w:val="00263F09"/>
    <w:rsid w:val="00283B66"/>
    <w:rsid w:val="002A642A"/>
    <w:rsid w:val="002B79BA"/>
    <w:rsid w:val="002C35C7"/>
    <w:rsid w:val="002D0F90"/>
    <w:rsid w:val="002D1979"/>
    <w:rsid w:val="002E05AF"/>
    <w:rsid w:val="002E52F3"/>
    <w:rsid w:val="002F1EB9"/>
    <w:rsid w:val="003115B9"/>
    <w:rsid w:val="00334715"/>
    <w:rsid w:val="003351B6"/>
    <w:rsid w:val="0036272B"/>
    <w:rsid w:val="00374E08"/>
    <w:rsid w:val="00376B28"/>
    <w:rsid w:val="00377822"/>
    <w:rsid w:val="00382584"/>
    <w:rsid w:val="00382A27"/>
    <w:rsid w:val="00390405"/>
    <w:rsid w:val="003A2F7A"/>
    <w:rsid w:val="003D07DE"/>
    <w:rsid w:val="003D2B98"/>
    <w:rsid w:val="003E665C"/>
    <w:rsid w:val="003F6AEC"/>
    <w:rsid w:val="004308DC"/>
    <w:rsid w:val="00454C18"/>
    <w:rsid w:val="00455E02"/>
    <w:rsid w:val="00456D4C"/>
    <w:rsid w:val="004636C7"/>
    <w:rsid w:val="00466EC6"/>
    <w:rsid w:val="0047026B"/>
    <w:rsid w:val="00497B9C"/>
    <w:rsid w:val="004A5D79"/>
    <w:rsid w:val="004B21C6"/>
    <w:rsid w:val="004B509E"/>
    <w:rsid w:val="004D1BC0"/>
    <w:rsid w:val="004D3C1E"/>
    <w:rsid w:val="004D4A09"/>
    <w:rsid w:val="004E6780"/>
    <w:rsid w:val="00504888"/>
    <w:rsid w:val="00517725"/>
    <w:rsid w:val="005226E9"/>
    <w:rsid w:val="00537A26"/>
    <w:rsid w:val="005550E3"/>
    <w:rsid w:val="00555C51"/>
    <w:rsid w:val="00590888"/>
    <w:rsid w:val="005C3D58"/>
    <w:rsid w:val="005D0F53"/>
    <w:rsid w:val="005D1859"/>
    <w:rsid w:val="005D21BD"/>
    <w:rsid w:val="005E4C1D"/>
    <w:rsid w:val="006262FE"/>
    <w:rsid w:val="00627A2C"/>
    <w:rsid w:val="00633530"/>
    <w:rsid w:val="006576FF"/>
    <w:rsid w:val="00672AF0"/>
    <w:rsid w:val="0069313F"/>
    <w:rsid w:val="006951BB"/>
    <w:rsid w:val="006A4700"/>
    <w:rsid w:val="006B11EE"/>
    <w:rsid w:val="006E6340"/>
    <w:rsid w:val="006F08D8"/>
    <w:rsid w:val="007009A6"/>
    <w:rsid w:val="00716353"/>
    <w:rsid w:val="00731060"/>
    <w:rsid w:val="007378C8"/>
    <w:rsid w:val="00742152"/>
    <w:rsid w:val="00761923"/>
    <w:rsid w:val="007619FC"/>
    <w:rsid w:val="007667BE"/>
    <w:rsid w:val="00767D07"/>
    <w:rsid w:val="007720D0"/>
    <w:rsid w:val="0078017E"/>
    <w:rsid w:val="00780F97"/>
    <w:rsid w:val="0078400F"/>
    <w:rsid w:val="00791D2B"/>
    <w:rsid w:val="007930E6"/>
    <w:rsid w:val="007B2480"/>
    <w:rsid w:val="007C0494"/>
    <w:rsid w:val="007C40CB"/>
    <w:rsid w:val="007D24A6"/>
    <w:rsid w:val="007D7667"/>
    <w:rsid w:val="007E1158"/>
    <w:rsid w:val="00812548"/>
    <w:rsid w:val="00817FD7"/>
    <w:rsid w:val="00854B02"/>
    <w:rsid w:val="008565CD"/>
    <w:rsid w:val="00864D39"/>
    <w:rsid w:val="00874A6C"/>
    <w:rsid w:val="00894C20"/>
    <w:rsid w:val="008B194A"/>
    <w:rsid w:val="008B5DF0"/>
    <w:rsid w:val="008C19A9"/>
    <w:rsid w:val="008D07FC"/>
    <w:rsid w:val="008D76B0"/>
    <w:rsid w:val="008E5DF6"/>
    <w:rsid w:val="008E7ACA"/>
    <w:rsid w:val="0090620F"/>
    <w:rsid w:val="00906D83"/>
    <w:rsid w:val="009439CB"/>
    <w:rsid w:val="00953B9C"/>
    <w:rsid w:val="00964702"/>
    <w:rsid w:val="00974684"/>
    <w:rsid w:val="009751D9"/>
    <w:rsid w:val="0098547C"/>
    <w:rsid w:val="009B4689"/>
    <w:rsid w:val="009C0B0C"/>
    <w:rsid w:val="009C7C17"/>
    <w:rsid w:val="009D7A1E"/>
    <w:rsid w:val="009F457C"/>
    <w:rsid w:val="00A00921"/>
    <w:rsid w:val="00A043DC"/>
    <w:rsid w:val="00A17A7D"/>
    <w:rsid w:val="00A34984"/>
    <w:rsid w:val="00A35F34"/>
    <w:rsid w:val="00A36F53"/>
    <w:rsid w:val="00A551F1"/>
    <w:rsid w:val="00A55ECB"/>
    <w:rsid w:val="00A6551D"/>
    <w:rsid w:val="00A764C4"/>
    <w:rsid w:val="00A7783C"/>
    <w:rsid w:val="00A87664"/>
    <w:rsid w:val="00AC1CB8"/>
    <w:rsid w:val="00AE7B3D"/>
    <w:rsid w:val="00AF05F2"/>
    <w:rsid w:val="00B14C38"/>
    <w:rsid w:val="00B20167"/>
    <w:rsid w:val="00B4087C"/>
    <w:rsid w:val="00B70469"/>
    <w:rsid w:val="00B76219"/>
    <w:rsid w:val="00B848F6"/>
    <w:rsid w:val="00B85569"/>
    <w:rsid w:val="00B94FF5"/>
    <w:rsid w:val="00BB1562"/>
    <w:rsid w:val="00BC03EA"/>
    <w:rsid w:val="00BE203D"/>
    <w:rsid w:val="00BE5E7E"/>
    <w:rsid w:val="00BE668F"/>
    <w:rsid w:val="00BF4393"/>
    <w:rsid w:val="00BF5204"/>
    <w:rsid w:val="00BF7AB4"/>
    <w:rsid w:val="00C218DE"/>
    <w:rsid w:val="00C413A0"/>
    <w:rsid w:val="00C45D99"/>
    <w:rsid w:val="00C7688C"/>
    <w:rsid w:val="00C84477"/>
    <w:rsid w:val="00C874EB"/>
    <w:rsid w:val="00C955F3"/>
    <w:rsid w:val="00CB1DBD"/>
    <w:rsid w:val="00CB4F49"/>
    <w:rsid w:val="00CC0059"/>
    <w:rsid w:val="00CC0F18"/>
    <w:rsid w:val="00CC16CD"/>
    <w:rsid w:val="00CC63C6"/>
    <w:rsid w:val="00CC6888"/>
    <w:rsid w:val="00D102AF"/>
    <w:rsid w:val="00D171C1"/>
    <w:rsid w:val="00D3547E"/>
    <w:rsid w:val="00D361A9"/>
    <w:rsid w:val="00D41C1C"/>
    <w:rsid w:val="00D501E1"/>
    <w:rsid w:val="00D52F7F"/>
    <w:rsid w:val="00D60171"/>
    <w:rsid w:val="00D82B08"/>
    <w:rsid w:val="00DA5265"/>
    <w:rsid w:val="00DA52DA"/>
    <w:rsid w:val="00DA7054"/>
    <w:rsid w:val="00DB085C"/>
    <w:rsid w:val="00DB51C1"/>
    <w:rsid w:val="00DB5AB9"/>
    <w:rsid w:val="00DB5D94"/>
    <w:rsid w:val="00DD07B6"/>
    <w:rsid w:val="00DD2171"/>
    <w:rsid w:val="00DD721C"/>
    <w:rsid w:val="00DF3C51"/>
    <w:rsid w:val="00E24C04"/>
    <w:rsid w:val="00E2605E"/>
    <w:rsid w:val="00E26071"/>
    <w:rsid w:val="00E3694C"/>
    <w:rsid w:val="00E60C78"/>
    <w:rsid w:val="00E671DB"/>
    <w:rsid w:val="00E67516"/>
    <w:rsid w:val="00E74275"/>
    <w:rsid w:val="00E75029"/>
    <w:rsid w:val="00E82C09"/>
    <w:rsid w:val="00ED2E72"/>
    <w:rsid w:val="00ED3D69"/>
    <w:rsid w:val="00ED5008"/>
    <w:rsid w:val="00ED70EB"/>
    <w:rsid w:val="00EE2316"/>
    <w:rsid w:val="00EE5AE1"/>
    <w:rsid w:val="00EF7965"/>
    <w:rsid w:val="00F15F55"/>
    <w:rsid w:val="00F27576"/>
    <w:rsid w:val="00F33514"/>
    <w:rsid w:val="00F4234C"/>
    <w:rsid w:val="00F51A6F"/>
    <w:rsid w:val="00F61B04"/>
    <w:rsid w:val="00F75B7E"/>
    <w:rsid w:val="00FA0832"/>
    <w:rsid w:val="00FC0F77"/>
    <w:rsid w:val="00FC5E22"/>
    <w:rsid w:val="00FC6604"/>
    <w:rsid w:val="00FF7A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3770A-3EED-4E02-8A78-CC98C026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4689"/>
    <w:rPr>
      <w:sz w:val="24"/>
      <w:szCs w:val="24"/>
    </w:rPr>
  </w:style>
  <w:style w:type="paragraph" w:styleId="Nadpis1">
    <w:name w:val="heading 1"/>
    <w:basedOn w:val="Normlny"/>
    <w:next w:val="Normlny"/>
    <w:qFormat/>
    <w:rsid w:val="00D361A9"/>
    <w:pPr>
      <w:keepNext/>
      <w:spacing w:before="240" w:after="120" w:line="240" w:lineRule="atLeast"/>
      <w:ind w:left="261" w:right="311"/>
      <w:jc w:val="both"/>
      <w:outlineLvl w:val="0"/>
    </w:pPr>
    <w:rPr>
      <w:snapToGrid w:val="0"/>
      <w:color w:val="000000"/>
      <w:szCs w:val="20"/>
    </w:rPr>
  </w:style>
  <w:style w:type="paragraph" w:styleId="Nadpis2">
    <w:name w:val="heading 2"/>
    <w:basedOn w:val="Normlny"/>
    <w:next w:val="Normlny"/>
    <w:qFormat/>
    <w:rsid w:val="00D361A9"/>
    <w:pPr>
      <w:keepNext/>
      <w:spacing w:line="240" w:lineRule="atLeast"/>
      <w:ind w:left="261" w:right="311"/>
      <w:outlineLvl w:val="1"/>
    </w:pPr>
    <w:rPr>
      <w:b/>
      <w:snapToGrid w:val="0"/>
      <w:color w:val="000000"/>
      <w:szCs w:val="20"/>
    </w:rPr>
  </w:style>
  <w:style w:type="paragraph" w:styleId="Nadpis3">
    <w:name w:val="heading 3"/>
    <w:basedOn w:val="Normlny"/>
    <w:next w:val="Normlny"/>
    <w:qFormat/>
    <w:rsid w:val="00D361A9"/>
    <w:pPr>
      <w:keepNext/>
      <w:outlineLvl w:val="2"/>
    </w:pPr>
    <w:rPr>
      <w:b/>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374E08"/>
    <w:rPr>
      <w:color w:val="0000FF"/>
      <w:u w:val="single"/>
    </w:rPr>
  </w:style>
  <w:style w:type="paragraph" w:styleId="Textbubliny">
    <w:name w:val="Balloon Text"/>
    <w:basedOn w:val="Normlny"/>
    <w:semiHidden/>
    <w:rsid w:val="00C955F3"/>
    <w:rPr>
      <w:rFonts w:ascii="Tahoma" w:hAnsi="Tahoma" w:cs="Tahoma"/>
      <w:sz w:val="16"/>
      <w:szCs w:val="16"/>
    </w:rPr>
  </w:style>
  <w:style w:type="paragraph" w:customStyle="1" w:styleId="CharChar1">
    <w:name w:val="Char Char1"/>
    <w:basedOn w:val="Normlny"/>
    <w:rsid w:val="00045DF0"/>
    <w:pPr>
      <w:spacing w:after="160" w:line="240" w:lineRule="exact"/>
    </w:pPr>
    <w:rPr>
      <w:rFonts w:ascii="Tahoma" w:hAnsi="Tahoma"/>
      <w:sz w:val="20"/>
      <w:szCs w:val="20"/>
      <w:lang w:eastAsia="en-US"/>
    </w:rPr>
  </w:style>
  <w:style w:type="paragraph" w:styleId="Pta">
    <w:name w:val="footer"/>
    <w:basedOn w:val="Normlny"/>
    <w:rsid w:val="00377822"/>
    <w:pPr>
      <w:tabs>
        <w:tab w:val="center" w:pos="4536"/>
        <w:tab w:val="right" w:pos="9072"/>
      </w:tabs>
    </w:pPr>
  </w:style>
  <w:style w:type="character" w:styleId="slostrany">
    <w:name w:val="page number"/>
    <w:basedOn w:val="Predvolenpsmoodseku"/>
    <w:rsid w:val="00377822"/>
  </w:style>
  <w:style w:type="paragraph" w:styleId="Hlavika">
    <w:name w:val="header"/>
    <w:basedOn w:val="Normlny"/>
    <w:rsid w:val="00377822"/>
    <w:pPr>
      <w:tabs>
        <w:tab w:val="center" w:pos="4536"/>
        <w:tab w:val="right" w:pos="9072"/>
      </w:tabs>
    </w:pPr>
  </w:style>
  <w:style w:type="paragraph" w:customStyle="1" w:styleId="CharChar10">
    <w:name w:val="Char Char1"/>
    <w:basedOn w:val="Normlny"/>
    <w:uiPriority w:val="99"/>
    <w:rsid w:val="00115CB2"/>
    <w:pPr>
      <w:spacing w:after="160" w:line="240" w:lineRule="exact"/>
    </w:pPr>
    <w:rPr>
      <w:rFonts w:ascii="Tahoma" w:hAnsi="Tahoma" w:cs="Tahoma"/>
      <w:sz w:val="20"/>
      <w:szCs w:val="20"/>
      <w:lang w:eastAsia="en-US"/>
    </w:rPr>
  </w:style>
  <w:style w:type="table" w:styleId="Mriekatabuky">
    <w:name w:val="Table Grid"/>
    <w:basedOn w:val="Normlnatabuka"/>
    <w:rsid w:val="000211BA"/>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dna-tl-reaguj1">
    <w:name w:val="poradna-tl-reaguj1"/>
    <w:rsid w:val="00DB5AB9"/>
    <w:rPr>
      <w:color w:val="A5557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59E96-8D60-495E-AC4D-E01D3FC0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2098</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lpstr>
    </vt:vector>
  </TitlesOfParts>
  <Company>Ministerstvo financií</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LAMAR</dc:creator>
  <cp:keywords/>
  <cp:lastModifiedBy>Ivanek Peter</cp:lastModifiedBy>
  <cp:revision>3</cp:revision>
  <cp:lastPrinted>2015-10-26T11:29:00Z</cp:lastPrinted>
  <dcterms:created xsi:type="dcterms:W3CDTF">2018-10-19T14:04:00Z</dcterms:created>
  <dcterms:modified xsi:type="dcterms:W3CDTF">2019-10-18T08:07:00Z</dcterms:modified>
</cp:coreProperties>
</file>